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8.xml" ContentType="application/vnd.openxmlformats-officedocument.themeOverrid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A52BA" w14:textId="77777777" w:rsidR="00A37D3D" w:rsidRPr="00167C89" w:rsidRDefault="00A37D3D" w:rsidP="00A37D3D">
      <w:pPr>
        <w:pStyle w:val="ifptext"/>
        <w:spacing w:before="4200" w:after="240"/>
        <w:jc w:val="center"/>
        <w:rPr>
          <w:b/>
          <w:bCs/>
          <w:sz w:val="56"/>
          <w:szCs w:val="56"/>
        </w:rPr>
      </w:pPr>
      <w:r w:rsidRPr="00167C89">
        <w:rPr>
          <w:b/>
          <w:bCs/>
          <w:noProof/>
          <w:sz w:val="56"/>
          <w:szCs w:val="56"/>
          <w:lang w:eastAsia="sk-SK"/>
        </w:rPr>
        <w:drawing>
          <wp:anchor distT="0" distB="0" distL="114300" distR="114300" simplePos="0" relativeHeight="251659264" behindDoc="1" locked="0" layoutInCell="1" allowOverlap="1" wp14:anchorId="46A5C000" wp14:editId="5FC39AE3">
            <wp:simplePos x="0" y="0"/>
            <wp:positionH relativeFrom="margin">
              <wp:align>center</wp:align>
            </wp:positionH>
            <wp:positionV relativeFrom="paragraph">
              <wp:posOffset>9449</wp:posOffset>
            </wp:positionV>
            <wp:extent cx="1428750" cy="1704975"/>
            <wp:effectExtent l="0" t="0" r="0" b="9525"/>
            <wp:wrapNone/>
            <wp:docPr id="29" name="Obrázok 29" descr="Popis: štátny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descr="Popis: štátny zna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704975"/>
                    </a:xfrm>
                    <a:prstGeom prst="rect">
                      <a:avLst/>
                    </a:prstGeom>
                    <a:noFill/>
                    <a:ln>
                      <a:noFill/>
                    </a:ln>
                  </pic:spPr>
                </pic:pic>
              </a:graphicData>
            </a:graphic>
          </wp:anchor>
        </w:drawing>
      </w:r>
      <w:r>
        <w:rPr>
          <w:b/>
          <w:bCs/>
          <w:sz w:val="56"/>
          <w:szCs w:val="56"/>
        </w:rPr>
        <w:t>Výročná správa o pokroku</w:t>
      </w:r>
    </w:p>
    <w:p w14:paraId="66147865" w14:textId="77777777" w:rsidR="00A37D3D" w:rsidRDefault="00A37D3D" w:rsidP="00A37D3D">
      <w:pPr>
        <w:pStyle w:val="ifptext"/>
        <w:spacing w:after="240"/>
        <w:jc w:val="center"/>
        <w:rPr>
          <w:b/>
          <w:bCs/>
          <w:sz w:val="56"/>
          <w:szCs w:val="56"/>
        </w:rPr>
      </w:pPr>
      <w:r w:rsidRPr="00167C89">
        <w:rPr>
          <w:b/>
          <w:bCs/>
          <w:sz w:val="56"/>
          <w:szCs w:val="56"/>
        </w:rPr>
        <w:t>Slovenskej republiky</w:t>
      </w:r>
    </w:p>
    <w:p w14:paraId="3A5B97D4" w14:textId="68623743" w:rsidR="00A37D3D" w:rsidRDefault="00A37D3D" w:rsidP="00A37D3D">
      <w:pPr>
        <w:pStyle w:val="ifptext"/>
        <w:spacing w:after="240"/>
        <w:jc w:val="center"/>
        <w:rPr>
          <w:b/>
          <w:bCs/>
          <w:sz w:val="56"/>
          <w:szCs w:val="56"/>
        </w:rPr>
      </w:pPr>
      <w:r>
        <w:rPr>
          <w:b/>
          <w:bCs/>
          <w:sz w:val="56"/>
          <w:szCs w:val="56"/>
        </w:rPr>
        <w:t>2026</w:t>
      </w:r>
    </w:p>
    <w:p w14:paraId="66DC7163" w14:textId="77777777" w:rsidR="00A37D3D" w:rsidRDefault="00A37D3D" w:rsidP="00A37D3D">
      <w:pPr>
        <w:pStyle w:val="ifptext"/>
        <w:spacing w:after="240"/>
        <w:jc w:val="center"/>
        <w:rPr>
          <w:b/>
          <w:bCs/>
          <w:sz w:val="56"/>
          <w:szCs w:val="56"/>
        </w:rPr>
      </w:pPr>
    </w:p>
    <w:p w14:paraId="31F6C6D8" w14:textId="77777777" w:rsidR="00A37D3D" w:rsidRDefault="00A37D3D" w:rsidP="00A37D3D">
      <w:pPr>
        <w:pStyle w:val="ifptext"/>
        <w:spacing w:after="240"/>
        <w:jc w:val="center"/>
        <w:rPr>
          <w:b/>
          <w:bCs/>
          <w:sz w:val="56"/>
          <w:szCs w:val="56"/>
        </w:rPr>
      </w:pPr>
    </w:p>
    <w:p w14:paraId="63372B2D" w14:textId="77777777" w:rsidR="00A37D3D" w:rsidRDefault="00A37D3D" w:rsidP="00A37D3D">
      <w:pPr>
        <w:pStyle w:val="ifptext"/>
        <w:spacing w:after="240"/>
        <w:jc w:val="center"/>
        <w:rPr>
          <w:b/>
          <w:bCs/>
          <w:sz w:val="56"/>
          <w:szCs w:val="56"/>
        </w:rPr>
      </w:pPr>
    </w:p>
    <w:p w14:paraId="56804DF7" w14:textId="77777777" w:rsidR="00A37D3D" w:rsidRDefault="00A37D3D" w:rsidP="00A37D3D">
      <w:pPr>
        <w:pStyle w:val="ifptext"/>
        <w:spacing w:after="240"/>
        <w:jc w:val="center"/>
        <w:rPr>
          <w:b/>
          <w:bCs/>
          <w:sz w:val="56"/>
          <w:szCs w:val="56"/>
        </w:rPr>
      </w:pPr>
    </w:p>
    <w:p w14:paraId="133BD6CC" w14:textId="77777777" w:rsidR="00A37D3D" w:rsidRDefault="00A37D3D" w:rsidP="00A37D3D">
      <w:pPr>
        <w:pStyle w:val="ifptext"/>
        <w:spacing w:after="240"/>
        <w:jc w:val="center"/>
        <w:rPr>
          <w:b/>
          <w:bCs/>
          <w:sz w:val="56"/>
          <w:szCs w:val="56"/>
        </w:rPr>
      </w:pPr>
    </w:p>
    <w:p w14:paraId="79AC1052" w14:textId="77777777" w:rsidR="00A37D3D" w:rsidRDefault="00A37D3D" w:rsidP="00A37D3D">
      <w:pPr>
        <w:pStyle w:val="ifptext"/>
        <w:spacing w:after="240"/>
        <w:jc w:val="center"/>
        <w:rPr>
          <w:b/>
          <w:bCs/>
          <w:sz w:val="56"/>
          <w:szCs w:val="56"/>
        </w:rPr>
      </w:pPr>
    </w:p>
    <w:p w14:paraId="58FB0D2D" w14:textId="77777777" w:rsidR="00A37D3D" w:rsidRDefault="00A37D3D" w:rsidP="00A37D3D">
      <w:pPr>
        <w:pStyle w:val="ifptext"/>
        <w:spacing w:after="240"/>
        <w:jc w:val="center"/>
        <w:rPr>
          <w:b/>
          <w:bCs/>
          <w:sz w:val="56"/>
          <w:szCs w:val="56"/>
        </w:rPr>
      </w:pPr>
    </w:p>
    <w:p w14:paraId="32356D10" w14:textId="60B4B280" w:rsidR="00A37D3D" w:rsidRDefault="00A37D3D" w:rsidP="00A37D3D">
      <w:pPr>
        <w:pStyle w:val="ifptext"/>
        <w:spacing w:after="240"/>
        <w:jc w:val="center"/>
        <w:rPr>
          <w:sz w:val="32"/>
          <w:szCs w:val="32"/>
        </w:rPr>
      </w:pPr>
      <w:r w:rsidRPr="00EC659B">
        <w:rPr>
          <w:b/>
          <w:noProof/>
          <w:highlight w:val="yellow"/>
          <w:lang w:eastAsia="sk-SK"/>
        </w:rPr>
        <mc:AlternateContent>
          <mc:Choice Requires="wps">
            <w:drawing>
              <wp:anchor distT="0" distB="0" distL="114300" distR="114300" simplePos="0" relativeHeight="251660288" behindDoc="1" locked="0" layoutInCell="0" allowOverlap="1" wp14:anchorId="6E19DCF7" wp14:editId="713EDC26">
                <wp:simplePos x="0" y="0"/>
                <wp:positionH relativeFrom="margin">
                  <wp:posOffset>2348230</wp:posOffset>
                </wp:positionH>
                <wp:positionV relativeFrom="margin">
                  <wp:posOffset>8264525</wp:posOffset>
                </wp:positionV>
                <wp:extent cx="59055" cy="294640"/>
                <wp:effectExtent l="0" t="0" r="0" b="0"/>
                <wp:wrapNone/>
                <wp:docPr id="1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 cy="294640"/>
                        </a:xfrm>
                        <a:prstGeom prst="rect">
                          <a:avLst/>
                        </a:prstGeom>
                        <a:solidFill>
                          <a:srgbClr val="37AB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E0EE2" id="Rectangle 2" o:spid="_x0000_s1026" style="position:absolute;margin-left:184.9pt;margin-top:650.75pt;width:4.65pt;height:23.2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" o:allowincell="f" fillcolor="#37abe1" stroked="f">
                <v:path arrowok="t"/>
                <w10:wrap anchorx="margin" anchory="margin"/>
              </v:rect>
            </w:pict>
          </mc:Fallback>
        </mc:AlternateContent>
      </w:r>
      <w:r>
        <w:rPr>
          <w:sz w:val="32"/>
          <w:szCs w:val="32"/>
        </w:rPr>
        <w:t>apríl</w:t>
      </w:r>
      <w:r w:rsidRPr="00167C89">
        <w:rPr>
          <w:sz w:val="32"/>
          <w:szCs w:val="32"/>
        </w:rPr>
        <w:t xml:space="preserve"> 202</w:t>
      </w:r>
      <w:r>
        <w:rPr>
          <w:sz w:val="32"/>
          <w:szCs w:val="32"/>
        </w:rPr>
        <w:t>6</w:t>
      </w:r>
    </w:p>
    <w:p w14:paraId="769AAF06" w14:textId="77777777" w:rsidR="00A90574" w:rsidRDefault="00A90574" w:rsidP="00885CE2">
      <w:pPr>
        <w:pStyle w:val="ifptext"/>
        <w:rPr>
          <w:b/>
          <w:bCs/>
          <w:color w:val="00B0F0"/>
          <w:sz w:val="28"/>
          <w:szCs w:val="28"/>
        </w:rPr>
        <w:sectPr w:rsidR="00A90574" w:rsidSect="00A90574">
          <w:footerReference w:type="default" r:id="rId9"/>
          <w:headerReference w:type="first" r:id="rId10"/>
          <w:footerReference w:type="first" r:id="rId11"/>
          <w:pgSz w:w="11906" w:h="16838"/>
          <w:pgMar w:top="1417" w:right="1417" w:bottom="1417" w:left="1417" w:header="708" w:footer="397" w:gutter="0"/>
          <w:cols w:space="708"/>
          <w:docGrid w:linePitch="360"/>
        </w:sectPr>
      </w:pPr>
    </w:p>
    <w:p w14:paraId="662807E8" w14:textId="5F9DF5E2" w:rsidR="004B0428" w:rsidRPr="001C4FC1" w:rsidRDefault="004B0428" w:rsidP="00885CE2">
      <w:pPr>
        <w:pStyle w:val="ifptext"/>
        <w:rPr>
          <w:b/>
          <w:bCs/>
          <w:color w:val="00B0F0"/>
          <w:sz w:val="28"/>
          <w:szCs w:val="28"/>
        </w:rPr>
      </w:pPr>
      <w:r w:rsidRPr="001C4FC1">
        <w:rPr>
          <w:b/>
          <w:bCs/>
          <w:color w:val="00B0F0"/>
          <w:sz w:val="28"/>
          <w:szCs w:val="28"/>
        </w:rPr>
        <w:lastRenderedPageBreak/>
        <w:t>Zhrnutie</w:t>
      </w:r>
    </w:p>
    <w:p w14:paraId="3A40F0F7" w14:textId="5BD403F6" w:rsidR="00910869" w:rsidRPr="002C3C7F" w:rsidRDefault="00DD682E" w:rsidP="00910869">
      <w:pPr>
        <w:pStyle w:val="ifptext"/>
      </w:pPr>
      <w:r w:rsidRPr="001C4FC1">
        <w:rPr>
          <w:b/>
          <w:bCs/>
        </w:rPr>
        <w:t>Ministerstvo financií</w:t>
      </w:r>
      <w:r w:rsidR="00880EB2">
        <w:rPr>
          <w:b/>
          <w:bCs/>
        </w:rPr>
        <w:t xml:space="preserve"> Slovenskej republiky</w:t>
      </w:r>
      <w:r w:rsidRPr="001C4FC1">
        <w:rPr>
          <w:b/>
          <w:bCs/>
        </w:rPr>
        <w:t xml:space="preserve"> predkladá </w:t>
      </w:r>
      <w:r w:rsidR="00910869" w:rsidRPr="001C4FC1">
        <w:rPr>
          <w:b/>
          <w:bCs/>
        </w:rPr>
        <w:t>druhú</w:t>
      </w:r>
      <w:r w:rsidRPr="001C4FC1">
        <w:rPr>
          <w:b/>
          <w:bCs/>
        </w:rPr>
        <w:t xml:space="preserve"> </w:t>
      </w:r>
      <w:r w:rsidRPr="001C4FC1">
        <w:rPr>
          <w:b/>
          <w:bCs/>
          <w:i/>
          <w:iCs/>
        </w:rPr>
        <w:t>Výročnú správu o pokroku</w:t>
      </w:r>
      <w:r w:rsidRPr="001C4FC1">
        <w:rPr>
          <w:b/>
          <w:bCs/>
        </w:rPr>
        <w:t xml:space="preserve">, </w:t>
      </w:r>
      <w:r w:rsidR="007A6BF3" w:rsidRPr="001C4FC1">
        <w:rPr>
          <w:b/>
          <w:bCs/>
        </w:rPr>
        <w:t>ktor</w:t>
      </w:r>
      <w:r w:rsidR="00B27113" w:rsidRPr="001C4FC1">
        <w:rPr>
          <w:b/>
          <w:bCs/>
        </w:rPr>
        <w:t>á</w:t>
      </w:r>
      <w:r w:rsidR="007A6BF3" w:rsidRPr="001C4FC1">
        <w:rPr>
          <w:b/>
          <w:bCs/>
        </w:rPr>
        <w:t xml:space="preserve"> </w:t>
      </w:r>
      <w:r w:rsidR="00C67132">
        <w:rPr>
          <w:b/>
          <w:bCs/>
        </w:rPr>
        <w:t>hodnotí</w:t>
      </w:r>
      <w:r w:rsidR="00C67132" w:rsidRPr="001C4FC1">
        <w:rPr>
          <w:b/>
          <w:bCs/>
        </w:rPr>
        <w:t> </w:t>
      </w:r>
      <w:r w:rsidR="00910869" w:rsidRPr="001C4FC1">
        <w:rPr>
          <w:b/>
          <w:bCs/>
        </w:rPr>
        <w:t>plnen</w:t>
      </w:r>
      <w:r w:rsidR="007A6BF3" w:rsidRPr="001C4FC1">
        <w:rPr>
          <w:b/>
          <w:bCs/>
        </w:rPr>
        <w:t>ie</w:t>
      </w:r>
      <w:r w:rsidRPr="001C4FC1">
        <w:rPr>
          <w:b/>
          <w:bCs/>
        </w:rPr>
        <w:t xml:space="preserve"> </w:t>
      </w:r>
      <w:r w:rsidR="006A4B31" w:rsidRPr="001C4FC1">
        <w:rPr>
          <w:b/>
          <w:bCs/>
          <w:i/>
          <w:iCs/>
        </w:rPr>
        <w:t xml:space="preserve">Národného strednodobého fiškálno-štrukturálneho plánu </w:t>
      </w:r>
      <w:r w:rsidRPr="001C4FC1">
        <w:rPr>
          <w:b/>
          <w:bCs/>
          <w:i/>
          <w:iCs/>
        </w:rPr>
        <w:t>SR na roky 2025 – 2028</w:t>
      </w:r>
      <w:r w:rsidRPr="001C4FC1">
        <w:rPr>
          <w:b/>
          <w:bCs/>
        </w:rPr>
        <w:t xml:space="preserve">. </w:t>
      </w:r>
      <w:r w:rsidR="00195D7C" w:rsidRPr="00E51BA4">
        <w:t>Po dvoch význam</w:t>
      </w:r>
      <w:r w:rsidR="005B0F6E">
        <w:t>ných</w:t>
      </w:r>
      <w:r w:rsidR="00195D7C" w:rsidRPr="00E51BA4">
        <w:t xml:space="preserve"> krízach a </w:t>
      </w:r>
      <w:r w:rsidR="005B0F6E">
        <w:t>značne</w:t>
      </w:r>
      <w:r w:rsidR="00195D7C" w:rsidRPr="00E51BA4">
        <w:t xml:space="preserve"> expanzívnej politike v roku 2023 </w:t>
      </w:r>
      <w:r w:rsidR="00195D7C">
        <w:t xml:space="preserve">prebrala vláda </w:t>
      </w:r>
      <w:r w:rsidR="00195D7C" w:rsidRPr="00E51BA4">
        <w:t>verejn</w:t>
      </w:r>
      <w:r w:rsidR="005B0F6E">
        <w:t>é</w:t>
      </w:r>
      <w:r w:rsidR="00195D7C" w:rsidRPr="00E51BA4">
        <w:t xml:space="preserve"> </w:t>
      </w:r>
      <w:r w:rsidR="005B0F6E" w:rsidRPr="00E51BA4">
        <w:t>financi</w:t>
      </w:r>
      <w:r w:rsidR="005B0F6E">
        <w:t xml:space="preserve">e so schodkom hospodárenia </w:t>
      </w:r>
      <w:r w:rsidR="00195D7C" w:rsidRPr="00E51BA4">
        <w:t>na vysok</w:t>
      </w:r>
      <w:r w:rsidR="00195D7C">
        <w:t>ej</w:t>
      </w:r>
      <w:r w:rsidR="00195D7C" w:rsidRPr="00E51BA4">
        <w:t xml:space="preserve"> úrov</w:t>
      </w:r>
      <w:r w:rsidR="00195D7C">
        <w:t>ni</w:t>
      </w:r>
      <w:r w:rsidR="00AC202D">
        <w:t xml:space="preserve">. </w:t>
      </w:r>
      <w:r w:rsidR="00195D7C" w:rsidRPr="00E51BA4">
        <w:t xml:space="preserve">Slovensko sa </w:t>
      </w:r>
      <w:r w:rsidR="00AC202D">
        <w:t xml:space="preserve">tak </w:t>
      </w:r>
      <w:r w:rsidR="00195D7C" w:rsidRPr="00E51BA4">
        <w:t xml:space="preserve">ocitlo v procedúre nadmerného deficitu. </w:t>
      </w:r>
      <w:r w:rsidR="00C67132">
        <w:t>V</w:t>
      </w:r>
      <w:r w:rsidR="00C43286" w:rsidRPr="001C4FC1">
        <w:t> októbri 202</w:t>
      </w:r>
      <w:r w:rsidR="0059117B" w:rsidRPr="001C4FC1">
        <w:t>4</w:t>
      </w:r>
      <w:r w:rsidR="00C43286" w:rsidRPr="001C4FC1">
        <w:t xml:space="preserve"> </w:t>
      </w:r>
      <w:r w:rsidR="00086F5B">
        <w:t xml:space="preserve">strednodobý </w:t>
      </w:r>
      <w:r w:rsidR="00C67132">
        <w:t>plán stanovil</w:t>
      </w:r>
      <w:r w:rsidR="00C67132" w:rsidRPr="001C4FC1">
        <w:t xml:space="preserve"> </w:t>
      </w:r>
      <w:r w:rsidR="00C67132">
        <w:t>záväznú</w:t>
      </w:r>
      <w:r w:rsidR="00C67132" w:rsidRPr="001C4FC1">
        <w:t xml:space="preserve"> </w:t>
      </w:r>
      <w:r w:rsidRPr="001C4FC1">
        <w:t>trajektóriu rastu čistých výdavkov</w:t>
      </w:r>
      <w:r w:rsidR="00334D37" w:rsidRPr="001C4FC1">
        <w:t xml:space="preserve"> na nasledujúce </w:t>
      </w:r>
      <w:r w:rsidR="00C67132">
        <w:t>štyri</w:t>
      </w:r>
      <w:r w:rsidR="00C67132" w:rsidRPr="001C4FC1">
        <w:t xml:space="preserve"> </w:t>
      </w:r>
      <w:r w:rsidR="00334D37" w:rsidRPr="001C4FC1">
        <w:t>roky</w:t>
      </w:r>
      <w:r w:rsidR="00C67132">
        <w:t>, ktorá je hlavným nástrojom</w:t>
      </w:r>
      <w:r w:rsidRPr="001C4FC1">
        <w:t xml:space="preserve"> reformovaných európskych rozpočtových pravidiel.</w:t>
      </w:r>
      <w:r w:rsidR="00910869" w:rsidRPr="001C4FC1">
        <w:t xml:space="preserve"> </w:t>
      </w:r>
      <w:r w:rsidR="00C67132">
        <w:t xml:space="preserve">V </w:t>
      </w:r>
      <w:r w:rsidR="00FF4F2E">
        <w:t>reakcii</w:t>
      </w:r>
      <w:r w:rsidR="00C67132" w:rsidRPr="001C4FC1">
        <w:t xml:space="preserve"> </w:t>
      </w:r>
      <w:r w:rsidR="008F363C" w:rsidRPr="001C4FC1">
        <w:t xml:space="preserve">na zhoršenú bezpečnostnú situáciu vo svete </w:t>
      </w:r>
      <w:r w:rsidR="00910869" w:rsidRPr="001C4FC1">
        <w:t>sa do</w:t>
      </w:r>
      <w:r w:rsidR="00C67132">
        <w:t xml:space="preserve"> </w:t>
      </w:r>
      <w:r w:rsidR="00910869" w:rsidRPr="001C4FC1">
        <w:t>pravidiel zaviedla výnimka</w:t>
      </w:r>
      <w:r w:rsidR="00C67132">
        <w:t>,</w:t>
      </w:r>
      <w:r w:rsidR="00910869" w:rsidRPr="001C4FC1">
        <w:t xml:space="preserve"> </w:t>
      </w:r>
      <w:r w:rsidR="00C67132">
        <w:t xml:space="preserve">ktorá </w:t>
      </w:r>
      <w:r w:rsidR="00C67132" w:rsidRPr="001C4FC1">
        <w:t>umožňuj</w:t>
      </w:r>
      <w:r w:rsidR="00C67132">
        <w:t>e</w:t>
      </w:r>
      <w:r w:rsidR="00C67132" w:rsidRPr="001C4FC1">
        <w:t xml:space="preserve"> </w:t>
      </w:r>
      <w:r w:rsidR="00910869" w:rsidRPr="001C4FC1">
        <w:t>vyšší rast</w:t>
      </w:r>
      <w:r w:rsidR="00B27113" w:rsidRPr="001C4FC1">
        <w:t xml:space="preserve"> obranných</w:t>
      </w:r>
      <w:r w:rsidR="00910869" w:rsidRPr="001C4FC1">
        <w:t xml:space="preserve"> </w:t>
      </w:r>
      <w:r w:rsidR="00C43286" w:rsidRPr="001C4FC1">
        <w:t>výdavkov</w:t>
      </w:r>
      <w:r w:rsidR="00B27113" w:rsidRPr="001C4FC1">
        <w:t xml:space="preserve"> nad rámec </w:t>
      </w:r>
      <w:r w:rsidR="00FF4F2E">
        <w:t>tejto</w:t>
      </w:r>
      <w:r w:rsidR="00FF4F2E" w:rsidRPr="001C4FC1">
        <w:t xml:space="preserve"> </w:t>
      </w:r>
      <w:r w:rsidR="00B27113" w:rsidRPr="002C3C7F">
        <w:t>trajektórie</w:t>
      </w:r>
      <w:r w:rsidR="00910869" w:rsidRPr="002C3C7F">
        <w:t>.</w:t>
      </w:r>
      <w:r w:rsidRPr="002C3C7F">
        <w:t xml:space="preserve"> </w:t>
      </w:r>
      <w:r w:rsidR="00880EB2" w:rsidRPr="002C3C7F">
        <w:t xml:space="preserve">Výročná správa </w:t>
      </w:r>
      <w:r w:rsidR="00C67132" w:rsidRPr="002C3C7F">
        <w:t>prináša</w:t>
      </w:r>
      <w:r w:rsidRPr="002C3C7F">
        <w:t xml:space="preserve"> odpočet </w:t>
      </w:r>
      <w:r w:rsidR="00C67132" w:rsidRPr="002C3C7F">
        <w:t xml:space="preserve">plnenia </w:t>
      </w:r>
      <w:r w:rsidRPr="002C3C7F">
        <w:t>plánu</w:t>
      </w:r>
      <w:r w:rsidR="00620B08" w:rsidRPr="002C3C7F">
        <w:t xml:space="preserve">, </w:t>
      </w:r>
      <w:r w:rsidR="00C67132" w:rsidRPr="002C3C7F">
        <w:t>pokrok v reformách a</w:t>
      </w:r>
      <w:r w:rsidR="003A24A2">
        <w:t> </w:t>
      </w:r>
      <w:r w:rsidR="00C67132" w:rsidRPr="002C3C7F">
        <w:t>investíciách</w:t>
      </w:r>
      <w:r w:rsidR="003A24A2">
        <w:t>,</w:t>
      </w:r>
      <w:r w:rsidR="00620B08" w:rsidRPr="002C3C7F">
        <w:t xml:space="preserve"> </w:t>
      </w:r>
      <w:r w:rsidR="003A24A2">
        <w:t>ako aj</w:t>
      </w:r>
      <w:r w:rsidR="00537634" w:rsidRPr="002C3C7F">
        <w:t> </w:t>
      </w:r>
      <w:r w:rsidR="00C67132" w:rsidRPr="002C3C7F">
        <w:t xml:space="preserve">aktualizovaný </w:t>
      </w:r>
      <w:r w:rsidR="00334D37" w:rsidRPr="002C3C7F">
        <w:t>výhľad</w:t>
      </w:r>
      <w:r w:rsidR="0059117B" w:rsidRPr="002C3C7F">
        <w:t xml:space="preserve"> </w:t>
      </w:r>
      <w:r w:rsidR="00C67132" w:rsidRPr="002C3C7F">
        <w:t xml:space="preserve">deficitu </w:t>
      </w:r>
      <w:r w:rsidR="0059117B" w:rsidRPr="002C3C7F">
        <w:t>a</w:t>
      </w:r>
      <w:r w:rsidR="003A24A2">
        <w:t> </w:t>
      </w:r>
      <w:r w:rsidR="00C67132" w:rsidRPr="002C3C7F">
        <w:t>dlhu</w:t>
      </w:r>
      <w:r w:rsidR="003A24A2">
        <w:t>.</w:t>
      </w:r>
      <w:r w:rsidR="00C67132" w:rsidRPr="002C3C7F">
        <w:t xml:space="preserve"> </w:t>
      </w:r>
    </w:p>
    <w:p w14:paraId="60BEA60A" w14:textId="7C2BB3BC" w:rsidR="00880EB2" w:rsidRPr="002C3C7F" w:rsidRDefault="00880EB2" w:rsidP="00880EB2">
      <w:pPr>
        <w:pStyle w:val="ifptext"/>
      </w:pPr>
      <w:r w:rsidRPr="002C3C7F">
        <w:rPr>
          <w:b/>
          <w:bCs/>
          <w:color w:val="0C2A38"/>
        </w:rPr>
        <w:t xml:space="preserve">Nepriaznivé </w:t>
      </w:r>
      <w:r w:rsidR="00195D7C">
        <w:rPr>
          <w:b/>
          <w:bCs/>
          <w:color w:val="0C2A38"/>
        </w:rPr>
        <w:t xml:space="preserve">externé </w:t>
      </w:r>
      <w:r w:rsidRPr="002C3C7F">
        <w:rPr>
          <w:b/>
          <w:bCs/>
          <w:color w:val="0C2A38"/>
        </w:rPr>
        <w:t>prostredie spojené s globálnymi obchodnými bariérami</w:t>
      </w:r>
      <w:r w:rsidRPr="002C3C7F">
        <w:rPr>
          <w:b/>
          <w:bCs/>
        </w:rPr>
        <w:t xml:space="preserve"> spomaľuje rast slovenskej ekonomiky pod svoj potenciál a nevytvára ideálne podmienky pre rýchle </w:t>
      </w:r>
      <w:r w:rsidR="00086F5B" w:rsidRPr="002C3C7F">
        <w:rPr>
          <w:b/>
          <w:bCs/>
        </w:rPr>
        <w:t>ozdrav</w:t>
      </w:r>
      <w:r w:rsidR="00086F5B">
        <w:rPr>
          <w:b/>
          <w:bCs/>
        </w:rPr>
        <w:t>enie</w:t>
      </w:r>
      <w:r w:rsidR="00086F5B" w:rsidRPr="002C3C7F">
        <w:rPr>
          <w:b/>
          <w:bCs/>
        </w:rPr>
        <w:t xml:space="preserve"> </w:t>
      </w:r>
      <w:r w:rsidRPr="002C3C7F">
        <w:rPr>
          <w:b/>
          <w:bCs/>
        </w:rPr>
        <w:t xml:space="preserve">verejných financií. </w:t>
      </w:r>
      <w:r w:rsidRPr="002C3C7F">
        <w:t>Ekonomiky našich hlavných obchodných partnerov a Slovenska zasahujú protekcionistické opatrenia zavádzané Spojenými štátmi americkými</w:t>
      </w:r>
      <w:r w:rsidR="005D6503" w:rsidRPr="002C3C7F">
        <w:t>.</w:t>
      </w:r>
      <w:r w:rsidR="009110C8" w:rsidRPr="002C3C7F">
        <w:t xml:space="preserve"> Externé stimuly oslabujú aj v súvislosti s rastom trhových podielov Číny, ktorý vytvára zvýšený konkurenčný tlak na ekonomiku Európskej únie</w:t>
      </w:r>
      <w:r w:rsidRPr="002C3C7F">
        <w:t>. V nadväznosti na to, HDP Slovenska v roku 2026 vzrastie len o 1 %, rast potiahnu najmä investície z končiaceho Plánu obnovy a odolnosti SR</w:t>
      </w:r>
      <w:r w:rsidRPr="002C3C7F">
        <w:rPr>
          <w:i/>
          <w:iCs/>
        </w:rPr>
        <w:t xml:space="preserve">. </w:t>
      </w:r>
      <w:r w:rsidRPr="002C3C7F">
        <w:t>V budúcom roku rast ekonomiky presiahne mierne 1</w:t>
      </w:r>
      <w:r w:rsidR="00511ACD">
        <w:t xml:space="preserve"> </w:t>
      </w:r>
      <w:r w:rsidRPr="002C3C7F">
        <w:t>%, prílev európskych prostriedkov sa zníži, ale nábeh exportu novej automobilky Volvo podporí ekonomiku</w:t>
      </w:r>
      <w:r w:rsidR="00B122C3" w:rsidRPr="002C3C7F">
        <w:t>.</w:t>
      </w:r>
      <w:r w:rsidRPr="002C3C7F">
        <w:t xml:space="preserve"> Rizikom prognózy </w:t>
      </w:r>
      <w:r w:rsidR="00B122C3" w:rsidRPr="002C3C7F">
        <w:t xml:space="preserve">je </w:t>
      </w:r>
      <w:r w:rsidRPr="002C3C7F">
        <w:t>vojna v Iráne, ktorá by mohla v oboch rokoch stlačiť rast pod 1</w:t>
      </w:r>
      <w:r w:rsidR="00511ACD">
        <w:t xml:space="preserve"> </w:t>
      </w:r>
      <w:r w:rsidRPr="002C3C7F">
        <w:t xml:space="preserve">%. </w:t>
      </w:r>
    </w:p>
    <w:p w14:paraId="6FB032DA" w14:textId="780B05D6" w:rsidR="009A6969" w:rsidRPr="002C3C7F" w:rsidRDefault="009A6969" w:rsidP="009A6969">
      <w:pPr>
        <w:jc w:val="both"/>
        <w:rPr>
          <w:rFonts w:ascii="Arial Narrow" w:hAnsi="Arial Narrow"/>
        </w:rPr>
      </w:pPr>
      <w:r w:rsidRPr="002C3C7F">
        <w:rPr>
          <w:rFonts w:ascii="Arial Narrow" w:hAnsi="Arial Narrow"/>
          <w:b/>
          <w:bCs/>
        </w:rPr>
        <w:t>Napriek nepriaznivému externému prostrediu sa vláde darí postupne zlepšovať stav verejných financií a deficit by sa mal v roku 2026 udržať blízko 4 % HDP.</w:t>
      </w:r>
      <w:r w:rsidR="00195D7C">
        <w:rPr>
          <w:rFonts w:ascii="Arial Narrow" w:hAnsi="Arial Narrow"/>
          <w:b/>
          <w:bCs/>
        </w:rPr>
        <w:t xml:space="preserve">  </w:t>
      </w:r>
      <w:r w:rsidRPr="002C3C7F">
        <w:rPr>
          <w:rFonts w:ascii="Arial Narrow" w:hAnsi="Arial Narrow"/>
        </w:rPr>
        <w:t xml:space="preserve">K zlepšeniu hospodárenia prispeli tri konsolidačné </w:t>
      </w:r>
      <w:r w:rsidR="00AA62B7">
        <w:rPr>
          <w:rFonts w:ascii="Arial Narrow" w:hAnsi="Arial Narrow"/>
        </w:rPr>
        <w:t>balíčky</w:t>
      </w:r>
      <w:r w:rsidRPr="002C3C7F">
        <w:rPr>
          <w:rFonts w:ascii="Arial Narrow" w:hAnsi="Arial Narrow"/>
        </w:rPr>
        <w:t xml:space="preserve">, ktoré </w:t>
      </w:r>
      <w:r w:rsidR="00086F5B" w:rsidRPr="002C3C7F">
        <w:rPr>
          <w:rFonts w:ascii="Arial Narrow" w:hAnsi="Arial Narrow"/>
        </w:rPr>
        <w:t>zn</w:t>
      </w:r>
      <w:r w:rsidR="00086F5B">
        <w:rPr>
          <w:rFonts w:ascii="Arial Narrow" w:hAnsi="Arial Narrow"/>
        </w:rPr>
        <w:t>ížili</w:t>
      </w:r>
      <w:r w:rsidR="00086F5B" w:rsidRPr="002C3C7F">
        <w:rPr>
          <w:rFonts w:ascii="Arial Narrow" w:hAnsi="Arial Narrow"/>
        </w:rPr>
        <w:t xml:space="preserve"> </w:t>
      </w:r>
      <w:r w:rsidRPr="002C3C7F">
        <w:rPr>
          <w:rFonts w:ascii="Arial Narrow" w:hAnsi="Arial Narrow"/>
        </w:rPr>
        <w:t>deficit na úroveň</w:t>
      </w:r>
      <w:r w:rsidR="00195D7C">
        <w:rPr>
          <w:rFonts w:ascii="Arial Narrow" w:hAnsi="Arial Narrow"/>
        </w:rPr>
        <w:t xml:space="preserve"> 4,</w:t>
      </w:r>
      <w:r w:rsidR="008765E2">
        <w:rPr>
          <w:rFonts w:ascii="Arial Narrow" w:hAnsi="Arial Narrow"/>
        </w:rPr>
        <w:t>4</w:t>
      </w:r>
      <w:r w:rsidR="00195D7C">
        <w:rPr>
          <w:rFonts w:ascii="Arial Narrow" w:hAnsi="Arial Narrow"/>
        </w:rPr>
        <w:t>5 % HDP v roku 2025 a následne</w:t>
      </w:r>
      <w:r w:rsidRPr="002C3C7F">
        <w:rPr>
          <w:rFonts w:ascii="Arial Narrow" w:hAnsi="Arial Narrow"/>
        </w:rPr>
        <w:t xml:space="preserve"> 4,3</w:t>
      </w:r>
      <w:r w:rsidR="001371BB">
        <w:rPr>
          <w:rFonts w:ascii="Arial Narrow" w:hAnsi="Arial Narrow"/>
        </w:rPr>
        <w:t>4</w:t>
      </w:r>
      <w:r w:rsidRPr="002C3C7F">
        <w:rPr>
          <w:rFonts w:ascii="Arial Narrow" w:hAnsi="Arial Narrow"/>
        </w:rPr>
        <w:t xml:space="preserve"> % HDP v tomto roku. </w:t>
      </w:r>
      <w:r w:rsidR="00BD5BF6" w:rsidRPr="002C3C7F">
        <w:rPr>
          <w:rFonts w:ascii="Arial Narrow" w:hAnsi="Arial Narrow"/>
        </w:rPr>
        <w:t>Pokles deficitu je miernejší najmä pre slabší ekonomický vývoj</w:t>
      </w:r>
      <w:r w:rsidR="002C3C7F">
        <w:rPr>
          <w:rFonts w:ascii="Arial Narrow" w:hAnsi="Arial Narrow"/>
        </w:rPr>
        <w:t xml:space="preserve"> a</w:t>
      </w:r>
      <w:r w:rsidR="00BD5BF6" w:rsidRPr="002C3C7F">
        <w:rPr>
          <w:rFonts w:ascii="Arial Narrow" w:hAnsi="Arial Narrow"/>
        </w:rPr>
        <w:t xml:space="preserve"> vyššie úrokové náklady</w:t>
      </w:r>
      <w:r w:rsidR="003A24A2">
        <w:rPr>
          <w:rFonts w:ascii="Arial Narrow" w:hAnsi="Arial Narrow"/>
        </w:rPr>
        <w:t>, aj</w:t>
      </w:r>
      <w:r w:rsidR="00BD5BF6" w:rsidRPr="002C3C7F">
        <w:rPr>
          <w:rFonts w:ascii="Arial Narrow" w:hAnsi="Arial Narrow"/>
        </w:rPr>
        <w:t xml:space="preserve"> </w:t>
      </w:r>
      <w:r w:rsidR="002C3C7F">
        <w:rPr>
          <w:rFonts w:ascii="Arial Narrow" w:hAnsi="Arial Narrow"/>
        </w:rPr>
        <w:t>v</w:t>
      </w:r>
      <w:r w:rsidR="00BD5BF6" w:rsidRPr="002C3C7F">
        <w:rPr>
          <w:rFonts w:ascii="Arial Narrow" w:hAnsi="Arial Narrow"/>
        </w:rPr>
        <w:t xml:space="preserve"> dôsledku reštriktívnej politiky Európskej centrálnej banky</w:t>
      </w:r>
      <w:r w:rsidR="009110C8" w:rsidRPr="002C3C7F">
        <w:rPr>
          <w:rFonts w:ascii="Arial Narrow" w:hAnsi="Arial Narrow"/>
        </w:rPr>
        <w:t>. Zároveň</w:t>
      </w:r>
      <w:r w:rsidR="004E00D0">
        <w:rPr>
          <w:rFonts w:ascii="Arial Narrow" w:hAnsi="Arial Narrow"/>
        </w:rPr>
        <w:t xml:space="preserve">, </w:t>
      </w:r>
      <w:r w:rsidR="00BA726A">
        <w:rPr>
          <w:rFonts w:ascii="Arial Narrow" w:hAnsi="Arial Narrow"/>
        </w:rPr>
        <w:t xml:space="preserve">rozpočet ovplyvnil aj </w:t>
      </w:r>
      <w:r w:rsidR="004E00D0" w:rsidRPr="002C3C7F">
        <w:rPr>
          <w:rFonts w:ascii="Arial Narrow" w:hAnsi="Arial Narrow"/>
        </w:rPr>
        <w:t>minimálny medzinárodný záväz</w:t>
      </w:r>
      <w:r w:rsidR="002C3348">
        <w:rPr>
          <w:rFonts w:ascii="Arial Narrow" w:hAnsi="Arial Narrow"/>
        </w:rPr>
        <w:t>ok</w:t>
      </w:r>
      <w:r w:rsidR="004E00D0" w:rsidRPr="002C3C7F">
        <w:rPr>
          <w:rFonts w:ascii="Arial Narrow" w:hAnsi="Arial Narrow"/>
        </w:rPr>
        <w:t xml:space="preserve"> </w:t>
      </w:r>
      <w:r w:rsidR="009F0AAF">
        <w:rPr>
          <w:rFonts w:ascii="Arial Narrow" w:hAnsi="Arial Narrow"/>
        </w:rPr>
        <w:t xml:space="preserve">pre </w:t>
      </w:r>
      <w:r w:rsidR="00BA726A">
        <w:rPr>
          <w:rFonts w:ascii="Arial Narrow" w:hAnsi="Arial Narrow"/>
        </w:rPr>
        <w:t>obr</w:t>
      </w:r>
      <w:r w:rsidR="009F0AAF">
        <w:rPr>
          <w:rFonts w:ascii="Arial Narrow" w:hAnsi="Arial Narrow"/>
        </w:rPr>
        <w:t>anné</w:t>
      </w:r>
      <w:r w:rsidR="00BA726A">
        <w:rPr>
          <w:rFonts w:ascii="Arial Narrow" w:hAnsi="Arial Narrow"/>
        </w:rPr>
        <w:t xml:space="preserve"> výdavk</w:t>
      </w:r>
      <w:r w:rsidR="009F0AAF">
        <w:rPr>
          <w:rFonts w:ascii="Arial Narrow" w:hAnsi="Arial Narrow"/>
        </w:rPr>
        <w:t>y na úrovni</w:t>
      </w:r>
      <w:r w:rsidR="004E00D0" w:rsidRPr="002C3C7F">
        <w:rPr>
          <w:rFonts w:ascii="Arial Narrow" w:hAnsi="Arial Narrow"/>
        </w:rPr>
        <w:t xml:space="preserve"> 2 % HDP</w:t>
      </w:r>
      <w:r w:rsidR="00BA726A">
        <w:rPr>
          <w:rFonts w:ascii="Arial Narrow" w:hAnsi="Arial Narrow"/>
        </w:rPr>
        <w:t>.</w:t>
      </w:r>
      <w:r w:rsidR="00BD5BF6" w:rsidRPr="002C3C7F">
        <w:rPr>
          <w:rFonts w:ascii="Arial Narrow" w:hAnsi="Arial Narrow"/>
        </w:rPr>
        <w:t xml:space="preserve"> </w:t>
      </w:r>
      <w:r w:rsidRPr="002C3C7F">
        <w:rPr>
          <w:rFonts w:ascii="Arial Narrow" w:hAnsi="Arial Narrow"/>
        </w:rPr>
        <w:t xml:space="preserve">Tieto faktory výrazne zaťažujú rozpočet a tlmia efekt konsolidácie. </w:t>
      </w:r>
      <w:r w:rsidR="00703073">
        <w:rPr>
          <w:rFonts w:ascii="Arial Narrow" w:hAnsi="Arial Narrow"/>
        </w:rPr>
        <w:t>B</w:t>
      </w:r>
      <w:r w:rsidRPr="002C3C7F">
        <w:rPr>
          <w:rFonts w:ascii="Arial Narrow" w:hAnsi="Arial Narrow"/>
        </w:rPr>
        <w:t xml:space="preserve">ez zásahov vlády </w:t>
      </w:r>
      <w:r w:rsidR="003A24A2" w:rsidRPr="002C3C7F">
        <w:rPr>
          <w:rFonts w:ascii="Arial Narrow" w:hAnsi="Arial Narrow"/>
        </w:rPr>
        <w:t xml:space="preserve">mohol </w:t>
      </w:r>
      <w:r w:rsidRPr="002C3C7F">
        <w:rPr>
          <w:rFonts w:ascii="Arial Narrow" w:hAnsi="Arial Narrow"/>
        </w:rPr>
        <w:t xml:space="preserve">deficit dosiahnuť </w:t>
      </w:r>
      <w:r w:rsidR="003A24A2">
        <w:rPr>
          <w:rFonts w:ascii="Arial Narrow" w:hAnsi="Arial Narrow"/>
        </w:rPr>
        <w:t xml:space="preserve">už v tomto roku </w:t>
      </w:r>
      <w:r w:rsidRPr="002C3C7F">
        <w:rPr>
          <w:rFonts w:ascii="Arial Narrow" w:hAnsi="Arial Narrow"/>
        </w:rPr>
        <w:t>až 7 % HDP</w:t>
      </w:r>
      <w:r w:rsidR="003A24A2">
        <w:rPr>
          <w:rFonts w:ascii="Arial Narrow" w:hAnsi="Arial Narrow"/>
        </w:rPr>
        <w:t xml:space="preserve">, pričom by </w:t>
      </w:r>
      <w:r w:rsidRPr="002C3C7F">
        <w:rPr>
          <w:rFonts w:ascii="Arial Narrow" w:hAnsi="Arial Narrow"/>
        </w:rPr>
        <w:t xml:space="preserve">dlh </w:t>
      </w:r>
      <w:r w:rsidR="003A24A2">
        <w:rPr>
          <w:rFonts w:ascii="Arial Narrow" w:hAnsi="Arial Narrow"/>
        </w:rPr>
        <w:t xml:space="preserve">už v </w:t>
      </w:r>
      <w:r w:rsidRPr="002C3C7F">
        <w:rPr>
          <w:rFonts w:ascii="Arial Narrow" w:hAnsi="Arial Narrow"/>
        </w:rPr>
        <w:t xml:space="preserve">priebehu </w:t>
      </w:r>
      <w:r w:rsidR="008965D6">
        <w:rPr>
          <w:rFonts w:ascii="Arial Narrow" w:hAnsi="Arial Narrow"/>
        </w:rPr>
        <w:t>nasledujúcej</w:t>
      </w:r>
      <w:r w:rsidR="008965D6" w:rsidRPr="002C3C7F">
        <w:rPr>
          <w:rFonts w:ascii="Arial Narrow" w:hAnsi="Arial Narrow"/>
        </w:rPr>
        <w:t xml:space="preserve"> </w:t>
      </w:r>
      <w:r w:rsidRPr="002C3C7F">
        <w:rPr>
          <w:rFonts w:ascii="Arial Narrow" w:hAnsi="Arial Narrow"/>
        </w:rPr>
        <w:t>dekád</w:t>
      </w:r>
      <w:r w:rsidR="008965D6">
        <w:rPr>
          <w:rFonts w:ascii="Arial Narrow" w:hAnsi="Arial Narrow"/>
        </w:rPr>
        <w:t>y</w:t>
      </w:r>
      <w:r w:rsidRPr="002C3C7F">
        <w:rPr>
          <w:rFonts w:ascii="Arial Narrow" w:hAnsi="Arial Narrow"/>
        </w:rPr>
        <w:t xml:space="preserve"> </w:t>
      </w:r>
      <w:r w:rsidR="003A24A2">
        <w:rPr>
          <w:rFonts w:ascii="Arial Narrow" w:hAnsi="Arial Narrow"/>
        </w:rPr>
        <w:t>narastal</w:t>
      </w:r>
      <w:r w:rsidRPr="002C3C7F">
        <w:rPr>
          <w:rFonts w:ascii="Arial Narrow" w:hAnsi="Arial Narrow"/>
        </w:rPr>
        <w:t xml:space="preserve"> </w:t>
      </w:r>
      <w:r w:rsidR="008965D6">
        <w:rPr>
          <w:rFonts w:ascii="Arial Narrow" w:hAnsi="Arial Narrow"/>
        </w:rPr>
        <w:t>k</w:t>
      </w:r>
      <w:r w:rsidR="008965D6" w:rsidRPr="002C3C7F">
        <w:rPr>
          <w:rFonts w:ascii="Arial Narrow" w:hAnsi="Arial Narrow"/>
        </w:rPr>
        <w:t xml:space="preserve"> </w:t>
      </w:r>
      <w:r w:rsidRPr="002C3C7F">
        <w:rPr>
          <w:rFonts w:ascii="Arial Narrow" w:hAnsi="Arial Narrow"/>
        </w:rPr>
        <w:t>100 % HDP.</w:t>
      </w:r>
    </w:p>
    <w:p w14:paraId="014F0EC8" w14:textId="3021441E" w:rsidR="00EE7920" w:rsidRPr="002C3C7F" w:rsidRDefault="00880EB2" w:rsidP="00EE7920">
      <w:pPr>
        <w:jc w:val="both"/>
        <w:rPr>
          <w:rFonts w:ascii="Arial Narrow" w:hAnsi="Arial Narrow"/>
        </w:rPr>
      </w:pPr>
      <w:r w:rsidRPr="002C3C7F">
        <w:rPr>
          <w:rFonts w:ascii="Arial Narrow" w:hAnsi="Arial Narrow"/>
          <w:b/>
          <w:bCs/>
        </w:rPr>
        <w:t xml:space="preserve">Cieľom vlády naďalej zostáva spomaliť rast dlhu. </w:t>
      </w:r>
      <w:r w:rsidR="00EE7920" w:rsidRPr="002C3C7F">
        <w:rPr>
          <w:rFonts w:ascii="Arial Narrow" w:hAnsi="Arial Narrow"/>
        </w:rPr>
        <w:t xml:space="preserve">Rozpočtové ciele sa mierne upravujú, aby sa predišlo príliš </w:t>
      </w:r>
      <w:r w:rsidR="00924988">
        <w:rPr>
          <w:rFonts w:ascii="Arial Narrow" w:hAnsi="Arial Narrow"/>
        </w:rPr>
        <w:t>reštriktívnej</w:t>
      </w:r>
      <w:r w:rsidR="00EE7920" w:rsidRPr="002C3C7F">
        <w:rPr>
          <w:rFonts w:ascii="Arial Narrow" w:hAnsi="Arial Narrow"/>
        </w:rPr>
        <w:t xml:space="preserve"> fiškálnej politike. Novým cieľom je znížiť deficit na 4,2 % HDP v roku 2027 a 4,1 % v roku 2028. </w:t>
      </w:r>
      <w:r w:rsidR="009A6969" w:rsidRPr="002C3C7F">
        <w:rPr>
          <w:rFonts w:ascii="Arial Narrow" w:hAnsi="Arial Narrow"/>
        </w:rPr>
        <w:t>Tento plán</w:t>
      </w:r>
      <w:r w:rsidR="00EE7920" w:rsidRPr="002C3C7F">
        <w:rPr>
          <w:rFonts w:ascii="Arial Narrow" w:hAnsi="Arial Narrow"/>
        </w:rPr>
        <w:t xml:space="preserve"> </w:t>
      </w:r>
      <w:r w:rsidR="009A6969" w:rsidRPr="002C3C7F">
        <w:rPr>
          <w:rFonts w:ascii="Arial Narrow" w:hAnsi="Arial Narrow"/>
        </w:rPr>
        <w:t xml:space="preserve">je </w:t>
      </w:r>
      <w:r w:rsidR="00EE7920" w:rsidRPr="002C3C7F">
        <w:rPr>
          <w:rFonts w:ascii="Arial Narrow" w:hAnsi="Arial Narrow"/>
        </w:rPr>
        <w:t xml:space="preserve">v súlade s pravidlami EÚ, ktoré umožňujú reagovať na </w:t>
      </w:r>
      <w:r w:rsidR="00703073">
        <w:rPr>
          <w:rFonts w:ascii="Arial Narrow" w:hAnsi="Arial Narrow"/>
        </w:rPr>
        <w:t>nepriaznivé externé prostredie</w:t>
      </w:r>
      <w:r w:rsidR="00EE7920" w:rsidRPr="002C3C7F">
        <w:rPr>
          <w:rFonts w:ascii="Arial Narrow" w:hAnsi="Arial Narrow"/>
        </w:rPr>
        <w:t xml:space="preserve"> pomalším tempom </w:t>
      </w:r>
      <w:r w:rsidR="003A24A2">
        <w:rPr>
          <w:rFonts w:ascii="Arial Narrow" w:hAnsi="Arial Narrow"/>
        </w:rPr>
        <w:t>poklesu</w:t>
      </w:r>
      <w:r w:rsidR="003A24A2" w:rsidRPr="002C3C7F">
        <w:rPr>
          <w:rFonts w:ascii="Arial Narrow" w:hAnsi="Arial Narrow"/>
        </w:rPr>
        <w:t xml:space="preserve"> </w:t>
      </w:r>
      <w:r w:rsidR="00EE7920" w:rsidRPr="002C3C7F">
        <w:rPr>
          <w:rFonts w:ascii="Arial Narrow" w:hAnsi="Arial Narrow"/>
        </w:rPr>
        <w:t xml:space="preserve">deficitu a dlhu. Konsolidácia tak bude pokračovať aj v ďalšom volebnom období. </w:t>
      </w:r>
      <w:r w:rsidR="003A24A2">
        <w:rPr>
          <w:rFonts w:ascii="Arial Narrow" w:hAnsi="Arial Narrow"/>
        </w:rPr>
        <w:t>D</w:t>
      </w:r>
      <w:r w:rsidR="00EE7920" w:rsidRPr="002C3C7F">
        <w:rPr>
          <w:rFonts w:ascii="Arial Narrow" w:hAnsi="Arial Narrow"/>
        </w:rPr>
        <w:t xml:space="preserve">lh by sa mohol stabilizovať na prelome dekády, </w:t>
      </w:r>
      <w:r w:rsidR="00511ACD">
        <w:rPr>
          <w:rFonts w:ascii="Arial Narrow" w:hAnsi="Arial Narrow"/>
        </w:rPr>
        <w:t>ak</w:t>
      </w:r>
      <w:r w:rsidR="00EE7920" w:rsidRPr="002C3C7F">
        <w:rPr>
          <w:rFonts w:ascii="Arial Narrow" w:hAnsi="Arial Narrow"/>
        </w:rPr>
        <w:t xml:space="preserve"> sa deficit podarí znížiť pod 3 % HDP.</w:t>
      </w:r>
    </w:p>
    <w:p w14:paraId="38542EE0" w14:textId="29AB7BFB" w:rsidR="00020BDB" w:rsidRDefault="00CB5723" w:rsidP="002C3C7F">
      <w:pPr>
        <w:spacing w:after="120"/>
        <w:jc w:val="both"/>
        <w:rPr>
          <w:rFonts w:ascii="Arial Narrow" w:hAnsi="Arial Narrow"/>
        </w:rPr>
      </w:pPr>
      <w:r w:rsidRPr="002C3C7F">
        <w:rPr>
          <w:rFonts w:ascii="Arial Narrow" w:hAnsi="Arial Narrow"/>
          <w:b/>
          <w:bCs/>
        </w:rPr>
        <w:t xml:space="preserve">Pokračuje sa aj v realizácii dôležitých štrukturálnych reforiem a investícií. </w:t>
      </w:r>
      <w:r w:rsidR="009110C8" w:rsidRPr="002C3C7F">
        <w:rPr>
          <w:rFonts w:ascii="Arial Narrow" w:hAnsi="Arial Narrow"/>
        </w:rPr>
        <w:t xml:space="preserve">Najväčší pokrok sa dosiahol v </w:t>
      </w:r>
      <w:r w:rsidR="00703073" w:rsidRPr="002C3C7F">
        <w:rPr>
          <w:rFonts w:ascii="Arial Narrow" w:hAnsi="Arial Narrow"/>
        </w:rPr>
        <w:t xml:space="preserve">energetike </w:t>
      </w:r>
      <w:r w:rsidR="00703073">
        <w:rPr>
          <w:rFonts w:ascii="Arial Narrow" w:hAnsi="Arial Narrow"/>
        </w:rPr>
        <w:t xml:space="preserve">a </w:t>
      </w:r>
      <w:r w:rsidR="009110C8" w:rsidRPr="002C3C7F">
        <w:rPr>
          <w:rFonts w:ascii="Arial Narrow" w:hAnsi="Arial Narrow"/>
        </w:rPr>
        <w:t>školstve, pričom aj ďalšie oblasti, ako napríklad doprava, postupujú podľa plánu.</w:t>
      </w:r>
      <w:r w:rsidR="009110C8" w:rsidRPr="002C3C7F">
        <w:rPr>
          <w:rFonts w:ascii="Arial Narrow" w:hAnsi="Arial Narrow"/>
          <w:b/>
          <w:bCs/>
        </w:rPr>
        <w:t xml:space="preserve"> </w:t>
      </w:r>
      <w:r w:rsidR="009A6969" w:rsidRPr="002C3C7F">
        <w:rPr>
          <w:rFonts w:ascii="Arial Narrow" w:hAnsi="Arial Narrow"/>
        </w:rPr>
        <w:t>P</w:t>
      </w:r>
      <w:r w:rsidR="00C541B9" w:rsidRPr="002C3C7F">
        <w:rPr>
          <w:rFonts w:ascii="Arial Narrow" w:hAnsi="Arial Narrow"/>
        </w:rPr>
        <w:t>ribližne tretina</w:t>
      </w:r>
      <w:r w:rsidR="009A6969" w:rsidRPr="002C3C7F">
        <w:rPr>
          <w:rFonts w:ascii="Arial Narrow" w:hAnsi="Arial Narrow"/>
        </w:rPr>
        <w:t xml:space="preserve"> všetkých opatrení</w:t>
      </w:r>
      <w:r w:rsidR="00C541B9" w:rsidRPr="002C3C7F">
        <w:rPr>
          <w:rFonts w:ascii="Arial Narrow" w:hAnsi="Arial Narrow"/>
        </w:rPr>
        <w:t xml:space="preserve"> </w:t>
      </w:r>
      <w:r w:rsidR="00E12619" w:rsidRPr="002C3C7F">
        <w:rPr>
          <w:rFonts w:ascii="Arial Narrow" w:hAnsi="Arial Narrow"/>
        </w:rPr>
        <w:t xml:space="preserve">je </w:t>
      </w:r>
      <w:r w:rsidR="00C541B9" w:rsidRPr="002C3C7F">
        <w:rPr>
          <w:rFonts w:ascii="Arial Narrow" w:hAnsi="Arial Narrow"/>
        </w:rPr>
        <w:t>už dokončená. Pri niektorých opatreniach došlo k úpravám ich nastavenia, napríklad sa zmenil spôsob merania cieľa a pri obnoviteľných zdrojoch energie sa navýšil cieľ inštalovaného výkonu. Úpravy sa dotkli aj vybraných úsekov modernizácie železničnej infraštruktúry.</w:t>
      </w:r>
      <w:r w:rsidR="00880EB2" w:rsidRPr="002C3C7F">
        <w:rPr>
          <w:rFonts w:ascii="Arial Narrow" w:hAnsi="Arial Narrow"/>
        </w:rPr>
        <w:t xml:space="preserve"> </w:t>
      </w:r>
      <w:r w:rsidR="009110C8" w:rsidRPr="002C3C7F">
        <w:rPr>
          <w:rFonts w:ascii="Arial Narrow" w:hAnsi="Arial Narrow"/>
        </w:rPr>
        <w:t xml:space="preserve"> Okrem Plánu obnovy sa pripravujú aj ďalšie reformy, </w:t>
      </w:r>
      <w:r w:rsidR="003A24A2">
        <w:rPr>
          <w:rFonts w:ascii="Arial Narrow" w:hAnsi="Arial Narrow"/>
        </w:rPr>
        <w:t>napríklad</w:t>
      </w:r>
      <w:r w:rsidR="009110C8" w:rsidRPr="002C3C7F">
        <w:rPr>
          <w:rFonts w:ascii="Arial Narrow" w:hAnsi="Arial Narrow"/>
        </w:rPr>
        <w:t xml:space="preserve"> opatren</w:t>
      </w:r>
      <w:r w:rsidR="003A24A2">
        <w:rPr>
          <w:rFonts w:ascii="Arial Narrow" w:hAnsi="Arial Narrow"/>
        </w:rPr>
        <w:t>ia</w:t>
      </w:r>
      <w:r w:rsidR="009110C8" w:rsidRPr="002C3C7F">
        <w:rPr>
          <w:rFonts w:ascii="Arial Narrow" w:hAnsi="Arial Narrow"/>
        </w:rPr>
        <w:t xml:space="preserve"> </w:t>
      </w:r>
      <w:r w:rsidR="003A24A2" w:rsidRPr="002C3C7F">
        <w:rPr>
          <w:rFonts w:ascii="Arial Narrow" w:hAnsi="Arial Narrow"/>
        </w:rPr>
        <w:t>zameran</w:t>
      </w:r>
      <w:r w:rsidR="003A24A2">
        <w:rPr>
          <w:rFonts w:ascii="Arial Narrow" w:hAnsi="Arial Narrow"/>
        </w:rPr>
        <w:t>é</w:t>
      </w:r>
      <w:r w:rsidR="003A24A2" w:rsidRPr="002C3C7F">
        <w:rPr>
          <w:rFonts w:ascii="Arial Narrow" w:hAnsi="Arial Narrow"/>
        </w:rPr>
        <w:t xml:space="preserve"> </w:t>
      </w:r>
      <w:r w:rsidR="009110C8" w:rsidRPr="002C3C7F">
        <w:rPr>
          <w:rFonts w:ascii="Arial Narrow" w:hAnsi="Arial Narrow"/>
        </w:rPr>
        <w:t>na boj proti daňovým únikom.</w:t>
      </w:r>
    </w:p>
    <w:tbl>
      <w:tblPr>
        <w:tblpPr w:leftFromText="141" w:rightFromText="141" w:vertAnchor="text" w:horzAnchor="margin" w:tblpY="61"/>
        <w:tblOverlap w:val="never"/>
        <w:tblW w:w="5159"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1E0" w:firstRow="1" w:lastRow="1" w:firstColumn="1" w:lastColumn="1" w:noHBand="0" w:noVBand="0"/>
      </w:tblPr>
      <w:tblGrid>
        <w:gridCol w:w="4601"/>
        <w:gridCol w:w="150"/>
        <w:gridCol w:w="4609"/>
      </w:tblGrid>
      <w:tr w:rsidR="003A24A2" w:rsidRPr="001C4FC1" w14:paraId="6F9D848D" w14:textId="77777777" w:rsidTr="00BA726A">
        <w:trPr>
          <w:trHeight w:val="397"/>
        </w:trPr>
        <w:tc>
          <w:tcPr>
            <w:tcW w:w="2458" w:type="pct"/>
            <w:tcBorders>
              <w:top w:val="nil"/>
              <w:left w:val="nil"/>
              <w:bottom w:val="single" w:sz="4" w:space="0" w:color="auto"/>
              <w:right w:val="nil"/>
            </w:tcBorders>
          </w:tcPr>
          <w:p w14:paraId="3546A39C" w14:textId="2648AF0D" w:rsidR="003A24A2" w:rsidRPr="00BA726A" w:rsidRDefault="00020BDB" w:rsidP="003A24A2">
            <w:pPr>
              <w:widowControl w:val="0"/>
              <w:spacing w:before="40" w:after="40"/>
              <w:jc w:val="both"/>
              <w:rPr>
                <w:rFonts w:ascii="Arial Narrow" w:hAnsi="Arial Narrow"/>
                <w:b/>
                <w:bCs/>
                <w:color w:val="2C9ADC"/>
                <w:sz w:val="20"/>
                <w:szCs w:val="20"/>
              </w:rPr>
            </w:pPr>
            <w:r w:rsidRPr="00020BDB">
              <w:rPr>
                <w:rFonts w:ascii="Arial Narrow" w:hAnsi="Arial Narrow"/>
                <w:b/>
                <w:bCs/>
                <w:color w:val="2C9ADC"/>
                <w:sz w:val="20"/>
                <w:szCs w:val="20"/>
              </w:rPr>
              <w:t xml:space="preserve">Deficit verejnej správy </w:t>
            </w:r>
            <w:r w:rsidR="00C5288C">
              <w:rPr>
                <w:rFonts w:ascii="Arial Narrow" w:hAnsi="Arial Narrow"/>
                <w:b/>
                <w:bCs/>
                <w:color w:val="2C9ADC"/>
                <w:sz w:val="20"/>
                <w:szCs w:val="20"/>
              </w:rPr>
              <w:t>(</w:t>
            </w:r>
            <w:r w:rsidRPr="00020BDB">
              <w:rPr>
                <w:rFonts w:ascii="Arial Narrow" w:hAnsi="Arial Narrow"/>
                <w:b/>
                <w:bCs/>
                <w:color w:val="2C9ADC"/>
                <w:sz w:val="20"/>
                <w:szCs w:val="20"/>
              </w:rPr>
              <w:t>v % HDP</w:t>
            </w:r>
            <w:r w:rsidR="00C5288C">
              <w:rPr>
                <w:rFonts w:ascii="Arial Narrow" w:hAnsi="Arial Narrow"/>
                <w:b/>
                <w:bCs/>
                <w:color w:val="2C9ADC"/>
                <w:sz w:val="20"/>
                <w:szCs w:val="20"/>
              </w:rPr>
              <w:t xml:space="preserve">, </w:t>
            </w:r>
            <w:r w:rsidRPr="00020BDB">
              <w:rPr>
                <w:rFonts w:ascii="Arial Narrow" w:hAnsi="Arial Narrow"/>
                <w:b/>
                <w:bCs/>
                <w:color w:val="2C9ADC"/>
                <w:sz w:val="20"/>
                <w:szCs w:val="20"/>
              </w:rPr>
              <w:t xml:space="preserve">cieľ </w:t>
            </w:r>
            <w:r w:rsidR="007D45B7">
              <w:rPr>
                <w:rFonts w:ascii="Arial Narrow" w:hAnsi="Arial Narrow"/>
                <w:b/>
                <w:bCs/>
                <w:color w:val="2C9ADC"/>
                <w:sz w:val="20"/>
                <w:szCs w:val="20"/>
              </w:rPr>
              <w:t xml:space="preserve">pre </w:t>
            </w:r>
            <w:r w:rsidRPr="00020BDB">
              <w:rPr>
                <w:rFonts w:ascii="Arial Narrow" w:hAnsi="Arial Narrow"/>
                <w:b/>
                <w:bCs/>
                <w:color w:val="2C9ADC"/>
                <w:sz w:val="20"/>
                <w:szCs w:val="20"/>
              </w:rPr>
              <w:t>2027 a 2028)</w:t>
            </w:r>
          </w:p>
        </w:tc>
        <w:tc>
          <w:tcPr>
            <w:tcW w:w="80" w:type="pct"/>
            <w:tcBorders>
              <w:top w:val="nil"/>
              <w:left w:val="nil"/>
              <w:bottom w:val="nil"/>
              <w:right w:val="nil"/>
            </w:tcBorders>
          </w:tcPr>
          <w:p w14:paraId="71FF55A3" w14:textId="77777777" w:rsidR="00020BDB" w:rsidRPr="00020BDB" w:rsidRDefault="00020BDB" w:rsidP="00BA726A">
            <w:pPr>
              <w:widowControl w:val="0"/>
              <w:spacing w:before="60" w:after="0"/>
              <w:rPr>
                <w:rFonts w:ascii="Arial Narrow" w:hAnsi="Arial Narrow" w:cs="Arial"/>
                <w:b/>
                <w:color w:val="2C9ADC"/>
                <w:sz w:val="20"/>
                <w:szCs w:val="20"/>
              </w:rPr>
            </w:pPr>
          </w:p>
        </w:tc>
        <w:tc>
          <w:tcPr>
            <w:tcW w:w="2462" w:type="pct"/>
            <w:tcBorders>
              <w:top w:val="nil"/>
              <w:left w:val="nil"/>
              <w:bottom w:val="single" w:sz="4" w:space="0" w:color="auto"/>
              <w:right w:val="nil"/>
            </w:tcBorders>
          </w:tcPr>
          <w:p w14:paraId="6B85305E" w14:textId="479A1B6F" w:rsidR="00020BDB" w:rsidRPr="00020BDB" w:rsidRDefault="00020BDB" w:rsidP="008C7815">
            <w:pPr>
              <w:widowControl w:val="0"/>
              <w:spacing w:before="40" w:after="40"/>
              <w:jc w:val="both"/>
              <w:rPr>
                <w:rFonts w:ascii="Arial Narrow" w:hAnsi="Arial Narrow"/>
                <w:b/>
                <w:color w:val="2C9ADC"/>
                <w:sz w:val="20"/>
                <w:szCs w:val="20"/>
                <w:highlight w:val="yellow"/>
              </w:rPr>
            </w:pPr>
            <w:r w:rsidRPr="00B122C3">
              <w:rPr>
                <w:rFonts w:ascii="Arial Narrow" w:hAnsi="Arial Narrow"/>
                <w:b/>
                <w:bCs/>
                <w:color w:val="2C9ADC"/>
                <w:sz w:val="20"/>
                <w:szCs w:val="20"/>
              </w:rPr>
              <w:t>Hrubý dlh verejnej správy</w:t>
            </w:r>
            <w:r w:rsidR="00C5288C">
              <w:rPr>
                <w:rFonts w:ascii="Arial Narrow" w:hAnsi="Arial Narrow"/>
                <w:b/>
                <w:bCs/>
                <w:color w:val="2C9ADC"/>
                <w:sz w:val="20"/>
                <w:szCs w:val="20"/>
              </w:rPr>
              <w:t xml:space="preserve"> (</w:t>
            </w:r>
            <w:r w:rsidRPr="00B122C3">
              <w:rPr>
                <w:rFonts w:ascii="Arial Narrow" w:hAnsi="Arial Narrow"/>
                <w:b/>
                <w:bCs/>
                <w:color w:val="2C9ADC"/>
                <w:sz w:val="20"/>
                <w:szCs w:val="20"/>
              </w:rPr>
              <w:t>v % HDP</w:t>
            </w:r>
            <w:r w:rsidR="00C5288C">
              <w:rPr>
                <w:rFonts w:ascii="Arial Narrow" w:hAnsi="Arial Narrow"/>
                <w:b/>
                <w:bCs/>
                <w:color w:val="2C9ADC"/>
                <w:sz w:val="20"/>
                <w:szCs w:val="20"/>
              </w:rPr>
              <w:t>, pri splnení cieľov)</w:t>
            </w:r>
          </w:p>
        </w:tc>
      </w:tr>
      <w:tr w:rsidR="003A24A2" w:rsidRPr="001C4FC1" w14:paraId="5BBBBD8F" w14:textId="77777777" w:rsidTr="00BA726A">
        <w:trPr>
          <w:trHeight w:val="1975"/>
        </w:trPr>
        <w:tc>
          <w:tcPr>
            <w:tcW w:w="2458" w:type="pct"/>
            <w:tcBorders>
              <w:top w:val="single" w:sz="4" w:space="0" w:color="auto"/>
              <w:left w:val="nil"/>
              <w:bottom w:val="single" w:sz="4" w:space="0" w:color="auto"/>
              <w:right w:val="nil"/>
            </w:tcBorders>
            <w:vAlign w:val="center"/>
          </w:tcPr>
          <w:p w14:paraId="08F2FF8D" w14:textId="579C2728" w:rsidR="00020BDB" w:rsidRPr="001C4FC1" w:rsidRDefault="00074903" w:rsidP="008C7815">
            <w:pPr>
              <w:widowControl w:val="0"/>
              <w:spacing w:before="40" w:after="40"/>
              <w:jc w:val="center"/>
              <w:rPr>
                <w:rFonts w:ascii="Arial Narrow" w:hAnsi="Arial Narrow" w:cs="Arial"/>
                <w:sz w:val="20"/>
                <w:szCs w:val="20"/>
                <w:highlight w:val="yellow"/>
              </w:rPr>
            </w:pPr>
            <w:r>
              <w:rPr>
                <w:noProof/>
              </w:rPr>
              <w:drawing>
                <wp:inline distT="0" distB="0" distL="0" distR="0" wp14:anchorId="1C970ED6" wp14:editId="54BC35B1">
                  <wp:extent cx="2735580" cy="1729740"/>
                  <wp:effectExtent l="0" t="0" r="7620" b="3810"/>
                  <wp:docPr id="593883598" name="Graf 1">
                    <a:extLst xmlns:a="http://schemas.openxmlformats.org/drawingml/2006/main">
                      <a:ext uri="{FF2B5EF4-FFF2-40B4-BE49-F238E27FC236}">
                        <a16:creationId xmlns:a16="http://schemas.microsoft.com/office/drawing/2014/main" id="{63ED9875-6B21-4949-AB70-EB0E9A4E2C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80" w:type="pct"/>
            <w:tcBorders>
              <w:top w:val="nil"/>
              <w:left w:val="nil"/>
              <w:bottom w:val="nil"/>
              <w:right w:val="nil"/>
            </w:tcBorders>
            <w:vAlign w:val="center"/>
          </w:tcPr>
          <w:p w14:paraId="6D426E1B" w14:textId="77777777" w:rsidR="00020BDB" w:rsidRPr="001C4FC1" w:rsidRDefault="00020BDB" w:rsidP="008C7815">
            <w:pPr>
              <w:widowControl w:val="0"/>
              <w:spacing w:before="40" w:after="40"/>
              <w:jc w:val="center"/>
              <w:rPr>
                <w:rFonts w:ascii="Arial Narrow" w:hAnsi="Arial Narrow" w:cs="Arial"/>
                <w:b/>
                <w:sz w:val="20"/>
                <w:szCs w:val="20"/>
                <w:highlight w:val="yellow"/>
              </w:rPr>
            </w:pPr>
          </w:p>
        </w:tc>
        <w:tc>
          <w:tcPr>
            <w:tcW w:w="2462" w:type="pct"/>
            <w:tcBorders>
              <w:top w:val="single" w:sz="4" w:space="0" w:color="auto"/>
              <w:left w:val="nil"/>
              <w:bottom w:val="single" w:sz="4" w:space="0" w:color="auto"/>
              <w:right w:val="nil"/>
            </w:tcBorders>
            <w:vAlign w:val="center"/>
          </w:tcPr>
          <w:p w14:paraId="2886F041" w14:textId="3256AAF5" w:rsidR="00020BDB" w:rsidRPr="001C4FC1" w:rsidRDefault="000F702B" w:rsidP="008C7815">
            <w:pPr>
              <w:widowControl w:val="0"/>
              <w:spacing w:before="40" w:after="40"/>
              <w:jc w:val="center"/>
              <w:rPr>
                <w:rFonts w:ascii="Arial Narrow" w:hAnsi="Arial Narrow" w:cs="Arial"/>
                <w:sz w:val="20"/>
                <w:szCs w:val="20"/>
                <w:highlight w:val="yellow"/>
              </w:rPr>
            </w:pPr>
            <w:r>
              <w:rPr>
                <w:noProof/>
              </w:rPr>
              <w:drawing>
                <wp:inline distT="0" distB="0" distL="0" distR="0" wp14:anchorId="41E94DAC" wp14:editId="2AFD5F94">
                  <wp:extent cx="2585720" cy="1546860"/>
                  <wp:effectExtent l="0" t="0" r="0" b="0"/>
                  <wp:docPr id="762862346" name="Graf 1">
                    <a:extLst xmlns:a="http://schemas.openxmlformats.org/drawingml/2006/main">
                      <a:ext uri="{FF2B5EF4-FFF2-40B4-BE49-F238E27FC236}">
                        <a16:creationId xmlns:a16="http://schemas.microsoft.com/office/drawing/2014/main" id="{68AF8030-38FE-48C3-AFD1-482BB7859F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020BDB" w:rsidRPr="001C4FC1" w14:paraId="35C23163" w14:textId="77777777" w:rsidTr="00BA726A">
        <w:trPr>
          <w:trHeight w:val="220"/>
        </w:trPr>
        <w:tc>
          <w:tcPr>
            <w:tcW w:w="5000" w:type="pct"/>
            <w:gridSpan w:val="3"/>
            <w:tcBorders>
              <w:top w:val="single" w:sz="4" w:space="0" w:color="auto"/>
              <w:left w:val="nil"/>
              <w:bottom w:val="nil"/>
              <w:right w:val="nil"/>
            </w:tcBorders>
          </w:tcPr>
          <w:p w14:paraId="4C640FE2" w14:textId="77777777" w:rsidR="00020BDB" w:rsidRPr="001C4FC1" w:rsidRDefault="00020BDB" w:rsidP="008C7815">
            <w:pPr>
              <w:widowControl w:val="0"/>
              <w:spacing w:before="40" w:after="40"/>
              <w:jc w:val="right"/>
              <w:rPr>
                <w:rFonts w:ascii="Arial Narrow" w:hAnsi="Arial Narrow"/>
                <w:b/>
                <w:iCs/>
                <w:color w:val="000000"/>
                <w:highlight w:val="yellow"/>
              </w:rPr>
            </w:pPr>
            <w:r w:rsidRPr="001C4FC1">
              <w:rPr>
                <w:rFonts w:ascii="Arial Narrow" w:hAnsi="Arial Narrow"/>
                <w:i/>
                <w:sz w:val="16"/>
                <w:szCs w:val="16"/>
              </w:rPr>
              <w:t>Zdroj: ŠÚ SR, MF SR</w:t>
            </w:r>
          </w:p>
        </w:tc>
      </w:tr>
    </w:tbl>
    <w:p w14:paraId="2196541C" w14:textId="77777777" w:rsidR="00A37D3D" w:rsidRDefault="00A37D3D" w:rsidP="00A37D3D">
      <w:pPr>
        <w:pStyle w:val="ifphneut"/>
      </w:pPr>
      <w:r>
        <w:lastRenderedPageBreak/>
        <w:t>Obsah</w:t>
      </w:r>
    </w:p>
    <w:p w14:paraId="2199DF67" w14:textId="3410DA05" w:rsidR="008C7815" w:rsidRDefault="00A37D3D">
      <w:pPr>
        <w:pStyle w:val="Obsah1"/>
        <w:rPr>
          <w:rFonts w:asciiTheme="minorHAnsi" w:hAnsiTheme="minorHAnsi" w:cstheme="minorBidi"/>
          <w:b w:val="0"/>
          <w:caps w:val="0"/>
          <w:noProof/>
          <w:kern w:val="2"/>
          <w:sz w:val="24"/>
          <w:szCs w:val="24"/>
          <w14:ligatures w14:val="standardContextual"/>
        </w:rPr>
      </w:pPr>
      <w:r w:rsidRPr="00F47989">
        <w:fldChar w:fldCharType="begin"/>
      </w:r>
      <w:r w:rsidRPr="00F47989">
        <w:instrText xml:space="preserve"> TOC \o "1-3" \h \z \u </w:instrText>
      </w:r>
      <w:r w:rsidRPr="00F47989">
        <w:fldChar w:fldCharType="separate"/>
      </w:r>
      <w:hyperlink w:anchor="_Toc228177455" w:history="1">
        <w:r w:rsidR="008C7815" w:rsidRPr="004A0979">
          <w:rPr>
            <w:rStyle w:val="Hypertextovprepojenie"/>
            <w:rFonts w:cs="Arial Narrow"/>
            <w:bCs/>
            <w:noProof/>
          </w:rPr>
          <w:t>I.</w:t>
        </w:r>
        <w:r w:rsidR="008C7815">
          <w:rPr>
            <w:rFonts w:asciiTheme="minorHAnsi" w:hAnsiTheme="minorHAnsi" w:cstheme="minorBidi"/>
            <w:b w:val="0"/>
            <w:caps w:val="0"/>
            <w:noProof/>
            <w:kern w:val="2"/>
            <w:sz w:val="24"/>
            <w:szCs w:val="24"/>
            <w14:ligatures w14:val="standardContextual"/>
          </w:rPr>
          <w:tab/>
        </w:r>
        <w:r w:rsidR="008C7815" w:rsidRPr="004A0979">
          <w:rPr>
            <w:rStyle w:val="Hypertextovprepojenie"/>
            <w:noProof/>
          </w:rPr>
          <w:t>Makroekonomické prostredie</w:t>
        </w:r>
        <w:r w:rsidR="008C7815">
          <w:rPr>
            <w:noProof/>
            <w:webHidden/>
          </w:rPr>
          <w:tab/>
        </w:r>
        <w:r w:rsidR="008C7815">
          <w:rPr>
            <w:noProof/>
            <w:webHidden/>
          </w:rPr>
          <w:fldChar w:fldCharType="begin"/>
        </w:r>
        <w:r w:rsidR="008C7815">
          <w:rPr>
            <w:noProof/>
            <w:webHidden/>
          </w:rPr>
          <w:instrText xml:space="preserve"> PAGEREF _Toc228177455 \h </w:instrText>
        </w:r>
        <w:r w:rsidR="008C7815">
          <w:rPr>
            <w:noProof/>
            <w:webHidden/>
          </w:rPr>
        </w:r>
        <w:r w:rsidR="008C7815">
          <w:rPr>
            <w:noProof/>
            <w:webHidden/>
          </w:rPr>
          <w:fldChar w:fldCharType="separate"/>
        </w:r>
        <w:r w:rsidR="008765E2">
          <w:rPr>
            <w:noProof/>
            <w:webHidden/>
          </w:rPr>
          <w:t>5</w:t>
        </w:r>
        <w:r w:rsidR="008C7815">
          <w:rPr>
            <w:noProof/>
            <w:webHidden/>
          </w:rPr>
          <w:fldChar w:fldCharType="end"/>
        </w:r>
      </w:hyperlink>
    </w:p>
    <w:p w14:paraId="271C4956" w14:textId="1244B320" w:rsidR="008C7815" w:rsidRDefault="008C7815">
      <w:pPr>
        <w:pStyle w:val="Obsah1"/>
        <w:rPr>
          <w:rFonts w:asciiTheme="minorHAnsi" w:hAnsiTheme="minorHAnsi" w:cstheme="minorBidi"/>
          <w:b w:val="0"/>
          <w:caps w:val="0"/>
          <w:noProof/>
          <w:kern w:val="2"/>
          <w:sz w:val="24"/>
          <w:szCs w:val="24"/>
          <w14:ligatures w14:val="standardContextual"/>
        </w:rPr>
      </w:pPr>
      <w:hyperlink w:anchor="_Toc228177456" w:history="1">
        <w:r w:rsidRPr="004A0979">
          <w:rPr>
            <w:rStyle w:val="Hypertextovprepojenie"/>
            <w:rFonts w:cs="Arial Narrow"/>
            <w:bCs/>
            <w:noProof/>
          </w:rPr>
          <w:t>II.</w:t>
        </w:r>
        <w:r>
          <w:rPr>
            <w:rFonts w:asciiTheme="minorHAnsi" w:hAnsiTheme="minorHAnsi" w:cstheme="minorBidi"/>
            <w:b w:val="0"/>
            <w:caps w:val="0"/>
            <w:noProof/>
            <w:kern w:val="2"/>
            <w:sz w:val="24"/>
            <w:szCs w:val="24"/>
            <w14:ligatures w14:val="standardContextual"/>
          </w:rPr>
          <w:tab/>
        </w:r>
        <w:r w:rsidRPr="004A0979">
          <w:rPr>
            <w:rStyle w:val="Hypertextovprepojenie"/>
            <w:noProof/>
          </w:rPr>
          <w:t>Vývoj verejných financií</w:t>
        </w:r>
        <w:r>
          <w:rPr>
            <w:noProof/>
            <w:webHidden/>
          </w:rPr>
          <w:tab/>
        </w:r>
        <w:r>
          <w:rPr>
            <w:noProof/>
            <w:webHidden/>
          </w:rPr>
          <w:fldChar w:fldCharType="begin"/>
        </w:r>
        <w:r>
          <w:rPr>
            <w:noProof/>
            <w:webHidden/>
          </w:rPr>
          <w:instrText xml:space="preserve"> PAGEREF _Toc228177456 \h </w:instrText>
        </w:r>
        <w:r>
          <w:rPr>
            <w:noProof/>
            <w:webHidden/>
          </w:rPr>
        </w:r>
        <w:r>
          <w:rPr>
            <w:noProof/>
            <w:webHidden/>
          </w:rPr>
          <w:fldChar w:fldCharType="separate"/>
        </w:r>
        <w:r w:rsidR="008765E2">
          <w:rPr>
            <w:noProof/>
            <w:webHidden/>
          </w:rPr>
          <w:t>9</w:t>
        </w:r>
        <w:r>
          <w:rPr>
            <w:noProof/>
            <w:webHidden/>
          </w:rPr>
          <w:fldChar w:fldCharType="end"/>
        </w:r>
      </w:hyperlink>
    </w:p>
    <w:p w14:paraId="033636B2" w14:textId="25800F14" w:rsidR="008C7815" w:rsidRPr="00231E8A" w:rsidRDefault="008C7815">
      <w:pPr>
        <w:pStyle w:val="Obsah2"/>
        <w:tabs>
          <w:tab w:val="right" w:leader="dot" w:pos="9062"/>
        </w:tabs>
        <w:rPr>
          <w:rFonts w:cstheme="minorBidi"/>
          <w:noProof/>
          <w:kern w:val="2"/>
          <w:sz w:val="24"/>
          <w:szCs w:val="24"/>
          <w14:ligatures w14:val="standardContextual"/>
        </w:rPr>
      </w:pPr>
      <w:hyperlink w:anchor="_Toc228177457" w:history="1">
        <w:r w:rsidRPr="003E5C54">
          <w:rPr>
            <w:rStyle w:val="Hypertextovprepojenie"/>
            <w:rFonts w:cs="Arial Narrow"/>
            <w:bCs/>
            <w:noProof/>
          </w:rPr>
          <w:t>II.1.</w:t>
        </w:r>
        <w:r w:rsidRPr="00231E8A">
          <w:rPr>
            <w:rFonts w:cstheme="minorBidi"/>
            <w:noProof/>
            <w:kern w:val="2"/>
            <w:sz w:val="24"/>
            <w:szCs w:val="24"/>
            <w14:ligatures w14:val="standardContextual"/>
          </w:rPr>
          <w:tab/>
        </w:r>
        <w:r w:rsidRPr="003E5C54">
          <w:rPr>
            <w:rStyle w:val="Hypertextovprepojenie"/>
            <w:noProof/>
          </w:rPr>
          <w:t>Fiškálny vývoj 2024 až 2026</w:t>
        </w:r>
        <w:r w:rsidRPr="003E5C54">
          <w:rPr>
            <w:noProof/>
            <w:webHidden/>
          </w:rPr>
          <w:tab/>
        </w:r>
        <w:r w:rsidRPr="003E5C54">
          <w:rPr>
            <w:noProof/>
            <w:webHidden/>
          </w:rPr>
          <w:fldChar w:fldCharType="begin"/>
        </w:r>
        <w:r w:rsidRPr="003E5C54">
          <w:rPr>
            <w:noProof/>
            <w:webHidden/>
          </w:rPr>
          <w:instrText xml:space="preserve"> PAGEREF _Toc228177457 \h </w:instrText>
        </w:r>
        <w:r w:rsidRPr="003E5C54">
          <w:rPr>
            <w:noProof/>
            <w:webHidden/>
          </w:rPr>
        </w:r>
        <w:r w:rsidRPr="003E5C54">
          <w:rPr>
            <w:noProof/>
            <w:webHidden/>
          </w:rPr>
          <w:fldChar w:fldCharType="separate"/>
        </w:r>
        <w:r w:rsidR="008765E2" w:rsidRPr="003E5C54">
          <w:rPr>
            <w:noProof/>
            <w:webHidden/>
          </w:rPr>
          <w:t>9</w:t>
        </w:r>
        <w:r w:rsidRPr="003E5C54">
          <w:rPr>
            <w:noProof/>
            <w:webHidden/>
          </w:rPr>
          <w:fldChar w:fldCharType="end"/>
        </w:r>
      </w:hyperlink>
    </w:p>
    <w:p w14:paraId="51DD04F5" w14:textId="7368EA5D" w:rsidR="008C7815" w:rsidRPr="00231E8A" w:rsidRDefault="008C7815">
      <w:pPr>
        <w:pStyle w:val="Obsah2"/>
        <w:tabs>
          <w:tab w:val="right" w:leader="dot" w:pos="9062"/>
        </w:tabs>
        <w:rPr>
          <w:rFonts w:cstheme="minorBidi"/>
          <w:noProof/>
          <w:kern w:val="2"/>
          <w:sz w:val="24"/>
          <w:szCs w:val="24"/>
          <w14:ligatures w14:val="standardContextual"/>
        </w:rPr>
      </w:pPr>
      <w:hyperlink w:anchor="_Toc228177458" w:history="1">
        <w:r w:rsidRPr="003E5C54">
          <w:rPr>
            <w:rStyle w:val="Hypertextovprepojenie"/>
            <w:rFonts w:cs="Arial Narrow"/>
            <w:bCs/>
            <w:noProof/>
          </w:rPr>
          <w:t>II.2.</w:t>
        </w:r>
        <w:r w:rsidRPr="00231E8A">
          <w:rPr>
            <w:rFonts w:cstheme="minorBidi"/>
            <w:noProof/>
            <w:kern w:val="2"/>
            <w:sz w:val="24"/>
            <w:szCs w:val="24"/>
            <w14:ligatures w14:val="standardContextual"/>
          </w:rPr>
          <w:tab/>
        </w:r>
        <w:r w:rsidRPr="003E5C54">
          <w:rPr>
            <w:rStyle w:val="Hypertextovprepojenie"/>
            <w:noProof/>
          </w:rPr>
          <w:t>Plnenie fiškálnych pravidiel EÚ</w:t>
        </w:r>
        <w:r w:rsidRPr="003E5C54">
          <w:rPr>
            <w:noProof/>
            <w:webHidden/>
          </w:rPr>
          <w:tab/>
        </w:r>
        <w:r w:rsidRPr="003E5C54">
          <w:rPr>
            <w:noProof/>
            <w:webHidden/>
          </w:rPr>
          <w:fldChar w:fldCharType="begin"/>
        </w:r>
        <w:r w:rsidRPr="003E5C54">
          <w:rPr>
            <w:noProof/>
            <w:webHidden/>
          </w:rPr>
          <w:instrText xml:space="preserve"> PAGEREF _Toc228177458 \h </w:instrText>
        </w:r>
        <w:r w:rsidRPr="003E5C54">
          <w:rPr>
            <w:noProof/>
            <w:webHidden/>
          </w:rPr>
        </w:r>
        <w:r w:rsidRPr="003E5C54">
          <w:rPr>
            <w:noProof/>
            <w:webHidden/>
          </w:rPr>
          <w:fldChar w:fldCharType="separate"/>
        </w:r>
        <w:r w:rsidR="008765E2" w:rsidRPr="003E5C54">
          <w:rPr>
            <w:noProof/>
            <w:webHidden/>
          </w:rPr>
          <w:t>10</w:t>
        </w:r>
        <w:r w:rsidRPr="003E5C54">
          <w:rPr>
            <w:noProof/>
            <w:webHidden/>
          </w:rPr>
          <w:fldChar w:fldCharType="end"/>
        </w:r>
      </w:hyperlink>
    </w:p>
    <w:p w14:paraId="271410FC" w14:textId="1941638F" w:rsidR="008C7815" w:rsidRPr="00231E8A" w:rsidRDefault="008C7815">
      <w:pPr>
        <w:pStyle w:val="Obsah3"/>
        <w:rPr>
          <w:rFonts w:ascii="Arial Narrow" w:hAnsi="Arial Narrow" w:cstheme="minorBidi"/>
          <w:noProof/>
          <w:kern w:val="2"/>
          <w:sz w:val="24"/>
          <w:szCs w:val="24"/>
          <w14:ligatures w14:val="standardContextual"/>
        </w:rPr>
      </w:pPr>
      <w:hyperlink w:anchor="_Toc228177459" w:history="1">
        <w:r w:rsidRPr="00231E8A">
          <w:rPr>
            <w:rStyle w:val="Hypertextovprepojenie"/>
            <w:rFonts w:ascii="Arial Narrow" w:hAnsi="Arial Narrow"/>
            <w:noProof/>
          </w:rPr>
          <w:t>II.2.1.</w:t>
        </w:r>
        <w:r w:rsidRPr="00231E8A">
          <w:rPr>
            <w:rFonts w:ascii="Arial Narrow" w:hAnsi="Arial Narrow" w:cstheme="minorBidi"/>
            <w:noProof/>
            <w:kern w:val="2"/>
            <w:sz w:val="24"/>
            <w:szCs w:val="24"/>
            <w14:ligatures w14:val="standardContextual"/>
          </w:rPr>
          <w:tab/>
        </w:r>
        <w:r w:rsidRPr="00231E8A">
          <w:rPr>
            <w:rStyle w:val="Hypertextovprepojenie"/>
            <w:rFonts w:ascii="Arial Narrow" w:hAnsi="Arial Narrow"/>
            <w:noProof/>
          </w:rPr>
          <w:t>Aktualizácia konsolidačných opatrení implementovaných v rozpočte na rok 2026</w:t>
        </w:r>
        <w:r w:rsidRPr="00231E8A">
          <w:rPr>
            <w:rFonts w:ascii="Arial Narrow" w:hAnsi="Arial Narrow"/>
            <w:noProof/>
            <w:webHidden/>
          </w:rPr>
          <w:tab/>
        </w:r>
        <w:r w:rsidRPr="00231E8A">
          <w:rPr>
            <w:rFonts w:ascii="Arial Narrow" w:hAnsi="Arial Narrow"/>
            <w:noProof/>
            <w:webHidden/>
          </w:rPr>
          <w:fldChar w:fldCharType="begin"/>
        </w:r>
        <w:r w:rsidRPr="00231E8A">
          <w:rPr>
            <w:rFonts w:ascii="Arial Narrow" w:hAnsi="Arial Narrow"/>
            <w:noProof/>
            <w:webHidden/>
          </w:rPr>
          <w:instrText xml:space="preserve"> PAGEREF _Toc228177459 \h </w:instrText>
        </w:r>
        <w:r w:rsidRPr="00231E8A">
          <w:rPr>
            <w:rFonts w:ascii="Arial Narrow" w:hAnsi="Arial Narrow"/>
            <w:noProof/>
            <w:webHidden/>
          </w:rPr>
        </w:r>
        <w:r w:rsidRPr="00231E8A">
          <w:rPr>
            <w:rFonts w:ascii="Arial Narrow" w:hAnsi="Arial Narrow"/>
            <w:noProof/>
            <w:webHidden/>
          </w:rPr>
          <w:fldChar w:fldCharType="separate"/>
        </w:r>
        <w:r w:rsidR="008765E2" w:rsidRPr="00231E8A">
          <w:rPr>
            <w:rFonts w:ascii="Arial Narrow" w:hAnsi="Arial Narrow"/>
            <w:noProof/>
            <w:webHidden/>
          </w:rPr>
          <w:t>12</w:t>
        </w:r>
        <w:r w:rsidRPr="00231E8A">
          <w:rPr>
            <w:rFonts w:ascii="Arial Narrow" w:hAnsi="Arial Narrow"/>
            <w:noProof/>
            <w:webHidden/>
          </w:rPr>
          <w:fldChar w:fldCharType="end"/>
        </w:r>
      </w:hyperlink>
    </w:p>
    <w:p w14:paraId="47DC6631" w14:textId="01CADD43" w:rsidR="008C7815" w:rsidRPr="00231E8A" w:rsidRDefault="008C7815">
      <w:pPr>
        <w:pStyle w:val="Obsah1"/>
        <w:rPr>
          <w:rFonts w:cstheme="minorBidi"/>
          <w:b w:val="0"/>
          <w:caps w:val="0"/>
          <w:noProof/>
          <w:kern w:val="2"/>
          <w:sz w:val="24"/>
          <w:szCs w:val="24"/>
          <w14:ligatures w14:val="standardContextual"/>
        </w:rPr>
      </w:pPr>
      <w:hyperlink w:anchor="_Toc228177460" w:history="1">
        <w:r w:rsidRPr="003E5C54">
          <w:rPr>
            <w:rStyle w:val="Hypertextovprepojenie"/>
            <w:rFonts w:cs="Arial Narrow"/>
            <w:bCs/>
            <w:noProof/>
          </w:rPr>
          <w:t>III.</w:t>
        </w:r>
        <w:r w:rsidRPr="00231E8A">
          <w:rPr>
            <w:rFonts w:cstheme="minorBidi"/>
            <w:b w:val="0"/>
            <w:caps w:val="0"/>
            <w:noProof/>
            <w:kern w:val="2"/>
            <w:sz w:val="24"/>
            <w:szCs w:val="24"/>
            <w14:ligatures w14:val="standardContextual"/>
          </w:rPr>
          <w:tab/>
        </w:r>
        <w:r w:rsidRPr="003E5C54">
          <w:rPr>
            <w:rStyle w:val="Hypertextovprepojenie"/>
            <w:noProof/>
          </w:rPr>
          <w:t>Fiškálny výhľad do ROKU 2028</w:t>
        </w:r>
        <w:r w:rsidRPr="003E5C54">
          <w:rPr>
            <w:noProof/>
            <w:webHidden/>
          </w:rPr>
          <w:tab/>
        </w:r>
        <w:r w:rsidRPr="003E5C54">
          <w:rPr>
            <w:noProof/>
            <w:webHidden/>
          </w:rPr>
          <w:fldChar w:fldCharType="begin"/>
        </w:r>
        <w:r w:rsidRPr="003E5C54">
          <w:rPr>
            <w:noProof/>
            <w:webHidden/>
          </w:rPr>
          <w:instrText xml:space="preserve"> PAGEREF _Toc228177460 \h </w:instrText>
        </w:r>
        <w:r w:rsidRPr="003E5C54">
          <w:rPr>
            <w:noProof/>
            <w:webHidden/>
          </w:rPr>
        </w:r>
        <w:r w:rsidRPr="003E5C54">
          <w:rPr>
            <w:noProof/>
            <w:webHidden/>
          </w:rPr>
          <w:fldChar w:fldCharType="separate"/>
        </w:r>
        <w:r w:rsidR="008765E2" w:rsidRPr="003E5C54">
          <w:rPr>
            <w:noProof/>
            <w:webHidden/>
          </w:rPr>
          <w:t>14</w:t>
        </w:r>
        <w:r w:rsidRPr="003E5C54">
          <w:rPr>
            <w:noProof/>
            <w:webHidden/>
          </w:rPr>
          <w:fldChar w:fldCharType="end"/>
        </w:r>
      </w:hyperlink>
    </w:p>
    <w:p w14:paraId="6D494D0D" w14:textId="616C22EE" w:rsidR="008C7815" w:rsidRPr="00231E8A" w:rsidRDefault="008C7815">
      <w:pPr>
        <w:pStyle w:val="Obsah2"/>
        <w:tabs>
          <w:tab w:val="left" w:pos="960"/>
          <w:tab w:val="right" w:leader="dot" w:pos="9062"/>
        </w:tabs>
        <w:rPr>
          <w:rFonts w:cstheme="minorBidi"/>
          <w:noProof/>
          <w:kern w:val="2"/>
          <w:sz w:val="24"/>
          <w:szCs w:val="24"/>
          <w14:ligatures w14:val="standardContextual"/>
        </w:rPr>
      </w:pPr>
      <w:hyperlink w:anchor="_Toc228177461" w:history="1">
        <w:r w:rsidRPr="003E5C54">
          <w:rPr>
            <w:rStyle w:val="Hypertextovprepojenie"/>
            <w:rFonts w:cs="Arial Narrow"/>
            <w:bCs/>
            <w:noProof/>
          </w:rPr>
          <w:t>III.1.</w:t>
        </w:r>
        <w:r w:rsidRPr="00231E8A">
          <w:rPr>
            <w:rFonts w:cstheme="minorBidi"/>
            <w:noProof/>
            <w:kern w:val="2"/>
            <w:sz w:val="24"/>
            <w:szCs w:val="24"/>
            <w14:ligatures w14:val="standardContextual"/>
          </w:rPr>
          <w:tab/>
        </w:r>
        <w:r w:rsidRPr="003E5C54">
          <w:rPr>
            <w:rStyle w:val="Hypertextovprepojenie"/>
            <w:noProof/>
          </w:rPr>
          <w:t>Saldo hospodárenia verejnej správy a súlad s povoleným rastom čistých výdavkov</w:t>
        </w:r>
        <w:r w:rsidRPr="003E5C54">
          <w:rPr>
            <w:noProof/>
            <w:webHidden/>
          </w:rPr>
          <w:tab/>
        </w:r>
        <w:r w:rsidRPr="003E5C54">
          <w:rPr>
            <w:noProof/>
            <w:webHidden/>
          </w:rPr>
          <w:fldChar w:fldCharType="begin"/>
        </w:r>
        <w:r w:rsidRPr="003E5C54">
          <w:rPr>
            <w:noProof/>
            <w:webHidden/>
          </w:rPr>
          <w:instrText xml:space="preserve"> PAGEREF _Toc228177461 \h </w:instrText>
        </w:r>
        <w:r w:rsidRPr="003E5C54">
          <w:rPr>
            <w:noProof/>
            <w:webHidden/>
          </w:rPr>
        </w:r>
        <w:r w:rsidRPr="003E5C54">
          <w:rPr>
            <w:noProof/>
            <w:webHidden/>
          </w:rPr>
          <w:fldChar w:fldCharType="separate"/>
        </w:r>
        <w:r w:rsidR="008765E2" w:rsidRPr="003E5C54">
          <w:rPr>
            <w:noProof/>
            <w:webHidden/>
          </w:rPr>
          <w:t>14</w:t>
        </w:r>
        <w:r w:rsidRPr="003E5C54">
          <w:rPr>
            <w:noProof/>
            <w:webHidden/>
          </w:rPr>
          <w:fldChar w:fldCharType="end"/>
        </w:r>
      </w:hyperlink>
    </w:p>
    <w:p w14:paraId="301DD11A" w14:textId="603722CF" w:rsidR="008C7815" w:rsidRDefault="008C7815">
      <w:pPr>
        <w:pStyle w:val="Obsah2"/>
        <w:tabs>
          <w:tab w:val="left" w:pos="960"/>
          <w:tab w:val="right" w:leader="dot" w:pos="9062"/>
        </w:tabs>
        <w:rPr>
          <w:rFonts w:asciiTheme="minorHAnsi" w:hAnsiTheme="minorHAnsi" w:cstheme="minorBidi"/>
          <w:noProof/>
          <w:kern w:val="2"/>
          <w:sz w:val="24"/>
          <w:szCs w:val="24"/>
          <w14:ligatures w14:val="standardContextual"/>
        </w:rPr>
      </w:pPr>
      <w:hyperlink w:anchor="_Toc228177462" w:history="1">
        <w:r w:rsidRPr="003E5C54">
          <w:rPr>
            <w:rStyle w:val="Hypertextovprepojenie"/>
            <w:rFonts w:cs="Arial Narrow"/>
            <w:bCs/>
            <w:noProof/>
          </w:rPr>
          <w:t>III.2.</w:t>
        </w:r>
        <w:r w:rsidRPr="00231E8A">
          <w:rPr>
            <w:rFonts w:cstheme="minorBidi"/>
            <w:noProof/>
            <w:kern w:val="2"/>
            <w:sz w:val="24"/>
            <w:szCs w:val="24"/>
            <w14:ligatures w14:val="standardContextual"/>
          </w:rPr>
          <w:tab/>
        </w:r>
        <w:r w:rsidRPr="003E5C54">
          <w:rPr>
            <w:rStyle w:val="Hypertextovprepojenie"/>
            <w:bCs/>
            <w:noProof/>
          </w:rPr>
          <w:t>Dlh verejnej správy</w:t>
        </w:r>
        <w:r w:rsidRPr="003E5C54">
          <w:rPr>
            <w:noProof/>
            <w:webHidden/>
          </w:rPr>
          <w:tab/>
        </w:r>
        <w:r w:rsidRPr="003E5C54">
          <w:rPr>
            <w:noProof/>
            <w:webHidden/>
          </w:rPr>
          <w:fldChar w:fldCharType="begin"/>
        </w:r>
        <w:r w:rsidRPr="003E5C54">
          <w:rPr>
            <w:noProof/>
            <w:webHidden/>
          </w:rPr>
          <w:instrText xml:space="preserve"> PAGEREF _Toc228177462 \h </w:instrText>
        </w:r>
        <w:r w:rsidRPr="003E5C54">
          <w:rPr>
            <w:noProof/>
            <w:webHidden/>
          </w:rPr>
        </w:r>
        <w:r w:rsidRPr="003E5C54">
          <w:rPr>
            <w:noProof/>
            <w:webHidden/>
          </w:rPr>
          <w:fldChar w:fldCharType="separate"/>
        </w:r>
        <w:r w:rsidR="008765E2" w:rsidRPr="003E5C54">
          <w:rPr>
            <w:noProof/>
            <w:webHidden/>
          </w:rPr>
          <w:t>15</w:t>
        </w:r>
        <w:r w:rsidRPr="003E5C54">
          <w:rPr>
            <w:noProof/>
            <w:webHidden/>
          </w:rPr>
          <w:fldChar w:fldCharType="end"/>
        </w:r>
      </w:hyperlink>
    </w:p>
    <w:p w14:paraId="02EBA326" w14:textId="1A39E948" w:rsidR="008C7815" w:rsidRDefault="008C7815">
      <w:pPr>
        <w:pStyle w:val="Obsah1"/>
        <w:rPr>
          <w:rFonts w:asciiTheme="minorHAnsi" w:hAnsiTheme="minorHAnsi" w:cstheme="minorBidi"/>
          <w:b w:val="0"/>
          <w:caps w:val="0"/>
          <w:noProof/>
          <w:kern w:val="2"/>
          <w:sz w:val="24"/>
          <w:szCs w:val="24"/>
          <w14:ligatures w14:val="standardContextual"/>
        </w:rPr>
      </w:pPr>
      <w:hyperlink w:anchor="_Toc228177463" w:history="1">
        <w:r w:rsidRPr="004A0979">
          <w:rPr>
            <w:rStyle w:val="Hypertextovprepojenie"/>
            <w:rFonts w:cs="Arial Narrow"/>
            <w:bCs/>
            <w:noProof/>
          </w:rPr>
          <w:t>IV.</w:t>
        </w:r>
        <w:r>
          <w:rPr>
            <w:rFonts w:asciiTheme="minorHAnsi" w:hAnsiTheme="minorHAnsi" w:cstheme="minorBidi"/>
            <w:b w:val="0"/>
            <w:caps w:val="0"/>
            <w:noProof/>
            <w:kern w:val="2"/>
            <w:sz w:val="24"/>
            <w:szCs w:val="24"/>
            <w14:ligatures w14:val="standardContextual"/>
          </w:rPr>
          <w:tab/>
        </w:r>
        <w:r w:rsidRPr="004A0979">
          <w:rPr>
            <w:rStyle w:val="Hypertextovprepojenie"/>
            <w:noProof/>
          </w:rPr>
          <w:t>POKROK v reformách a investíciách</w:t>
        </w:r>
        <w:r>
          <w:rPr>
            <w:noProof/>
            <w:webHidden/>
          </w:rPr>
          <w:tab/>
        </w:r>
        <w:r>
          <w:rPr>
            <w:noProof/>
            <w:webHidden/>
          </w:rPr>
          <w:fldChar w:fldCharType="begin"/>
        </w:r>
        <w:r>
          <w:rPr>
            <w:noProof/>
            <w:webHidden/>
          </w:rPr>
          <w:instrText xml:space="preserve"> PAGEREF _Toc228177463 \h </w:instrText>
        </w:r>
        <w:r>
          <w:rPr>
            <w:noProof/>
            <w:webHidden/>
          </w:rPr>
        </w:r>
        <w:r>
          <w:rPr>
            <w:noProof/>
            <w:webHidden/>
          </w:rPr>
          <w:fldChar w:fldCharType="separate"/>
        </w:r>
        <w:r w:rsidR="008765E2">
          <w:rPr>
            <w:noProof/>
            <w:webHidden/>
          </w:rPr>
          <w:t>17</w:t>
        </w:r>
        <w:r>
          <w:rPr>
            <w:noProof/>
            <w:webHidden/>
          </w:rPr>
          <w:fldChar w:fldCharType="end"/>
        </w:r>
      </w:hyperlink>
    </w:p>
    <w:p w14:paraId="37EDEFEA" w14:textId="24DE8DF9" w:rsidR="00A37D3D" w:rsidRPr="00F47989" w:rsidRDefault="00A37D3D" w:rsidP="00A37D3D">
      <w:pPr>
        <w:pStyle w:val="ifptext"/>
        <w:sectPr w:rsidR="00A37D3D" w:rsidRPr="00F47989" w:rsidSect="00A90574">
          <w:headerReference w:type="default" r:id="rId14"/>
          <w:footerReference w:type="default" r:id="rId15"/>
          <w:pgSz w:w="11906" w:h="16838"/>
          <w:pgMar w:top="1417" w:right="1417" w:bottom="1417" w:left="1417" w:header="708" w:footer="397" w:gutter="0"/>
          <w:cols w:space="708"/>
          <w:docGrid w:linePitch="360"/>
        </w:sectPr>
      </w:pPr>
      <w:r w:rsidRPr="00F47989">
        <w:rPr>
          <w:rFonts w:eastAsiaTheme="minorEastAsia" w:cs="Times New Roman"/>
          <w:kern w:val="0"/>
          <w:lang w:eastAsia="sk-SK"/>
          <w14:ligatures w14:val="none"/>
        </w:rPr>
        <w:fldChar w:fldCharType="end"/>
      </w:r>
    </w:p>
    <w:p w14:paraId="7D822EC1" w14:textId="77777777" w:rsidR="008C7815" w:rsidRDefault="00A37D3D" w:rsidP="00A37D3D">
      <w:pPr>
        <w:pStyle w:val="ifphneut"/>
        <w:rPr>
          <w:noProof/>
        </w:rPr>
      </w:pPr>
      <w:r>
        <w:lastRenderedPageBreak/>
        <w:t>Zoznam boxov, tabuliek a grafov</w:t>
      </w:r>
      <w:r w:rsidRPr="00A34C20">
        <w:rPr>
          <w:rStyle w:val="Hypertextovprepojenie"/>
          <w:b w:val="0"/>
          <w:bCs/>
          <w:noProof/>
          <w:sz w:val="22"/>
        </w:rPr>
        <w:fldChar w:fldCharType="begin"/>
      </w:r>
      <w:r w:rsidRPr="00A34C20">
        <w:rPr>
          <w:rStyle w:val="Hypertextovprepojenie"/>
          <w:b w:val="0"/>
          <w:bCs/>
          <w:noProof/>
          <w:sz w:val="22"/>
        </w:rPr>
        <w:instrText xml:space="preserve"> TOC \h \z \c "BOX" </w:instrText>
      </w:r>
      <w:r w:rsidRPr="00A34C20">
        <w:rPr>
          <w:rStyle w:val="Hypertextovprepojenie"/>
          <w:b w:val="0"/>
          <w:bCs/>
          <w:noProof/>
          <w:sz w:val="22"/>
        </w:rPr>
        <w:fldChar w:fldCharType="separate"/>
      </w:r>
    </w:p>
    <w:p w14:paraId="0648A624" w14:textId="633205B8" w:rsidR="008C7815" w:rsidRDefault="008C7815">
      <w:pPr>
        <w:pStyle w:val="Zoznamobrzkov"/>
        <w:tabs>
          <w:tab w:val="right" w:leader="dot" w:pos="9062"/>
        </w:tabs>
        <w:rPr>
          <w:rFonts w:asciiTheme="minorHAnsi" w:eastAsiaTheme="minorEastAsia" w:hAnsiTheme="minorHAnsi"/>
          <w:noProof/>
          <w:sz w:val="24"/>
          <w:szCs w:val="24"/>
          <w:lang w:eastAsia="sk-SK"/>
        </w:rPr>
      </w:pPr>
      <w:hyperlink w:anchor="_Toc228177436" w:history="1">
        <w:r w:rsidRPr="00926024">
          <w:rPr>
            <w:rStyle w:val="Hypertextovprepojenie"/>
            <w:noProof/>
          </w:rPr>
          <w:t>BOX 1 – Vplyv konfliktu na Blízkom východe na slovenskú ekonomiku</w:t>
        </w:r>
        <w:r>
          <w:rPr>
            <w:noProof/>
            <w:webHidden/>
          </w:rPr>
          <w:tab/>
        </w:r>
        <w:r>
          <w:rPr>
            <w:noProof/>
            <w:webHidden/>
          </w:rPr>
          <w:fldChar w:fldCharType="begin"/>
        </w:r>
        <w:r>
          <w:rPr>
            <w:noProof/>
            <w:webHidden/>
          </w:rPr>
          <w:instrText xml:space="preserve"> PAGEREF _Toc228177436 \h </w:instrText>
        </w:r>
        <w:r>
          <w:rPr>
            <w:noProof/>
            <w:webHidden/>
          </w:rPr>
        </w:r>
        <w:r>
          <w:rPr>
            <w:noProof/>
            <w:webHidden/>
          </w:rPr>
          <w:fldChar w:fldCharType="separate"/>
        </w:r>
        <w:r w:rsidR="008765E2">
          <w:rPr>
            <w:noProof/>
            <w:webHidden/>
          </w:rPr>
          <w:t>7</w:t>
        </w:r>
        <w:r>
          <w:rPr>
            <w:noProof/>
            <w:webHidden/>
          </w:rPr>
          <w:fldChar w:fldCharType="end"/>
        </w:r>
      </w:hyperlink>
    </w:p>
    <w:p w14:paraId="2C1A68A7" w14:textId="07041FA0" w:rsidR="008C7815" w:rsidRDefault="008C7815">
      <w:pPr>
        <w:pStyle w:val="Zoznamobrzkov"/>
        <w:tabs>
          <w:tab w:val="right" w:leader="dot" w:pos="9062"/>
        </w:tabs>
        <w:rPr>
          <w:rFonts w:asciiTheme="minorHAnsi" w:eastAsiaTheme="minorEastAsia" w:hAnsiTheme="minorHAnsi"/>
          <w:noProof/>
          <w:sz w:val="24"/>
          <w:szCs w:val="24"/>
          <w:lang w:eastAsia="sk-SK"/>
        </w:rPr>
      </w:pPr>
      <w:hyperlink w:anchor="_Toc228177437" w:history="1">
        <w:r w:rsidRPr="00926024">
          <w:rPr>
            <w:rStyle w:val="Hypertextovprepojenie"/>
            <w:noProof/>
          </w:rPr>
          <w:t>BOX 2 – Procedúra nadmerného deficitu</w:t>
        </w:r>
        <w:r>
          <w:rPr>
            <w:noProof/>
            <w:webHidden/>
          </w:rPr>
          <w:tab/>
        </w:r>
        <w:r>
          <w:rPr>
            <w:noProof/>
            <w:webHidden/>
          </w:rPr>
          <w:fldChar w:fldCharType="begin"/>
        </w:r>
        <w:r>
          <w:rPr>
            <w:noProof/>
            <w:webHidden/>
          </w:rPr>
          <w:instrText xml:space="preserve"> PAGEREF _Toc228177437 \h </w:instrText>
        </w:r>
        <w:r>
          <w:rPr>
            <w:noProof/>
            <w:webHidden/>
          </w:rPr>
        </w:r>
        <w:r>
          <w:rPr>
            <w:noProof/>
            <w:webHidden/>
          </w:rPr>
          <w:fldChar w:fldCharType="separate"/>
        </w:r>
        <w:r w:rsidR="008765E2">
          <w:rPr>
            <w:noProof/>
            <w:webHidden/>
          </w:rPr>
          <w:t>12</w:t>
        </w:r>
        <w:r>
          <w:rPr>
            <w:noProof/>
            <w:webHidden/>
          </w:rPr>
          <w:fldChar w:fldCharType="end"/>
        </w:r>
      </w:hyperlink>
    </w:p>
    <w:p w14:paraId="0C2DA3A4" w14:textId="151C2E73" w:rsidR="008C7815" w:rsidRDefault="008C7815">
      <w:pPr>
        <w:pStyle w:val="Zoznamobrzkov"/>
        <w:tabs>
          <w:tab w:val="right" w:leader="dot" w:pos="9062"/>
        </w:tabs>
        <w:rPr>
          <w:rFonts w:asciiTheme="minorHAnsi" w:eastAsiaTheme="minorEastAsia" w:hAnsiTheme="minorHAnsi"/>
          <w:noProof/>
          <w:sz w:val="24"/>
          <w:szCs w:val="24"/>
          <w:lang w:eastAsia="sk-SK"/>
        </w:rPr>
      </w:pPr>
      <w:hyperlink w:anchor="_Toc228177438" w:history="1">
        <w:r w:rsidRPr="00926024">
          <w:rPr>
            <w:rStyle w:val="Hypertextovprepojenie"/>
            <w:noProof/>
          </w:rPr>
          <w:t>BOX 3 – Aktivácia dlhovej brzdy v roku 2025</w:t>
        </w:r>
        <w:r>
          <w:rPr>
            <w:noProof/>
            <w:webHidden/>
          </w:rPr>
          <w:tab/>
        </w:r>
        <w:r>
          <w:rPr>
            <w:noProof/>
            <w:webHidden/>
          </w:rPr>
          <w:fldChar w:fldCharType="begin"/>
        </w:r>
        <w:r>
          <w:rPr>
            <w:noProof/>
            <w:webHidden/>
          </w:rPr>
          <w:instrText xml:space="preserve"> PAGEREF _Toc228177438 \h </w:instrText>
        </w:r>
        <w:r>
          <w:rPr>
            <w:noProof/>
            <w:webHidden/>
          </w:rPr>
        </w:r>
        <w:r>
          <w:rPr>
            <w:noProof/>
            <w:webHidden/>
          </w:rPr>
          <w:fldChar w:fldCharType="separate"/>
        </w:r>
        <w:r w:rsidR="008765E2">
          <w:rPr>
            <w:noProof/>
            <w:webHidden/>
          </w:rPr>
          <w:t>16</w:t>
        </w:r>
        <w:r>
          <w:rPr>
            <w:noProof/>
            <w:webHidden/>
          </w:rPr>
          <w:fldChar w:fldCharType="end"/>
        </w:r>
      </w:hyperlink>
    </w:p>
    <w:p w14:paraId="431EB8C5" w14:textId="77777777" w:rsidR="00A37D3D" w:rsidRPr="00A34C20" w:rsidRDefault="00A37D3D" w:rsidP="00A37D3D">
      <w:pPr>
        <w:pStyle w:val="Zoznamobrzkov"/>
        <w:tabs>
          <w:tab w:val="right" w:leader="dot" w:pos="9063"/>
        </w:tabs>
        <w:rPr>
          <w:rFonts w:cs="Times New Roman"/>
          <w:bCs/>
          <w:noProof/>
          <w:color w:val="0000FF"/>
          <w:u w:val="single"/>
        </w:rPr>
      </w:pPr>
      <w:r w:rsidRPr="00A34C20">
        <w:rPr>
          <w:rStyle w:val="Hypertextovprepojenie"/>
          <w:bCs/>
          <w:noProof/>
        </w:rPr>
        <w:fldChar w:fldCharType="end"/>
      </w:r>
    </w:p>
    <w:p w14:paraId="48771FD2" w14:textId="1D0D17AE" w:rsidR="001C37FF" w:rsidRPr="001C37FF" w:rsidRDefault="00A37D3D">
      <w:pPr>
        <w:pStyle w:val="Zoznamobrzkov"/>
        <w:tabs>
          <w:tab w:val="right" w:leader="dot" w:pos="9062"/>
        </w:tabs>
        <w:rPr>
          <w:rFonts w:asciiTheme="minorHAnsi" w:eastAsiaTheme="minorEastAsia" w:hAnsiTheme="minorHAnsi"/>
          <w:noProof/>
          <w:sz w:val="24"/>
          <w:szCs w:val="24"/>
          <w:lang w:eastAsia="sk-SK"/>
        </w:rPr>
      </w:pPr>
      <w:r w:rsidRPr="00446EA9">
        <w:rPr>
          <w:rStyle w:val="Hypertextovprepojenie"/>
          <w:bCs/>
          <w:noProof/>
        </w:rPr>
        <w:fldChar w:fldCharType="begin"/>
      </w:r>
      <w:r w:rsidRPr="00446EA9">
        <w:rPr>
          <w:rStyle w:val="Hypertextovprepojenie"/>
          <w:bCs/>
          <w:noProof/>
        </w:rPr>
        <w:instrText xml:space="preserve"> TOC \h \z \c "TABUĽKA" </w:instrText>
      </w:r>
      <w:r w:rsidRPr="00446EA9">
        <w:rPr>
          <w:rStyle w:val="Hypertextovprepojenie"/>
          <w:bCs/>
          <w:noProof/>
        </w:rPr>
        <w:fldChar w:fldCharType="separate"/>
      </w:r>
      <w:hyperlink w:anchor="_Toc228177374" w:history="1">
        <w:r w:rsidR="001C37FF" w:rsidRPr="001C37FF">
          <w:rPr>
            <w:rStyle w:val="Hypertextovprepojenie"/>
            <w:rFonts w:eastAsia="Arial Narrow" w:cs="Arial Narrow"/>
            <w:noProof/>
            <w:bdr w:val="nil"/>
            <w:lang w:eastAsia="sk-SK"/>
          </w:rPr>
          <w:t xml:space="preserve">TABUĽKA 1 – </w:t>
        </w:r>
        <w:r w:rsidR="001C37FF" w:rsidRPr="001C37FF">
          <w:rPr>
            <w:rStyle w:val="Hypertextovprepojenie"/>
            <w:rFonts w:cs="Arial Narrow"/>
            <w:noProof/>
          </w:rPr>
          <w:t>Porovnanie makro-indikátorov z aktuálnej prognózy MF SR a podľa predpokladov EK</w:t>
        </w:r>
        <w:r w:rsidR="001C37FF" w:rsidRPr="001C37FF">
          <w:rPr>
            <w:noProof/>
            <w:webHidden/>
          </w:rPr>
          <w:tab/>
        </w:r>
        <w:r w:rsidR="001C37FF" w:rsidRPr="001C37FF">
          <w:rPr>
            <w:noProof/>
            <w:webHidden/>
          </w:rPr>
          <w:fldChar w:fldCharType="begin"/>
        </w:r>
        <w:r w:rsidR="001C37FF" w:rsidRPr="001C37FF">
          <w:rPr>
            <w:noProof/>
            <w:webHidden/>
          </w:rPr>
          <w:instrText xml:space="preserve"> PAGEREF _Toc228177374 \h </w:instrText>
        </w:r>
        <w:r w:rsidR="001C37FF" w:rsidRPr="001C37FF">
          <w:rPr>
            <w:noProof/>
            <w:webHidden/>
          </w:rPr>
        </w:r>
        <w:r w:rsidR="001C37FF" w:rsidRPr="001C37FF">
          <w:rPr>
            <w:noProof/>
            <w:webHidden/>
          </w:rPr>
          <w:fldChar w:fldCharType="separate"/>
        </w:r>
        <w:r w:rsidR="008765E2">
          <w:rPr>
            <w:noProof/>
            <w:webHidden/>
          </w:rPr>
          <w:t>6</w:t>
        </w:r>
        <w:r w:rsidR="001C37FF" w:rsidRPr="001C37FF">
          <w:rPr>
            <w:noProof/>
            <w:webHidden/>
          </w:rPr>
          <w:fldChar w:fldCharType="end"/>
        </w:r>
      </w:hyperlink>
    </w:p>
    <w:p w14:paraId="1D0CA89D" w14:textId="5D5E9D89" w:rsidR="001C37FF" w:rsidRPr="001C37FF" w:rsidRDefault="001C37FF">
      <w:pPr>
        <w:pStyle w:val="Zoznamobrzkov"/>
        <w:tabs>
          <w:tab w:val="right" w:leader="dot" w:pos="9062"/>
        </w:tabs>
        <w:rPr>
          <w:rFonts w:asciiTheme="minorHAnsi" w:eastAsiaTheme="minorEastAsia" w:hAnsiTheme="minorHAnsi"/>
          <w:noProof/>
          <w:sz w:val="24"/>
          <w:szCs w:val="24"/>
          <w:lang w:eastAsia="sk-SK"/>
        </w:rPr>
      </w:pPr>
      <w:hyperlink w:anchor="_Toc228177375" w:history="1">
        <w:r w:rsidRPr="001C37FF">
          <w:rPr>
            <w:rStyle w:val="Hypertextovprepojenie"/>
            <w:rFonts w:eastAsia="Arial Narrow" w:cs="Arial Narrow"/>
            <w:noProof/>
            <w:bdr w:val="nil"/>
            <w:lang w:eastAsia="sk-SK"/>
          </w:rPr>
          <w:t>TABUĽKA 2 – Vplyv konfliktu na Blízkom východe na ekonomiku SR</w:t>
        </w:r>
        <w:r w:rsidRPr="001C37FF">
          <w:rPr>
            <w:noProof/>
            <w:webHidden/>
          </w:rPr>
          <w:tab/>
        </w:r>
        <w:r w:rsidRPr="001C37FF">
          <w:rPr>
            <w:noProof/>
            <w:webHidden/>
          </w:rPr>
          <w:fldChar w:fldCharType="begin"/>
        </w:r>
        <w:r w:rsidRPr="001C37FF">
          <w:rPr>
            <w:noProof/>
            <w:webHidden/>
          </w:rPr>
          <w:instrText xml:space="preserve"> PAGEREF _Toc228177375 \h </w:instrText>
        </w:r>
        <w:r w:rsidRPr="001C37FF">
          <w:rPr>
            <w:noProof/>
            <w:webHidden/>
          </w:rPr>
        </w:r>
        <w:r w:rsidRPr="001C37FF">
          <w:rPr>
            <w:noProof/>
            <w:webHidden/>
          </w:rPr>
          <w:fldChar w:fldCharType="separate"/>
        </w:r>
        <w:r w:rsidR="008765E2">
          <w:rPr>
            <w:noProof/>
            <w:webHidden/>
          </w:rPr>
          <w:t>8</w:t>
        </w:r>
        <w:r w:rsidRPr="001C37FF">
          <w:rPr>
            <w:noProof/>
            <w:webHidden/>
          </w:rPr>
          <w:fldChar w:fldCharType="end"/>
        </w:r>
      </w:hyperlink>
    </w:p>
    <w:p w14:paraId="09AD430A" w14:textId="3B82BECE" w:rsidR="001C37FF" w:rsidRPr="001C37FF" w:rsidRDefault="001C37FF">
      <w:pPr>
        <w:pStyle w:val="Zoznamobrzkov"/>
        <w:tabs>
          <w:tab w:val="right" w:leader="dot" w:pos="9062"/>
        </w:tabs>
        <w:rPr>
          <w:rFonts w:asciiTheme="minorHAnsi" w:eastAsiaTheme="minorEastAsia" w:hAnsiTheme="minorHAnsi"/>
          <w:noProof/>
          <w:sz w:val="24"/>
          <w:szCs w:val="24"/>
          <w:lang w:eastAsia="sk-SK"/>
        </w:rPr>
      </w:pPr>
      <w:hyperlink w:anchor="_Toc228177376" w:history="1">
        <w:r w:rsidRPr="001C37FF">
          <w:rPr>
            <w:rStyle w:val="Hypertextovprepojenie"/>
            <w:rFonts w:eastAsia="Arial Narrow" w:cs="Arial Narrow"/>
            <w:noProof/>
            <w:bdr w:val="nil"/>
            <w:lang w:eastAsia="sk-SK"/>
          </w:rPr>
          <w:t>TABUĽKA 3</w:t>
        </w:r>
        <w:r w:rsidRPr="001C37FF">
          <w:rPr>
            <w:rStyle w:val="Hypertextovprepojenie"/>
            <w:noProof/>
          </w:rPr>
          <w:t xml:space="preserve"> –</w:t>
        </w:r>
        <w:r w:rsidRPr="001C37FF">
          <w:rPr>
            <w:rStyle w:val="Hypertextovprepojenie"/>
            <w:rFonts w:eastAsia="NeueHaasGroteskText W02" w:cs="Arial"/>
            <w:noProof/>
          </w:rPr>
          <w:t> Rast čistých výdavkov (mld. eur, ESA2010)</w:t>
        </w:r>
        <w:r w:rsidRPr="001C37FF">
          <w:rPr>
            <w:noProof/>
            <w:webHidden/>
          </w:rPr>
          <w:tab/>
        </w:r>
        <w:r w:rsidRPr="001C37FF">
          <w:rPr>
            <w:noProof/>
            <w:webHidden/>
          </w:rPr>
          <w:fldChar w:fldCharType="begin"/>
        </w:r>
        <w:r w:rsidRPr="001C37FF">
          <w:rPr>
            <w:noProof/>
            <w:webHidden/>
          </w:rPr>
          <w:instrText xml:space="preserve"> PAGEREF _Toc228177376 \h </w:instrText>
        </w:r>
        <w:r w:rsidRPr="001C37FF">
          <w:rPr>
            <w:noProof/>
            <w:webHidden/>
          </w:rPr>
        </w:r>
        <w:r w:rsidRPr="001C37FF">
          <w:rPr>
            <w:noProof/>
            <w:webHidden/>
          </w:rPr>
          <w:fldChar w:fldCharType="separate"/>
        </w:r>
        <w:r w:rsidR="008765E2">
          <w:rPr>
            <w:noProof/>
            <w:webHidden/>
          </w:rPr>
          <w:t>11</w:t>
        </w:r>
        <w:r w:rsidRPr="001C37FF">
          <w:rPr>
            <w:noProof/>
            <w:webHidden/>
          </w:rPr>
          <w:fldChar w:fldCharType="end"/>
        </w:r>
      </w:hyperlink>
    </w:p>
    <w:p w14:paraId="56F18C5B" w14:textId="767CE497" w:rsidR="001C37FF" w:rsidRPr="001C37FF" w:rsidRDefault="001C37FF">
      <w:pPr>
        <w:pStyle w:val="Zoznamobrzkov"/>
        <w:tabs>
          <w:tab w:val="right" w:leader="dot" w:pos="9062"/>
        </w:tabs>
        <w:rPr>
          <w:rFonts w:asciiTheme="minorHAnsi" w:eastAsiaTheme="minorEastAsia" w:hAnsiTheme="minorHAnsi"/>
          <w:noProof/>
          <w:sz w:val="24"/>
          <w:szCs w:val="24"/>
          <w:lang w:eastAsia="sk-SK"/>
        </w:rPr>
      </w:pPr>
      <w:hyperlink w:anchor="_Toc228177377" w:history="1">
        <w:r w:rsidRPr="001C37FF">
          <w:rPr>
            <w:rStyle w:val="Hypertextovprepojenie"/>
            <w:rFonts w:eastAsia="Times New Roman" w:cs="Times New Roman"/>
            <w:noProof/>
            <w:lang w:eastAsia="sk-SK"/>
          </w:rPr>
          <w:t>TABUĽKA 4 – Kvantifikácia príjmových a výdavkových opatrení (vplyv na rozpočet v mil. eur, ESA2010)</w:t>
        </w:r>
        <w:r w:rsidRPr="001C37FF">
          <w:rPr>
            <w:noProof/>
            <w:webHidden/>
          </w:rPr>
          <w:tab/>
        </w:r>
        <w:r w:rsidRPr="001C37FF">
          <w:rPr>
            <w:noProof/>
            <w:webHidden/>
          </w:rPr>
          <w:fldChar w:fldCharType="begin"/>
        </w:r>
        <w:r w:rsidRPr="001C37FF">
          <w:rPr>
            <w:noProof/>
            <w:webHidden/>
          </w:rPr>
          <w:instrText xml:space="preserve"> PAGEREF _Toc228177377 \h </w:instrText>
        </w:r>
        <w:r w:rsidRPr="001C37FF">
          <w:rPr>
            <w:noProof/>
            <w:webHidden/>
          </w:rPr>
        </w:r>
        <w:r w:rsidRPr="001C37FF">
          <w:rPr>
            <w:noProof/>
            <w:webHidden/>
          </w:rPr>
          <w:fldChar w:fldCharType="separate"/>
        </w:r>
        <w:r w:rsidR="008765E2">
          <w:rPr>
            <w:noProof/>
            <w:webHidden/>
          </w:rPr>
          <w:t>13</w:t>
        </w:r>
        <w:r w:rsidRPr="001C37FF">
          <w:rPr>
            <w:noProof/>
            <w:webHidden/>
          </w:rPr>
          <w:fldChar w:fldCharType="end"/>
        </w:r>
      </w:hyperlink>
    </w:p>
    <w:p w14:paraId="0BA261F8" w14:textId="17276AC5" w:rsidR="001C37FF" w:rsidRPr="001C37FF" w:rsidRDefault="001C37FF">
      <w:pPr>
        <w:pStyle w:val="Zoznamobrzkov"/>
        <w:tabs>
          <w:tab w:val="right" w:leader="dot" w:pos="9062"/>
        </w:tabs>
        <w:rPr>
          <w:rFonts w:asciiTheme="minorHAnsi" w:eastAsiaTheme="minorEastAsia" w:hAnsiTheme="minorHAnsi"/>
          <w:noProof/>
          <w:sz w:val="24"/>
          <w:szCs w:val="24"/>
          <w:lang w:eastAsia="sk-SK"/>
        </w:rPr>
      </w:pPr>
      <w:hyperlink w:anchor="_Toc228177378" w:history="1">
        <w:r w:rsidRPr="001C37FF">
          <w:rPr>
            <w:rStyle w:val="Hypertextovprepojenie"/>
            <w:rFonts w:eastAsia="Arial Narrow" w:cs="Arial Narrow"/>
            <w:noProof/>
            <w:bdr w:val="nil"/>
            <w:lang w:eastAsia="sk-SK"/>
          </w:rPr>
          <w:t>TABUĽKA 5</w:t>
        </w:r>
        <w:r w:rsidRPr="001C37FF">
          <w:rPr>
            <w:rStyle w:val="Hypertextovprepojenie"/>
            <w:rFonts w:eastAsia="Calibri"/>
            <w:noProof/>
          </w:rPr>
          <w:t xml:space="preserve"> – Pokrok pri reformách a investíciách v MTP</w:t>
        </w:r>
        <w:r w:rsidRPr="001C37FF">
          <w:rPr>
            <w:noProof/>
            <w:webHidden/>
          </w:rPr>
          <w:tab/>
        </w:r>
        <w:r w:rsidRPr="001C37FF">
          <w:rPr>
            <w:noProof/>
            <w:webHidden/>
          </w:rPr>
          <w:fldChar w:fldCharType="begin"/>
        </w:r>
        <w:r w:rsidRPr="001C37FF">
          <w:rPr>
            <w:noProof/>
            <w:webHidden/>
          </w:rPr>
          <w:instrText xml:space="preserve"> PAGEREF _Toc228177378 \h </w:instrText>
        </w:r>
        <w:r w:rsidRPr="001C37FF">
          <w:rPr>
            <w:noProof/>
            <w:webHidden/>
          </w:rPr>
        </w:r>
        <w:r w:rsidRPr="001C37FF">
          <w:rPr>
            <w:noProof/>
            <w:webHidden/>
          </w:rPr>
          <w:fldChar w:fldCharType="separate"/>
        </w:r>
        <w:r w:rsidR="008765E2">
          <w:rPr>
            <w:noProof/>
            <w:webHidden/>
          </w:rPr>
          <w:t>18</w:t>
        </w:r>
        <w:r w:rsidRPr="001C37FF">
          <w:rPr>
            <w:noProof/>
            <w:webHidden/>
          </w:rPr>
          <w:fldChar w:fldCharType="end"/>
        </w:r>
      </w:hyperlink>
    </w:p>
    <w:p w14:paraId="6F951193" w14:textId="1E652043" w:rsidR="001C37FF" w:rsidRPr="001C37FF" w:rsidRDefault="001C37FF">
      <w:pPr>
        <w:pStyle w:val="Zoznamobrzkov"/>
        <w:tabs>
          <w:tab w:val="right" w:leader="dot" w:pos="9062"/>
        </w:tabs>
        <w:rPr>
          <w:rFonts w:asciiTheme="minorHAnsi" w:eastAsiaTheme="minorEastAsia" w:hAnsiTheme="minorHAnsi"/>
          <w:noProof/>
          <w:sz w:val="24"/>
          <w:szCs w:val="24"/>
          <w:lang w:eastAsia="sk-SK"/>
        </w:rPr>
      </w:pPr>
      <w:hyperlink w:anchor="_Toc228177379" w:history="1">
        <w:r w:rsidRPr="001C37FF">
          <w:rPr>
            <w:rStyle w:val="Hypertextovprepojenie"/>
            <w:rFonts w:eastAsia="Arial Narrow" w:cs="Arial Narrow"/>
            <w:noProof/>
            <w:bdr w:val="nil"/>
            <w:lang w:eastAsia="sk-SK"/>
          </w:rPr>
          <w:t>TABUĽKA 6</w:t>
        </w:r>
        <w:r w:rsidRPr="001C37FF">
          <w:rPr>
            <w:rStyle w:val="Hypertextovprepojenie"/>
            <w:rFonts w:eastAsia="Calibri"/>
            <w:noProof/>
          </w:rPr>
          <w:t xml:space="preserve"> – Nové reformy a investície</w:t>
        </w:r>
        <w:r w:rsidRPr="001C37FF">
          <w:rPr>
            <w:noProof/>
            <w:webHidden/>
          </w:rPr>
          <w:tab/>
        </w:r>
        <w:r w:rsidRPr="001C37FF">
          <w:rPr>
            <w:noProof/>
            <w:webHidden/>
          </w:rPr>
          <w:fldChar w:fldCharType="begin"/>
        </w:r>
        <w:r w:rsidRPr="001C37FF">
          <w:rPr>
            <w:noProof/>
            <w:webHidden/>
          </w:rPr>
          <w:instrText xml:space="preserve"> PAGEREF _Toc228177379 \h </w:instrText>
        </w:r>
        <w:r w:rsidRPr="001C37FF">
          <w:rPr>
            <w:noProof/>
            <w:webHidden/>
          </w:rPr>
        </w:r>
        <w:r w:rsidRPr="001C37FF">
          <w:rPr>
            <w:noProof/>
            <w:webHidden/>
          </w:rPr>
          <w:fldChar w:fldCharType="separate"/>
        </w:r>
        <w:r w:rsidR="008765E2">
          <w:rPr>
            <w:noProof/>
            <w:webHidden/>
          </w:rPr>
          <w:t>25</w:t>
        </w:r>
        <w:r w:rsidRPr="001C37FF">
          <w:rPr>
            <w:noProof/>
            <w:webHidden/>
          </w:rPr>
          <w:fldChar w:fldCharType="end"/>
        </w:r>
      </w:hyperlink>
    </w:p>
    <w:p w14:paraId="44D0343B" w14:textId="38FE870A" w:rsidR="001C37FF" w:rsidRPr="001C37FF" w:rsidRDefault="001C37FF">
      <w:pPr>
        <w:pStyle w:val="Zoznamobrzkov"/>
        <w:tabs>
          <w:tab w:val="right" w:leader="dot" w:pos="9062"/>
        </w:tabs>
        <w:rPr>
          <w:rFonts w:asciiTheme="minorHAnsi" w:eastAsiaTheme="minorEastAsia" w:hAnsiTheme="minorHAnsi"/>
          <w:noProof/>
          <w:sz w:val="24"/>
          <w:szCs w:val="24"/>
          <w:lang w:eastAsia="sk-SK"/>
        </w:rPr>
      </w:pPr>
      <w:hyperlink w:anchor="_Toc228177380" w:history="1">
        <w:r w:rsidRPr="001C37FF">
          <w:rPr>
            <w:rStyle w:val="Hypertextovprepojenie"/>
            <w:rFonts w:eastAsia="Arial Narrow" w:cs="Arial Narrow"/>
            <w:noProof/>
            <w:bdr w:val="nil"/>
            <w:lang w:eastAsia="sk-SK"/>
          </w:rPr>
          <w:t>TABUĽKA 7</w:t>
        </w:r>
        <w:r w:rsidRPr="001C37FF">
          <w:rPr>
            <w:rStyle w:val="Hypertextovprepojenie"/>
            <w:rFonts w:eastAsia="Calibri"/>
            <w:noProof/>
          </w:rPr>
          <w:t xml:space="preserve"> – Pokrok pri reformách a investíciách nad rámec Plánu obnovy a odolnosti SR</w:t>
        </w:r>
        <w:r w:rsidRPr="001C37FF">
          <w:rPr>
            <w:noProof/>
            <w:webHidden/>
          </w:rPr>
          <w:tab/>
        </w:r>
        <w:r w:rsidRPr="001C37FF">
          <w:rPr>
            <w:noProof/>
            <w:webHidden/>
          </w:rPr>
          <w:fldChar w:fldCharType="begin"/>
        </w:r>
        <w:r w:rsidRPr="001C37FF">
          <w:rPr>
            <w:noProof/>
            <w:webHidden/>
          </w:rPr>
          <w:instrText xml:space="preserve"> PAGEREF _Toc228177380 \h </w:instrText>
        </w:r>
        <w:r w:rsidRPr="001C37FF">
          <w:rPr>
            <w:noProof/>
            <w:webHidden/>
          </w:rPr>
        </w:r>
        <w:r w:rsidRPr="001C37FF">
          <w:rPr>
            <w:noProof/>
            <w:webHidden/>
          </w:rPr>
          <w:fldChar w:fldCharType="separate"/>
        </w:r>
        <w:r w:rsidR="008765E2">
          <w:rPr>
            <w:noProof/>
            <w:webHidden/>
          </w:rPr>
          <w:t>27</w:t>
        </w:r>
        <w:r w:rsidRPr="001C37FF">
          <w:rPr>
            <w:noProof/>
            <w:webHidden/>
          </w:rPr>
          <w:fldChar w:fldCharType="end"/>
        </w:r>
      </w:hyperlink>
    </w:p>
    <w:p w14:paraId="027090C8" w14:textId="6F6DD166" w:rsidR="001C37FF" w:rsidRPr="001C37FF" w:rsidRDefault="001C37FF">
      <w:pPr>
        <w:pStyle w:val="Zoznamobrzkov"/>
        <w:tabs>
          <w:tab w:val="right" w:leader="dot" w:pos="9062"/>
        </w:tabs>
        <w:rPr>
          <w:rFonts w:asciiTheme="minorHAnsi" w:eastAsiaTheme="minorEastAsia" w:hAnsiTheme="minorHAnsi"/>
          <w:noProof/>
          <w:sz w:val="24"/>
          <w:szCs w:val="24"/>
          <w:lang w:eastAsia="sk-SK"/>
        </w:rPr>
      </w:pPr>
      <w:hyperlink w:anchor="_Toc228177381" w:history="1">
        <w:r w:rsidRPr="001C37FF">
          <w:rPr>
            <w:rStyle w:val="Hypertextovprepojenie"/>
            <w:noProof/>
          </w:rPr>
          <w:t xml:space="preserve">TABUĽKA </w:t>
        </w:r>
        <w:r w:rsidRPr="001C37FF">
          <w:rPr>
            <w:rStyle w:val="Hypertextovprepojenie"/>
            <w:rFonts w:eastAsia="Arial Narrow" w:cs="Arial Narrow"/>
            <w:noProof/>
            <w:bdr w:val="none" w:sz="0" w:space="0" w:color="auto" w:frame="1"/>
          </w:rPr>
          <w:t>8</w:t>
        </w:r>
        <w:r w:rsidRPr="001C37FF">
          <w:rPr>
            <w:rStyle w:val="Hypertextovprepojenie"/>
            <w:noProof/>
          </w:rPr>
          <w:t xml:space="preserve"> – Prognóza vybraných indikátorov vývoja ekonomiky SR</w:t>
        </w:r>
        <w:r w:rsidRPr="001C37FF">
          <w:rPr>
            <w:noProof/>
            <w:webHidden/>
          </w:rPr>
          <w:tab/>
        </w:r>
        <w:r w:rsidRPr="001C37FF">
          <w:rPr>
            <w:noProof/>
            <w:webHidden/>
          </w:rPr>
          <w:fldChar w:fldCharType="begin"/>
        </w:r>
        <w:r w:rsidRPr="001C37FF">
          <w:rPr>
            <w:noProof/>
            <w:webHidden/>
          </w:rPr>
          <w:instrText xml:space="preserve"> PAGEREF _Toc228177381 \h </w:instrText>
        </w:r>
        <w:r w:rsidRPr="001C37FF">
          <w:rPr>
            <w:noProof/>
            <w:webHidden/>
          </w:rPr>
        </w:r>
        <w:r w:rsidRPr="001C37FF">
          <w:rPr>
            <w:noProof/>
            <w:webHidden/>
          </w:rPr>
          <w:fldChar w:fldCharType="separate"/>
        </w:r>
        <w:r w:rsidR="008765E2">
          <w:rPr>
            <w:noProof/>
            <w:webHidden/>
          </w:rPr>
          <w:t>36</w:t>
        </w:r>
        <w:r w:rsidRPr="001C37FF">
          <w:rPr>
            <w:noProof/>
            <w:webHidden/>
          </w:rPr>
          <w:fldChar w:fldCharType="end"/>
        </w:r>
      </w:hyperlink>
    </w:p>
    <w:p w14:paraId="336EF7DD" w14:textId="24EA889F" w:rsidR="001C37FF" w:rsidRPr="001C37FF" w:rsidRDefault="001C37FF">
      <w:pPr>
        <w:pStyle w:val="Zoznamobrzkov"/>
        <w:tabs>
          <w:tab w:val="right" w:leader="dot" w:pos="9062"/>
        </w:tabs>
        <w:rPr>
          <w:rFonts w:asciiTheme="minorHAnsi" w:eastAsiaTheme="minorEastAsia" w:hAnsiTheme="minorHAnsi"/>
          <w:noProof/>
          <w:sz w:val="24"/>
          <w:szCs w:val="24"/>
          <w:lang w:eastAsia="sk-SK"/>
        </w:rPr>
      </w:pPr>
      <w:hyperlink w:anchor="_Toc228177382" w:history="1">
        <w:r w:rsidRPr="001C37FF">
          <w:rPr>
            <w:rStyle w:val="Hypertextovprepojenie"/>
            <w:rFonts w:eastAsia="Aptos" w:cs="Arial Narrow"/>
            <w:noProof/>
          </w:rPr>
          <w:t>TABUĽKA</w:t>
        </w:r>
        <w:r w:rsidRPr="001C37FF">
          <w:rPr>
            <w:rStyle w:val="Hypertextovprepojenie"/>
            <w:rFonts w:eastAsia="Times New Roman" w:cs="Calibri"/>
            <w:noProof/>
            <w:lang w:eastAsia="sk-SK"/>
          </w:rPr>
          <w:t xml:space="preserve">  </w:t>
        </w:r>
        <w:r w:rsidRPr="001C37FF">
          <w:rPr>
            <w:rStyle w:val="Hypertextovprepojenie"/>
            <w:rFonts w:eastAsia="Arial Narrow" w:cs="Arial Narrow"/>
            <w:noProof/>
            <w:bdr w:val="none" w:sz="0" w:space="0" w:color="auto" w:frame="1"/>
            <w:lang w:eastAsia="sk-SK"/>
          </w:rPr>
          <w:t>9</w:t>
        </w:r>
        <w:r w:rsidRPr="001C37FF">
          <w:rPr>
            <w:rStyle w:val="Hypertextovprepojenie"/>
            <w:rFonts w:eastAsia="Times New Roman" w:cs="Calibri"/>
            <w:noProof/>
            <w:lang w:eastAsia="sk-SK"/>
          </w:rPr>
          <w:t xml:space="preserve"> – Podmienené záväzky (% HDP)</w:t>
        </w:r>
        <w:r w:rsidRPr="001C37FF">
          <w:rPr>
            <w:noProof/>
            <w:webHidden/>
          </w:rPr>
          <w:tab/>
        </w:r>
        <w:r w:rsidRPr="001C37FF">
          <w:rPr>
            <w:noProof/>
            <w:webHidden/>
          </w:rPr>
          <w:fldChar w:fldCharType="begin"/>
        </w:r>
        <w:r w:rsidRPr="001C37FF">
          <w:rPr>
            <w:noProof/>
            <w:webHidden/>
          </w:rPr>
          <w:instrText xml:space="preserve"> PAGEREF _Toc228177382 \h </w:instrText>
        </w:r>
        <w:r w:rsidRPr="001C37FF">
          <w:rPr>
            <w:noProof/>
            <w:webHidden/>
          </w:rPr>
        </w:r>
        <w:r w:rsidRPr="001C37FF">
          <w:rPr>
            <w:noProof/>
            <w:webHidden/>
          </w:rPr>
          <w:fldChar w:fldCharType="separate"/>
        </w:r>
        <w:r w:rsidR="008765E2">
          <w:rPr>
            <w:noProof/>
            <w:webHidden/>
          </w:rPr>
          <w:t>37</w:t>
        </w:r>
        <w:r w:rsidRPr="001C37FF">
          <w:rPr>
            <w:noProof/>
            <w:webHidden/>
          </w:rPr>
          <w:fldChar w:fldCharType="end"/>
        </w:r>
      </w:hyperlink>
    </w:p>
    <w:p w14:paraId="43279D66" w14:textId="01A93E07" w:rsidR="001C37FF" w:rsidRPr="001C37FF" w:rsidRDefault="001C37FF">
      <w:pPr>
        <w:pStyle w:val="Zoznamobrzkov"/>
        <w:tabs>
          <w:tab w:val="right" w:leader="dot" w:pos="9062"/>
        </w:tabs>
        <w:rPr>
          <w:rFonts w:asciiTheme="minorHAnsi" w:eastAsiaTheme="minorEastAsia" w:hAnsiTheme="minorHAnsi"/>
          <w:noProof/>
          <w:sz w:val="24"/>
          <w:szCs w:val="24"/>
          <w:lang w:eastAsia="sk-SK"/>
        </w:rPr>
      </w:pPr>
      <w:hyperlink w:anchor="_Toc228177383" w:history="1">
        <w:r w:rsidRPr="001C37FF">
          <w:rPr>
            <w:rStyle w:val="Hypertextovprepojenie"/>
            <w:rFonts w:eastAsia="Aptos" w:cs="Arial Narrow"/>
            <w:noProof/>
          </w:rPr>
          <w:t>TABUĽKA</w:t>
        </w:r>
        <w:r w:rsidRPr="001C37FF">
          <w:rPr>
            <w:rStyle w:val="Hypertextovprepojenie"/>
            <w:rFonts w:eastAsia="Times New Roman" w:cs="Calibri"/>
            <w:noProof/>
            <w:lang w:eastAsia="sk-SK"/>
          </w:rPr>
          <w:t xml:space="preserve"> </w:t>
        </w:r>
        <w:r w:rsidRPr="001C37FF">
          <w:rPr>
            <w:rStyle w:val="Hypertextovprepojenie"/>
            <w:rFonts w:eastAsia="Arial Narrow" w:cs="Arial Narrow"/>
            <w:noProof/>
            <w:bdr w:val="none" w:sz="0" w:space="0" w:color="auto" w:frame="1"/>
            <w:lang w:eastAsia="sk-SK"/>
          </w:rPr>
          <w:t>10</w:t>
        </w:r>
        <w:r w:rsidRPr="001C37FF">
          <w:rPr>
            <w:rStyle w:val="Hypertextovprepojenie"/>
            <w:rFonts w:eastAsia="Times New Roman" w:cs="Calibri"/>
            <w:noProof/>
            <w:lang w:eastAsia="sk-SK"/>
          </w:rPr>
          <w:t xml:space="preserve"> – Implicitné záväzky do roku 2069 (% HDP)</w:t>
        </w:r>
        <w:r w:rsidRPr="001C37FF">
          <w:rPr>
            <w:noProof/>
            <w:webHidden/>
          </w:rPr>
          <w:tab/>
        </w:r>
        <w:r w:rsidRPr="001C37FF">
          <w:rPr>
            <w:noProof/>
            <w:webHidden/>
          </w:rPr>
          <w:fldChar w:fldCharType="begin"/>
        </w:r>
        <w:r w:rsidRPr="001C37FF">
          <w:rPr>
            <w:noProof/>
            <w:webHidden/>
          </w:rPr>
          <w:instrText xml:space="preserve"> PAGEREF _Toc228177383 \h </w:instrText>
        </w:r>
        <w:r w:rsidRPr="001C37FF">
          <w:rPr>
            <w:noProof/>
            <w:webHidden/>
          </w:rPr>
        </w:r>
        <w:r w:rsidRPr="001C37FF">
          <w:rPr>
            <w:noProof/>
            <w:webHidden/>
          </w:rPr>
          <w:fldChar w:fldCharType="separate"/>
        </w:r>
        <w:r w:rsidR="008765E2">
          <w:rPr>
            <w:noProof/>
            <w:webHidden/>
          </w:rPr>
          <w:t>37</w:t>
        </w:r>
        <w:r w:rsidRPr="001C37FF">
          <w:rPr>
            <w:noProof/>
            <w:webHidden/>
          </w:rPr>
          <w:fldChar w:fldCharType="end"/>
        </w:r>
      </w:hyperlink>
    </w:p>
    <w:p w14:paraId="61CE20CD" w14:textId="7EAF42E8" w:rsidR="001C37FF" w:rsidRPr="001C37FF" w:rsidRDefault="001C37FF">
      <w:pPr>
        <w:pStyle w:val="Zoznamobrzkov"/>
        <w:tabs>
          <w:tab w:val="right" w:leader="dot" w:pos="9062"/>
        </w:tabs>
        <w:rPr>
          <w:rFonts w:asciiTheme="minorHAnsi" w:eastAsiaTheme="minorEastAsia" w:hAnsiTheme="minorHAnsi"/>
          <w:noProof/>
          <w:sz w:val="24"/>
          <w:szCs w:val="24"/>
          <w:lang w:eastAsia="sk-SK"/>
        </w:rPr>
      </w:pPr>
      <w:hyperlink w:anchor="_Toc228177384" w:history="1">
        <w:r w:rsidRPr="001C37FF">
          <w:rPr>
            <w:rStyle w:val="Hypertextovprepojenie"/>
            <w:noProof/>
          </w:rPr>
          <w:t>TABUĽKA 11 – Hotovostné vplyvy na zmenu nominálneho dlhu v scenári rozpočtových cieľov (mil. eur)</w:t>
        </w:r>
        <w:r w:rsidRPr="001C37FF">
          <w:rPr>
            <w:noProof/>
            <w:webHidden/>
          </w:rPr>
          <w:tab/>
        </w:r>
        <w:r w:rsidRPr="001C37FF">
          <w:rPr>
            <w:noProof/>
            <w:webHidden/>
          </w:rPr>
          <w:fldChar w:fldCharType="begin"/>
        </w:r>
        <w:r w:rsidRPr="001C37FF">
          <w:rPr>
            <w:noProof/>
            <w:webHidden/>
          </w:rPr>
          <w:instrText xml:space="preserve"> PAGEREF _Toc228177384 \h </w:instrText>
        </w:r>
        <w:r w:rsidRPr="001C37FF">
          <w:rPr>
            <w:noProof/>
            <w:webHidden/>
          </w:rPr>
        </w:r>
        <w:r w:rsidRPr="001C37FF">
          <w:rPr>
            <w:noProof/>
            <w:webHidden/>
          </w:rPr>
          <w:fldChar w:fldCharType="separate"/>
        </w:r>
        <w:r w:rsidR="008765E2">
          <w:rPr>
            <w:noProof/>
            <w:webHidden/>
          </w:rPr>
          <w:t>38</w:t>
        </w:r>
        <w:r w:rsidRPr="001C37FF">
          <w:rPr>
            <w:noProof/>
            <w:webHidden/>
          </w:rPr>
          <w:fldChar w:fldCharType="end"/>
        </w:r>
      </w:hyperlink>
    </w:p>
    <w:p w14:paraId="3BCD5501" w14:textId="294B8ACD" w:rsidR="001C37FF" w:rsidRPr="001C37FF" w:rsidRDefault="001C37FF">
      <w:pPr>
        <w:pStyle w:val="Zoznamobrzkov"/>
        <w:tabs>
          <w:tab w:val="right" w:leader="dot" w:pos="9062"/>
        </w:tabs>
        <w:rPr>
          <w:rFonts w:asciiTheme="minorHAnsi" w:eastAsiaTheme="minorEastAsia" w:hAnsiTheme="minorHAnsi"/>
          <w:noProof/>
          <w:sz w:val="24"/>
          <w:szCs w:val="24"/>
          <w:lang w:eastAsia="sk-SK"/>
        </w:rPr>
      </w:pPr>
      <w:hyperlink w:anchor="_Toc228177385" w:history="1">
        <w:r w:rsidRPr="001C37FF">
          <w:rPr>
            <w:rStyle w:val="Hypertextovprepojenie"/>
            <w:noProof/>
          </w:rPr>
          <w:t>TABUĽKA 12 – Diskrečné príjmové opatrenia – medziročné vplyvy opatrení (mil. eur, ESA2010)</w:t>
        </w:r>
        <w:r w:rsidRPr="001C37FF">
          <w:rPr>
            <w:noProof/>
            <w:webHidden/>
          </w:rPr>
          <w:tab/>
        </w:r>
        <w:r w:rsidRPr="001C37FF">
          <w:rPr>
            <w:noProof/>
            <w:webHidden/>
          </w:rPr>
          <w:fldChar w:fldCharType="begin"/>
        </w:r>
        <w:r w:rsidRPr="001C37FF">
          <w:rPr>
            <w:noProof/>
            <w:webHidden/>
          </w:rPr>
          <w:instrText xml:space="preserve"> PAGEREF _Toc228177385 \h </w:instrText>
        </w:r>
        <w:r w:rsidRPr="001C37FF">
          <w:rPr>
            <w:noProof/>
            <w:webHidden/>
          </w:rPr>
        </w:r>
        <w:r w:rsidRPr="001C37FF">
          <w:rPr>
            <w:noProof/>
            <w:webHidden/>
          </w:rPr>
          <w:fldChar w:fldCharType="separate"/>
        </w:r>
        <w:r w:rsidR="008765E2">
          <w:rPr>
            <w:noProof/>
            <w:webHidden/>
          </w:rPr>
          <w:t>39</w:t>
        </w:r>
        <w:r w:rsidRPr="001C37FF">
          <w:rPr>
            <w:noProof/>
            <w:webHidden/>
          </w:rPr>
          <w:fldChar w:fldCharType="end"/>
        </w:r>
      </w:hyperlink>
    </w:p>
    <w:p w14:paraId="4F42DCDB" w14:textId="13918EE0" w:rsidR="001C37FF" w:rsidRDefault="001C37FF">
      <w:pPr>
        <w:pStyle w:val="Zoznamobrzkov"/>
        <w:tabs>
          <w:tab w:val="right" w:leader="dot" w:pos="9062"/>
        </w:tabs>
        <w:rPr>
          <w:rFonts w:asciiTheme="minorHAnsi" w:eastAsiaTheme="minorEastAsia" w:hAnsiTheme="minorHAnsi"/>
          <w:noProof/>
          <w:sz w:val="24"/>
          <w:szCs w:val="24"/>
          <w:lang w:eastAsia="sk-SK"/>
        </w:rPr>
      </w:pPr>
      <w:hyperlink w:anchor="_Toc228177386" w:history="1">
        <w:r w:rsidRPr="001C37FF">
          <w:rPr>
            <w:rStyle w:val="Hypertextovprepojenie"/>
            <w:noProof/>
          </w:rPr>
          <w:t>TABUĽKA 13 – Diskrečné výdavkové opatrenia – medziročné vplyvy opatrení (mil. eur, ESA2010)</w:t>
        </w:r>
        <w:r w:rsidRPr="001C37FF">
          <w:rPr>
            <w:noProof/>
            <w:webHidden/>
          </w:rPr>
          <w:tab/>
        </w:r>
        <w:r w:rsidRPr="001C37FF">
          <w:rPr>
            <w:noProof/>
            <w:webHidden/>
          </w:rPr>
          <w:fldChar w:fldCharType="begin"/>
        </w:r>
        <w:r w:rsidRPr="001C37FF">
          <w:rPr>
            <w:noProof/>
            <w:webHidden/>
          </w:rPr>
          <w:instrText xml:space="preserve"> PAGEREF _Toc228177386 \h </w:instrText>
        </w:r>
        <w:r w:rsidRPr="001C37FF">
          <w:rPr>
            <w:noProof/>
            <w:webHidden/>
          </w:rPr>
        </w:r>
        <w:r w:rsidRPr="001C37FF">
          <w:rPr>
            <w:noProof/>
            <w:webHidden/>
          </w:rPr>
          <w:fldChar w:fldCharType="separate"/>
        </w:r>
        <w:r w:rsidR="008765E2">
          <w:rPr>
            <w:noProof/>
            <w:webHidden/>
          </w:rPr>
          <w:t>40</w:t>
        </w:r>
        <w:r w:rsidRPr="001C37FF">
          <w:rPr>
            <w:noProof/>
            <w:webHidden/>
          </w:rPr>
          <w:fldChar w:fldCharType="end"/>
        </w:r>
      </w:hyperlink>
    </w:p>
    <w:p w14:paraId="2C7DEB60" w14:textId="531FA110" w:rsidR="00A37D3D" w:rsidRPr="00A34C20" w:rsidRDefault="00A37D3D" w:rsidP="00A37D3D">
      <w:pPr>
        <w:spacing w:after="0"/>
        <w:rPr>
          <w:rFonts w:ascii="Arial Narrow" w:hAnsi="Arial Narrow"/>
          <w:bCs/>
        </w:rPr>
      </w:pPr>
      <w:r w:rsidRPr="00446EA9">
        <w:rPr>
          <w:rStyle w:val="Hypertextovprepojenie"/>
          <w:rFonts w:ascii="Arial Narrow" w:hAnsi="Arial Narrow"/>
          <w:bCs/>
          <w:noProof/>
        </w:rPr>
        <w:fldChar w:fldCharType="end"/>
      </w:r>
    </w:p>
    <w:p w14:paraId="255CD9E8" w14:textId="68A6780C" w:rsidR="00246F8F" w:rsidRPr="00246F8F" w:rsidRDefault="00A37D3D">
      <w:pPr>
        <w:pStyle w:val="Zoznamobrzkov"/>
        <w:tabs>
          <w:tab w:val="right" w:leader="dot" w:pos="9062"/>
        </w:tabs>
        <w:rPr>
          <w:rFonts w:asciiTheme="minorHAnsi" w:eastAsiaTheme="minorEastAsia" w:hAnsiTheme="minorHAnsi"/>
          <w:noProof/>
          <w:sz w:val="24"/>
          <w:szCs w:val="24"/>
          <w:lang w:eastAsia="sk-SK"/>
        </w:rPr>
      </w:pPr>
      <w:r w:rsidRPr="00A34C20">
        <w:rPr>
          <w:rStyle w:val="Hypertextovprepojenie"/>
          <w:bCs/>
          <w:noProof/>
        </w:rPr>
        <w:fldChar w:fldCharType="begin"/>
      </w:r>
      <w:r w:rsidRPr="00A34C20">
        <w:rPr>
          <w:rStyle w:val="Hypertextovprepojenie"/>
          <w:bCs/>
          <w:noProof/>
        </w:rPr>
        <w:instrText xml:space="preserve"> TOC \h \z \c "GRAF" </w:instrText>
      </w:r>
      <w:r w:rsidRPr="00A34C20">
        <w:rPr>
          <w:rStyle w:val="Hypertextovprepojenie"/>
          <w:bCs/>
          <w:noProof/>
        </w:rPr>
        <w:fldChar w:fldCharType="separate"/>
      </w:r>
      <w:hyperlink w:anchor="_Toc228283004" w:history="1">
        <w:r w:rsidR="00246F8F" w:rsidRPr="00246F8F">
          <w:rPr>
            <w:rStyle w:val="Hypertextovprepojenie"/>
            <w:rFonts w:cs="Arial Narrow"/>
            <w:noProof/>
          </w:rPr>
          <w:t xml:space="preserve">GRAF </w:t>
        </w:r>
        <w:r w:rsidR="00246F8F" w:rsidRPr="00246F8F">
          <w:rPr>
            <w:rStyle w:val="Hypertextovprepojenie"/>
            <w:noProof/>
          </w:rPr>
          <w:t>1 –</w:t>
        </w:r>
        <w:r w:rsidR="00246F8F" w:rsidRPr="00246F8F">
          <w:rPr>
            <w:rStyle w:val="Hypertextovprepojenie"/>
            <w:rFonts w:eastAsia="NeueHaasGroteskText W02" w:cs="Arial"/>
            <w:noProof/>
          </w:rPr>
          <w:t> </w:t>
        </w:r>
        <w:r w:rsidR="00246F8F" w:rsidRPr="00246F8F">
          <w:rPr>
            <w:rStyle w:val="Hypertextovprepojenie"/>
            <w:rFonts w:cs="Arial Narrow"/>
            <w:noProof/>
          </w:rPr>
          <w:t>Príspevky k rastu reálneho HDP v prognóze MF SR (p. b., %)</w:t>
        </w:r>
        <w:r w:rsidR="00246F8F" w:rsidRPr="00246F8F">
          <w:rPr>
            <w:noProof/>
            <w:webHidden/>
          </w:rPr>
          <w:tab/>
        </w:r>
        <w:r w:rsidR="00246F8F" w:rsidRPr="00246F8F">
          <w:rPr>
            <w:noProof/>
            <w:webHidden/>
          </w:rPr>
          <w:fldChar w:fldCharType="begin"/>
        </w:r>
        <w:r w:rsidR="00246F8F" w:rsidRPr="00246F8F">
          <w:rPr>
            <w:noProof/>
            <w:webHidden/>
          </w:rPr>
          <w:instrText xml:space="preserve"> PAGEREF _Toc228283004 \h </w:instrText>
        </w:r>
        <w:r w:rsidR="00246F8F" w:rsidRPr="00246F8F">
          <w:rPr>
            <w:noProof/>
            <w:webHidden/>
          </w:rPr>
        </w:r>
        <w:r w:rsidR="00246F8F" w:rsidRPr="00246F8F">
          <w:rPr>
            <w:noProof/>
            <w:webHidden/>
          </w:rPr>
          <w:fldChar w:fldCharType="separate"/>
        </w:r>
        <w:r w:rsidR="00246F8F" w:rsidRPr="00246F8F">
          <w:rPr>
            <w:noProof/>
            <w:webHidden/>
          </w:rPr>
          <w:t>5</w:t>
        </w:r>
        <w:r w:rsidR="00246F8F" w:rsidRPr="00246F8F">
          <w:rPr>
            <w:noProof/>
            <w:webHidden/>
          </w:rPr>
          <w:fldChar w:fldCharType="end"/>
        </w:r>
      </w:hyperlink>
    </w:p>
    <w:p w14:paraId="76206B8D" w14:textId="39E047F4" w:rsidR="00246F8F" w:rsidRPr="00246F8F" w:rsidRDefault="00246F8F">
      <w:pPr>
        <w:pStyle w:val="Zoznamobrzkov"/>
        <w:tabs>
          <w:tab w:val="right" w:leader="dot" w:pos="9062"/>
        </w:tabs>
        <w:rPr>
          <w:rFonts w:asciiTheme="minorHAnsi" w:eastAsiaTheme="minorEastAsia" w:hAnsiTheme="minorHAnsi"/>
          <w:noProof/>
          <w:sz w:val="24"/>
          <w:szCs w:val="24"/>
          <w:lang w:eastAsia="sk-SK"/>
        </w:rPr>
      </w:pPr>
      <w:hyperlink w:anchor="_Toc228283005" w:history="1">
        <w:r w:rsidRPr="00246F8F">
          <w:rPr>
            <w:rStyle w:val="Hypertextovprepojenie"/>
            <w:rFonts w:cs="Arial Narrow"/>
            <w:noProof/>
          </w:rPr>
          <w:t xml:space="preserve">GRAF </w:t>
        </w:r>
        <w:r w:rsidRPr="00246F8F">
          <w:rPr>
            <w:rStyle w:val="Hypertextovprepojenie"/>
            <w:noProof/>
          </w:rPr>
          <w:t>2 –  Čerpanie EÚ zdrojov (% HDP)</w:t>
        </w:r>
        <w:r w:rsidRPr="00246F8F">
          <w:rPr>
            <w:noProof/>
            <w:webHidden/>
          </w:rPr>
          <w:tab/>
        </w:r>
        <w:r w:rsidRPr="00246F8F">
          <w:rPr>
            <w:noProof/>
            <w:webHidden/>
          </w:rPr>
          <w:fldChar w:fldCharType="begin"/>
        </w:r>
        <w:r w:rsidRPr="00246F8F">
          <w:rPr>
            <w:noProof/>
            <w:webHidden/>
          </w:rPr>
          <w:instrText xml:space="preserve"> PAGEREF _Toc228283005 \h </w:instrText>
        </w:r>
        <w:r w:rsidRPr="00246F8F">
          <w:rPr>
            <w:noProof/>
            <w:webHidden/>
          </w:rPr>
        </w:r>
        <w:r w:rsidRPr="00246F8F">
          <w:rPr>
            <w:noProof/>
            <w:webHidden/>
          </w:rPr>
          <w:fldChar w:fldCharType="separate"/>
        </w:r>
        <w:r w:rsidRPr="00246F8F">
          <w:rPr>
            <w:noProof/>
            <w:webHidden/>
          </w:rPr>
          <w:t>5</w:t>
        </w:r>
        <w:r w:rsidRPr="00246F8F">
          <w:rPr>
            <w:noProof/>
            <w:webHidden/>
          </w:rPr>
          <w:fldChar w:fldCharType="end"/>
        </w:r>
      </w:hyperlink>
    </w:p>
    <w:p w14:paraId="54CAEAFF" w14:textId="4DF5DC83" w:rsidR="00246F8F" w:rsidRPr="00246F8F" w:rsidRDefault="00246F8F">
      <w:pPr>
        <w:pStyle w:val="Zoznamobrzkov"/>
        <w:tabs>
          <w:tab w:val="right" w:leader="dot" w:pos="9062"/>
        </w:tabs>
        <w:rPr>
          <w:rFonts w:asciiTheme="minorHAnsi" w:eastAsiaTheme="minorEastAsia" w:hAnsiTheme="minorHAnsi"/>
          <w:noProof/>
          <w:sz w:val="24"/>
          <w:szCs w:val="24"/>
          <w:lang w:eastAsia="sk-SK"/>
        </w:rPr>
      </w:pPr>
      <w:hyperlink w:anchor="_Toc228283006" w:history="1">
        <w:r w:rsidRPr="00246F8F">
          <w:rPr>
            <w:rStyle w:val="Hypertextovprepojenie"/>
            <w:noProof/>
          </w:rPr>
          <w:t xml:space="preserve">GRAF 3 – </w:t>
        </w:r>
        <w:r w:rsidRPr="00246F8F">
          <w:rPr>
            <w:rStyle w:val="Hypertextovprepojenie"/>
            <w:rFonts w:cs="Arial Narrow"/>
            <w:noProof/>
          </w:rPr>
          <w:t xml:space="preserve"> Vývoj inflácie (zmena v %)</w:t>
        </w:r>
        <w:r w:rsidRPr="00246F8F">
          <w:rPr>
            <w:noProof/>
            <w:webHidden/>
          </w:rPr>
          <w:tab/>
        </w:r>
        <w:r w:rsidRPr="00246F8F">
          <w:rPr>
            <w:noProof/>
            <w:webHidden/>
          </w:rPr>
          <w:fldChar w:fldCharType="begin"/>
        </w:r>
        <w:r w:rsidRPr="00246F8F">
          <w:rPr>
            <w:noProof/>
            <w:webHidden/>
          </w:rPr>
          <w:instrText xml:space="preserve"> PAGEREF _Toc228283006 \h </w:instrText>
        </w:r>
        <w:r w:rsidRPr="00246F8F">
          <w:rPr>
            <w:noProof/>
            <w:webHidden/>
          </w:rPr>
        </w:r>
        <w:r w:rsidRPr="00246F8F">
          <w:rPr>
            <w:noProof/>
            <w:webHidden/>
          </w:rPr>
          <w:fldChar w:fldCharType="separate"/>
        </w:r>
        <w:r w:rsidRPr="00246F8F">
          <w:rPr>
            <w:noProof/>
            <w:webHidden/>
          </w:rPr>
          <w:t>6</w:t>
        </w:r>
        <w:r w:rsidRPr="00246F8F">
          <w:rPr>
            <w:noProof/>
            <w:webHidden/>
          </w:rPr>
          <w:fldChar w:fldCharType="end"/>
        </w:r>
      </w:hyperlink>
    </w:p>
    <w:p w14:paraId="07A60C56" w14:textId="28C6946C" w:rsidR="00246F8F" w:rsidRPr="00246F8F" w:rsidRDefault="00246F8F">
      <w:pPr>
        <w:pStyle w:val="Zoznamobrzkov"/>
        <w:tabs>
          <w:tab w:val="right" w:leader="dot" w:pos="9062"/>
        </w:tabs>
        <w:rPr>
          <w:rFonts w:asciiTheme="minorHAnsi" w:eastAsiaTheme="minorEastAsia" w:hAnsiTheme="minorHAnsi"/>
          <w:noProof/>
          <w:sz w:val="24"/>
          <w:szCs w:val="24"/>
          <w:lang w:eastAsia="sk-SK"/>
        </w:rPr>
      </w:pPr>
      <w:hyperlink w:anchor="_Toc228283007" w:history="1">
        <w:r w:rsidRPr="00246F8F">
          <w:rPr>
            <w:rStyle w:val="Hypertextovprepojenie"/>
            <w:rFonts w:cs="Arial Narrow"/>
            <w:noProof/>
          </w:rPr>
          <w:t xml:space="preserve">GRAF </w:t>
        </w:r>
        <w:r w:rsidRPr="00246F8F">
          <w:rPr>
            <w:rStyle w:val="Hypertextovprepojenie"/>
            <w:noProof/>
          </w:rPr>
          <w:t>4</w:t>
        </w:r>
        <w:r w:rsidRPr="00246F8F">
          <w:rPr>
            <w:rStyle w:val="Hypertextovprepojenie"/>
            <w:rFonts w:cs="Arial Narrow"/>
            <w:noProof/>
          </w:rPr>
          <w:t xml:space="preserve"> –  Reálna mzda (rast v %)</w:t>
        </w:r>
        <w:r w:rsidRPr="00246F8F">
          <w:rPr>
            <w:noProof/>
            <w:webHidden/>
          </w:rPr>
          <w:tab/>
        </w:r>
        <w:r w:rsidRPr="00246F8F">
          <w:rPr>
            <w:noProof/>
            <w:webHidden/>
          </w:rPr>
          <w:fldChar w:fldCharType="begin"/>
        </w:r>
        <w:r w:rsidRPr="00246F8F">
          <w:rPr>
            <w:noProof/>
            <w:webHidden/>
          </w:rPr>
          <w:instrText xml:space="preserve"> PAGEREF _Toc228283007 \h </w:instrText>
        </w:r>
        <w:r w:rsidRPr="00246F8F">
          <w:rPr>
            <w:noProof/>
            <w:webHidden/>
          </w:rPr>
        </w:r>
        <w:r w:rsidRPr="00246F8F">
          <w:rPr>
            <w:noProof/>
            <w:webHidden/>
          </w:rPr>
          <w:fldChar w:fldCharType="separate"/>
        </w:r>
        <w:r w:rsidRPr="00246F8F">
          <w:rPr>
            <w:noProof/>
            <w:webHidden/>
          </w:rPr>
          <w:t>6</w:t>
        </w:r>
        <w:r w:rsidRPr="00246F8F">
          <w:rPr>
            <w:noProof/>
            <w:webHidden/>
          </w:rPr>
          <w:fldChar w:fldCharType="end"/>
        </w:r>
      </w:hyperlink>
    </w:p>
    <w:p w14:paraId="0833EE9A" w14:textId="4EA1A944" w:rsidR="00246F8F" w:rsidRPr="00246F8F" w:rsidRDefault="00246F8F">
      <w:pPr>
        <w:pStyle w:val="Zoznamobrzkov"/>
        <w:tabs>
          <w:tab w:val="right" w:leader="dot" w:pos="9062"/>
        </w:tabs>
        <w:rPr>
          <w:rFonts w:asciiTheme="minorHAnsi" w:eastAsiaTheme="minorEastAsia" w:hAnsiTheme="minorHAnsi"/>
          <w:noProof/>
          <w:sz w:val="24"/>
          <w:szCs w:val="24"/>
          <w:lang w:eastAsia="sk-SK"/>
        </w:rPr>
      </w:pPr>
      <w:hyperlink w:anchor="_Toc228283008" w:history="1">
        <w:r w:rsidRPr="00246F8F">
          <w:rPr>
            <w:rStyle w:val="Hypertextovprepojenie"/>
            <w:noProof/>
          </w:rPr>
          <w:t>GRAF 5 – Index geopolitických rizík (body)</w:t>
        </w:r>
        <w:r w:rsidRPr="00246F8F">
          <w:rPr>
            <w:noProof/>
            <w:webHidden/>
          </w:rPr>
          <w:tab/>
        </w:r>
        <w:r w:rsidRPr="00246F8F">
          <w:rPr>
            <w:noProof/>
            <w:webHidden/>
          </w:rPr>
          <w:fldChar w:fldCharType="begin"/>
        </w:r>
        <w:r w:rsidRPr="00246F8F">
          <w:rPr>
            <w:noProof/>
            <w:webHidden/>
          </w:rPr>
          <w:instrText xml:space="preserve"> PAGEREF _Toc228283008 \h </w:instrText>
        </w:r>
        <w:r w:rsidRPr="00246F8F">
          <w:rPr>
            <w:noProof/>
            <w:webHidden/>
          </w:rPr>
        </w:r>
        <w:r w:rsidRPr="00246F8F">
          <w:rPr>
            <w:noProof/>
            <w:webHidden/>
          </w:rPr>
          <w:fldChar w:fldCharType="separate"/>
        </w:r>
        <w:r w:rsidRPr="00246F8F">
          <w:rPr>
            <w:noProof/>
            <w:webHidden/>
          </w:rPr>
          <w:t>6</w:t>
        </w:r>
        <w:r w:rsidRPr="00246F8F">
          <w:rPr>
            <w:noProof/>
            <w:webHidden/>
          </w:rPr>
          <w:fldChar w:fldCharType="end"/>
        </w:r>
      </w:hyperlink>
    </w:p>
    <w:p w14:paraId="4B5535A1" w14:textId="0A0B4C0E" w:rsidR="00246F8F" w:rsidRPr="00246F8F" w:rsidRDefault="00246F8F">
      <w:pPr>
        <w:pStyle w:val="Zoznamobrzkov"/>
        <w:tabs>
          <w:tab w:val="right" w:leader="dot" w:pos="9062"/>
        </w:tabs>
        <w:rPr>
          <w:rFonts w:asciiTheme="minorHAnsi" w:eastAsiaTheme="minorEastAsia" w:hAnsiTheme="minorHAnsi"/>
          <w:noProof/>
          <w:sz w:val="24"/>
          <w:szCs w:val="24"/>
          <w:lang w:eastAsia="sk-SK"/>
        </w:rPr>
      </w:pPr>
      <w:hyperlink w:anchor="_Toc228283009" w:history="1">
        <w:r w:rsidRPr="00246F8F">
          <w:rPr>
            <w:rStyle w:val="Hypertextovprepojenie"/>
            <w:rFonts w:cs="Arial Narrow"/>
            <w:noProof/>
          </w:rPr>
          <w:t xml:space="preserve">GRAF </w:t>
        </w:r>
        <w:r w:rsidRPr="00246F8F">
          <w:rPr>
            <w:rStyle w:val="Hypertextovprepojenie"/>
            <w:noProof/>
          </w:rPr>
          <w:t>6 – Inflačné očakávania spotrebiteľov v eurozóne (normalizované saldá odpovedí respondentov, body)</w:t>
        </w:r>
        <w:r w:rsidRPr="00246F8F">
          <w:rPr>
            <w:noProof/>
            <w:webHidden/>
          </w:rPr>
          <w:tab/>
        </w:r>
        <w:r w:rsidRPr="00246F8F">
          <w:rPr>
            <w:noProof/>
            <w:webHidden/>
          </w:rPr>
          <w:fldChar w:fldCharType="begin"/>
        </w:r>
        <w:r w:rsidRPr="00246F8F">
          <w:rPr>
            <w:noProof/>
            <w:webHidden/>
          </w:rPr>
          <w:instrText xml:space="preserve"> PAGEREF _Toc228283009 \h </w:instrText>
        </w:r>
        <w:r w:rsidRPr="00246F8F">
          <w:rPr>
            <w:noProof/>
            <w:webHidden/>
          </w:rPr>
        </w:r>
        <w:r w:rsidRPr="00246F8F">
          <w:rPr>
            <w:noProof/>
            <w:webHidden/>
          </w:rPr>
          <w:fldChar w:fldCharType="separate"/>
        </w:r>
        <w:r w:rsidRPr="00246F8F">
          <w:rPr>
            <w:noProof/>
            <w:webHidden/>
          </w:rPr>
          <w:t>6</w:t>
        </w:r>
        <w:r w:rsidRPr="00246F8F">
          <w:rPr>
            <w:noProof/>
            <w:webHidden/>
          </w:rPr>
          <w:fldChar w:fldCharType="end"/>
        </w:r>
      </w:hyperlink>
    </w:p>
    <w:p w14:paraId="1EF7375C" w14:textId="0DE243B7" w:rsidR="00246F8F" w:rsidRPr="00246F8F" w:rsidRDefault="00246F8F">
      <w:pPr>
        <w:pStyle w:val="Zoznamobrzkov"/>
        <w:tabs>
          <w:tab w:val="right" w:leader="dot" w:pos="9062"/>
        </w:tabs>
        <w:rPr>
          <w:rFonts w:asciiTheme="minorHAnsi" w:eastAsiaTheme="minorEastAsia" w:hAnsiTheme="minorHAnsi"/>
          <w:noProof/>
          <w:sz w:val="24"/>
          <w:szCs w:val="24"/>
          <w:lang w:eastAsia="sk-SK"/>
        </w:rPr>
      </w:pPr>
      <w:hyperlink w:anchor="_Toc228283010" w:history="1">
        <w:r w:rsidRPr="00246F8F">
          <w:rPr>
            <w:rStyle w:val="Hypertextovprepojenie"/>
            <w:noProof/>
          </w:rPr>
          <w:t>GRAF 7 – Predpoklady o cenách ropy (USD/barel)</w:t>
        </w:r>
        <w:r w:rsidRPr="00246F8F">
          <w:rPr>
            <w:noProof/>
            <w:webHidden/>
          </w:rPr>
          <w:tab/>
        </w:r>
        <w:r w:rsidRPr="00246F8F">
          <w:rPr>
            <w:noProof/>
            <w:webHidden/>
          </w:rPr>
          <w:fldChar w:fldCharType="begin"/>
        </w:r>
        <w:r w:rsidRPr="00246F8F">
          <w:rPr>
            <w:noProof/>
            <w:webHidden/>
          </w:rPr>
          <w:instrText xml:space="preserve"> PAGEREF _Toc228283010 \h </w:instrText>
        </w:r>
        <w:r w:rsidRPr="00246F8F">
          <w:rPr>
            <w:noProof/>
            <w:webHidden/>
          </w:rPr>
        </w:r>
        <w:r w:rsidRPr="00246F8F">
          <w:rPr>
            <w:noProof/>
            <w:webHidden/>
          </w:rPr>
          <w:fldChar w:fldCharType="separate"/>
        </w:r>
        <w:r w:rsidRPr="00246F8F">
          <w:rPr>
            <w:noProof/>
            <w:webHidden/>
          </w:rPr>
          <w:t>8</w:t>
        </w:r>
        <w:r w:rsidRPr="00246F8F">
          <w:rPr>
            <w:noProof/>
            <w:webHidden/>
          </w:rPr>
          <w:fldChar w:fldCharType="end"/>
        </w:r>
      </w:hyperlink>
    </w:p>
    <w:p w14:paraId="0D137E0C" w14:textId="5CB5E416" w:rsidR="00246F8F" w:rsidRPr="00246F8F" w:rsidRDefault="00246F8F">
      <w:pPr>
        <w:pStyle w:val="Zoznamobrzkov"/>
        <w:tabs>
          <w:tab w:val="right" w:leader="dot" w:pos="9062"/>
        </w:tabs>
        <w:rPr>
          <w:rFonts w:asciiTheme="minorHAnsi" w:eastAsiaTheme="minorEastAsia" w:hAnsiTheme="minorHAnsi"/>
          <w:noProof/>
          <w:sz w:val="24"/>
          <w:szCs w:val="24"/>
          <w:lang w:eastAsia="sk-SK"/>
        </w:rPr>
      </w:pPr>
      <w:hyperlink w:anchor="_Toc228283011" w:history="1">
        <w:r w:rsidRPr="00246F8F">
          <w:rPr>
            <w:rStyle w:val="Hypertextovprepojenie"/>
            <w:noProof/>
          </w:rPr>
          <w:t>GRAF 8 – Hlavné príspevky k  zmene deficitu hospodárenia verejnej správy v rokoch 2023 až 2026 (% HDP, ESA2010)</w:t>
        </w:r>
        <w:r w:rsidRPr="00246F8F">
          <w:rPr>
            <w:noProof/>
            <w:webHidden/>
          </w:rPr>
          <w:tab/>
        </w:r>
        <w:r w:rsidRPr="00246F8F">
          <w:rPr>
            <w:noProof/>
            <w:webHidden/>
          </w:rPr>
          <w:fldChar w:fldCharType="begin"/>
        </w:r>
        <w:r w:rsidRPr="00246F8F">
          <w:rPr>
            <w:noProof/>
            <w:webHidden/>
          </w:rPr>
          <w:instrText xml:space="preserve"> PAGEREF _Toc228283011 \h </w:instrText>
        </w:r>
        <w:r w:rsidRPr="00246F8F">
          <w:rPr>
            <w:noProof/>
            <w:webHidden/>
          </w:rPr>
        </w:r>
        <w:r w:rsidRPr="00246F8F">
          <w:rPr>
            <w:noProof/>
            <w:webHidden/>
          </w:rPr>
          <w:fldChar w:fldCharType="separate"/>
        </w:r>
        <w:r w:rsidRPr="00246F8F">
          <w:rPr>
            <w:noProof/>
            <w:webHidden/>
          </w:rPr>
          <w:t>9</w:t>
        </w:r>
        <w:r w:rsidRPr="00246F8F">
          <w:rPr>
            <w:noProof/>
            <w:webHidden/>
          </w:rPr>
          <w:fldChar w:fldCharType="end"/>
        </w:r>
      </w:hyperlink>
    </w:p>
    <w:p w14:paraId="3FD7399F" w14:textId="0A803A72" w:rsidR="00246F8F" w:rsidRPr="00246F8F" w:rsidRDefault="00246F8F">
      <w:pPr>
        <w:pStyle w:val="Zoznamobrzkov"/>
        <w:tabs>
          <w:tab w:val="right" w:leader="dot" w:pos="9062"/>
        </w:tabs>
        <w:rPr>
          <w:rFonts w:asciiTheme="minorHAnsi" w:eastAsiaTheme="minorEastAsia" w:hAnsiTheme="minorHAnsi"/>
          <w:noProof/>
          <w:sz w:val="24"/>
          <w:szCs w:val="24"/>
          <w:lang w:eastAsia="sk-SK"/>
        </w:rPr>
      </w:pPr>
      <w:hyperlink w:anchor="_Toc228283012" w:history="1">
        <w:r w:rsidRPr="00246F8F">
          <w:rPr>
            <w:rStyle w:val="Hypertextovprepojenie"/>
            <w:noProof/>
          </w:rPr>
          <w:t>GRAF 9 – Kumulatívny rast čistých výdavkov verejnej správy 2024 až 2026</w:t>
        </w:r>
        <w:r w:rsidRPr="00246F8F">
          <w:rPr>
            <w:noProof/>
            <w:webHidden/>
          </w:rPr>
          <w:tab/>
        </w:r>
        <w:r w:rsidRPr="00246F8F">
          <w:rPr>
            <w:noProof/>
            <w:webHidden/>
          </w:rPr>
          <w:fldChar w:fldCharType="begin"/>
        </w:r>
        <w:r w:rsidRPr="00246F8F">
          <w:rPr>
            <w:noProof/>
            <w:webHidden/>
          </w:rPr>
          <w:instrText xml:space="preserve"> PAGEREF _Toc228283012 \h </w:instrText>
        </w:r>
        <w:r w:rsidRPr="00246F8F">
          <w:rPr>
            <w:noProof/>
            <w:webHidden/>
          </w:rPr>
        </w:r>
        <w:r w:rsidRPr="00246F8F">
          <w:rPr>
            <w:noProof/>
            <w:webHidden/>
          </w:rPr>
          <w:fldChar w:fldCharType="separate"/>
        </w:r>
        <w:r w:rsidRPr="00246F8F">
          <w:rPr>
            <w:noProof/>
            <w:webHidden/>
          </w:rPr>
          <w:t>11</w:t>
        </w:r>
        <w:r w:rsidRPr="00246F8F">
          <w:rPr>
            <w:noProof/>
            <w:webHidden/>
          </w:rPr>
          <w:fldChar w:fldCharType="end"/>
        </w:r>
      </w:hyperlink>
    </w:p>
    <w:p w14:paraId="3ECA697F" w14:textId="0F053BF4" w:rsidR="00246F8F" w:rsidRPr="00246F8F" w:rsidRDefault="00246F8F">
      <w:pPr>
        <w:pStyle w:val="Zoznamobrzkov"/>
        <w:tabs>
          <w:tab w:val="right" w:leader="dot" w:pos="9062"/>
        </w:tabs>
        <w:rPr>
          <w:rFonts w:asciiTheme="minorHAnsi" w:eastAsiaTheme="minorEastAsia" w:hAnsiTheme="minorHAnsi"/>
          <w:noProof/>
          <w:sz w:val="24"/>
          <w:szCs w:val="24"/>
          <w:lang w:eastAsia="sk-SK"/>
        </w:rPr>
      </w:pPr>
      <w:hyperlink w:anchor="_Toc228283013" w:history="1">
        <w:r w:rsidRPr="00246F8F">
          <w:rPr>
            <w:rStyle w:val="Hypertextovprepojenie"/>
            <w:rFonts w:cs="Arial Narrow"/>
            <w:noProof/>
          </w:rPr>
          <w:t xml:space="preserve">GRAF </w:t>
        </w:r>
        <w:r w:rsidRPr="00246F8F">
          <w:rPr>
            <w:rStyle w:val="Hypertextovprepojenie"/>
            <w:noProof/>
          </w:rPr>
          <w:t>10 –</w:t>
        </w:r>
        <w:r w:rsidRPr="00246F8F">
          <w:rPr>
            <w:rStyle w:val="Hypertextovprepojenie"/>
            <w:rFonts w:eastAsia="NeueHaasGroteskText W02" w:cs="Arial"/>
            <w:noProof/>
          </w:rPr>
          <w:t> Deficit verejnej správy (% HDP)</w:t>
        </w:r>
        <w:r w:rsidRPr="00246F8F">
          <w:rPr>
            <w:noProof/>
            <w:webHidden/>
          </w:rPr>
          <w:tab/>
        </w:r>
        <w:r w:rsidRPr="00246F8F">
          <w:rPr>
            <w:noProof/>
            <w:webHidden/>
          </w:rPr>
          <w:fldChar w:fldCharType="begin"/>
        </w:r>
        <w:r w:rsidRPr="00246F8F">
          <w:rPr>
            <w:noProof/>
            <w:webHidden/>
          </w:rPr>
          <w:instrText xml:space="preserve"> PAGEREF _Toc228283013 \h </w:instrText>
        </w:r>
        <w:r w:rsidRPr="00246F8F">
          <w:rPr>
            <w:noProof/>
            <w:webHidden/>
          </w:rPr>
        </w:r>
        <w:r w:rsidRPr="00246F8F">
          <w:rPr>
            <w:noProof/>
            <w:webHidden/>
          </w:rPr>
          <w:fldChar w:fldCharType="separate"/>
        </w:r>
        <w:r w:rsidRPr="00246F8F">
          <w:rPr>
            <w:noProof/>
            <w:webHidden/>
          </w:rPr>
          <w:t>14</w:t>
        </w:r>
        <w:r w:rsidRPr="00246F8F">
          <w:rPr>
            <w:noProof/>
            <w:webHidden/>
          </w:rPr>
          <w:fldChar w:fldCharType="end"/>
        </w:r>
      </w:hyperlink>
    </w:p>
    <w:p w14:paraId="763DF3B7" w14:textId="79AACCB4" w:rsidR="00246F8F" w:rsidRPr="00246F8F" w:rsidRDefault="00246F8F">
      <w:pPr>
        <w:pStyle w:val="Zoznamobrzkov"/>
        <w:tabs>
          <w:tab w:val="right" w:leader="dot" w:pos="9062"/>
        </w:tabs>
        <w:rPr>
          <w:rFonts w:asciiTheme="minorHAnsi" w:eastAsiaTheme="minorEastAsia" w:hAnsiTheme="minorHAnsi"/>
          <w:noProof/>
          <w:sz w:val="24"/>
          <w:szCs w:val="24"/>
          <w:lang w:eastAsia="sk-SK"/>
        </w:rPr>
      </w:pPr>
      <w:hyperlink w:anchor="_Toc228283014" w:history="1">
        <w:r w:rsidRPr="00246F8F">
          <w:rPr>
            <w:rStyle w:val="Hypertextovprepojenie"/>
            <w:noProof/>
          </w:rPr>
          <w:t>GRAF 11 – Kumulatívny rast čistých výdavkov verejnej správy 2025-2028 pri splnení cieľov (%)</w:t>
        </w:r>
        <w:r w:rsidRPr="00246F8F">
          <w:rPr>
            <w:noProof/>
            <w:webHidden/>
          </w:rPr>
          <w:tab/>
        </w:r>
        <w:r w:rsidRPr="00246F8F">
          <w:rPr>
            <w:noProof/>
            <w:webHidden/>
          </w:rPr>
          <w:fldChar w:fldCharType="begin"/>
        </w:r>
        <w:r w:rsidRPr="00246F8F">
          <w:rPr>
            <w:noProof/>
            <w:webHidden/>
          </w:rPr>
          <w:instrText xml:space="preserve"> PAGEREF _Toc228283014 \h </w:instrText>
        </w:r>
        <w:r w:rsidRPr="00246F8F">
          <w:rPr>
            <w:noProof/>
            <w:webHidden/>
          </w:rPr>
        </w:r>
        <w:r w:rsidRPr="00246F8F">
          <w:rPr>
            <w:noProof/>
            <w:webHidden/>
          </w:rPr>
          <w:fldChar w:fldCharType="separate"/>
        </w:r>
        <w:r w:rsidRPr="00246F8F">
          <w:rPr>
            <w:noProof/>
            <w:webHidden/>
          </w:rPr>
          <w:t>14</w:t>
        </w:r>
        <w:r w:rsidRPr="00246F8F">
          <w:rPr>
            <w:noProof/>
            <w:webHidden/>
          </w:rPr>
          <w:fldChar w:fldCharType="end"/>
        </w:r>
      </w:hyperlink>
    </w:p>
    <w:p w14:paraId="41BBB7BB" w14:textId="3B217C4B" w:rsidR="00246F8F" w:rsidRPr="00246F8F" w:rsidRDefault="00246F8F">
      <w:pPr>
        <w:pStyle w:val="Zoznamobrzkov"/>
        <w:tabs>
          <w:tab w:val="right" w:leader="dot" w:pos="9062"/>
        </w:tabs>
        <w:rPr>
          <w:rFonts w:asciiTheme="minorHAnsi" w:eastAsiaTheme="minorEastAsia" w:hAnsiTheme="minorHAnsi"/>
          <w:noProof/>
          <w:sz w:val="24"/>
          <w:szCs w:val="24"/>
          <w:lang w:eastAsia="sk-SK"/>
        </w:rPr>
      </w:pPr>
      <w:hyperlink w:anchor="_Toc228283015" w:history="1">
        <w:r w:rsidRPr="00246F8F">
          <w:rPr>
            <w:rStyle w:val="Hypertextovprepojenie"/>
            <w:rFonts w:cs="Arial Narrow"/>
            <w:noProof/>
          </w:rPr>
          <w:t xml:space="preserve">GRAF </w:t>
        </w:r>
        <w:r w:rsidRPr="00246F8F">
          <w:rPr>
            <w:rStyle w:val="Hypertextovprepojenie"/>
            <w:noProof/>
          </w:rPr>
          <w:t>12 –</w:t>
        </w:r>
        <w:r w:rsidRPr="00246F8F">
          <w:rPr>
            <w:rStyle w:val="Hypertextovprepojenie"/>
            <w:rFonts w:eastAsia="NeueHaasGroteskText W02" w:cs="Arial"/>
            <w:noProof/>
          </w:rPr>
          <w:t> Hrubý dlh pri splnení rozpočtových cieľov (% HDP)</w:t>
        </w:r>
        <w:r w:rsidRPr="00246F8F">
          <w:rPr>
            <w:noProof/>
            <w:webHidden/>
          </w:rPr>
          <w:tab/>
        </w:r>
        <w:r w:rsidRPr="00246F8F">
          <w:rPr>
            <w:noProof/>
            <w:webHidden/>
          </w:rPr>
          <w:fldChar w:fldCharType="begin"/>
        </w:r>
        <w:r w:rsidRPr="00246F8F">
          <w:rPr>
            <w:noProof/>
            <w:webHidden/>
          </w:rPr>
          <w:instrText xml:space="preserve"> PAGEREF _Toc228283015 \h </w:instrText>
        </w:r>
        <w:r w:rsidRPr="00246F8F">
          <w:rPr>
            <w:noProof/>
            <w:webHidden/>
          </w:rPr>
        </w:r>
        <w:r w:rsidRPr="00246F8F">
          <w:rPr>
            <w:noProof/>
            <w:webHidden/>
          </w:rPr>
          <w:fldChar w:fldCharType="separate"/>
        </w:r>
        <w:r w:rsidRPr="00246F8F">
          <w:rPr>
            <w:noProof/>
            <w:webHidden/>
          </w:rPr>
          <w:t>15</w:t>
        </w:r>
        <w:r w:rsidRPr="00246F8F">
          <w:rPr>
            <w:noProof/>
            <w:webHidden/>
          </w:rPr>
          <w:fldChar w:fldCharType="end"/>
        </w:r>
      </w:hyperlink>
    </w:p>
    <w:p w14:paraId="0808A40A" w14:textId="59844B56" w:rsidR="00A37D3D" w:rsidRPr="00F47989" w:rsidRDefault="00A37D3D" w:rsidP="00A37D3D">
      <w:pPr>
        <w:pStyle w:val="ifptext"/>
        <w:rPr>
          <w:bCs/>
        </w:rPr>
        <w:sectPr w:rsidR="00A37D3D" w:rsidRPr="00F47989" w:rsidSect="00A37D3D">
          <w:pgSz w:w="11906" w:h="16838"/>
          <w:pgMar w:top="1417" w:right="1417" w:bottom="1417" w:left="1417" w:header="708" w:footer="397" w:gutter="0"/>
          <w:cols w:space="708"/>
          <w:docGrid w:linePitch="360"/>
        </w:sectPr>
      </w:pPr>
      <w:r w:rsidRPr="00A34C20">
        <w:rPr>
          <w:rStyle w:val="Hypertextovprepojenie"/>
          <w:bCs/>
          <w:noProof/>
        </w:rPr>
        <w:fldChar w:fldCharType="end"/>
      </w:r>
    </w:p>
    <w:p w14:paraId="0645F7CD" w14:textId="5BA2AEDB" w:rsidR="004A6D37" w:rsidRPr="001C4FC1" w:rsidRDefault="004A6D37" w:rsidP="004A6D37">
      <w:pPr>
        <w:pStyle w:val="ifphl1"/>
      </w:pPr>
      <w:bookmarkStart w:id="0" w:name="_Toc228177455"/>
      <w:r w:rsidRPr="001C4FC1">
        <w:lastRenderedPageBreak/>
        <w:t>Makroekonomické prostredie</w:t>
      </w:r>
      <w:bookmarkEnd w:id="0"/>
    </w:p>
    <w:p w14:paraId="45403689" w14:textId="62D6C291" w:rsidR="004A6D37" w:rsidRPr="001C4FC1" w:rsidRDefault="004A6D37" w:rsidP="004A6D37">
      <w:pPr>
        <w:pStyle w:val="ifpperex"/>
        <w:rPr>
          <w:highlight w:val="yellow"/>
        </w:rPr>
      </w:pPr>
      <w:r w:rsidRPr="001C4FC1">
        <w:t>Slovenská ekonomika v roku 2025 rástla mierne, na úrovni 0,8 %,</w:t>
      </w:r>
      <w:r w:rsidRPr="001C4FC1">
        <w:rPr>
          <w:i w:val="0"/>
        </w:rPr>
        <w:t xml:space="preserve"> </w:t>
      </w:r>
      <w:r w:rsidRPr="001C4FC1">
        <w:t xml:space="preserve">najmä v dôsledku nepriaznivého vývoja v zahraničí a pod vplyvom </w:t>
      </w:r>
      <w:r w:rsidR="008765E2">
        <w:t xml:space="preserve">potrebného </w:t>
      </w:r>
      <w:r w:rsidRPr="001C4FC1">
        <w:t xml:space="preserve">ozdravovania verejných financií. V roku 2026 sa očakáva postupné oživenie HDP k úrovni 1 %, ktoré bude ťahané najmä domácim dopytom a investíciami financovanými z Plánu obnovy a odolnosti (POO). Ekonomický vývoj v zahraničí bude pokračovať v tlmenom tempe, hoci výkon Nemecka sa mierne zvýši. V roku 2027 dynamika slovenského HDP mierne zrýchli vďaka oživeniu exportov, ktoré nahradia zdroje z POO. Nepriaznivý demografický vývoj však bude </w:t>
      </w:r>
      <w:r w:rsidR="001371BB">
        <w:t>z dlhodobého hľadiska</w:t>
      </w:r>
      <w:r w:rsidR="001371BB" w:rsidRPr="001C4FC1">
        <w:t xml:space="preserve"> </w:t>
      </w:r>
      <w:r w:rsidRPr="001C4FC1">
        <w:t>brzdiť trh práce. Hlavným rizikom prognózy sú vyššia inflácia a nižší externý dopyt spojený s konfliktom na Blízkom východe, ako aj neistota spojená s čerpaním zdrojov z EÚ.</w:t>
      </w:r>
    </w:p>
    <w:p w14:paraId="4B78EF0D" w14:textId="512FD13C" w:rsidR="004A6D37" w:rsidRPr="001C4FC1" w:rsidRDefault="004A6D37" w:rsidP="004A6D37">
      <w:pPr>
        <w:pStyle w:val="ifptext"/>
        <w:rPr>
          <w:highlight w:val="yellow"/>
        </w:rPr>
      </w:pPr>
      <w:bookmarkStart w:id="1" w:name="_Hlk195614055"/>
      <w:r w:rsidRPr="001C4FC1">
        <w:rPr>
          <w:b/>
          <w:bCs/>
        </w:rPr>
        <w:t xml:space="preserve">V roku 2025 slovenská ekonomika vzrástla o 0,8 %, avšak tempo rastu zostalo utlmené </w:t>
      </w:r>
      <w:r w:rsidR="00E242A2">
        <w:rPr>
          <w:b/>
          <w:bCs/>
        </w:rPr>
        <w:t xml:space="preserve">najmä </w:t>
      </w:r>
      <w:r w:rsidRPr="001C4FC1">
        <w:rPr>
          <w:b/>
          <w:bCs/>
        </w:rPr>
        <w:t xml:space="preserve">v dôsledku nepriaznivého externého prostredia. </w:t>
      </w:r>
      <w:r w:rsidRPr="001C4FC1">
        <w:t xml:space="preserve">Slabší výkon hlavných obchodných partnerov negatívne ovplyvnil export aj investície. Súkromné investície spomalili a exportná výkonnosť sa počas roka zhoršovala. Spotreba domácností zostala utlmená v dôsledku zvýšenej neistoty, inflácie a vývoja na trhu práce, čo viedlo k vyššej miere úspor. Ekonomiku tak podporovali najmä výdavky z Plánu obnovy a odolnosti, ktorých efekt sa naplno prejaví až v roku 2026. </w:t>
      </w:r>
    </w:p>
    <w:p w14:paraId="7B260085" w14:textId="17A579FA" w:rsidR="004A6D37" w:rsidRPr="001C4FC1" w:rsidRDefault="004A6D37" w:rsidP="004A6D37">
      <w:pPr>
        <w:pStyle w:val="ifptext"/>
      </w:pPr>
      <w:r w:rsidRPr="001C4FC1">
        <w:rPr>
          <w:b/>
          <w:bCs/>
        </w:rPr>
        <w:t xml:space="preserve">V roku 2026 sa očakáva mierne zrýchlenie rastu HDP na 1,0 %, hlavným motorom ekonomickej aktivity budú investície financované z </w:t>
      </w:r>
      <w:r w:rsidR="00880EB2">
        <w:rPr>
          <w:b/>
          <w:bCs/>
        </w:rPr>
        <w:t>POO</w:t>
      </w:r>
      <w:r w:rsidRPr="001C4FC1">
        <w:rPr>
          <w:b/>
          <w:bCs/>
        </w:rPr>
        <w:t xml:space="preserve">. </w:t>
      </w:r>
      <w:r w:rsidRPr="001C4FC1">
        <w:t xml:space="preserve">Zahraničný dopyt bude naďalej oslabovaný </w:t>
      </w:r>
      <w:r w:rsidRPr="00880EB2">
        <w:t>šokmi v globálnej ekonomike a nebude významne prispievať k tvorbe HDP. Trh práce zároveň zvoľní</w:t>
      </w:r>
      <w:r w:rsidR="008765E2">
        <w:t>, keď</w:t>
      </w:r>
      <w:r w:rsidRPr="00880EB2">
        <w:t xml:space="preserve"> počet zamestnancov </w:t>
      </w:r>
      <w:r w:rsidR="00285EE3" w:rsidRPr="00880EB2">
        <w:t>podľa aktuálnej prognózy</w:t>
      </w:r>
      <w:r w:rsidRPr="00880EB2">
        <w:t xml:space="preserve"> mierne klesn</w:t>
      </w:r>
      <w:r w:rsidR="00320413" w:rsidRPr="00880EB2">
        <w:t>e</w:t>
      </w:r>
      <w:r w:rsidRPr="00880EB2">
        <w:t>. Spotreba domácností tak bude</w:t>
      </w:r>
      <w:r w:rsidR="008765E2">
        <w:t xml:space="preserve"> mierne</w:t>
      </w:r>
      <w:r w:rsidRPr="00880EB2">
        <w:t xml:space="preserve"> utlmená. Domáci dopyt bude pod tlakom aj pre ozdravenie</w:t>
      </w:r>
      <w:r w:rsidRPr="001C4FC1">
        <w:t xml:space="preserve"> verejných financií. Celkový výkon ekonomiky tak zostáva závislý najmä od impulzu investícií financovaných z európskych zdrojov.</w:t>
      </w:r>
    </w:p>
    <w:tbl>
      <w:tblPr>
        <w:tblpPr w:leftFromText="141" w:rightFromText="141" w:vertAnchor="text" w:horzAnchor="margin" w:tblpY="61"/>
        <w:tblOverlap w:val="neve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1E0" w:firstRow="1" w:lastRow="1" w:firstColumn="1" w:lastColumn="1" w:noHBand="0" w:noVBand="0"/>
      </w:tblPr>
      <w:tblGrid>
        <w:gridCol w:w="4450"/>
        <w:gridCol w:w="146"/>
        <w:gridCol w:w="4476"/>
      </w:tblGrid>
      <w:tr w:rsidR="004A6D37" w:rsidRPr="001C4FC1" w14:paraId="23BE261C" w14:textId="77777777" w:rsidTr="000161BC">
        <w:trPr>
          <w:trHeight w:val="339"/>
        </w:trPr>
        <w:tc>
          <w:tcPr>
            <w:tcW w:w="2453" w:type="pct"/>
            <w:tcBorders>
              <w:top w:val="nil"/>
              <w:left w:val="nil"/>
              <w:bottom w:val="single" w:sz="4" w:space="0" w:color="auto"/>
              <w:right w:val="nil"/>
            </w:tcBorders>
          </w:tcPr>
          <w:p w14:paraId="7BEEDCD5" w14:textId="38F40D3F" w:rsidR="004A6D37" w:rsidRPr="001C4FC1" w:rsidRDefault="004A6D37" w:rsidP="000161BC">
            <w:pPr>
              <w:widowControl w:val="0"/>
              <w:spacing w:before="40" w:after="40"/>
              <w:jc w:val="both"/>
              <w:rPr>
                <w:rFonts w:ascii="Arial Narrow" w:eastAsia="NeueHaasGroteskText W02" w:hAnsi="Arial Narrow" w:cs="Arial"/>
                <w:b/>
                <w:bCs/>
                <w:color w:val="2C9ADC"/>
                <w:sz w:val="20"/>
                <w:szCs w:val="20"/>
                <w:u w:color="2C9ADC"/>
              </w:rPr>
            </w:pPr>
            <w:bookmarkStart w:id="2" w:name="_Toc196311747"/>
            <w:bookmarkStart w:id="3" w:name="_Toc228283004"/>
            <w:r w:rsidRPr="001C4FC1">
              <w:rPr>
                <w:rFonts w:ascii="Arial Narrow" w:hAnsi="Arial Narrow" w:cs="Arial Narrow"/>
                <w:b/>
                <w:bCs/>
                <w:color w:val="2C9ADC"/>
                <w:sz w:val="20"/>
                <w:szCs w:val="20"/>
              </w:rPr>
              <w:t xml:space="preserve">GRAF </w:t>
            </w:r>
            <w:r w:rsidRPr="001C4FC1">
              <w:rPr>
                <w:rFonts w:ascii="Arial Narrow" w:hAnsi="Arial Narrow"/>
                <w:b/>
                <w:color w:val="2C9ADC"/>
                <w:sz w:val="20"/>
                <w:szCs w:val="20"/>
              </w:rPr>
              <w:fldChar w:fldCharType="begin"/>
            </w:r>
            <w:r w:rsidRPr="001C4FC1">
              <w:rPr>
                <w:rFonts w:ascii="Arial Narrow" w:hAnsi="Arial Narrow"/>
                <w:b/>
                <w:color w:val="2C9ADC"/>
                <w:sz w:val="20"/>
                <w:szCs w:val="20"/>
              </w:rPr>
              <w:instrText xml:space="preserve"> SEQ GRAF \* ARABIC </w:instrText>
            </w:r>
            <w:r w:rsidRPr="001C4FC1">
              <w:rPr>
                <w:rFonts w:ascii="Arial Narrow" w:hAnsi="Arial Narrow"/>
                <w:b/>
                <w:color w:val="2C9ADC"/>
                <w:sz w:val="20"/>
                <w:szCs w:val="20"/>
              </w:rPr>
              <w:fldChar w:fldCharType="separate"/>
            </w:r>
            <w:r w:rsidR="008765E2">
              <w:rPr>
                <w:rFonts w:ascii="Arial Narrow" w:hAnsi="Arial Narrow"/>
                <w:b/>
                <w:noProof/>
                <w:color w:val="2C9ADC"/>
                <w:sz w:val="20"/>
                <w:szCs w:val="20"/>
              </w:rPr>
              <w:t>1</w:t>
            </w:r>
            <w:r w:rsidRPr="001C4FC1">
              <w:rPr>
                <w:rFonts w:ascii="Arial Narrow" w:hAnsi="Arial Narrow"/>
                <w:b/>
                <w:color w:val="2C9ADC"/>
                <w:sz w:val="20"/>
                <w:szCs w:val="20"/>
              </w:rPr>
              <w:fldChar w:fldCharType="end"/>
            </w:r>
            <w:r w:rsidRPr="001C4FC1">
              <w:rPr>
                <w:rFonts w:ascii="Arial Narrow" w:hAnsi="Arial Narrow"/>
                <w:b/>
                <w:color w:val="2C9ADC"/>
                <w:sz w:val="20"/>
                <w:szCs w:val="20"/>
              </w:rPr>
              <w:t xml:space="preserve"> –</w:t>
            </w:r>
            <w:r w:rsidRPr="001C4FC1">
              <w:rPr>
                <w:rFonts w:ascii="Arial Narrow" w:eastAsia="NeueHaasGroteskText W02" w:hAnsi="Arial Narrow" w:cs="Arial"/>
                <w:b/>
                <w:bCs/>
                <w:color w:val="2C9ADC"/>
                <w:sz w:val="20"/>
                <w:szCs w:val="20"/>
                <w:u w:color="2C9ADC"/>
              </w:rPr>
              <w:t> </w:t>
            </w:r>
            <w:r w:rsidRPr="001C4FC1">
              <w:rPr>
                <w:rFonts w:ascii="Arial Narrow" w:hAnsi="Arial Narrow" w:cs="Arial Narrow"/>
                <w:b/>
                <w:bCs/>
                <w:color w:val="2C9ADC"/>
                <w:sz w:val="20"/>
                <w:szCs w:val="20"/>
              </w:rPr>
              <w:t>Príspevky k rastu reálneho HDP v prognóze MF SR (p. b., %)</w:t>
            </w:r>
            <w:bookmarkEnd w:id="2"/>
            <w:bookmarkEnd w:id="3"/>
            <w:r w:rsidRPr="001C4FC1">
              <w:rPr>
                <w:rFonts w:ascii="Arial Narrow" w:hAnsi="Arial Narrow"/>
              </w:rPr>
              <w:t xml:space="preserve"> </w:t>
            </w:r>
          </w:p>
        </w:tc>
        <w:tc>
          <w:tcPr>
            <w:tcW w:w="80" w:type="pct"/>
            <w:tcBorders>
              <w:top w:val="nil"/>
              <w:left w:val="nil"/>
              <w:bottom w:val="nil"/>
              <w:right w:val="nil"/>
            </w:tcBorders>
          </w:tcPr>
          <w:p w14:paraId="159AD496" w14:textId="77777777" w:rsidR="004A6D37" w:rsidRPr="001C4FC1" w:rsidRDefault="004A6D37" w:rsidP="000161BC">
            <w:pPr>
              <w:widowControl w:val="0"/>
              <w:spacing w:before="60" w:after="60"/>
              <w:rPr>
                <w:rFonts w:ascii="Arial Narrow" w:hAnsi="Arial Narrow" w:cs="Arial"/>
                <w:b/>
                <w:color w:val="2C9ADC"/>
                <w:sz w:val="20"/>
                <w:szCs w:val="20"/>
              </w:rPr>
            </w:pPr>
          </w:p>
        </w:tc>
        <w:tc>
          <w:tcPr>
            <w:tcW w:w="2467" w:type="pct"/>
            <w:tcBorders>
              <w:top w:val="nil"/>
              <w:left w:val="nil"/>
              <w:bottom w:val="single" w:sz="4" w:space="0" w:color="auto"/>
              <w:right w:val="nil"/>
            </w:tcBorders>
          </w:tcPr>
          <w:p w14:paraId="6FDA460C" w14:textId="62C3DEF8" w:rsidR="004A6D37" w:rsidRPr="001C4FC1" w:rsidRDefault="004A6D37" w:rsidP="000161BC">
            <w:pPr>
              <w:widowControl w:val="0"/>
              <w:spacing w:before="40" w:after="40"/>
              <w:jc w:val="both"/>
              <w:rPr>
                <w:rFonts w:ascii="Arial Narrow" w:hAnsi="Arial Narrow"/>
                <w:b/>
                <w:color w:val="2C9ADC"/>
                <w:sz w:val="20"/>
                <w:szCs w:val="20"/>
                <w:highlight w:val="yellow"/>
              </w:rPr>
            </w:pPr>
            <w:bookmarkStart w:id="4" w:name="_Toc196311750"/>
            <w:bookmarkStart w:id="5" w:name="_Toc228283005"/>
            <w:r w:rsidRPr="001C4FC1">
              <w:rPr>
                <w:rFonts w:ascii="Arial Narrow" w:hAnsi="Arial Narrow" w:cs="Arial Narrow"/>
                <w:b/>
                <w:bCs/>
                <w:color w:val="2C9ADC"/>
                <w:sz w:val="20"/>
                <w:szCs w:val="20"/>
              </w:rPr>
              <w:t xml:space="preserve">GRAF </w:t>
            </w:r>
            <w:r w:rsidR="001C4FC1" w:rsidRPr="001C4FC1">
              <w:rPr>
                <w:rFonts w:ascii="Arial Narrow" w:hAnsi="Arial Narrow"/>
                <w:b/>
                <w:color w:val="2C9ADC"/>
                <w:sz w:val="20"/>
                <w:szCs w:val="20"/>
              </w:rPr>
              <w:fldChar w:fldCharType="begin"/>
            </w:r>
            <w:r w:rsidR="001C4FC1" w:rsidRPr="001C4FC1">
              <w:rPr>
                <w:rFonts w:ascii="Arial Narrow" w:hAnsi="Arial Narrow"/>
                <w:b/>
                <w:color w:val="2C9ADC"/>
                <w:sz w:val="20"/>
                <w:szCs w:val="20"/>
              </w:rPr>
              <w:instrText xml:space="preserve"> SEQ GRAF \* ARABIC </w:instrText>
            </w:r>
            <w:r w:rsidR="001C4FC1" w:rsidRPr="001C4FC1">
              <w:rPr>
                <w:rFonts w:ascii="Arial Narrow" w:hAnsi="Arial Narrow"/>
                <w:b/>
                <w:color w:val="2C9ADC"/>
                <w:sz w:val="20"/>
                <w:szCs w:val="20"/>
              </w:rPr>
              <w:fldChar w:fldCharType="separate"/>
            </w:r>
            <w:r w:rsidR="008765E2">
              <w:rPr>
                <w:rFonts w:ascii="Arial Narrow" w:hAnsi="Arial Narrow"/>
                <w:b/>
                <w:noProof/>
                <w:color w:val="2C9ADC"/>
                <w:sz w:val="20"/>
                <w:szCs w:val="20"/>
              </w:rPr>
              <w:t>2</w:t>
            </w:r>
            <w:r w:rsidR="001C4FC1" w:rsidRPr="001C4FC1">
              <w:rPr>
                <w:rFonts w:ascii="Arial Narrow" w:hAnsi="Arial Narrow"/>
                <w:b/>
                <w:color w:val="2C9ADC"/>
                <w:sz w:val="20"/>
                <w:szCs w:val="20"/>
              </w:rPr>
              <w:fldChar w:fldCharType="end"/>
            </w:r>
            <w:r w:rsidRPr="001C4FC1">
              <w:rPr>
                <w:rFonts w:ascii="Arial Narrow" w:hAnsi="Arial Narrow"/>
                <w:b/>
                <w:color w:val="2C9ADC"/>
                <w:sz w:val="20"/>
                <w:szCs w:val="20"/>
              </w:rPr>
              <w:t xml:space="preserve"> –  Čerpanie EÚ zdrojov</w:t>
            </w:r>
            <w:r w:rsidRPr="001C4FC1">
              <w:rPr>
                <w:rFonts w:ascii="Arial Narrow" w:hAnsi="Arial Narrow"/>
              </w:rPr>
              <w:t xml:space="preserve"> </w:t>
            </w:r>
            <w:r w:rsidRPr="001C4FC1">
              <w:rPr>
                <w:rFonts w:ascii="Arial Narrow" w:hAnsi="Arial Narrow"/>
                <w:b/>
                <w:color w:val="2C9ADC"/>
                <w:sz w:val="20"/>
                <w:szCs w:val="20"/>
              </w:rPr>
              <w:t>(% HDP)</w:t>
            </w:r>
            <w:bookmarkEnd w:id="4"/>
            <w:bookmarkEnd w:id="5"/>
          </w:p>
        </w:tc>
      </w:tr>
      <w:tr w:rsidR="004A6D37" w:rsidRPr="001C4FC1" w14:paraId="674502EE" w14:textId="77777777" w:rsidTr="000161BC">
        <w:trPr>
          <w:trHeight w:val="866"/>
        </w:trPr>
        <w:tc>
          <w:tcPr>
            <w:tcW w:w="2453" w:type="pct"/>
            <w:tcBorders>
              <w:top w:val="single" w:sz="4" w:space="0" w:color="auto"/>
              <w:left w:val="nil"/>
              <w:bottom w:val="single" w:sz="4" w:space="0" w:color="auto"/>
              <w:right w:val="nil"/>
            </w:tcBorders>
            <w:vAlign w:val="center"/>
          </w:tcPr>
          <w:p w14:paraId="50C8BB71" w14:textId="77777777" w:rsidR="004A6D37" w:rsidRPr="001C4FC1" w:rsidRDefault="004A6D37" w:rsidP="000161BC">
            <w:pPr>
              <w:widowControl w:val="0"/>
              <w:spacing w:before="40" w:after="40"/>
              <w:jc w:val="center"/>
              <w:rPr>
                <w:rFonts w:ascii="Arial Narrow" w:hAnsi="Arial Narrow" w:cs="Arial"/>
                <w:sz w:val="20"/>
                <w:szCs w:val="20"/>
                <w:highlight w:val="yellow"/>
              </w:rPr>
            </w:pPr>
            <w:r w:rsidRPr="001C4FC1">
              <w:rPr>
                <w:rFonts w:ascii="Arial Narrow" w:hAnsi="Arial Narrow"/>
                <w:noProof/>
              </w:rPr>
              <w:drawing>
                <wp:inline distT="0" distB="0" distL="0" distR="0" wp14:anchorId="79A4A626" wp14:editId="1F6154D2">
                  <wp:extent cx="2686050" cy="2057400"/>
                  <wp:effectExtent l="0" t="0" r="0" b="0"/>
                  <wp:docPr id="1035627485" name="Graf 1">
                    <a:extLst xmlns:a="http://schemas.openxmlformats.org/drawingml/2006/main">
                      <a:ext uri="{FF2B5EF4-FFF2-40B4-BE49-F238E27FC236}">
                        <a16:creationId xmlns:a16="http://schemas.microsoft.com/office/drawing/2014/main" id="{6B0C990B-3AA2-4445-86CA-61DB17089F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80" w:type="pct"/>
            <w:tcBorders>
              <w:top w:val="nil"/>
              <w:left w:val="nil"/>
              <w:bottom w:val="nil"/>
              <w:right w:val="nil"/>
            </w:tcBorders>
            <w:vAlign w:val="center"/>
          </w:tcPr>
          <w:p w14:paraId="3FCBAB87" w14:textId="77777777" w:rsidR="004A6D37" w:rsidRPr="001C4FC1" w:rsidRDefault="004A6D37" w:rsidP="000161BC">
            <w:pPr>
              <w:widowControl w:val="0"/>
              <w:spacing w:before="40" w:after="40"/>
              <w:jc w:val="center"/>
              <w:rPr>
                <w:rFonts w:ascii="Arial Narrow" w:hAnsi="Arial Narrow" w:cs="Arial"/>
                <w:b/>
                <w:sz w:val="20"/>
                <w:szCs w:val="20"/>
                <w:highlight w:val="yellow"/>
              </w:rPr>
            </w:pPr>
          </w:p>
        </w:tc>
        <w:tc>
          <w:tcPr>
            <w:tcW w:w="2467" w:type="pct"/>
            <w:tcBorders>
              <w:top w:val="single" w:sz="4" w:space="0" w:color="auto"/>
              <w:left w:val="nil"/>
              <w:bottom w:val="single" w:sz="4" w:space="0" w:color="auto"/>
              <w:right w:val="nil"/>
            </w:tcBorders>
            <w:vAlign w:val="center"/>
          </w:tcPr>
          <w:p w14:paraId="03802CD8" w14:textId="77777777" w:rsidR="004A6D37" w:rsidRPr="001C4FC1" w:rsidRDefault="004A6D37" w:rsidP="000161BC">
            <w:pPr>
              <w:widowControl w:val="0"/>
              <w:spacing w:before="40" w:after="40"/>
              <w:jc w:val="center"/>
              <w:rPr>
                <w:rFonts w:ascii="Arial Narrow" w:hAnsi="Arial Narrow" w:cs="Arial"/>
                <w:sz w:val="20"/>
                <w:szCs w:val="20"/>
                <w:highlight w:val="yellow"/>
              </w:rPr>
            </w:pPr>
            <w:r w:rsidRPr="001C4FC1">
              <w:rPr>
                <w:rFonts w:ascii="Arial Narrow" w:hAnsi="Arial Narrow"/>
                <w:noProof/>
              </w:rPr>
              <w:drawing>
                <wp:inline distT="0" distB="0" distL="0" distR="0" wp14:anchorId="200CF603" wp14:editId="16348B10">
                  <wp:extent cx="2733675" cy="2066925"/>
                  <wp:effectExtent l="0" t="0" r="0" b="0"/>
                  <wp:docPr id="882504339" name="Graf 1">
                    <a:extLst xmlns:a="http://schemas.openxmlformats.org/drawingml/2006/main">
                      <a:ext uri="{FF2B5EF4-FFF2-40B4-BE49-F238E27FC236}">
                        <a16:creationId xmlns:a16="http://schemas.microsoft.com/office/drawing/2014/main" id="{1717572B-FCEB-4D68-81F0-437512D14B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4A6D37" w:rsidRPr="001C4FC1" w14:paraId="35775BF5" w14:textId="77777777" w:rsidTr="000161BC">
        <w:trPr>
          <w:trHeight w:val="108"/>
        </w:trPr>
        <w:tc>
          <w:tcPr>
            <w:tcW w:w="5000" w:type="pct"/>
            <w:gridSpan w:val="3"/>
            <w:tcBorders>
              <w:top w:val="single" w:sz="4" w:space="0" w:color="auto"/>
              <w:left w:val="nil"/>
              <w:bottom w:val="nil"/>
              <w:right w:val="nil"/>
            </w:tcBorders>
          </w:tcPr>
          <w:p w14:paraId="5D8E4198" w14:textId="77777777" w:rsidR="004A6D37" w:rsidRPr="001C4FC1" w:rsidRDefault="004A6D37" w:rsidP="000161BC">
            <w:pPr>
              <w:widowControl w:val="0"/>
              <w:spacing w:before="40" w:after="40"/>
              <w:jc w:val="right"/>
              <w:rPr>
                <w:rFonts w:ascii="Arial Narrow" w:hAnsi="Arial Narrow"/>
                <w:b/>
                <w:iCs/>
                <w:color w:val="000000"/>
                <w:highlight w:val="yellow"/>
              </w:rPr>
            </w:pPr>
            <w:r w:rsidRPr="001C4FC1">
              <w:rPr>
                <w:rFonts w:ascii="Arial Narrow" w:hAnsi="Arial Narrow"/>
                <w:i/>
                <w:sz w:val="16"/>
                <w:szCs w:val="16"/>
              </w:rPr>
              <w:t>Zdroj: ŠÚ SR, MF SR</w:t>
            </w:r>
          </w:p>
        </w:tc>
      </w:tr>
    </w:tbl>
    <w:p w14:paraId="42E7B490" w14:textId="52935199" w:rsidR="004A6D37" w:rsidRPr="001C4FC1" w:rsidRDefault="004A6D37" w:rsidP="001C4FC1">
      <w:pPr>
        <w:pStyle w:val="ifptext"/>
        <w:spacing w:before="240"/>
        <w:rPr>
          <w:highlight w:val="yellow"/>
        </w:rPr>
      </w:pPr>
      <w:r w:rsidRPr="001C4FC1">
        <w:rPr>
          <w:b/>
          <w:bCs/>
        </w:rPr>
        <w:t xml:space="preserve">V roku 2027 stúpne HDP o 1,2 %, najmä vďaka oživeniu exportov a nábehu výroby automobilky Volvo. </w:t>
      </w:r>
      <w:r w:rsidR="00FE7705">
        <w:t>U</w:t>
      </w:r>
      <w:r w:rsidR="00FE7705" w:rsidRPr="002C3C7F">
        <w:t>končen</w:t>
      </w:r>
      <w:r w:rsidR="00FE7705">
        <w:t>ie</w:t>
      </w:r>
      <w:r w:rsidR="00FE7705" w:rsidRPr="002C3C7F">
        <w:t xml:space="preserve"> investícií</w:t>
      </w:r>
      <w:r w:rsidR="00FE7705" w:rsidRPr="001C4FC1">
        <w:t xml:space="preserve"> financovaných z </w:t>
      </w:r>
      <w:r w:rsidR="00FE7705">
        <w:t xml:space="preserve">POO bude pôsobiť na ekonomiku reštriktívne, čo však vo veľkej miere </w:t>
      </w:r>
      <w:r w:rsidR="00E242A2">
        <w:t>vykompenzuje</w:t>
      </w:r>
      <w:r w:rsidR="00FE7705">
        <w:t xml:space="preserve"> začiatok výroby automobilky Volvo. </w:t>
      </w:r>
      <w:r w:rsidRPr="001C4FC1">
        <w:t xml:space="preserve">. </w:t>
      </w:r>
      <w:r w:rsidR="00FE7705">
        <w:t>Zároveň, z</w:t>
      </w:r>
      <w:r w:rsidR="00FE7705" w:rsidRPr="001C4FC1">
        <w:t xml:space="preserve">rýchlenie </w:t>
      </w:r>
      <w:r w:rsidRPr="001C4FC1">
        <w:t>rastu reálnej mzdy podporí spotrebu domácností. Nepriaznivý demografický vývoj a</w:t>
      </w:r>
      <w:r w:rsidR="008765E2">
        <w:t xml:space="preserve"> očakávaný </w:t>
      </w:r>
      <w:r w:rsidRPr="001C4FC1">
        <w:t>pokles zamestnanosti budú</w:t>
      </w:r>
      <w:r w:rsidR="00880EB2">
        <w:t xml:space="preserve"> na druhú stranu</w:t>
      </w:r>
      <w:r w:rsidRPr="001C4FC1">
        <w:t xml:space="preserve"> predstavovať štrukturálne obmedzenia rastového potenciálu ekonomiky. </w:t>
      </w:r>
    </w:p>
    <w:p w14:paraId="019B5390" w14:textId="77777777" w:rsidR="001C4FC1" w:rsidRPr="001C4FC1" w:rsidRDefault="001C4FC1" w:rsidP="001C4FC1">
      <w:pPr>
        <w:pStyle w:val="ifptext"/>
        <w:spacing w:before="240"/>
        <w:rPr>
          <w:highlight w:val="yellow"/>
        </w:rPr>
      </w:pPr>
    </w:p>
    <w:p w14:paraId="6BDC709A" w14:textId="77777777" w:rsidR="001C4FC1" w:rsidRDefault="001C4FC1" w:rsidP="001C4FC1">
      <w:pPr>
        <w:pStyle w:val="ifptext"/>
        <w:spacing w:before="240"/>
        <w:rPr>
          <w:highlight w:val="yellow"/>
        </w:rPr>
      </w:pPr>
    </w:p>
    <w:p w14:paraId="01563558" w14:textId="77777777" w:rsidR="00A90574" w:rsidRPr="001C4FC1" w:rsidRDefault="00A90574" w:rsidP="001C4FC1">
      <w:pPr>
        <w:pStyle w:val="ifptext"/>
        <w:spacing w:before="240"/>
        <w:rPr>
          <w:highlight w:val="yellow"/>
        </w:rPr>
      </w:pPr>
    </w:p>
    <w:p w14:paraId="2E12E8AE" w14:textId="77777777" w:rsidR="001C4FC1" w:rsidRPr="001C4FC1" w:rsidRDefault="001C4FC1" w:rsidP="001C4FC1">
      <w:pPr>
        <w:pStyle w:val="ifptext"/>
        <w:spacing w:before="240"/>
        <w:rPr>
          <w:highlight w:val="yellow"/>
        </w:rPr>
      </w:pPr>
    </w:p>
    <w:tbl>
      <w:tblPr>
        <w:tblpPr w:leftFromText="141" w:rightFromText="141" w:vertAnchor="text" w:horzAnchor="margin" w:tblpY="61"/>
        <w:tblOverlap w:val="neve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1E0" w:firstRow="1" w:lastRow="1" w:firstColumn="1" w:lastColumn="1" w:noHBand="0" w:noVBand="0"/>
      </w:tblPr>
      <w:tblGrid>
        <w:gridCol w:w="4328"/>
        <w:gridCol w:w="146"/>
        <w:gridCol w:w="4598"/>
      </w:tblGrid>
      <w:tr w:rsidR="004A6D37" w:rsidRPr="001C4FC1" w14:paraId="06A93BD8" w14:textId="77777777" w:rsidTr="004A78E7">
        <w:trPr>
          <w:trHeight w:val="339"/>
        </w:trPr>
        <w:tc>
          <w:tcPr>
            <w:tcW w:w="2386" w:type="pct"/>
            <w:tcBorders>
              <w:top w:val="nil"/>
              <w:left w:val="nil"/>
              <w:bottom w:val="single" w:sz="4" w:space="0" w:color="auto"/>
              <w:right w:val="nil"/>
            </w:tcBorders>
          </w:tcPr>
          <w:p w14:paraId="4E06C557" w14:textId="612D21A7" w:rsidR="004A6D37" w:rsidRPr="001C4FC1" w:rsidRDefault="004A6D37" w:rsidP="000161BC">
            <w:pPr>
              <w:widowControl w:val="0"/>
              <w:spacing w:before="40" w:after="40"/>
              <w:jc w:val="both"/>
              <w:rPr>
                <w:rFonts w:ascii="Arial Narrow" w:eastAsia="NeueHaasGroteskText W02" w:hAnsi="Arial Narrow" w:cs="Arial"/>
                <w:b/>
                <w:bCs/>
                <w:color w:val="2C9ADC"/>
                <w:sz w:val="20"/>
                <w:szCs w:val="20"/>
                <w:u w:color="2C9ADC"/>
              </w:rPr>
            </w:pPr>
            <w:bookmarkStart w:id="6" w:name="_Toc196311749"/>
            <w:bookmarkStart w:id="7" w:name="_Toc228283006"/>
            <w:r w:rsidRPr="001C4FC1">
              <w:rPr>
                <w:rFonts w:ascii="Arial Narrow" w:hAnsi="Arial Narrow"/>
                <w:b/>
                <w:color w:val="2C9ADC"/>
                <w:sz w:val="20"/>
                <w:szCs w:val="20"/>
              </w:rPr>
              <w:lastRenderedPageBreak/>
              <w:t xml:space="preserve">GRAF </w:t>
            </w:r>
            <w:r w:rsidR="001C4FC1" w:rsidRPr="001C4FC1">
              <w:rPr>
                <w:rFonts w:ascii="Arial Narrow" w:hAnsi="Arial Narrow"/>
                <w:b/>
                <w:color w:val="2C9ADC"/>
                <w:sz w:val="20"/>
                <w:szCs w:val="20"/>
              </w:rPr>
              <w:fldChar w:fldCharType="begin"/>
            </w:r>
            <w:r w:rsidR="001C4FC1" w:rsidRPr="001C4FC1">
              <w:rPr>
                <w:rFonts w:ascii="Arial Narrow" w:hAnsi="Arial Narrow"/>
                <w:b/>
                <w:color w:val="2C9ADC"/>
                <w:sz w:val="20"/>
                <w:szCs w:val="20"/>
              </w:rPr>
              <w:instrText xml:space="preserve"> SEQ GRAF \* ARABIC </w:instrText>
            </w:r>
            <w:r w:rsidR="001C4FC1" w:rsidRPr="001C4FC1">
              <w:rPr>
                <w:rFonts w:ascii="Arial Narrow" w:hAnsi="Arial Narrow"/>
                <w:b/>
                <w:color w:val="2C9ADC"/>
                <w:sz w:val="20"/>
                <w:szCs w:val="20"/>
              </w:rPr>
              <w:fldChar w:fldCharType="separate"/>
            </w:r>
            <w:r w:rsidR="008765E2">
              <w:rPr>
                <w:rFonts w:ascii="Arial Narrow" w:hAnsi="Arial Narrow"/>
                <w:b/>
                <w:noProof/>
                <w:color w:val="2C9ADC"/>
                <w:sz w:val="20"/>
                <w:szCs w:val="20"/>
              </w:rPr>
              <w:t>3</w:t>
            </w:r>
            <w:r w:rsidR="001C4FC1" w:rsidRPr="001C4FC1">
              <w:rPr>
                <w:rFonts w:ascii="Arial Narrow" w:hAnsi="Arial Narrow"/>
                <w:b/>
                <w:color w:val="2C9ADC"/>
                <w:sz w:val="20"/>
                <w:szCs w:val="20"/>
              </w:rPr>
              <w:fldChar w:fldCharType="end"/>
            </w:r>
            <w:r w:rsidRPr="001C4FC1">
              <w:rPr>
                <w:rFonts w:ascii="Arial Narrow" w:hAnsi="Arial Narrow"/>
                <w:b/>
                <w:color w:val="2C9ADC"/>
                <w:sz w:val="20"/>
                <w:szCs w:val="20"/>
              </w:rPr>
              <w:t xml:space="preserve"> – </w:t>
            </w:r>
            <w:bookmarkEnd w:id="6"/>
            <w:r w:rsidRPr="001C4FC1">
              <w:rPr>
                <w:rFonts w:ascii="Arial Narrow" w:hAnsi="Arial Narrow" w:cs="Arial Narrow"/>
                <w:b/>
                <w:bCs/>
                <w:color w:val="2C9ADC"/>
                <w:sz w:val="20"/>
                <w:szCs w:val="20"/>
              </w:rPr>
              <w:t xml:space="preserve"> Vývoj inflácie (zmena v %)</w:t>
            </w:r>
            <w:bookmarkEnd w:id="7"/>
          </w:p>
        </w:tc>
        <w:tc>
          <w:tcPr>
            <w:tcW w:w="80" w:type="pct"/>
            <w:tcBorders>
              <w:top w:val="nil"/>
              <w:left w:val="nil"/>
              <w:bottom w:val="nil"/>
              <w:right w:val="nil"/>
            </w:tcBorders>
          </w:tcPr>
          <w:p w14:paraId="74CD69F4" w14:textId="77777777" w:rsidR="004A6D37" w:rsidRPr="001C4FC1" w:rsidRDefault="004A6D37" w:rsidP="000161BC">
            <w:pPr>
              <w:widowControl w:val="0"/>
              <w:spacing w:before="60" w:after="60"/>
              <w:rPr>
                <w:rFonts w:ascii="Arial Narrow" w:hAnsi="Arial Narrow" w:cs="Arial"/>
                <w:b/>
                <w:color w:val="2C9ADC"/>
                <w:sz w:val="20"/>
                <w:szCs w:val="20"/>
              </w:rPr>
            </w:pPr>
          </w:p>
        </w:tc>
        <w:tc>
          <w:tcPr>
            <w:tcW w:w="2533" w:type="pct"/>
            <w:tcBorders>
              <w:top w:val="nil"/>
              <w:left w:val="nil"/>
              <w:bottom w:val="single" w:sz="4" w:space="0" w:color="auto"/>
              <w:right w:val="nil"/>
            </w:tcBorders>
          </w:tcPr>
          <w:p w14:paraId="07669D32" w14:textId="4617D607" w:rsidR="004A6D37" w:rsidRPr="001C4FC1" w:rsidRDefault="004A6D37" w:rsidP="000161BC">
            <w:pPr>
              <w:rPr>
                <w:rFonts w:ascii="Arial Narrow" w:hAnsi="Arial Narrow"/>
                <w:b/>
                <w:color w:val="2C9ADC"/>
                <w:sz w:val="20"/>
                <w:szCs w:val="20"/>
              </w:rPr>
            </w:pPr>
            <w:bookmarkStart w:id="8" w:name="_Toc228283007"/>
            <w:r w:rsidRPr="001C4FC1">
              <w:rPr>
                <w:rFonts w:ascii="Arial Narrow" w:hAnsi="Arial Narrow" w:cs="Arial Narrow"/>
                <w:b/>
                <w:bCs/>
                <w:color w:val="2C9ADC"/>
                <w:sz w:val="20"/>
                <w:szCs w:val="20"/>
              </w:rPr>
              <w:t xml:space="preserve">GRAF </w:t>
            </w:r>
            <w:r w:rsidR="001C4FC1" w:rsidRPr="001C4FC1">
              <w:rPr>
                <w:rFonts w:ascii="Arial Narrow" w:hAnsi="Arial Narrow"/>
                <w:b/>
                <w:color w:val="2C9ADC"/>
                <w:sz w:val="20"/>
                <w:szCs w:val="20"/>
              </w:rPr>
              <w:fldChar w:fldCharType="begin"/>
            </w:r>
            <w:r w:rsidR="001C4FC1" w:rsidRPr="001C4FC1">
              <w:rPr>
                <w:rFonts w:ascii="Arial Narrow" w:hAnsi="Arial Narrow"/>
                <w:b/>
                <w:color w:val="2C9ADC"/>
                <w:sz w:val="20"/>
                <w:szCs w:val="20"/>
              </w:rPr>
              <w:instrText xml:space="preserve"> SEQ GRAF \* ARABIC </w:instrText>
            </w:r>
            <w:r w:rsidR="001C4FC1" w:rsidRPr="001C4FC1">
              <w:rPr>
                <w:rFonts w:ascii="Arial Narrow" w:hAnsi="Arial Narrow"/>
                <w:b/>
                <w:color w:val="2C9ADC"/>
                <w:sz w:val="20"/>
                <w:szCs w:val="20"/>
              </w:rPr>
              <w:fldChar w:fldCharType="separate"/>
            </w:r>
            <w:r w:rsidR="008765E2">
              <w:rPr>
                <w:rFonts w:ascii="Arial Narrow" w:hAnsi="Arial Narrow"/>
                <w:b/>
                <w:noProof/>
                <w:color w:val="2C9ADC"/>
                <w:sz w:val="20"/>
                <w:szCs w:val="20"/>
              </w:rPr>
              <w:t>4</w:t>
            </w:r>
            <w:r w:rsidR="001C4FC1" w:rsidRPr="001C4FC1">
              <w:rPr>
                <w:rFonts w:ascii="Arial Narrow" w:hAnsi="Arial Narrow"/>
                <w:b/>
                <w:color w:val="2C9ADC"/>
                <w:sz w:val="20"/>
                <w:szCs w:val="20"/>
              </w:rPr>
              <w:fldChar w:fldCharType="end"/>
            </w:r>
            <w:r w:rsidRPr="001C4FC1">
              <w:rPr>
                <w:rFonts w:ascii="Arial Narrow" w:hAnsi="Arial Narrow" w:cs="Arial Narrow"/>
                <w:b/>
                <w:bCs/>
                <w:color w:val="2C9ADC"/>
                <w:sz w:val="20"/>
                <w:szCs w:val="20"/>
              </w:rPr>
              <w:t xml:space="preserve"> – </w:t>
            </w:r>
            <w:r w:rsidR="00AF3E9D">
              <w:rPr>
                <w:rFonts w:ascii="Arial Narrow" w:hAnsi="Arial Narrow" w:cs="Arial Narrow"/>
                <w:b/>
                <w:bCs/>
                <w:color w:val="2C9ADC"/>
                <w:sz w:val="20"/>
                <w:szCs w:val="20"/>
              </w:rPr>
              <w:t xml:space="preserve"> </w:t>
            </w:r>
            <w:r w:rsidR="004A78E7">
              <w:rPr>
                <w:rFonts w:ascii="Arial Narrow" w:hAnsi="Arial Narrow" w:cs="Arial Narrow"/>
                <w:b/>
                <w:bCs/>
                <w:color w:val="2C9ADC"/>
                <w:sz w:val="20"/>
                <w:szCs w:val="20"/>
              </w:rPr>
              <w:t>Reálna mzda</w:t>
            </w:r>
            <w:r w:rsidR="00AF3E9D" w:rsidRPr="001C4FC1">
              <w:rPr>
                <w:rFonts w:ascii="Arial Narrow" w:hAnsi="Arial Narrow" w:cs="Arial Narrow"/>
                <w:b/>
                <w:bCs/>
                <w:color w:val="2C9ADC"/>
                <w:sz w:val="20"/>
                <w:szCs w:val="20"/>
              </w:rPr>
              <w:t xml:space="preserve"> </w:t>
            </w:r>
            <w:r w:rsidR="00AF3E9D">
              <w:rPr>
                <w:rFonts w:ascii="Arial Narrow" w:hAnsi="Arial Narrow" w:cs="Arial Narrow"/>
                <w:b/>
                <w:bCs/>
                <w:color w:val="2C9ADC"/>
                <w:sz w:val="20"/>
                <w:szCs w:val="20"/>
              </w:rPr>
              <w:t>(rast</w:t>
            </w:r>
            <w:r w:rsidR="00AF3E9D" w:rsidRPr="001C4FC1">
              <w:rPr>
                <w:rFonts w:ascii="Arial Narrow" w:hAnsi="Arial Narrow" w:cs="Arial Narrow"/>
                <w:b/>
                <w:bCs/>
                <w:color w:val="2C9ADC"/>
                <w:sz w:val="20"/>
                <w:szCs w:val="20"/>
              </w:rPr>
              <w:t xml:space="preserve"> v %)</w:t>
            </w:r>
            <w:bookmarkEnd w:id="8"/>
          </w:p>
        </w:tc>
      </w:tr>
      <w:tr w:rsidR="004A6D37" w:rsidRPr="001C4FC1" w14:paraId="17A2A07F" w14:textId="77777777" w:rsidTr="004A78E7">
        <w:trPr>
          <w:trHeight w:val="866"/>
        </w:trPr>
        <w:tc>
          <w:tcPr>
            <w:tcW w:w="2386" w:type="pct"/>
            <w:tcBorders>
              <w:top w:val="single" w:sz="4" w:space="0" w:color="auto"/>
              <w:left w:val="nil"/>
              <w:bottom w:val="single" w:sz="4" w:space="0" w:color="auto"/>
              <w:right w:val="nil"/>
            </w:tcBorders>
            <w:vAlign w:val="center"/>
          </w:tcPr>
          <w:p w14:paraId="2569752F" w14:textId="77777777" w:rsidR="004A6D37" w:rsidRPr="001C4FC1" w:rsidRDefault="004A6D37" w:rsidP="000161BC">
            <w:pPr>
              <w:widowControl w:val="0"/>
              <w:spacing w:before="40" w:after="40"/>
              <w:jc w:val="center"/>
              <w:rPr>
                <w:rFonts w:ascii="Arial Narrow" w:hAnsi="Arial Narrow" w:cs="Arial"/>
                <w:sz w:val="20"/>
                <w:szCs w:val="20"/>
              </w:rPr>
            </w:pPr>
            <w:r w:rsidRPr="001C4FC1">
              <w:rPr>
                <w:rFonts w:ascii="Arial Narrow" w:hAnsi="Arial Narrow"/>
                <w:noProof/>
              </w:rPr>
              <w:drawing>
                <wp:inline distT="0" distB="0" distL="0" distR="0" wp14:anchorId="2C7D30A1" wp14:editId="302F39D4">
                  <wp:extent cx="2469606" cy="2122111"/>
                  <wp:effectExtent l="0" t="0" r="6985" b="0"/>
                  <wp:docPr id="736657445" name="Graf 1">
                    <a:extLst xmlns:a="http://schemas.openxmlformats.org/drawingml/2006/main">
                      <a:ext uri="{FF2B5EF4-FFF2-40B4-BE49-F238E27FC236}">
                        <a16:creationId xmlns:a16="http://schemas.microsoft.com/office/drawing/2014/main" id="{00000000-0008-0000-0B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80" w:type="pct"/>
            <w:tcBorders>
              <w:top w:val="nil"/>
              <w:left w:val="nil"/>
              <w:bottom w:val="nil"/>
              <w:right w:val="nil"/>
            </w:tcBorders>
            <w:vAlign w:val="center"/>
          </w:tcPr>
          <w:p w14:paraId="59C149E4" w14:textId="77777777" w:rsidR="004A6D37" w:rsidRPr="001C4FC1" w:rsidRDefault="004A6D37" w:rsidP="000161BC">
            <w:pPr>
              <w:widowControl w:val="0"/>
              <w:spacing w:before="40" w:after="40"/>
              <w:jc w:val="center"/>
              <w:rPr>
                <w:rFonts w:ascii="Arial Narrow" w:hAnsi="Arial Narrow" w:cs="Arial"/>
                <w:b/>
                <w:sz w:val="20"/>
                <w:szCs w:val="20"/>
              </w:rPr>
            </w:pPr>
          </w:p>
        </w:tc>
        <w:tc>
          <w:tcPr>
            <w:tcW w:w="2533" w:type="pct"/>
            <w:tcBorders>
              <w:top w:val="single" w:sz="4" w:space="0" w:color="auto"/>
              <w:left w:val="nil"/>
              <w:bottom w:val="single" w:sz="4" w:space="0" w:color="auto"/>
              <w:right w:val="nil"/>
            </w:tcBorders>
            <w:vAlign w:val="bottom"/>
          </w:tcPr>
          <w:p w14:paraId="673C840C" w14:textId="29CE7C29" w:rsidR="004A6D37" w:rsidRPr="001C4FC1" w:rsidRDefault="004A78E7" w:rsidP="000161BC">
            <w:pPr>
              <w:widowControl w:val="0"/>
              <w:spacing w:before="40" w:after="40"/>
              <w:rPr>
                <w:rFonts w:ascii="Arial Narrow" w:hAnsi="Arial Narrow" w:cs="Arial"/>
                <w:sz w:val="20"/>
                <w:szCs w:val="20"/>
              </w:rPr>
            </w:pPr>
            <w:r>
              <w:rPr>
                <w:noProof/>
              </w:rPr>
              <w:drawing>
                <wp:inline distT="0" distB="0" distL="0" distR="0" wp14:anchorId="7429C97B" wp14:editId="63380BAE">
                  <wp:extent cx="2762250" cy="2228850"/>
                  <wp:effectExtent l="0" t="0" r="0" b="0"/>
                  <wp:docPr id="1110474038" name="Graf 1">
                    <a:extLst xmlns:a="http://schemas.openxmlformats.org/drawingml/2006/main">
                      <a:ext uri="{FF2B5EF4-FFF2-40B4-BE49-F238E27FC236}">
                        <a16:creationId xmlns:a16="http://schemas.microsoft.com/office/drawing/2014/main" id="{5E67FC3E-A020-EFC1-D826-0C8568223B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4A6D37" w:rsidRPr="001C4FC1" w14:paraId="2A7F04BC" w14:textId="77777777" w:rsidTr="000161BC">
        <w:trPr>
          <w:trHeight w:val="108"/>
        </w:trPr>
        <w:tc>
          <w:tcPr>
            <w:tcW w:w="5000" w:type="pct"/>
            <w:gridSpan w:val="3"/>
            <w:tcBorders>
              <w:top w:val="single" w:sz="4" w:space="0" w:color="auto"/>
              <w:left w:val="nil"/>
              <w:bottom w:val="nil"/>
              <w:right w:val="nil"/>
            </w:tcBorders>
          </w:tcPr>
          <w:p w14:paraId="54F3DD56" w14:textId="77777777" w:rsidR="004A6D37" w:rsidRPr="001C4FC1" w:rsidRDefault="004A6D37" w:rsidP="000161BC">
            <w:pPr>
              <w:widowControl w:val="0"/>
              <w:spacing w:before="40" w:after="40"/>
              <w:jc w:val="right"/>
              <w:rPr>
                <w:rFonts w:ascii="Arial Narrow" w:hAnsi="Arial Narrow"/>
                <w:b/>
                <w:iCs/>
                <w:color w:val="000000"/>
              </w:rPr>
            </w:pPr>
            <w:r w:rsidRPr="001C4FC1">
              <w:rPr>
                <w:rFonts w:ascii="Arial Narrow" w:hAnsi="Arial Narrow"/>
                <w:i/>
                <w:sz w:val="16"/>
                <w:szCs w:val="16"/>
              </w:rPr>
              <w:t>Zdroj: MF SR</w:t>
            </w:r>
          </w:p>
        </w:tc>
      </w:tr>
    </w:tbl>
    <w:p w14:paraId="2B5A1E5D" w14:textId="29808FF4" w:rsidR="004A6D37" w:rsidRPr="001C4FC1" w:rsidRDefault="004A6D37" w:rsidP="00230E7E">
      <w:pPr>
        <w:pStyle w:val="ifptext"/>
        <w:spacing w:before="240"/>
      </w:pPr>
      <w:r w:rsidRPr="001C4FC1">
        <w:rPr>
          <w:b/>
          <w:bCs/>
        </w:rPr>
        <w:t xml:space="preserve">V dôsledku konfliktu na Blízkom východe sa riziká prognózy vychýlili smerom nadol. Ak by konflikt eskaloval, tak </w:t>
      </w:r>
      <w:r w:rsidR="00880EB2">
        <w:rPr>
          <w:b/>
          <w:bCs/>
        </w:rPr>
        <w:t xml:space="preserve">pri </w:t>
      </w:r>
      <w:r w:rsidRPr="001C4FC1">
        <w:rPr>
          <w:b/>
          <w:bCs/>
        </w:rPr>
        <w:t xml:space="preserve">negatívnom scenári by HDP mohlo byť do roku 2028 nižšie o 0,7 % a spotrebiteľské ceny vyššie o 5,4 % (viac v Boxe 1). </w:t>
      </w:r>
      <w:bookmarkEnd w:id="1"/>
      <w:r w:rsidRPr="001C4FC1">
        <w:rPr>
          <w:color w:val="000000"/>
        </w:rPr>
        <w:t xml:space="preserve">Okrem geopolitických faktorov </w:t>
      </w:r>
      <w:r w:rsidRPr="002C3C7F">
        <w:rPr>
          <w:color w:val="000000"/>
        </w:rPr>
        <w:t>zostáva rizikom ni</w:t>
      </w:r>
      <w:r w:rsidRPr="002C3C7F">
        <w:rPr>
          <w:rFonts w:cs="Aptos"/>
          <w:color w:val="000000"/>
        </w:rPr>
        <w:t>ž</w:t>
      </w:r>
      <w:r w:rsidRPr="001C4FC1">
        <w:rPr>
          <w:rFonts w:cs="Aptos"/>
          <w:color w:val="000000"/>
        </w:rPr>
        <w:t>š</w:t>
      </w:r>
      <w:r w:rsidRPr="001C4FC1">
        <w:rPr>
          <w:color w:val="000000"/>
        </w:rPr>
        <w:t xml:space="preserve">ie </w:t>
      </w:r>
      <w:r w:rsidRPr="001C4FC1">
        <w:rPr>
          <w:rFonts w:cs="Aptos"/>
          <w:color w:val="000000"/>
        </w:rPr>
        <w:t>č</w:t>
      </w:r>
      <w:r w:rsidRPr="001C4FC1">
        <w:rPr>
          <w:color w:val="000000"/>
        </w:rPr>
        <w:t xml:space="preserve">erpanie POO. To by sa </w:t>
      </w:r>
      <w:r w:rsidR="001A4F3C">
        <w:rPr>
          <w:color w:val="000000"/>
        </w:rPr>
        <w:t>mohlo prejaviť</w:t>
      </w:r>
      <w:r w:rsidR="001A4F3C" w:rsidRPr="001C4FC1">
        <w:rPr>
          <w:color w:val="000000"/>
        </w:rPr>
        <w:t xml:space="preserve"> </w:t>
      </w:r>
      <w:r w:rsidRPr="001C4FC1">
        <w:rPr>
          <w:color w:val="000000"/>
        </w:rPr>
        <w:t>ni</w:t>
      </w:r>
      <w:r w:rsidRPr="001C4FC1">
        <w:rPr>
          <w:rFonts w:cs="Aptos"/>
          <w:color w:val="000000"/>
        </w:rPr>
        <w:t>žš</w:t>
      </w:r>
      <w:r w:rsidRPr="001C4FC1">
        <w:rPr>
          <w:color w:val="000000"/>
        </w:rPr>
        <w:t>ou investi</w:t>
      </w:r>
      <w:r w:rsidRPr="001C4FC1">
        <w:rPr>
          <w:rFonts w:cs="Aptos"/>
          <w:color w:val="000000"/>
        </w:rPr>
        <w:t>č</w:t>
      </w:r>
      <w:r w:rsidRPr="001C4FC1">
        <w:rPr>
          <w:color w:val="000000"/>
        </w:rPr>
        <w:t>nou aktivitou a výraznejším poklesom zamestnanosti, ne</w:t>
      </w:r>
      <w:r w:rsidRPr="001C4FC1">
        <w:rPr>
          <w:rFonts w:cs="Aptos"/>
          <w:color w:val="000000"/>
        </w:rPr>
        <w:t>ž</w:t>
      </w:r>
      <w:r w:rsidRPr="001C4FC1">
        <w:rPr>
          <w:color w:val="000000"/>
        </w:rPr>
        <w:t xml:space="preserve"> predpoklad</w:t>
      </w:r>
      <w:r w:rsidRPr="001C4FC1">
        <w:rPr>
          <w:rFonts w:cs="Aptos"/>
          <w:color w:val="000000"/>
        </w:rPr>
        <w:t>á</w:t>
      </w:r>
      <w:r w:rsidRPr="001C4FC1">
        <w:rPr>
          <w:color w:val="000000"/>
        </w:rPr>
        <w:t>me v prognóze. Pozitívnym rizikom je stimul z možného zvýšenia obranných investícií na Slovensku. Pomôcť by slovenskej ekonomike mohol aj fiškálny stimul v Nemecku. Slovenský export tiež môžu podporiť obchodné dohody EÚ s Indiou a MERCOSUR.</w:t>
      </w:r>
    </w:p>
    <w:tbl>
      <w:tblPr>
        <w:tblpPr w:leftFromText="141" w:rightFromText="141" w:vertAnchor="text" w:horzAnchor="margin" w:tblpY="61"/>
        <w:tblOverlap w:val="neve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4454"/>
        <w:gridCol w:w="82"/>
        <w:gridCol w:w="78"/>
        <w:gridCol w:w="11"/>
        <w:gridCol w:w="4447"/>
      </w:tblGrid>
      <w:tr w:rsidR="004A6D37" w:rsidRPr="001C4FC1" w14:paraId="29A1FF84" w14:textId="77777777" w:rsidTr="000161BC">
        <w:trPr>
          <w:trHeight w:val="339"/>
        </w:trPr>
        <w:tc>
          <w:tcPr>
            <w:tcW w:w="2455" w:type="pct"/>
            <w:tcBorders>
              <w:top w:val="nil"/>
              <w:left w:val="nil"/>
              <w:bottom w:val="single" w:sz="4" w:space="0" w:color="auto"/>
              <w:right w:val="nil"/>
            </w:tcBorders>
          </w:tcPr>
          <w:p w14:paraId="3B4B9433" w14:textId="32C8AEB4" w:rsidR="004A6D37" w:rsidRPr="001C4FC1" w:rsidRDefault="004A6D37" w:rsidP="000161BC">
            <w:pPr>
              <w:widowControl w:val="0"/>
              <w:spacing w:before="40" w:after="40"/>
              <w:jc w:val="both"/>
              <w:rPr>
                <w:rFonts w:ascii="Arial Narrow" w:eastAsia="NeueHaasGroteskText W02" w:hAnsi="Arial Narrow" w:cs="Arial"/>
                <w:b/>
                <w:bCs/>
                <w:color w:val="2C9ADC"/>
                <w:sz w:val="20"/>
                <w:szCs w:val="20"/>
                <w:highlight w:val="yellow"/>
                <w:u w:color="2C9ADC"/>
              </w:rPr>
            </w:pPr>
            <w:bookmarkStart w:id="9" w:name="_Toc196311751"/>
            <w:bookmarkStart w:id="10" w:name="_Toc228283008"/>
            <w:r w:rsidRPr="001C4FC1">
              <w:rPr>
                <w:rFonts w:ascii="Arial Narrow" w:hAnsi="Arial Narrow"/>
                <w:b/>
                <w:color w:val="2C9ADC"/>
                <w:sz w:val="20"/>
                <w:szCs w:val="20"/>
              </w:rPr>
              <w:t xml:space="preserve">GRAF </w:t>
            </w:r>
            <w:r w:rsidRPr="001C4FC1">
              <w:rPr>
                <w:rFonts w:ascii="Arial Narrow" w:hAnsi="Arial Narrow"/>
                <w:b/>
                <w:color w:val="2C9ADC"/>
                <w:sz w:val="20"/>
                <w:szCs w:val="20"/>
              </w:rPr>
              <w:fldChar w:fldCharType="begin"/>
            </w:r>
            <w:r w:rsidRPr="001C4FC1">
              <w:rPr>
                <w:rFonts w:ascii="Arial Narrow" w:hAnsi="Arial Narrow"/>
                <w:b/>
                <w:color w:val="2C9ADC"/>
                <w:sz w:val="20"/>
                <w:szCs w:val="20"/>
              </w:rPr>
              <w:instrText xml:space="preserve"> SEQ GRAF \* ARABIC </w:instrText>
            </w:r>
            <w:r w:rsidRPr="001C4FC1">
              <w:rPr>
                <w:rFonts w:ascii="Arial Narrow" w:hAnsi="Arial Narrow"/>
                <w:b/>
                <w:color w:val="2C9ADC"/>
                <w:sz w:val="20"/>
                <w:szCs w:val="20"/>
              </w:rPr>
              <w:fldChar w:fldCharType="separate"/>
            </w:r>
            <w:r w:rsidR="008765E2">
              <w:rPr>
                <w:rFonts w:ascii="Arial Narrow" w:hAnsi="Arial Narrow"/>
                <w:b/>
                <w:noProof/>
                <w:color w:val="2C9ADC"/>
                <w:sz w:val="20"/>
                <w:szCs w:val="20"/>
              </w:rPr>
              <w:t>5</w:t>
            </w:r>
            <w:r w:rsidRPr="001C4FC1">
              <w:rPr>
                <w:rFonts w:ascii="Arial Narrow" w:hAnsi="Arial Narrow"/>
                <w:b/>
                <w:color w:val="2C9ADC"/>
                <w:sz w:val="20"/>
                <w:szCs w:val="20"/>
              </w:rPr>
              <w:fldChar w:fldCharType="end"/>
            </w:r>
            <w:r w:rsidRPr="001C4FC1">
              <w:rPr>
                <w:rFonts w:ascii="Arial Narrow" w:hAnsi="Arial Narrow"/>
                <w:b/>
                <w:color w:val="2C9ADC"/>
                <w:sz w:val="20"/>
                <w:szCs w:val="20"/>
              </w:rPr>
              <w:t xml:space="preserve"> – </w:t>
            </w:r>
            <w:bookmarkEnd w:id="9"/>
            <w:r w:rsidRPr="001C4FC1">
              <w:rPr>
                <w:rFonts w:ascii="Arial Narrow" w:hAnsi="Arial Narrow"/>
                <w:b/>
                <w:color w:val="2C9ADC"/>
                <w:sz w:val="20"/>
                <w:szCs w:val="20"/>
              </w:rPr>
              <w:t>Index geopolitických rizík (body)</w:t>
            </w:r>
            <w:bookmarkEnd w:id="10"/>
          </w:p>
        </w:tc>
        <w:tc>
          <w:tcPr>
            <w:tcW w:w="88" w:type="pct"/>
            <w:gridSpan w:val="2"/>
            <w:tcBorders>
              <w:top w:val="nil"/>
              <w:left w:val="nil"/>
              <w:bottom w:val="nil"/>
              <w:right w:val="nil"/>
            </w:tcBorders>
          </w:tcPr>
          <w:p w14:paraId="5D814E21" w14:textId="77777777" w:rsidR="004A6D37" w:rsidRPr="001C4FC1" w:rsidRDefault="004A6D37" w:rsidP="000161BC">
            <w:pPr>
              <w:widowControl w:val="0"/>
              <w:spacing w:before="60" w:after="60"/>
              <w:rPr>
                <w:rFonts w:ascii="Arial Narrow" w:hAnsi="Arial Narrow" w:cs="Arial"/>
                <w:b/>
                <w:color w:val="2C9ADC"/>
                <w:sz w:val="20"/>
                <w:szCs w:val="20"/>
                <w:highlight w:val="yellow"/>
              </w:rPr>
            </w:pPr>
          </w:p>
        </w:tc>
        <w:tc>
          <w:tcPr>
            <w:tcW w:w="2457" w:type="pct"/>
            <w:gridSpan w:val="2"/>
            <w:tcBorders>
              <w:top w:val="nil"/>
              <w:left w:val="nil"/>
              <w:bottom w:val="single" w:sz="4" w:space="0" w:color="auto"/>
              <w:right w:val="nil"/>
            </w:tcBorders>
          </w:tcPr>
          <w:p w14:paraId="449F2D84" w14:textId="66869632" w:rsidR="004A6D37" w:rsidRPr="001C4FC1" w:rsidRDefault="004A6D37" w:rsidP="000161BC">
            <w:pPr>
              <w:widowControl w:val="0"/>
              <w:spacing w:before="40" w:after="40"/>
              <w:jc w:val="both"/>
              <w:rPr>
                <w:rFonts w:ascii="Arial Narrow" w:hAnsi="Arial Narrow"/>
                <w:b/>
                <w:color w:val="2C9ADC"/>
                <w:sz w:val="20"/>
                <w:szCs w:val="20"/>
              </w:rPr>
            </w:pPr>
            <w:bookmarkStart w:id="11" w:name="_Toc196311752"/>
            <w:bookmarkStart w:id="12" w:name="_Toc228283009"/>
            <w:r w:rsidRPr="001C4FC1">
              <w:rPr>
                <w:rFonts w:ascii="Arial Narrow" w:hAnsi="Arial Narrow" w:cs="Arial Narrow"/>
                <w:b/>
                <w:bCs/>
                <w:color w:val="2C9ADC"/>
                <w:sz w:val="20"/>
                <w:szCs w:val="20"/>
              </w:rPr>
              <w:t xml:space="preserve">GRAF </w:t>
            </w:r>
            <w:r w:rsidRPr="001C4FC1">
              <w:rPr>
                <w:rFonts w:ascii="Arial Narrow" w:hAnsi="Arial Narrow"/>
                <w:b/>
                <w:color w:val="2C9ADC"/>
                <w:sz w:val="20"/>
                <w:szCs w:val="20"/>
              </w:rPr>
              <w:fldChar w:fldCharType="begin"/>
            </w:r>
            <w:r w:rsidRPr="001C4FC1">
              <w:rPr>
                <w:rFonts w:ascii="Arial Narrow" w:hAnsi="Arial Narrow"/>
                <w:b/>
                <w:color w:val="2C9ADC"/>
                <w:sz w:val="20"/>
                <w:szCs w:val="20"/>
              </w:rPr>
              <w:instrText xml:space="preserve"> SEQ GRAF \* ARABIC </w:instrText>
            </w:r>
            <w:r w:rsidRPr="001C4FC1">
              <w:rPr>
                <w:rFonts w:ascii="Arial Narrow" w:hAnsi="Arial Narrow"/>
                <w:b/>
                <w:color w:val="2C9ADC"/>
                <w:sz w:val="20"/>
                <w:szCs w:val="20"/>
              </w:rPr>
              <w:fldChar w:fldCharType="separate"/>
            </w:r>
            <w:r w:rsidR="008765E2">
              <w:rPr>
                <w:rFonts w:ascii="Arial Narrow" w:hAnsi="Arial Narrow"/>
                <w:b/>
                <w:noProof/>
                <w:color w:val="2C9ADC"/>
                <w:sz w:val="20"/>
                <w:szCs w:val="20"/>
              </w:rPr>
              <w:t>6</w:t>
            </w:r>
            <w:r w:rsidRPr="001C4FC1">
              <w:rPr>
                <w:rFonts w:ascii="Arial Narrow" w:hAnsi="Arial Narrow"/>
                <w:b/>
                <w:color w:val="2C9ADC"/>
                <w:sz w:val="20"/>
                <w:szCs w:val="20"/>
              </w:rPr>
              <w:fldChar w:fldCharType="end"/>
            </w:r>
            <w:r w:rsidRPr="001C4FC1">
              <w:rPr>
                <w:rFonts w:ascii="Arial Narrow" w:hAnsi="Arial Narrow"/>
                <w:b/>
                <w:color w:val="2C9ADC"/>
                <w:sz w:val="20"/>
                <w:szCs w:val="20"/>
              </w:rPr>
              <w:t xml:space="preserve"> – </w:t>
            </w:r>
            <w:bookmarkEnd w:id="11"/>
            <w:r w:rsidRPr="001C4FC1">
              <w:rPr>
                <w:rFonts w:ascii="Arial Narrow" w:hAnsi="Arial Narrow"/>
                <w:b/>
                <w:color w:val="2C9ADC"/>
                <w:sz w:val="20"/>
                <w:szCs w:val="20"/>
              </w:rPr>
              <w:t>Inflačné očakávania spotrebiteľov v eurozóne (normalizované saldá odpovedí respondentov, body)</w:t>
            </w:r>
            <w:bookmarkEnd w:id="12"/>
          </w:p>
        </w:tc>
      </w:tr>
      <w:tr w:rsidR="004A6D37" w:rsidRPr="001C4FC1" w14:paraId="31EEBBAD" w14:textId="77777777" w:rsidTr="000161BC">
        <w:trPr>
          <w:trHeight w:val="866"/>
        </w:trPr>
        <w:tc>
          <w:tcPr>
            <w:tcW w:w="2455" w:type="pct"/>
            <w:tcBorders>
              <w:top w:val="single" w:sz="4" w:space="0" w:color="auto"/>
              <w:left w:val="nil"/>
              <w:bottom w:val="single" w:sz="4" w:space="0" w:color="auto"/>
              <w:right w:val="nil"/>
            </w:tcBorders>
            <w:vAlign w:val="center"/>
          </w:tcPr>
          <w:p w14:paraId="46D42745" w14:textId="77777777" w:rsidR="004A6D37" w:rsidRPr="001C4FC1" w:rsidRDefault="004A6D37" w:rsidP="000161BC">
            <w:pPr>
              <w:widowControl w:val="0"/>
              <w:spacing w:before="40" w:after="40"/>
              <w:jc w:val="center"/>
              <w:rPr>
                <w:rFonts w:ascii="Arial Narrow" w:hAnsi="Arial Narrow" w:cs="Arial"/>
                <w:sz w:val="20"/>
                <w:szCs w:val="20"/>
                <w:highlight w:val="yellow"/>
              </w:rPr>
            </w:pPr>
            <w:r w:rsidRPr="001C4FC1">
              <w:rPr>
                <w:rFonts w:ascii="Arial Narrow" w:hAnsi="Arial Narrow"/>
                <w:noProof/>
              </w:rPr>
              <w:drawing>
                <wp:inline distT="0" distB="0" distL="0" distR="0" wp14:anchorId="6AF39BB8" wp14:editId="7363CC8A">
                  <wp:extent cx="2735580" cy="2095500"/>
                  <wp:effectExtent l="0" t="0" r="7620" b="0"/>
                  <wp:docPr id="1384575302" name="Graf 1">
                    <a:extLst xmlns:a="http://schemas.openxmlformats.org/drawingml/2006/main">
                      <a:ext uri="{FF2B5EF4-FFF2-40B4-BE49-F238E27FC236}">
                        <a16:creationId xmlns:a16="http://schemas.microsoft.com/office/drawing/2014/main" id="{C3E820FA-FA0D-F7D4-FC3E-6344D1B59E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94" w:type="pct"/>
            <w:gridSpan w:val="3"/>
            <w:tcBorders>
              <w:top w:val="nil"/>
              <w:left w:val="nil"/>
              <w:bottom w:val="nil"/>
              <w:right w:val="nil"/>
            </w:tcBorders>
            <w:vAlign w:val="center"/>
          </w:tcPr>
          <w:p w14:paraId="53F3645F" w14:textId="77777777" w:rsidR="004A6D37" w:rsidRPr="001C4FC1" w:rsidRDefault="004A6D37" w:rsidP="000161BC">
            <w:pPr>
              <w:widowControl w:val="0"/>
              <w:spacing w:before="40" w:after="40"/>
              <w:jc w:val="center"/>
              <w:rPr>
                <w:rFonts w:ascii="Arial Narrow" w:hAnsi="Arial Narrow" w:cs="Arial"/>
                <w:b/>
                <w:sz w:val="20"/>
                <w:szCs w:val="20"/>
                <w:highlight w:val="yellow"/>
              </w:rPr>
            </w:pPr>
          </w:p>
        </w:tc>
        <w:tc>
          <w:tcPr>
            <w:tcW w:w="2451" w:type="pct"/>
            <w:tcBorders>
              <w:top w:val="single" w:sz="4" w:space="0" w:color="auto"/>
              <w:left w:val="nil"/>
              <w:bottom w:val="single" w:sz="4" w:space="0" w:color="auto"/>
              <w:right w:val="nil"/>
            </w:tcBorders>
            <w:vAlign w:val="bottom"/>
          </w:tcPr>
          <w:p w14:paraId="3B5E7657" w14:textId="77777777" w:rsidR="004A6D37" w:rsidRPr="001C4FC1" w:rsidRDefault="004A6D37" w:rsidP="000161BC">
            <w:pPr>
              <w:widowControl w:val="0"/>
              <w:spacing w:before="40" w:after="40"/>
              <w:rPr>
                <w:rFonts w:ascii="Arial Narrow" w:hAnsi="Arial Narrow" w:cs="Arial"/>
                <w:sz w:val="20"/>
                <w:szCs w:val="20"/>
                <w:highlight w:val="yellow"/>
              </w:rPr>
            </w:pPr>
            <w:r w:rsidRPr="001C4FC1">
              <w:rPr>
                <w:rFonts w:ascii="Arial Narrow" w:hAnsi="Arial Narrow"/>
                <w:noProof/>
              </w:rPr>
              <w:drawing>
                <wp:inline distT="0" distB="0" distL="0" distR="0" wp14:anchorId="71BA0D13" wp14:editId="1CEB37AC">
                  <wp:extent cx="2734945" cy="2075180"/>
                  <wp:effectExtent l="0" t="0" r="8255" b="1270"/>
                  <wp:docPr id="339319824" name="Graf 1">
                    <a:extLst xmlns:a="http://schemas.openxmlformats.org/drawingml/2006/main">
                      <a:ext uri="{FF2B5EF4-FFF2-40B4-BE49-F238E27FC236}">
                        <a16:creationId xmlns:a16="http://schemas.microsoft.com/office/drawing/2014/main" id="{E2A909DB-7214-9587-DCE8-BDA3BA4377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4A6D37" w:rsidRPr="001C4FC1" w14:paraId="142EA3C0" w14:textId="77777777" w:rsidTr="000161BC">
        <w:trPr>
          <w:trHeight w:val="108"/>
        </w:trPr>
        <w:tc>
          <w:tcPr>
            <w:tcW w:w="2500" w:type="pct"/>
            <w:gridSpan w:val="2"/>
            <w:tcBorders>
              <w:top w:val="single" w:sz="4" w:space="0" w:color="auto"/>
              <w:left w:val="nil"/>
              <w:bottom w:val="nil"/>
              <w:right w:val="nil"/>
            </w:tcBorders>
          </w:tcPr>
          <w:p w14:paraId="2EA2AE0C" w14:textId="77777777" w:rsidR="004A6D37" w:rsidRPr="001C4FC1" w:rsidRDefault="004A6D37" w:rsidP="000161BC">
            <w:pPr>
              <w:widowControl w:val="0"/>
              <w:spacing w:before="40" w:after="40"/>
              <w:rPr>
                <w:rFonts w:ascii="Arial Narrow" w:hAnsi="Arial Narrow"/>
                <w:sz w:val="16"/>
                <w:szCs w:val="16"/>
              </w:rPr>
            </w:pPr>
            <w:r w:rsidRPr="001C4FC1">
              <w:rPr>
                <w:rFonts w:ascii="Arial Narrow" w:hAnsi="Arial Narrow"/>
                <w:i/>
                <w:sz w:val="16"/>
                <w:szCs w:val="16"/>
              </w:rPr>
              <w:t xml:space="preserve">Zdroj: </w:t>
            </w:r>
            <w:r w:rsidRPr="001C4FC1">
              <w:rPr>
                <w:rFonts w:ascii="Arial Narrow" w:eastAsia="Times New Roman" w:hAnsi="Arial Narrow" w:cs="Times"/>
                <w:i/>
                <w:iCs/>
                <w:color w:val="333333"/>
                <w:kern w:val="0"/>
                <w:sz w:val="27"/>
                <w:szCs w:val="27"/>
                <w:lang w:eastAsia="sk-SK"/>
                <w14:ligatures w14:val="none"/>
              </w:rPr>
              <w:t xml:space="preserve"> </w:t>
            </w:r>
            <w:r w:rsidRPr="001C4FC1">
              <w:rPr>
                <w:rFonts w:ascii="Arial Narrow" w:hAnsi="Arial Narrow"/>
                <w:sz w:val="16"/>
                <w:szCs w:val="16"/>
              </w:rPr>
              <w:t>Caldara, Dario and Matteo Iacoviello</w:t>
            </w:r>
          </w:p>
          <w:p w14:paraId="31FBBFCD" w14:textId="77777777" w:rsidR="004A6D37" w:rsidRPr="001C4FC1" w:rsidRDefault="004A6D37" w:rsidP="000161BC">
            <w:pPr>
              <w:widowControl w:val="0"/>
              <w:spacing w:before="40" w:after="40"/>
              <w:jc w:val="right"/>
              <w:rPr>
                <w:rFonts w:ascii="Arial Narrow" w:hAnsi="Arial Narrow"/>
                <w:b/>
                <w:iCs/>
                <w:color w:val="000000"/>
                <w:highlight w:val="yellow"/>
              </w:rPr>
            </w:pPr>
          </w:p>
        </w:tc>
        <w:tc>
          <w:tcPr>
            <w:tcW w:w="2500" w:type="pct"/>
            <w:gridSpan w:val="3"/>
            <w:tcBorders>
              <w:top w:val="single" w:sz="4" w:space="0" w:color="auto"/>
              <w:left w:val="nil"/>
              <w:bottom w:val="nil"/>
              <w:right w:val="nil"/>
            </w:tcBorders>
          </w:tcPr>
          <w:p w14:paraId="21F9F337" w14:textId="77777777" w:rsidR="004A6D37" w:rsidRPr="001C4FC1" w:rsidRDefault="004A6D37" w:rsidP="000161BC">
            <w:pPr>
              <w:widowControl w:val="0"/>
              <w:spacing w:before="40" w:after="40"/>
              <w:jc w:val="right"/>
              <w:rPr>
                <w:rFonts w:ascii="Arial Narrow" w:hAnsi="Arial Narrow"/>
                <w:sz w:val="16"/>
                <w:szCs w:val="16"/>
              </w:rPr>
            </w:pPr>
            <w:r w:rsidRPr="001C4FC1">
              <w:rPr>
                <w:rFonts w:ascii="Arial Narrow" w:hAnsi="Arial Narrow"/>
                <w:i/>
                <w:sz w:val="16"/>
                <w:szCs w:val="16"/>
              </w:rPr>
              <w:t xml:space="preserve">Zdroj: EK </w:t>
            </w:r>
            <w:r w:rsidRPr="001C4FC1">
              <w:rPr>
                <w:rFonts w:ascii="Arial Narrow" w:eastAsia="Times New Roman" w:hAnsi="Arial Narrow" w:cs="Times"/>
                <w:i/>
                <w:iCs/>
                <w:color w:val="333333"/>
                <w:kern w:val="0"/>
                <w:sz w:val="27"/>
                <w:szCs w:val="27"/>
                <w:lang w:eastAsia="sk-SK"/>
                <w14:ligatures w14:val="none"/>
              </w:rPr>
              <w:t xml:space="preserve"> </w:t>
            </w:r>
          </w:p>
          <w:p w14:paraId="0CF4535C" w14:textId="77777777" w:rsidR="004A6D37" w:rsidRPr="001C4FC1" w:rsidRDefault="004A6D37" w:rsidP="000161BC">
            <w:pPr>
              <w:widowControl w:val="0"/>
              <w:spacing w:before="40" w:after="40"/>
              <w:jc w:val="right"/>
              <w:rPr>
                <w:rFonts w:ascii="Arial Narrow" w:hAnsi="Arial Narrow"/>
                <w:b/>
                <w:iCs/>
                <w:color w:val="000000"/>
              </w:rPr>
            </w:pPr>
          </w:p>
        </w:tc>
      </w:tr>
    </w:tbl>
    <w:p w14:paraId="5C4CC07C" w14:textId="77777777" w:rsidR="004A6D37" w:rsidRPr="001C4FC1" w:rsidRDefault="004A6D37" w:rsidP="004A6D37">
      <w:pPr>
        <w:spacing w:after="0" w:line="276" w:lineRule="auto"/>
        <w:jc w:val="both"/>
        <w:rPr>
          <w:rFonts w:ascii="Arial Narrow" w:hAnsi="Arial Narrow"/>
          <w:highlight w:val="yellow"/>
        </w:rPr>
      </w:pPr>
    </w:p>
    <w:p w14:paraId="078136AF" w14:textId="7C44C8A4" w:rsidR="004A6D37" w:rsidRPr="001C4FC1" w:rsidRDefault="004A6D37" w:rsidP="004A6D37">
      <w:pPr>
        <w:widowControl w:val="0"/>
        <w:spacing w:before="40" w:after="40"/>
        <w:jc w:val="both"/>
        <w:rPr>
          <w:rFonts w:ascii="Arial Narrow" w:hAnsi="Arial Narrow" w:cs="Arial Narrow"/>
          <w:b/>
          <w:bCs/>
          <w:color w:val="2C9ADC"/>
          <w:sz w:val="20"/>
          <w:szCs w:val="20"/>
        </w:rPr>
      </w:pPr>
      <w:bookmarkStart w:id="13" w:name="_Toc228177374"/>
      <w:r w:rsidRPr="001C4FC1">
        <w:rPr>
          <w:rFonts w:ascii="Arial Narrow" w:eastAsia="Arial Narrow" w:hAnsi="Arial Narrow" w:cs="Arial Narrow"/>
          <w:b/>
          <w:bCs/>
          <w:noProof/>
          <w:color w:val="2C9ADC"/>
          <w:sz w:val="20"/>
          <w:szCs w:val="20"/>
          <w:bdr w:val="nil"/>
          <w:lang w:eastAsia="sk-SK"/>
        </w:rPr>
        <w:t xml:space="preserve">TABUĽKA </w:t>
      </w:r>
      <w:r w:rsidRPr="001C4FC1">
        <w:rPr>
          <w:rFonts w:ascii="Arial Narrow" w:eastAsia="Arial Narrow" w:hAnsi="Arial Narrow" w:cs="Arial Narrow"/>
          <w:b/>
          <w:bCs/>
          <w:noProof/>
          <w:color w:val="2C9ADC"/>
          <w:sz w:val="20"/>
          <w:szCs w:val="20"/>
          <w:bdr w:val="nil"/>
          <w:lang w:eastAsia="sk-SK"/>
        </w:rPr>
        <w:fldChar w:fldCharType="begin"/>
      </w:r>
      <w:r w:rsidRPr="001C4FC1">
        <w:rPr>
          <w:rFonts w:ascii="Arial Narrow" w:eastAsia="Arial Narrow" w:hAnsi="Arial Narrow" w:cs="Arial Narrow"/>
          <w:b/>
          <w:bCs/>
          <w:noProof/>
          <w:color w:val="2C9ADC"/>
          <w:sz w:val="20"/>
          <w:szCs w:val="20"/>
          <w:bdr w:val="nil"/>
          <w:lang w:eastAsia="sk-SK"/>
        </w:rPr>
        <w:instrText xml:space="preserve"> SEQ TABUĽKA \* ARABIC </w:instrText>
      </w:r>
      <w:r w:rsidRPr="001C4FC1">
        <w:rPr>
          <w:rFonts w:ascii="Arial Narrow" w:eastAsia="Arial Narrow" w:hAnsi="Arial Narrow" w:cs="Arial Narrow"/>
          <w:b/>
          <w:bCs/>
          <w:noProof/>
          <w:color w:val="2C9ADC"/>
          <w:sz w:val="20"/>
          <w:szCs w:val="20"/>
          <w:bdr w:val="nil"/>
          <w:lang w:eastAsia="sk-SK"/>
        </w:rPr>
        <w:fldChar w:fldCharType="separate"/>
      </w:r>
      <w:r w:rsidR="008765E2">
        <w:rPr>
          <w:rFonts w:ascii="Arial Narrow" w:eastAsia="Arial Narrow" w:hAnsi="Arial Narrow" w:cs="Arial Narrow"/>
          <w:b/>
          <w:bCs/>
          <w:noProof/>
          <w:color w:val="2C9ADC"/>
          <w:sz w:val="20"/>
          <w:szCs w:val="20"/>
          <w:bdr w:val="nil"/>
          <w:lang w:eastAsia="sk-SK"/>
        </w:rPr>
        <w:t>1</w:t>
      </w:r>
      <w:r w:rsidRPr="001C4FC1">
        <w:rPr>
          <w:rFonts w:ascii="Arial Narrow" w:eastAsia="Arial Narrow" w:hAnsi="Arial Narrow" w:cs="Arial Narrow"/>
          <w:b/>
          <w:bCs/>
          <w:noProof/>
          <w:color w:val="2C9ADC"/>
          <w:sz w:val="20"/>
          <w:szCs w:val="20"/>
          <w:bdr w:val="nil"/>
          <w:lang w:eastAsia="sk-SK"/>
        </w:rPr>
        <w:fldChar w:fldCharType="end"/>
      </w:r>
      <w:r w:rsidRPr="001C4FC1">
        <w:rPr>
          <w:rFonts w:ascii="Arial Narrow" w:eastAsia="Arial Narrow" w:hAnsi="Arial Narrow" w:cs="Arial Narrow"/>
          <w:b/>
          <w:bCs/>
          <w:noProof/>
          <w:color w:val="2C9ADC"/>
          <w:sz w:val="20"/>
          <w:szCs w:val="20"/>
          <w:bdr w:val="nil"/>
          <w:lang w:eastAsia="sk-SK"/>
        </w:rPr>
        <w:t xml:space="preserve"> – </w:t>
      </w:r>
      <w:r w:rsidRPr="001C4FC1">
        <w:rPr>
          <w:rFonts w:ascii="Arial Narrow" w:hAnsi="Arial Narrow" w:cs="Arial Narrow"/>
          <w:b/>
          <w:bCs/>
          <w:color w:val="2C9ADC"/>
          <w:sz w:val="20"/>
          <w:szCs w:val="20"/>
        </w:rPr>
        <w:t>Porovnanie makro-indikátorov z aktuálnej prognózy MF SR a podľa predpokladov EK</w:t>
      </w:r>
      <w:r w:rsidRPr="001C4FC1">
        <w:rPr>
          <w:rStyle w:val="Odkaznapoznmkupodiarou"/>
          <w:rFonts w:ascii="Arial Narrow" w:hAnsi="Arial Narrow" w:cs="Arial Narrow"/>
          <w:b/>
          <w:bCs/>
          <w:color w:val="2C9ADC"/>
          <w:sz w:val="20"/>
          <w:szCs w:val="20"/>
        </w:rPr>
        <w:footnoteReference w:id="1"/>
      </w:r>
      <w:bookmarkEnd w:id="13"/>
      <w:r w:rsidRPr="001C4FC1">
        <w:rPr>
          <w:rFonts w:ascii="Arial Narrow" w:hAnsi="Arial Narrow" w:cs="Arial Narrow"/>
          <w:b/>
          <w:bCs/>
          <w:color w:val="2C9ADC"/>
          <w:sz w:val="20"/>
          <w:szCs w:val="20"/>
        </w:rPr>
        <w:t xml:space="preserve"> </w:t>
      </w:r>
    </w:p>
    <w:tbl>
      <w:tblPr>
        <w:tblW w:w="9070" w:type="dxa"/>
        <w:tblCellMar>
          <w:left w:w="70" w:type="dxa"/>
          <w:right w:w="70" w:type="dxa"/>
        </w:tblCellMar>
        <w:tblLook w:val="04A0" w:firstRow="1" w:lastRow="0" w:firstColumn="1" w:lastColumn="0" w:noHBand="0" w:noVBand="1"/>
      </w:tblPr>
      <w:tblGrid>
        <w:gridCol w:w="382"/>
        <w:gridCol w:w="3567"/>
        <w:gridCol w:w="560"/>
        <w:gridCol w:w="651"/>
        <w:gridCol w:w="651"/>
        <w:gridCol w:w="651"/>
        <w:gridCol w:w="558"/>
        <w:gridCol w:w="546"/>
        <w:gridCol w:w="815"/>
        <w:gridCol w:w="689"/>
      </w:tblGrid>
      <w:tr w:rsidR="004A6D37" w:rsidRPr="001C4FC1" w14:paraId="272BC540" w14:textId="77777777" w:rsidTr="000161BC">
        <w:trPr>
          <w:trHeight w:val="345"/>
        </w:trPr>
        <w:tc>
          <w:tcPr>
            <w:tcW w:w="3949" w:type="dxa"/>
            <w:gridSpan w:val="2"/>
            <w:tcBorders>
              <w:top w:val="nil"/>
              <w:left w:val="nil"/>
              <w:bottom w:val="single" w:sz="8" w:space="0" w:color="auto"/>
              <w:right w:val="nil"/>
            </w:tcBorders>
            <w:noWrap/>
            <w:vAlign w:val="center"/>
            <w:hideMark/>
          </w:tcPr>
          <w:p w14:paraId="031B7EB1" w14:textId="77777777" w:rsidR="004A6D37" w:rsidRPr="001C4FC1" w:rsidRDefault="004A6D37" w:rsidP="000161BC">
            <w:pPr>
              <w:spacing w:after="0" w:line="240" w:lineRule="auto"/>
              <w:jc w:val="center"/>
              <w:rPr>
                <w:rFonts w:ascii="Arial Narrow" w:eastAsia="Times New Roman" w:hAnsi="Arial Narrow" w:cs="Calibri"/>
                <w:b/>
                <w:bCs/>
                <w:color w:val="000000"/>
                <w:sz w:val="16"/>
                <w:szCs w:val="16"/>
                <w:lang w:eastAsia="sk-SK"/>
              </w:rPr>
            </w:pPr>
            <w:r w:rsidRPr="001C4FC1">
              <w:rPr>
                <w:rFonts w:ascii="Arial Narrow" w:eastAsia="Times New Roman" w:hAnsi="Arial Narrow" w:cs="Calibri"/>
                <w:b/>
                <w:bCs/>
                <w:color w:val="000000"/>
                <w:sz w:val="16"/>
                <w:szCs w:val="16"/>
                <w:lang w:eastAsia="sk-SK"/>
              </w:rPr>
              <w:t>Ukazovateľ</w:t>
            </w:r>
          </w:p>
        </w:tc>
        <w:tc>
          <w:tcPr>
            <w:tcW w:w="560" w:type="dxa"/>
            <w:tcBorders>
              <w:top w:val="nil"/>
              <w:left w:val="nil"/>
              <w:bottom w:val="single" w:sz="8" w:space="0" w:color="auto"/>
              <w:right w:val="nil"/>
            </w:tcBorders>
            <w:noWrap/>
            <w:vAlign w:val="bottom"/>
            <w:hideMark/>
          </w:tcPr>
          <w:p w14:paraId="50D7F8BC" w14:textId="77777777" w:rsidR="004A6D37" w:rsidRPr="001C4FC1" w:rsidRDefault="004A6D37" w:rsidP="000161BC">
            <w:pPr>
              <w:spacing w:after="0" w:line="240" w:lineRule="auto"/>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 </w:t>
            </w:r>
          </w:p>
        </w:tc>
        <w:tc>
          <w:tcPr>
            <w:tcW w:w="651" w:type="dxa"/>
            <w:tcBorders>
              <w:top w:val="nil"/>
              <w:left w:val="nil"/>
              <w:bottom w:val="single" w:sz="8" w:space="0" w:color="auto"/>
              <w:right w:val="nil"/>
            </w:tcBorders>
            <w:shd w:val="clear" w:color="000000" w:fill="FFFFFF"/>
            <w:vAlign w:val="center"/>
            <w:hideMark/>
          </w:tcPr>
          <w:p w14:paraId="086E1321" w14:textId="77777777" w:rsidR="004A6D37" w:rsidRPr="001C4FC1" w:rsidRDefault="004A6D37" w:rsidP="000161BC">
            <w:pPr>
              <w:spacing w:after="0" w:line="240" w:lineRule="auto"/>
              <w:jc w:val="center"/>
              <w:rPr>
                <w:rFonts w:ascii="Arial Narrow" w:eastAsia="Times New Roman" w:hAnsi="Arial Narrow" w:cs="Calibri"/>
                <w:b/>
                <w:bCs/>
                <w:color w:val="000000"/>
                <w:sz w:val="16"/>
                <w:szCs w:val="16"/>
                <w:lang w:eastAsia="sk-SK"/>
              </w:rPr>
            </w:pPr>
            <w:r w:rsidRPr="001C4FC1">
              <w:rPr>
                <w:rFonts w:ascii="Arial Narrow" w:eastAsia="Times New Roman" w:hAnsi="Arial Narrow" w:cs="Calibri"/>
                <w:b/>
                <w:bCs/>
                <w:color w:val="000000"/>
                <w:sz w:val="16"/>
                <w:szCs w:val="16"/>
                <w:lang w:eastAsia="sk-SK"/>
              </w:rPr>
              <w:t>2025</w:t>
            </w:r>
          </w:p>
        </w:tc>
        <w:tc>
          <w:tcPr>
            <w:tcW w:w="651" w:type="dxa"/>
            <w:tcBorders>
              <w:top w:val="nil"/>
              <w:left w:val="nil"/>
              <w:bottom w:val="single" w:sz="8" w:space="0" w:color="auto"/>
              <w:right w:val="nil"/>
            </w:tcBorders>
            <w:shd w:val="clear" w:color="000000" w:fill="FFFFFF"/>
            <w:vAlign w:val="center"/>
            <w:hideMark/>
          </w:tcPr>
          <w:p w14:paraId="01E08068" w14:textId="77777777" w:rsidR="004A6D37" w:rsidRPr="001C4FC1" w:rsidRDefault="004A6D37" w:rsidP="000161BC">
            <w:pPr>
              <w:spacing w:after="0" w:line="240" w:lineRule="auto"/>
              <w:jc w:val="center"/>
              <w:rPr>
                <w:rFonts w:ascii="Arial Narrow" w:eastAsia="Times New Roman" w:hAnsi="Arial Narrow" w:cs="Calibri"/>
                <w:b/>
                <w:bCs/>
                <w:color w:val="000000"/>
                <w:sz w:val="16"/>
                <w:szCs w:val="16"/>
                <w:lang w:eastAsia="sk-SK"/>
              </w:rPr>
            </w:pPr>
            <w:r w:rsidRPr="001C4FC1">
              <w:rPr>
                <w:rFonts w:ascii="Arial Narrow" w:eastAsia="Times New Roman" w:hAnsi="Arial Narrow" w:cs="Calibri"/>
                <w:b/>
                <w:bCs/>
                <w:color w:val="000000"/>
                <w:sz w:val="16"/>
                <w:szCs w:val="16"/>
                <w:lang w:eastAsia="sk-SK"/>
              </w:rPr>
              <w:t>2026</w:t>
            </w:r>
          </w:p>
        </w:tc>
        <w:tc>
          <w:tcPr>
            <w:tcW w:w="651" w:type="dxa"/>
            <w:tcBorders>
              <w:top w:val="nil"/>
              <w:left w:val="nil"/>
              <w:bottom w:val="single" w:sz="8" w:space="0" w:color="auto"/>
              <w:right w:val="nil"/>
            </w:tcBorders>
            <w:shd w:val="clear" w:color="000000" w:fill="FFFFFF"/>
            <w:vAlign w:val="center"/>
            <w:hideMark/>
          </w:tcPr>
          <w:p w14:paraId="1CAAB7BA" w14:textId="77777777" w:rsidR="004A6D37" w:rsidRPr="001C4FC1" w:rsidRDefault="004A6D37" w:rsidP="000161BC">
            <w:pPr>
              <w:spacing w:after="0" w:line="240" w:lineRule="auto"/>
              <w:jc w:val="center"/>
              <w:rPr>
                <w:rFonts w:ascii="Arial Narrow" w:eastAsia="Times New Roman" w:hAnsi="Arial Narrow" w:cs="Calibri"/>
                <w:b/>
                <w:bCs/>
                <w:color w:val="000000"/>
                <w:sz w:val="16"/>
                <w:szCs w:val="16"/>
                <w:lang w:eastAsia="sk-SK"/>
              </w:rPr>
            </w:pPr>
            <w:r w:rsidRPr="001C4FC1">
              <w:rPr>
                <w:rFonts w:ascii="Arial Narrow" w:eastAsia="Times New Roman" w:hAnsi="Arial Narrow" w:cs="Calibri"/>
                <w:b/>
                <w:bCs/>
                <w:color w:val="000000"/>
                <w:sz w:val="16"/>
                <w:szCs w:val="16"/>
                <w:lang w:eastAsia="sk-SK"/>
              </w:rPr>
              <w:t>2027</w:t>
            </w:r>
          </w:p>
        </w:tc>
        <w:tc>
          <w:tcPr>
            <w:tcW w:w="558" w:type="dxa"/>
            <w:tcBorders>
              <w:top w:val="nil"/>
              <w:left w:val="nil"/>
              <w:bottom w:val="single" w:sz="8" w:space="0" w:color="auto"/>
              <w:right w:val="nil"/>
            </w:tcBorders>
            <w:shd w:val="clear" w:color="000000" w:fill="FFFFFF"/>
            <w:vAlign w:val="center"/>
            <w:hideMark/>
          </w:tcPr>
          <w:p w14:paraId="5C5718E9" w14:textId="77777777" w:rsidR="004A6D37" w:rsidRPr="001C4FC1" w:rsidRDefault="004A6D37" w:rsidP="000161BC">
            <w:pPr>
              <w:spacing w:after="0" w:line="240" w:lineRule="auto"/>
              <w:jc w:val="center"/>
              <w:rPr>
                <w:rFonts w:ascii="Arial Narrow" w:eastAsia="Times New Roman" w:hAnsi="Arial Narrow" w:cs="Calibri"/>
                <w:b/>
                <w:bCs/>
                <w:color w:val="000000"/>
                <w:sz w:val="16"/>
                <w:szCs w:val="16"/>
                <w:lang w:eastAsia="sk-SK"/>
              </w:rPr>
            </w:pPr>
            <w:r w:rsidRPr="001C4FC1">
              <w:rPr>
                <w:rFonts w:ascii="Arial Narrow" w:eastAsia="Times New Roman" w:hAnsi="Arial Narrow" w:cs="Calibri"/>
                <w:b/>
                <w:bCs/>
                <w:color w:val="000000"/>
                <w:sz w:val="16"/>
                <w:szCs w:val="16"/>
                <w:lang w:eastAsia="sk-SK"/>
              </w:rPr>
              <w:t>2028</w:t>
            </w:r>
          </w:p>
        </w:tc>
        <w:tc>
          <w:tcPr>
            <w:tcW w:w="546" w:type="dxa"/>
            <w:tcBorders>
              <w:top w:val="nil"/>
              <w:left w:val="nil"/>
              <w:bottom w:val="single" w:sz="8" w:space="0" w:color="auto"/>
              <w:right w:val="nil"/>
            </w:tcBorders>
            <w:shd w:val="clear" w:color="000000" w:fill="FFFFFF"/>
            <w:vAlign w:val="center"/>
            <w:hideMark/>
          </w:tcPr>
          <w:p w14:paraId="14639849" w14:textId="77777777" w:rsidR="004A6D37" w:rsidRPr="001C4FC1" w:rsidRDefault="004A6D37" w:rsidP="000161BC">
            <w:pPr>
              <w:spacing w:after="0" w:line="240" w:lineRule="auto"/>
              <w:jc w:val="center"/>
              <w:rPr>
                <w:rFonts w:ascii="Arial Narrow" w:eastAsia="Times New Roman" w:hAnsi="Arial Narrow" w:cs="Calibri"/>
                <w:b/>
                <w:bCs/>
                <w:color w:val="000000"/>
                <w:sz w:val="16"/>
                <w:szCs w:val="16"/>
                <w:lang w:eastAsia="sk-SK"/>
              </w:rPr>
            </w:pPr>
            <w:r w:rsidRPr="001C4FC1">
              <w:rPr>
                <w:rFonts w:ascii="Arial Narrow" w:eastAsia="Times New Roman" w:hAnsi="Arial Narrow" w:cs="Calibri"/>
                <w:b/>
                <w:bCs/>
                <w:color w:val="000000"/>
                <w:sz w:val="16"/>
                <w:szCs w:val="16"/>
                <w:lang w:eastAsia="sk-SK"/>
              </w:rPr>
              <w:t>t+10</w:t>
            </w:r>
          </w:p>
        </w:tc>
        <w:tc>
          <w:tcPr>
            <w:tcW w:w="815" w:type="dxa"/>
            <w:tcBorders>
              <w:top w:val="nil"/>
              <w:left w:val="nil"/>
              <w:bottom w:val="single" w:sz="8" w:space="0" w:color="auto"/>
              <w:right w:val="nil"/>
            </w:tcBorders>
            <w:shd w:val="clear" w:color="000000" w:fill="FFFFFF"/>
            <w:vAlign w:val="center"/>
            <w:hideMark/>
          </w:tcPr>
          <w:p w14:paraId="4BD5E2BD" w14:textId="77777777" w:rsidR="004A6D37" w:rsidRPr="001C4FC1" w:rsidRDefault="004A6D37" w:rsidP="000161BC">
            <w:pPr>
              <w:spacing w:after="0" w:line="240" w:lineRule="auto"/>
              <w:jc w:val="center"/>
              <w:rPr>
                <w:rFonts w:ascii="Arial Narrow" w:eastAsia="Times New Roman" w:hAnsi="Arial Narrow" w:cs="Calibri"/>
                <w:b/>
                <w:bCs/>
                <w:color w:val="000000"/>
                <w:sz w:val="16"/>
                <w:szCs w:val="16"/>
                <w:lang w:eastAsia="sk-SK"/>
              </w:rPr>
            </w:pPr>
            <w:r w:rsidRPr="001C4FC1">
              <w:rPr>
                <w:rFonts w:ascii="Arial Narrow" w:eastAsia="Times New Roman" w:hAnsi="Arial Narrow" w:cs="Calibri"/>
                <w:b/>
                <w:bCs/>
                <w:color w:val="000000"/>
                <w:sz w:val="16"/>
                <w:szCs w:val="16"/>
                <w:lang w:eastAsia="sk-SK"/>
              </w:rPr>
              <w:t>t+15</w:t>
            </w:r>
          </w:p>
        </w:tc>
        <w:tc>
          <w:tcPr>
            <w:tcW w:w="689" w:type="dxa"/>
            <w:tcBorders>
              <w:top w:val="nil"/>
              <w:left w:val="nil"/>
              <w:bottom w:val="single" w:sz="8" w:space="0" w:color="auto"/>
              <w:right w:val="nil"/>
            </w:tcBorders>
            <w:shd w:val="clear" w:color="000000" w:fill="FFFFFF"/>
            <w:vAlign w:val="center"/>
            <w:hideMark/>
          </w:tcPr>
          <w:p w14:paraId="67684BAB" w14:textId="77777777" w:rsidR="004A6D37" w:rsidRPr="001C4FC1" w:rsidRDefault="004A6D37" w:rsidP="000161BC">
            <w:pPr>
              <w:spacing w:after="0" w:line="240" w:lineRule="auto"/>
              <w:jc w:val="center"/>
              <w:rPr>
                <w:rFonts w:ascii="Arial Narrow" w:eastAsia="Times New Roman" w:hAnsi="Arial Narrow" w:cs="Calibri"/>
                <w:b/>
                <w:bCs/>
                <w:color w:val="000000"/>
                <w:sz w:val="16"/>
                <w:szCs w:val="16"/>
                <w:lang w:eastAsia="sk-SK"/>
              </w:rPr>
            </w:pPr>
            <w:r w:rsidRPr="001C4FC1">
              <w:rPr>
                <w:rFonts w:ascii="Arial Narrow" w:eastAsia="Times New Roman" w:hAnsi="Arial Narrow" w:cs="Calibri"/>
                <w:b/>
                <w:bCs/>
                <w:color w:val="000000"/>
                <w:sz w:val="16"/>
                <w:szCs w:val="16"/>
                <w:lang w:eastAsia="sk-SK"/>
              </w:rPr>
              <w:t>2030-2040</w:t>
            </w:r>
          </w:p>
        </w:tc>
      </w:tr>
      <w:tr w:rsidR="004A6D37" w:rsidRPr="001C4FC1" w14:paraId="48F488F0" w14:textId="77777777" w:rsidTr="000161BC">
        <w:trPr>
          <w:trHeight w:val="300"/>
        </w:trPr>
        <w:tc>
          <w:tcPr>
            <w:tcW w:w="382" w:type="dxa"/>
            <w:tcBorders>
              <w:top w:val="nil"/>
              <w:left w:val="nil"/>
              <w:bottom w:val="nil"/>
              <w:right w:val="nil"/>
            </w:tcBorders>
            <w:vAlign w:val="center"/>
            <w:hideMark/>
          </w:tcPr>
          <w:p w14:paraId="553AF1D4"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1</w:t>
            </w:r>
          </w:p>
        </w:tc>
        <w:tc>
          <w:tcPr>
            <w:tcW w:w="3567" w:type="dxa"/>
            <w:tcBorders>
              <w:top w:val="single" w:sz="8" w:space="0" w:color="auto"/>
              <w:left w:val="nil"/>
              <w:bottom w:val="nil"/>
              <w:right w:val="nil"/>
            </w:tcBorders>
            <w:vAlign w:val="center"/>
            <w:hideMark/>
          </w:tcPr>
          <w:p w14:paraId="515C3A17" w14:textId="77777777" w:rsidR="004A6D37" w:rsidRPr="001C4FC1" w:rsidRDefault="004A6D37" w:rsidP="000161BC">
            <w:pPr>
              <w:spacing w:after="0" w:line="240" w:lineRule="auto"/>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Reálny HDP (% rast)</w:t>
            </w:r>
          </w:p>
        </w:tc>
        <w:tc>
          <w:tcPr>
            <w:tcW w:w="560" w:type="dxa"/>
            <w:tcBorders>
              <w:top w:val="nil"/>
              <w:left w:val="nil"/>
              <w:bottom w:val="nil"/>
              <w:right w:val="nil"/>
            </w:tcBorders>
            <w:vAlign w:val="center"/>
            <w:hideMark/>
          </w:tcPr>
          <w:p w14:paraId="5A2D69A8" w14:textId="77777777" w:rsidR="004A6D37" w:rsidRPr="001C4FC1" w:rsidRDefault="004A6D37" w:rsidP="000161BC">
            <w:pPr>
              <w:spacing w:after="0" w:line="240" w:lineRule="auto"/>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MF SR</w:t>
            </w:r>
          </w:p>
        </w:tc>
        <w:tc>
          <w:tcPr>
            <w:tcW w:w="651" w:type="dxa"/>
            <w:tcBorders>
              <w:top w:val="nil"/>
              <w:left w:val="nil"/>
              <w:bottom w:val="nil"/>
              <w:right w:val="nil"/>
            </w:tcBorders>
            <w:vAlign w:val="center"/>
            <w:hideMark/>
          </w:tcPr>
          <w:p w14:paraId="1B3B420D"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0.81</w:t>
            </w:r>
          </w:p>
        </w:tc>
        <w:tc>
          <w:tcPr>
            <w:tcW w:w="651" w:type="dxa"/>
            <w:tcBorders>
              <w:top w:val="nil"/>
              <w:left w:val="nil"/>
              <w:bottom w:val="nil"/>
              <w:right w:val="nil"/>
            </w:tcBorders>
            <w:vAlign w:val="center"/>
            <w:hideMark/>
          </w:tcPr>
          <w:p w14:paraId="4B61B567"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1.01</w:t>
            </w:r>
          </w:p>
        </w:tc>
        <w:tc>
          <w:tcPr>
            <w:tcW w:w="651" w:type="dxa"/>
            <w:tcBorders>
              <w:top w:val="nil"/>
              <w:left w:val="nil"/>
              <w:bottom w:val="nil"/>
              <w:right w:val="nil"/>
            </w:tcBorders>
            <w:vAlign w:val="center"/>
            <w:hideMark/>
          </w:tcPr>
          <w:p w14:paraId="7E791199"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1.17</w:t>
            </w:r>
          </w:p>
        </w:tc>
        <w:tc>
          <w:tcPr>
            <w:tcW w:w="558" w:type="dxa"/>
            <w:tcBorders>
              <w:top w:val="nil"/>
              <w:left w:val="nil"/>
              <w:bottom w:val="nil"/>
              <w:right w:val="nil"/>
            </w:tcBorders>
            <w:vAlign w:val="center"/>
            <w:hideMark/>
          </w:tcPr>
          <w:p w14:paraId="05A50AFA"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1.68</w:t>
            </w:r>
          </w:p>
        </w:tc>
        <w:tc>
          <w:tcPr>
            <w:tcW w:w="546" w:type="dxa"/>
            <w:tcBorders>
              <w:top w:val="nil"/>
              <w:left w:val="nil"/>
              <w:bottom w:val="nil"/>
              <w:right w:val="nil"/>
            </w:tcBorders>
            <w:vAlign w:val="center"/>
            <w:hideMark/>
          </w:tcPr>
          <w:p w14:paraId="27A2DDFB"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1.66</w:t>
            </w:r>
          </w:p>
        </w:tc>
        <w:tc>
          <w:tcPr>
            <w:tcW w:w="815" w:type="dxa"/>
            <w:tcBorders>
              <w:top w:val="nil"/>
              <w:left w:val="nil"/>
              <w:bottom w:val="nil"/>
              <w:right w:val="nil"/>
            </w:tcBorders>
            <w:vAlign w:val="center"/>
            <w:hideMark/>
          </w:tcPr>
          <w:p w14:paraId="2E2AB2C3"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1.51</w:t>
            </w:r>
          </w:p>
        </w:tc>
        <w:tc>
          <w:tcPr>
            <w:tcW w:w="689" w:type="dxa"/>
            <w:tcBorders>
              <w:top w:val="nil"/>
              <w:left w:val="nil"/>
              <w:bottom w:val="nil"/>
              <w:right w:val="nil"/>
            </w:tcBorders>
            <w:vAlign w:val="center"/>
            <w:hideMark/>
          </w:tcPr>
          <w:p w14:paraId="3718AEBE"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1.64</w:t>
            </w:r>
          </w:p>
        </w:tc>
      </w:tr>
      <w:tr w:rsidR="004A6D37" w:rsidRPr="001C4FC1" w14:paraId="11EBF32F" w14:textId="77777777" w:rsidTr="000161BC">
        <w:trPr>
          <w:trHeight w:val="300"/>
        </w:trPr>
        <w:tc>
          <w:tcPr>
            <w:tcW w:w="382" w:type="dxa"/>
            <w:tcBorders>
              <w:top w:val="nil"/>
              <w:left w:val="nil"/>
              <w:bottom w:val="single" w:sz="4" w:space="0" w:color="auto"/>
              <w:right w:val="nil"/>
            </w:tcBorders>
            <w:vAlign w:val="center"/>
            <w:hideMark/>
          </w:tcPr>
          <w:p w14:paraId="683637D3"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 </w:t>
            </w:r>
          </w:p>
        </w:tc>
        <w:tc>
          <w:tcPr>
            <w:tcW w:w="3567" w:type="dxa"/>
            <w:tcBorders>
              <w:top w:val="nil"/>
              <w:left w:val="nil"/>
              <w:bottom w:val="single" w:sz="4" w:space="0" w:color="auto"/>
              <w:right w:val="nil"/>
            </w:tcBorders>
            <w:vAlign w:val="center"/>
            <w:hideMark/>
          </w:tcPr>
          <w:p w14:paraId="0308954A"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 </w:t>
            </w:r>
          </w:p>
        </w:tc>
        <w:tc>
          <w:tcPr>
            <w:tcW w:w="560" w:type="dxa"/>
            <w:tcBorders>
              <w:top w:val="nil"/>
              <w:left w:val="nil"/>
              <w:bottom w:val="single" w:sz="4" w:space="0" w:color="auto"/>
              <w:right w:val="nil"/>
            </w:tcBorders>
            <w:vAlign w:val="center"/>
            <w:hideMark/>
          </w:tcPr>
          <w:p w14:paraId="7B53E01E" w14:textId="77777777" w:rsidR="004A6D37" w:rsidRPr="001C4FC1" w:rsidRDefault="004A6D37" w:rsidP="000161BC">
            <w:pPr>
              <w:spacing w:after="0" w:line="240" w:lineRule="auto"/>
              <w:rPr>
                <w:rFonts w:ascii="Arial Narrow" w:eastAsia="Times New Roman" w:hAnsi="Arial Narrow" w:cs="Calibri"/>
                <w:color w:val="4472C4"/>
                <w:sz w:val="16"/>
                <w:szCs w:val="16"/>
                <w:lang w:eastAsia="sk-SK"/>
              </w:rPr>
            </w:pPr>
            <w:r w:rsidRPr="001C4FC1">
              <w:rPr>
                <w:rFonts w:ascii="Arial Narrow" w:eastAsia="Times New Roman" w:hAnsi="Arial Narrow" w:cs="Calibri"/>
                <w:color w:val="4472C4"/>
                <w:sz w:val="16"/>
                <w:szCs w:val="16"/>
                <w:lang w:eastAsia="sk-SK"/>
              </w:rPr>
              <w:t>EK</w:t>
            </w:r>
          </w:p>
        </w:tc>
        <w:tc>
          <w:tcPr>
            <w:tcW w:w="651" w:type="dxa"/>
            <w:tcBorders>
              <w:top w:val="nil"/>
              <w:left w:val="nil"/>
              <w:bottom w:val="single" w:sz="4" w:space="0" w:color="auto"/>
              <w:right w:val="nil"/>
            </w:tcBorders>
            <w:vAlign w:val="center"/>
            <w:hideMark/>
          </w:tcPr>
          <w:p w14:paraId="5BC9CD7E"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0.80</w:t>
            </w:r>
          </w:p>
        </w:tc>
        <w:tc>
          <w:tcPr>
            <w:tcW w:w="651" w:type="dxa"/>
            <w:tcBorders>
              <w:top w:val="nil"/>
              <w:left w:val="nil"/>
              <w:bottom w:val="single" w:sz="4" w:space="0" w:color="auto"/>
              <w:right w:val="nil"/>
            </w:tcBorders>
            <w:vAlign w:val="center"/>
            <w:hideMark/>
          </w:tcPr>
          <w:p w14:paraId="67DD4F96"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1.00</w:t>
            </w:r>
          </w:p>
        </w:tc>
        <w:tc>
          <w:tcPr>
            <w:tcW w:w="651" w:type="dxa"/>
            <w:tcBorders>
              <w:top w:val="nil"/>
              <w:left w:val="nil"/>
              <w:bottom w:val="single" w:sz="4" w:space="0" w:color="auto"/>
              <w:right w:val="nil"/>
            </w:tcBorders>
            <w:vAlign w:val="center"/>
            <w:hideMark/>
          </w:tcPr>
          <w:p w14:paraId="30430E27"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1.40</w:t>
            </w:r>
          </w:p>
        </w:tc>
        <w:tc>
          <w:tcPr>
            <w:tcW w:w="558" w:type="dxa"/>
            <w:tcBorders>
              <w:top w:val="nil"/>
              <w:left w:val="nil"/>
              <w:bottom w:val="single" w:sz="4" w:space="0" w:color="auto"/>
              <w:right w:val="nil"/>
            </w:tcBorders>
            <w:vAlign w:val="center"/>
            <w:hideMark/>
          </w:tcPr>
          <w:p w14:paraId="1782ADC9"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1.38</w:t>
            </w:r>
          </w:p>
        </w:tc>
        <w:tc>
          <w:tcPr>
            <w:tcW w:w="546" w:type="dxa"/>
            <w:tcBorders>
              <w:top w:val="nil"/>
              <w:left w:val="nil"/>
              <w:bottom w:val="single" w:sz="4" w:space="0" w:color="auto"/>
              <w:right w:val="nil"/>
            </w:tcBorders>
            <w:vAlign w:val="center"/>
            <w:hideMark/>
          </w:tcPr>
          <w:p w14:paraId="0B51B3AA"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1.64</w:t>
            </w:r>
          </w:p>
        </w:tc>
        <w:tc>
          <w:tcPr>
            <w:tcW w:w="815" w:type="dxa"/>
            <w:tcBorders>
              <w:top w:val="nil"/>
              <w:left w:val="nil"/>
              <w:bottom w:val="single" w:sz="4" w:space="0" w:color="auto"/>
              <w:right w:val="nil"/>
            </w:tcBorders>
            <w:vAlign w:val="center"/>
            <w:hideMark/>
          </w:tcPr>
          <w:p w14:paraId="58664AB6"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1.51</w:t>
            </w:r>
          </w:p>
        </w:tc>
        <w:tc>
          <w:tcPr>
            <w:tcW w:w="689" w:type="dxa"/>
            <w:tcBorders>
              <w:top w:val="nil"/>
              <w:left w:val="nil"/>
              <w:bottom w:val="single" w:sz="4" w:space="0" w:color="auto"/>
              <w:right w:val="nil"/>
            </w:tcBorders>
            <w:vAlign w:val="center"/>
            <w:hideMark/>
          </w:tcPr>
          <w:p w14:paraId="674D0CAB"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1.59</w:t>
            </w:r>
          </w:p>
        </w:tc>
      </w:tr>
      <w:tr w:rsidR="004A6D37" w:rsidRPr="001C4FC1" w14:paraId="32C95D7D" w14:textId="77777777" w:rsidTr="000161BC">
        <w:trPr>
          <w:trHeight w:val="300"/>
        </w:trPr>
        <w:tc>
          <w:tcPr>
            <w:tcW w:w="382" w:type="dxa"/>
            <w:tcBorders>
              <w:top w:val="nil"/>
              <w:left w:val="nil"/>
              <w:bottom w:val="nil"/>
              <w:right w:val="nil"/>
            </w:tcBorders>
            <w:vAlign w:val="center"/>
            <w:hideMark/>
          </w:tcPr>
          <w:p w14:paraId="23DD1D9B"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2</w:t>
            </w:r>
          </w:p>
        </w:tc>
        <w:tc>
          <w:tcPr>
            <w:tcW w:w="3567" w:type="dxa"/>
            <w:tcBorders>
              <w:top w:val="single" w:sz="4" w:space="0" w:color="auto"/>
              <w:left w:val="nil"/>
              <w:bottom w:val="nil"/>
              <w:right w:val="nil"/>
            </w:tcBorders>
            <w:vAlign w:val="center"/>
            <w:hideMark/>
          </w:tcPr>
          <w:p w14:paraId="74C57A61" w14:textId="77777777" w:rsidR="004A6D37" w:rsidRPr="001C4FC1" w:rsidRDefault="004A6D37" w:rsidP="000161BC">
            <w:pPr>
              <w:spacing w:after="0" w:line="240" w:lineRule="auto"/>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Potenciálny HDP (% rast)</w:t>
            </w:r>
          </w:p>
        </w:tc>
        <w:tc>
          <w:tcPr>
            <w:tcW w:w="560" w:type="dxa"/>
            <w:tcBorders>
              <w:top w:val="nil"/>
              <w:left w:val="nil"/>
              <w:bottom w:val="nil"/>
              <w:right w:val="nil"/>
            </w:tcBorders>
            <w:vAlign w:val="center"/>
            <w:hideMark/>
          </w:tcPr>
          <w:p w14:paraId="56F4C87C" w14:textId="77777777" w:rsidR="004A6D37" w:rsidRPr="001C4FC1" w:rsidRDefault="004A6D37" w:rsidP="000161BC">
            <w:pPr>
              <w:spacing w:after="0" w:line="240" w:lineRule="auto"/>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MF SR</w:t>
            </w:r>
          </w:p>
        </w:tc>
        <w:tc>
          <w:tcPr>
            <w:tcW w:w="651" w:type="dxa"/>
            <w:tcBorders>
              <w:top w:val="nil"/>
              <w:left w:val="nil"/>
              <w:bottom w:val="nil"/>
              <w:right w:val="nil"/>
            </w:tcBorders>
            <w:vAlign w:val="center"/>
            <w:hideMark/>
          </w:tcPr>
          <w:p w14:paraId="07BC1098"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1.83</w:t>
            </w:r>
          </w:p>
        </w:tc>
        <w:tc>
          <w:tcPr>
            <w:tcW w:w="651" w:type="dxa"/>
            <w:tcBorders>
              <w:top w:val="nil"/>
              <w:left w:val="nil"/>
              <w:bottom w:val="nil"/>
              <w:right w:val="nil"/>
            </w:tcBorders>
            <w:vAlign w:val="center"/>
            <w:hideMark/>
          </w:tcPr>
          <w:p w14:paraId="54D55F00"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2.23</w:t>
            </w:r>
          </w:p>
        </w:tc>
        <w:tc>
          <w:tcPr>
            <w:tcW w:w="651" w:type="dxa"/>
            <w:tcBorders>
              <w:top w:val="nil"/>
              <w:left w:val="nil"/>
              <w:bottom w:val="nil"/>
              <w:right w:val="nil"/>
            </w:tcBorders>
            <w:vAlign w:val="center"/>
            <w:hideMark/>
          </w:tcPr>
          <w:p w14:paraId="18AA5D4B"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1.85</w:t>
            </w:r>
          </w:p>
        </w:tc>
        <w:tc>
          <w:tcPr>
            <w:tcW w:w="558" w:type="dxa"/>
            <w:tcBorders>
              <w:top w:val="nil"/>
              <w:left w:val="nil"/>
              <w:bottom w:val="nil"/>
              <w:right w:val="nil"/>
            </w:tcBorders>
            <w:vAlign w:val="center"/>
            <w:hideMark/>
          </w:tcPr>
          <w:p w14:paraId="5AC9B500"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1.71</w:t>
            </w:r>
          </w:p>
        </w:tc>
        <w:tc>
          <w:tcPr>
            <w:tcW w:w="546" w:type="dxa"/>
            <w:tcBorders>
              <w:top w:val="nil"/>
              <w:left w:val="nil"/>
              <w:bottom w:val="nil"/>
              <w:right w:val="nil"/>
            </w:tcBorders>
            <w:vAlign w:val="center"/>
            <w:hideMark/>
          </w:tcPr>
          <w:p w14:paraId="0731A808"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1.66</w:t>
            </w:r>
          </w:p>
        </w:tc>
        <w:tc>
          <w:tcPr>
            <w:tcW w:w="815" w:type="dxa"/>
            <w:tcBorders>
              <w:top w:val="nil"/>
              <w:left w:val="nil"/>
              <w:bottom w:val="nil"/>
              <w:right w:val="nil"/>
            </w:tcBorders>
            <w:vAlign w:val="center"/>
            <w:hideMark/>
          </w:tcPr>
          <w:p w14:paraId="1707E505"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1.51</w:t>
            </w:r>
          </w:p>
        </w:tc>
        <w:tc>
          <w:tcPr>
            <w:tcW w:w="689" w:type="dxa"/>
            <w:tcBorders>
              <w:top w:val="nil"/>
              <w:left w:val="nil"/>
              <w:bottom w:val="nil"/>
              <w:right w:val="nil"/>
            </w:tcBorders>
            <w:vAlign w:val="center"/>
            <w:hideMark/>
          </w:tcPr>
          <w:p w14:paraId="24E9A771"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1.64</w:t>
            </w:r>
          </w:p>
        </w:tc>
      </w:tr>
      <w:tr w:rsidR="004A6D37" w:rsidRPr="001C4FC1" w14:paraId="5CB9A13D" w14:textId="77777777" w:rsidTr="000161BC">
        <w:trPr>
          <w:trHeight w:val="300"/>
        </w:trPr>
        <w:tc>
          <w:tcPr>
            <w:tcW w:w="382" w:type="dxa"/>
            <w:tcBorders>
              <w:top w:val="nil"/>
              <w:left w:val="nil"/>
              <w:bottom w:val="single" w:sz="4" w:space="0" w:color="auto"/>
              <w:right w:val="nil"/>
            </w:tcBorders>
            <w:vAlign w:val="center"/>
            <w:hideMark/>
          </w:tcPr>
          <w:p w14:paraId="72144A2A"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lastRenderedPageBreak/>
              <w:t> </w:t>
            </w:r>
          </w:p>
        </w:tc>
        <w:tc>
          <w:tcPr>
            <w:tcW w:w="3567" w:type="dxa"/>
            <w:tcBorders>
              <w:top w:val="nil"/>
              <w:left w:val="nil"/>
              <w:bottom w:val="single" w:sz="4" w:space="0" w:color="auto"/>
              <w:right w:val="nil"/>
            </w:tcBorders>
            <w:vAlign w:val="center"/>
            <w:hideMark/>
          </w:tcPr>
          <w:p w14:paraId="0F6E3196"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 </w:t>
            </w:r>
          </w:p>
        </w:tc>
        <w:tc>
          <w:tcPr>
            <w:tcW w:w="560" w:type="dxa"/>
            <w:tcBorders>
              <w:top w:val="nil"/>
              <w:left w:val="nil"/>
              <w:bottom w:val="single" w:sz="4" w:space="0" w:color="auto"/>
              <w:right w:val="nil"/>
            </w:tcBorders>
            <w:vAlign w:val="center"/>
            <w:hideMark/>
          </w:tcPr>
          <w:p w14:paraId="1170F294" w14:textId="77777777" w:rsidR="004A6D37" w:rsidRPr="001C4FC1" w:rsidRDefault="004A6D37" w:rsidP="000161BC">
            <w:pPr>
              <w:spacing w:after="0" w:line="240" w:lineRule="auto"/>
              <w:rPr>
                <w:rFonts w:ascii="Arial Narrow" w:eastAsia="Times New Roman" w:hAnsi="Arial Narrow" w:cs="Calibri"/>
                <w:color w:val="4472C4"/>
                <w:sz w:val="16"/>
                <w:szCs w:val="16"/>
                <w:lang w:eastAsia="sk-SK"/>
              </w:rPr>
            </w:pPr>
            <w:r w:rsidRPr="001C4FC1">
              <w:rPr>
                <w:rFonts w:ascii="Arial Narrow" w:eastAsia="Times New Roman" w:hAnsi="Arial Narrow" w:cs="Calibri"/>
                <w:color w:val="4472C4"/>
                <w:sz w:val="16"/>
                <w:szCs w:val="16"/>
                <w:lang w:eastAsia="sk-SK"/>
              </w:rPr>
              <w:t>EK</w:t>
            </w:r>
          </w:p>
        </w:tc>
        <w:tc>
          <w:tcPr>
            <w:tcW w:w="651" w:type="dxa"/>
            <w:tcBorders>
              <w:top w:val="nil"/>
              <w:left w:val="nil"/>
              <w:bottom w:val="single" w:sz="4" w:space="0" w:color="auto"/>
              <w:right w:val="nil"/>
            </w:tcBorders>
            <w:vAlign w:val="center"/>
            <w:hideMark/>
          </w:tcPr>
          <w:p w14:paraId="3516DC40"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1.53</w:t>
            </w:r>
          </w:p>
        </w:tc>
        <w:tc>
          <w:tcPr>
            <w:tcW w:w="651" w:type="dxa"/>
            <w:tcBorders>
              <w:top w:val="nil"/>
              <w:left w:val="nil"/>
              <w:bottom w:val="single" w:sz="4" w:space="0" w:color="auto"/>
              <w:right w:val="nil"/>
            </w:tcBorders>
            <w:vAlign w:val="center"/>
            <w:hideMark/>
          </w:tcPr>
          <w:p w14:paraId="490C5DD7"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1.44</w:t>
            </w:r>
          </w:p>
        </w:tc>
        <w:tc>
          <w:tcPr>
            <w:tcW w:w="651" w:type="dxa"/>
            <w:tcBorders>
              <w:top w:val="nil"/>
              <w:left w:val="nil"/>
              <w:bottom w:val="single" w:sz="4" w:space="0" w:color="auto"/>
              <w:right w:val="nil"/>
            </w:tcBorders>
            <w:vAlign w:val="center"/>
            <w:hideMark/>
          </w:tcPr>
          <w:p w14:paraId="7A78CBBB"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1.29</w:t>
            </w:r>
          </w:p>
        </w:tc>
        <w:tc>
          <w:tcPr>
            <w:tcW w:w="558" w:type="dxa"/>
            <w:tcBorders>
              <w:top w:val="nil"/>
              <w:left w:val="nil"/>
              <w:bottom w:val="single" w:sz="4" w:space="0" w:color="auto"/>
              <w:right w:val="nil"/>
            </w:tcBorders>
            <w:vAlign w:val="center"/>
            <w:hideMark/>
          </w:tcPr>
          <w:p w14:paraId="072CC1D8"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1.21</w:t>
            </w:r>
          </w:p>
        </w:tc>
        <w:tc>
          <w:tcPr>
            <w:tcW w:w="546" w:type="dxa"/>
            <w:tcBorders>
              <w:top w:val="nil"/>
              <w:left w:val="nil"/>
              <w:bottom w:val="single" w:sz="4" w:space="0" w:color="auto"/>
              <w:right w:val="nil"/>
            </w:tcBorders>
            <w:vAlign w:val="center"/>
            <w:hideMark/>
          </w:tcPr>
          <w:p w14:paraId="5B152727"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1.47</w:t>
            </w:r>
          </w:p>
        </w:tc>
        <w:tc>
          <w:tcPr>
            <w:tcW w:w="815" w:type="dxa"/>
            <w:tcBorders>
              <w:top w:val="nil"/>
              <w:left w:val="nil"/>
              <w:bottom w:val="single" w:sz="4" w:space="0" w:color="auto"/>
              <w:right w:val="nil"/>
            </w:tcBorders>
            <w:vAlign w:val="center"/>
            <w:hideMark/>
          </w:tcPr>
          <w:p w14:paraId="558BD909"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1.51</w:t>
            </w:r>
          </w:p>
        </w:tc>
        <w:tc>
          <w:tcPr>
            <w:tcW w:w="689" w:type="dxa"/>
            <w:tcBorders>
              <w:top w:val="nil"/>
              <w:left w:val="nil"/>
              <w:bottom w:val="single" w:sz="4" w:space="0" w:color="auto"/>
              <w:right w:val="nil"/>
            </w:tcBorders>
            <w:vAlign w:val="center"/>
            <w:hideMark/>
          </w:tcPr>
          <w:p w14:paraId="71120E40"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1.59</w:t>
            </w:r>
          </w:p>
        </w:tc>
      </w:tr>
      <w:tr w:rsidR="004A6D37" w:rsidRPr="001C4FC1" w14:paraId="1795B66C" w14:textId="77777777" w:rsidTr="000161BC">
        <w:trPr>
          <w:trHeight w:val="300"/>
        </w:trPr>
        <w:tc>
          <w:tcPr>
            <w:tcW w:w="382" w:type="dxa"/>
            <w:tcBorders>
              <w:top w:val="nil"/>
              <w:left w:val="nil"/>
              <w:bottom w:val="nil"/>
              <w:right w:val="nil"/>
            </w:tcBorders>
            <w:vAlign w:val="center"/>
            <w:hideMark/>
          </w:tcPr>
          <w:p w14:paraId="586B81E4"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3</w:t>
            </w:r>
          </w:p>
        </w:tc>
        <w:tc>
          <w:tcPr>
            <w:tcW w:w="3567" w:type="dxa"/>
            <w:tcBorders>
              <w:top w:val="single" w:sz="4" w:space="0" w:color="auto"/>
              <w:left w:val="nil"/>
              <w:bottom w:val="nil"/>
              <w:right w:val="nil"/>
            </w:tcBorders>
            <w:vAlign w:val="center"/>
            <w:hideMark/>
          </w:tcPr>
          <w:p w14:paraId="2F62F4C6" w14:textId="77777777" w:rsidR="004A6D37" w:rsidRPr="001C4FC1" w:rsidRDefault="004A6D37" w:rsidP="000161BC">
            <w:pPr>
              <w:spacing w:after="0" w:line="240" w:lineRule="auto"/>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Deflátor HDP (% rast)</w:t>
            </w:r>
          </w:p>
        </w:tc>
        <w:tc>
          <w:tcPr>
            <w:tcW w:w="560" w:type="dxa"/>
            <w:tcBorders>
              <w:top w:val="nil"/>
              <w:left w:val="nil"/>
              <w:bottom w:val="nil"/>
              <w:right w:val="nil"/>
            </w:tcBorders>
            <w:vAlign w:val="center"/>
            <w:hideMark/>
          </w:tcPr>
          <w:p w14:paraId="02552DD2" w14:textId="77777777" w:rsidR="004A6D37" w:rsidRPr="001C4FC1" w:rsidRDefault="004A6D37" w:rsidP="000161BC">
            <w:pPr>
              <w:spacing w:after="0" w:line="240" w:lineRule="auto"/>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MF SR</w:t>
            </w:r>
          </w:p>
        </w:tc>
        <w:tc>
          <w:tcPr>
            <w:tcW w:w="651" w:type="dxa"/>
            <w:tcBorders>
              <w:top w:val="nil"/>
              <w:left w:val="nil"/>
              <w:bottom w:val="nil"/>
              <w:right w:val="nil"/>
            </w:tcBorders>
            <w:vAlign w:val="center"/>
            <w:hideMark/>
          </w:tcPr>
          <w:p w14:paraId="18CB7542"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4.19</w:t>
            </w:r>
          </w:p>
        </w:tc>
        <w:tc>
          <w:tcPr>
            <w:tcW w:w="651" w:type="dxa"/>
            <w:tcBorders>
              <w:top w:val="nil"/>
              <w:left w:val="nil"/>
              <w:bottom w:val="nil"/>
              <w:right w:val="nil"/>
            </w:tcBorders>
            <w:vAlign w:val="center"/>
            <w:hideMark/>
          </w:tcPr>
          <w:p w14:paraId="505E1FA6"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3.72</w:t>
            </w:r>
          </w:p>
        </w:tc>
        <w:tc>
          <w:tcPr>
            <w:tcW w:w="651" w:type="dxa"/>
            <w:tcBorders>
              <w:top w:val="nil"/>
              <w:left w:val="nil"/>
              <w:bottom w:val="nil"/>
              <w:right w:val="nil"/>
            </w:tcBorders>
            <w:vAlign w:val="center"/>
            <w:hideMark/>
          </w:tcPr>
          <w:p w14:paraId="45F0F666"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2.39</w:t>
            </w:r>
          </w:p>
        </w:tc>
        <w:tc>
          <w:tcPr>
            <w:tcW w:w="558" w:type="dxa"/>
            <w:tcBorders>
              <w:top w:val="nil"/>
              <w:left w:val="nil"/>
              <w:bottom w:val="nil"/>
              <w:right w:val="nil"/>
            </w:tcBorders>
            <w:vAlign w:val="center"/>
            <w:hideMark/>
          </w:tcPr>
          <w:p w14:paraId="482991C1"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2.49</w:t>
            </w:r>
          </w:p>
        </w:tc>
        <w:tc>
          <w:tcPr>
            <w:tcW w:w="546" w:type="dxa"/>
            <w:tcBorders>
              <w:top w:val="nil"/>
              <w:left w:val="nil"/>
              <w:bottom w:val="nil"/>
              <w:right w:val="nil"/>
            </w:tcBorders>
            <w:vAlign w:val="center"/>
            <w:hideMark/>
          </w:tcPr>
          <w:p w14:paraId="7DC965C3"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2.00</w:t>
            </w:r>
          </w:p>
        </w:tc>
        <w:tc>
          <w:tcPr>
            <w:tcW w:w="815" w:type="dxa"/>
            <w:tcBorders>
              <w:top w:val="nil"/>
              <w:left w:val="nil"/>
              <w:bottom w:val="nil"/>
              <w:right w:val="nil"/>
            </w:tcBorders>
            <w:vAlign w:val="center"/>
            <w:hideMark/>
          </w:tcPr>
          <w:p w14:paraId="3251E313"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2.00</w:t>
            </w:r>
          </w:p>
        </w:tc>
        <w:tc>
          <w:tcPr>
            <w:tcW w:w="689" w:type="dxa"/>
            <w:tcBorders>
              <w:top w:val="nil"/>
              <w:left w:val="nil"/>
              <w:bottom w:val="nil"/>
              <w:right w:val="nil"/>
            </w:tcBorders>
            <w:vAlign w:val="center"/>
            <w:hideMark/>
          </w:tcPr>
          <w:p w14:paraId="0A8125D9"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2.00</w:t>
            </w:r>
          </w:p>
        </w:tc>
      </w:tr>
      <w:tr w:rsidR="004A6D37" w:rsidRPr="001C4FC1" w14:paraId="577C8F4A" w14:textId="77777777" w:rsidTr="000161BC">
        <w:trPr>
          <w:trHeight w:val="300"/>
        </w:trPr>
        <w:tc>
          <w:tcPr>
            <w:tcW w:w="382" w:type="dxa"/>
            <w:tcBorders>
              <w:top w:val="nil"/>
              <w:left w:val="nil"/>
              <w:bottom w:val="single" w:sz="4" w:space="0" w:color="auto"/>
              <w:right w:val="nil"/>
            </w:tcBorders>
            <w:vAlign w:val="center"/>
            <w:hideMark/>
          </w:tcPr>
          <w:p w14:paraId="658416BD"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 </w:t>
            </w:r>
          </w:p>
        </w:tc>
        <w:tc>
          <w:tcPr>
            <w:tcW w:w="3567" w:type="dxa"/>
            <w:tcBorders>
              <w:top w:val="nil"/>
              <w:left w:val="nil"/>
              <w:bottom w:val="single" w:sz="4" w:space="0" w:color="auto"/>
              <w:right w:val="nil"/>
            </w:tcBorders>
            <w:vAlign w:val="center"/>
            <w:hideMark/>
          </w:tcPr>
          <w:p w14:paraId="176931C5"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 </w:t>
            </w:r>
          </w:p>
        </w:tc>
        <w:tc>
          <w:tcPr>
            <w:tcW w:w="560" w:type="dxa"/>
            <w:tcBorders>
              <w:top w:val="nil"/>
              <w:left w:val="nil"/>
              <w:bottom w:val="single" w:sz="4" w:space="0" w:color="auto"/>
              <w:right w:val="nil"/>
            </w:tcBorders>
            <w:vAlign w:val="center"/>
            <w:hideMark/>
          </w:tcPr>
          <w:p w14:paraId="39A715A1" w14:textId="77777777" w:rsidR="004A6D37" w:rsidRPr="001C4FC1" w:rsidRDefault="004A6D37" w:rsidP="000161BC">
            <w:pPr>
              <w:spacing w:after="0" w:line="240" w:lineRule="auto"/>
              <w:rPr>
                <w:rFonts w:ascii="Arial Narrow" w:eastAsia="Times New Roman" w:hAnsi="Arial Narrow" w:cs="Calibri"/>
                <w:color w:val="4472C4"/>
                <w:sz w:val="16"/>
                <w:szCs w:val="16"/>
                <w:lang w:eastAsia="sk-SK"/>
              </w:rPr>
            </w:pPr>
            <w:r w:rsidRPr="001C4FC1">
              <w:rPr>
                <w:rFonts w:ascii="Arial Narrow" w:eastAsia="Times New Roman" w:hAnsi="Arial Narrow" w:cs="Calibri"/>
                <w:color w:val="4472C4"/>
                <w:sz w:val="16"/>
                <w:szCs w:val="16"/>
                <w:lang w:eastAsia="sk-SK"/>
              </w:rPr>
              <w:t>EK</w:t>
            </w:r>
          </w:p>
        </w:tc>
        <w:tc>
          <w:tcPr>
            <w:tcW w:w="651" w:type="dxa"/>
            <w:tcBorders>
              <w:top w:val="nil"/>
              <w:left w:val="nil"/>
              <w:bottom w:val="single" w:sz="4" w:space="0" w:color="auto"/>
              <w:right w:val="nil"/>
            </w:tcBorders>
            <w:vAlign w:val="center"/>
            <w:hideMark/>
          </w:tcPr>
          <w:p w14:paraId="59F58AC4"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3.80</w:t>
            </w:r>
          </w:p>
        </w:tc>
        <w:tc>
          <w:tcPr>
            <w:tcW w:w="651" w:type="dxa"/>
            <w:tcBorders>
              <w:top w:val="nil"/>
              <w:left w:val="nil"/>
              <w:bottom w:val="single" w:sz="4" w:space="0" w:color="auto"/>
              <w:right w:val="nil"/>
            </w:tcBorders>
            <w:vAlign w:val="center"/>
            <w:hideMark/>
          </w:tcPr>
          <w:p w14:paraId="3BD973C5"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3.60</w:t>
            </w:r>
          </w:p>
        </w:tc>
        <w:tc>
          <w:tcPr>
            <w:tcW w:w="651" w:type="dxa"/>
            <w:tcBorders>
              <w:top w:val="nil"/>
              <w:left w:val="nil"/>
              <w:bottom w:val="single" w:sz="4" w:space="0" w:color="auto"/>
              <w:right w:val="nil"/>
            </w:tcBorders>
            <w:vAlign w:val="center"/>
            <w:hideMark/>
          </w:tcPr>
          <w:p w14:paraId="203B1BFE"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2.90</w:t>
            </w:r>
          </w:p>
        </w:tc>
        <w:tc>
          <w:tcPr>
            <w:tcW w:w="558" w:type="dxa"/>
            <w:tcBorders>
              <w:top w:val="nil"/>
              <w:left w:val="nil"/>
              <w:bottom w:val="single" w:sz="4" w:space="0" w:color="auto"/>
              <w:right w:val="nil"/>
            </w:tcBorders>
            <w:vAlign w:val="center"/>
            <w:hideMark/>
          </w:tcPr>
          <w:p w14:paraId="16ADA76F"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2.94</w:t>
            </w:r>
          </w:p>
        </w:tc>
        <w:tc>
          <w:tcPr>
            <w:tcW w:w="546" w:type="dxa"/>
            <w:tcBorders>
              <w:top w:val="nil"/>
              <w:left w:val="nil"/>
              <w:bottom w:val="single" w:sz="4" w:space="0" w:color="auto"/>
              <w:right w:val="nil"/>
            </w:tcBorders>
            <w:vAlign w:val="center"/>
            <w:hideMark/>
          </w:tcPr>
          <w:p w14:paraId="1EFCFDBB"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2.50</w:t>
            </w:r>
          </w:p>
        </w:tc>
        <w:tc>
          <w:tcPr>
            <w:tcW w:w="815" w:type="dxa"/>
            <w:tcBorders>
              <w:top w:val="nil"/>
              <w:left w:val="nil"/>
              <w:bottom w:val="single" w:sz="4" w:space="0" w:color="auto"/>
              <w:right w:val="nil"/>
            </w:tcBorders>
            <w:vAlign w:val="center"/>
            <w:hideMark/>
          </w:tcPr>
          <w:p w14:paraId="6A9EAF72"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2.36</w:t>
            </w:r>
          </w:p>
        </w:tc>
        <w:tc>
          <w:tcPr>
            <w:tcW w:w="689" w:type="dxa"/>
            <w:tcBorders>
              <w:top w:val="nil"/>
              <w:left w:val="nil"/>
              <w:bottom w:val="single" w:sz="4" w:space="0" w:color="auto"/>
              <w:right w:val="nil"/>
            </w:tcBorders>
            <w:vAlign w:val="center"/>
            <w:hideMark/>
          </w:tcPr>
          <w:p w14:paraId="64BD9150"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2.52</w:t>
            </w:r>
          </w:p>
        </w:tc>
      </w:tr>
      <w:tr w:rsidR="004A6D37" w:rsidRPr="001C4FC1" w14:paraId="6C784ADA" w14:textId="77777777" w:rsidTr="000161BC">
        <w:trPr>
          <w:trHeight w:val="300"/>
        </w:trPr>
        <w:tc>
          <w:tcPr>
            <w:tcW w:w="382" w:type="dxa"/>
            <w:tcBorders>
              <w:top w:val="nil"/>
              <w:left w:val="nil"/>
              <w:bottom w:val="nil"/>
              <w:right w:val="nil"/>
            </w:tcBorders>
            <w:vAlign w:val="center"/>
            <w:hideMark/>
          </w:tcPr>
          <w:p w14:paraId="6091F2EE"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4</w:t>
            </w:r>
          </w:p>
        </w:tc>
        <w:tc>
          <w:tcPr>
            <w:tcW w:w="3567" w:type="dxa"/>
            <w:tcBorders>
              <w:top w:val="single" w:sz="4" w:space="0" w:color="auto"/>
              <w:left w:val="nil"/>
              <w:bottom w:val="nil"/>
              <w:right w:val="nil"/>
            </w:tcBorders>
            <w:vAlign w:val="center"/>
            <w:hideMark/>
          </w:tcPr>
          <w:p w14:paraId="5A2187A0" w14:textId="77777777" w:rsidR="004A6D37" w:rsidRPr="001C4FC1" w:rsidRDefault="004A6D37" w:rsidP="000161BC">
            <w:pPr>
              <w:spacing w:after="0" w:line="240" w:lineRule="auto"/>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Nominálny HDP (% rast)</w:t>
            </w:r>
          </w:p>
        </w:tc>
        <w:tc>
          <w:tcPr>
            <w:tcW w:w="560" w:type="dxa"/>
            <w:tcBorders>
              <w:top w:val="nil"/>
              <w:left w:val="nil"/>
              <w:bottom w:val="nil"/>
              <w:right w:val="nil"/>
            </w:tcBorders>
            <w:vAlign w:val="center"/>
            <w:hideMark/>
          </w:tcPr>
          <w:p w14:paraId="535CE5EE" w14:textId="77777777" w:rsidR="004A6D37" w:rsidRPr="001C4FC1" w:rsidRDefault="004A6D37" w:rsidP="000161BC">
            <w:pPr>
              <w:spacing w:after="0" w:line="240" w:lineRule="auto"/>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MF SR</w:t>
            </w:r>
          </w:p>
        </w:tc>
        <w:tc>
          <w:tcPr>
            <w:tcW w:w="651" w:type="dxa"/>
            <w:tcBorders>
              <w:top w:val="nil"/>
              <w:left w:val="nil"/>
              <w:bottom w:val="nil"/>
              <w:right w:val="nil"/>
            </w:tcBorders>
            <w:vAlign w:val="center"/>
            <w:hideMark/>
          </w:tcPr>
          <w:p w14:paraId="2DEDCF60"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5.03</w:t>
            </w:r>
          </w:p>
        </w:tc>
        <w:tc>
          <w:tcPr>
            <w:tcW w:w="651" w:type="dxa"/>
            <w:tcBorders>
              <w:top w:val="nil"/>
              <w:left w:val="nil"/>
              <w:bottom w:val="nil"/>
              <w:right w:val="nil"/>
            </w:tcBorders>
            <w:vAlign w:val="center"/>
            <w:hideMark/>
          </w:tcPr>
          <w:p w14:paraId="17396FA4"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4.76</w:t>
            </w:r>
          </w:p>
        </w:tc>
        <w:tc>
          <w:tcPr>
            <w:tcW w:w="651" w:type="dxa"/>
            <w:tcBorders>
              <w:top w:val="nil"/>
              <w:left w:val="nil"/>
              <w:bottom w:val="nil"/>
              <w:right w:val="nil"/>
            </w:tcBorders>
            <w:vAlign w:val="center"/>
            <w:hideMark/>
          </w:tcPr>
          <w:p w14:paraId="117CB149"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3.59</w:t>
            </w:r>
          </w:p>
        </w:tc>
        <w:tc>
          <w:tcPr>
            <w:tcW w:w="558" w:type="dxa"/>
            <w:tcBorders>
              <w:top w:val="nil"/>
              <w:left w:val="nil"/>
              <w:bottom w:val="nil"/>
              <w:right w:val="nil"/>
            </w:tcBorders>
            <w:vAlign w:val="center"/>
            <w:hideMark/>
          </w:tcPr>
          <w:p w14:paraId="77A9F4AA"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4.21</w:t>
            </w:r>
          </w:p>
        </w:tc>
        <w:tc>
          <w:tcPr>
            <w:tcW w:w="546" w:type="dxa"/>
            <w:tcBorders>
              <w:top w:val="nil"/>
              <w:left w:val="nil"/>
              <w:bottom w:val="nil"/>
              <w:right w:val="nil"/>
            </w:tcBorders>
            <w:vAlign w:val="center"/>
            <w:hideMark/>
          </w:tcPr>
          <w:p w14:paraId="4E1C11F9"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3.69</w:t>
            </w:r>
          </w:p>
        </w:tc>
        <w:tc>
          <w:tcPr>
            <w:tcW w:w="815" w:type="dxa"/>
            <w:tcBorders>
              <w:top w:val="nil"/>
              <w:left w:val="nil"/>
              <w:bottom w:val="nil"/>
              <w:right w:val="nil"/>
            </w:tcBorders>
            <w:vAlign w:val="center"/>
            <w:hideMark/>
          </w:tcPr>
          <w:p w14:paraId="25EA4CCF"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1.51</w:t>
            </w:r>
          </w:p>
        </w:tc>
        <w:tc>
          <w:tcPr>
            <w:tcW w:w="689" w:type="dxa"/>
            <w:tcBorders>
              <w:top w:val="nil"/>
              <w:left w:val="nil"/>
              <w:bottom w:val="nil"/>
              <w:right w:val="nil"/>
            </w:tcBorders>
            <w:vAlign w:val="center"/>
            <w:hideMark/>
          </w:tcPr>
          <w:p w14:paraId="28916263"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1.64</w:t>
            </w:r>
          </w:p>
        </w:tc>
      </w:tr>
      <w:tr w:rsidR="004A6D37" w:rsidRPr="001C4FC1" w14:paraId="2534347D" w14:textId="77777777" w:rsidTr="000161BC">
        <w:trPr>
          <w:trHeight w:val="300"/>
        </w:trPr>
        <w:tc>
          <w:tcPr>
            <w:tcW w:w="382" w:type="dxa"/>
            <w:tcBorders>
              <w:top w:val="nil"/>
              <w:left w:val="nil"/>
              <w:bottom w:val="single" w:sz="4" w:space="0" w:color="auto"/>
              <w:right w:val="nil"/>
            </w:tcBorders>
            <w:vAlign w:val="center"/>
            <w:hideMark/>
          </w:tcPr>
          <w:p w14:paraId="5DDC73B2"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 </w:t>
            </w:r>
          </w:p>
        </w:tc>
        <w:tc>
          <w:tcPr>
            <w:tcW w:w="3567" w:type="dxa"/>
            <w:tcBorders>
              <w:top w:val="nil"/>
              <w:left w:val="nil"/>
              <w:bottom w:val="single" w:sz="4" w:space="0" w:color="auto"/>
              <w:right w:val="nil"/>
            </w:tcBorders>
            <w:vAlign w:val="center"/>
            <w:hideMark/>
          </w:tcPr>
          <w:p w14:paraId="6D4F6015"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 </w:t>
            </w:r>
          </w:p>
        </w:tc>
        <w:tc>
          <w:tcPr>
            <w:tcW w:w="560" w:type="dxa"/>
            <w:tcBorders>
              <w:top w:val="nil"/>
              <w:left w:val="nil"/>
              <w:bottom w:val="single" w:sz="4" w:space="0" w:color="auto"/>
              <w:right w:val="nil"/>
            </w:tcBorders>
            <w:vAlign w:val="center"/>
            <w:hideMark/>
          </w:tcPr>
          <w:p w14:paraId="1925FF77" w14:textId="77777777" w:rsidR="004A6D37" w:rsidRPr="001C4FC1" w:rsidRDefault="004A6D37" w:rsidP="000161BC">
            <w:pPr>
              <w:spacing w:after="0" w:line="240" w:lineRule="auto"/>
              <w:rPr>
                <w:rFonts w:ascii="Arial Narrow" w:eastAsia="Times New Roman" w:hAnsi="Arial Narrow" w:cs="Calibri"/>
                <w:color w:val="4472C4"/>
                <w:sz w:val="16"/>
                <w:szCs w:val="16"/>
                <w:lang w:eastAsia="sk-SK"/>
              </w:rPr>
            </w:pPr>
            <w:r w:rsidRPr="001C4FC1">
              <w:rPr>
                <w:rFonts w:ascii="Arial Narrow" w:eastAsia="Times New Roman" w:hAnsi="Arial Narrow" w:cs="Calibri"/>
                <w:color w:val="4472C4"/>
                <w:sz w:val="16"/>
                <w:szCs w:val="16"/>
                <w:lang w:eastAsia="sk-SK"/>
              </w:rPr>
              <w:t>EK</w:t>
            </w:r>
          </w:p>
        </w:tc>
        <w:tc>
          <w:tcPr>
            <w:tcW w:w="651" w:type="dxa"/>
            <w:tcBorders>
              <w:top w:val="nil"/>
              <w:left w:val="nil"/>
              <w:bottom w:val="single" w:sz="4" w:space="0" w:color="auto"/>
              <w:right w:val="nil"/>
            </w:tcBorders>
            <w:vAlign w:val="center"/>
            <w:hideMark/>
          </w:tcPr>
          <w:p w14:paraId="61C63931"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4.94</w:t>
            </w:r>
          </w:p>
        </w:tc>
        <w:tc>
          <w:tcPr>
            <w:tcW w:w="651" w:type="dxa"/>
            <w:tcBorders>
              <w:top w:val="nil"/>
              <w:left w:val="nil"/>
              <w:bottom w:val="single" w:sz="4" w:space="0" w:color="auto"/>
              <w:right w:val="nil"/>
            </w:tcBorders>
            <w:vAlign w:val="center"/>
            <w:hideMark/>
          </w:tcPr>
          <w:p w14:paraId="0C8CF927"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4.33</w:t>
            </w:r>
          </w:p>
        </w:tc>
        <w:tc>
          <w:tcPr>
            <w:tcW w:w="651" w:type="dxa"/>
            <w:tcBorders>
              <w:top w:val="nil"/>
              <w:left w:val="nil"/>
              <w:bottom w:val="single" w:sz="4" w:space="0" w:color="auto"/>
              <w:right w:val="nil"/>
            </w:tcBorders>
            <w:vAlign w:val="center"/>
            <w:hideMark/>
          </w:tcPr>
          <w:p w14:paraId="173EF34F"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4.13</w:t>
            </w:r>
          </w:p>
        </w:tc>
        <w:tc>
          <w:tcPr>
            <w:tcW w:w="558" w:type="dxa"/>
            <w:tcBorders>
              <w:top w:val="nil"/>
              <w:left w:val="nil"/>
              <w:bottom w:val="single" w:sz="4" w:space="0" w:color="auto"/>
              <w:right w:val="nil"/>
            </w:tcBorders>
            <w:vAlign w:val="center"/>
            <w:hideMark/>
          </w:tcPr>
          <w:p w14:paraId="6508E2A2"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4.36</w:t>
            </w:r>
          </w:p>
        </w:tc>
        <w:tc>
          <w:tcPr>
            <w:tcW w:w="546" w:type="dxa"/>
            <w:tcBorders>
              <w:top w:val="nil"/>
              <w:left w:val="nil"/>
              <w:bottom w:val="single" w:sz="4" w:space="0" w:color="auto"/>
              <w:right w:val="nil"/>
            </w:tcBorders>
            <w:vAlign w:val="center"/>
            <w:hideMark/>
          </w:tcPr>
          <w:p w14:paraId="20EB3EE4"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4.17</w:t>
            </w:r>
          </w:p>
        </w:tc>
        <w:tc>
          <w:tcPr>
            <w:tcW w:w="815" w:type="dxa"/>
            <w:tcBorders>
              <w:top w:val="nil"/>
              <w:left w:val="nil"/>
              <w:bottom w:val="single" w:sz="4" w:space="0" w:color="auto"/>
              <w:right w:val="nil"/>
            </w:tcBorders>
            <w:vAlign w:val="center"/>
            <w:hideMark/>
          </w:tcPr>
          <w:p w14:paraId="7BD862BA"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3.90</w:t>
            </w:r>
          </w:p>
        </w:tc>
        <w:tc>
          <w:tcPr>
            <w:tcW w:w="689" w:type="dxa"/>
            <w:tcBorders>
              <w:top w:val="nil"/>
              <w:left w:val="nil"/>
              <w:bottom w:val="single" w:sz="4" w:space="0" w:color="auto"/>
              <w:right w:val="nil"/>
            </w:tcBorders>
            <w:vAlign w:val="center"/>
            <w:hideMark/>
          </w:tcPr>
          <w:p w14:paraId="375078B9"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4.15</w:t>
            </w:r>
          </w:p>
        </w:tc>
      </w:tr>
      <w:tr w:rsidR="004A6D37" w:rsidRPr="001C4FC1" w14:paraId="63007637" w14:textId="77777777" w:rsidTr="000161BC">
        <w:trPr>
          <w:trHeight w:val="330"/>
        </w:trPr>
        <w:tc>
          <w:tcPr>
            <w:tcW w:w="382" w:type="dxa"/>
            <w:tcBorders>
              <w:top w:val="nil"/>
              <w:left w:val="nil"/>
              <w:bottom w:val="nil"/>
              <w:right w:val="nil"/>
            </w:tcBorders>
            <w:vAlign w:val="center"/>
            <w:hideMark/>
          </w:tcPr>
          <w:p w14:paraId="5ECE6CBC"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5</w:t>
            </w:r>
          </w:p>
        </w:tc>
        <w:tc>
          <w:tcPr>
            <w:tcW w:w="3567" w:type="dxa"/>
            <w:tcBorders>
              <w:top w:val="single" w:sz="4" w:space="0" w:color="auto"/>
              <w:left w:val="nil"/>
              <w:bottom w:val="nil"/>
              <w:right w:val="nil"/>
            </w:tcBorders>
            <w:vAlign w:val="center"/>
            <w:hideMark/>
          </w:tcPr>
          <w:p w14:paraId="302E5385" w14:textId="77777777" w:rsidR="004A6D37" w:rsidRPr="001C4FC1" w:rsidRDefault="004A6D37" w:rsidP="000161BC">
            <w:pPr>
              <w:spacing w:after="0" w:line="240" w:lineRule="auto"/>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Dlhodobá úroková miera (%, ročný priemer)</w:t>
            </w:r>
          </w:p>
        </w:tc>
        <w:tc>
          <w:tcPr>
            <w:tcW w:w="560" w:type="dxa"/>
            <w:tcBorders>
              <w:top w:val="nil"/>
              <w:left w:val="nil"/>
              <w:bottom w:val="nil"/>
              <w:right w:val="nil"/>
            </w:tcBorders>
            <w:vAlign w:val="center"/>
            <w:hideMark/>
          </w:tcPr>
          <w:p w14:paraId="7C46EC61" w14:textId="77777777" w:rsidR="004A6D37" w:rsidRPr="001C4FC1" w:rsidRDefault="004A6D37" w:rsidP="000161BC">
            <w:pPr>
              <w:spacing w:after="0" w:line="240" w:lineRule="auto"/>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MF SR</w:t>
            </w:r>
          </w:p>
        </w:tc>
        <w:tc>
          <w:tcPr>
            <w:tcW w:w="651" w:type="dxa"/>
            <w:tcBorders>
              <w:top w:val="nil"/>
              <w:left w:val="nil"/>
              <w:bottom w:val="nil"/>
              <w:right w:val="nil"/>
            </w:tcBorders>
            <w:vAlign w:val="center"/>
            <w:hideMark/>
          </w:tcPr>
          <w:p w14:paraId="47E747FD"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3.49</w:t>
            </w:r>
          </w:p>
        </w:tc>
        <w:tc>
          <w:tcPr>
            <w:tcW w:w="651" w:type="dxa"/>
            <w:tcBorders>
              <w:top w:val="nil"/>
              <w:left w:val="nil"/>
              <w:bottom w:val="nil"/>
              <w:right w:val="nil"/>
            </w:tcBorders>
            <w:vAlign w:val="center"/>
            <w:hideMark/>
          </w:tcPr>
          <w:p w14:paraId="0EC18D67"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3.62</w:t>
            </w:r>
          </w:p>
        </w:tc>
        <w:tc>
          <w:tcPr>
            <w:tcW w:w="651" w:type="dxa"/>
            <w:tcBorders>
              <w:top w:val="nil"/>
              <w:left w:val="nil"/>
              <w:bottom w:val="nil"/>
              <w:right w:val="nil"/>
            </w:tcBorders>
            <w:vAlign w:val="center"/>
            <w:hideMark/>
          </w:tcPr>
          <w:p w14:paraId="325A6FC0"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3.62</w:t>
            </w:r>
          </w:p>
        </w:tc>
        <w:tc>
          <w:tcPr>
            <w:tcW w:w="558" w:type="dxa"/>
            <w:tcBorders>
              <w:top w:val="nil"/>
              <w:left w:val="nil"/>
              <w:bottom w:val="nil"/>
              <w:right w:val="nil"/>
            </w:tcBorders>
            <w:vAlign w:val="center"/>
            <w:hideMark/>
          </w:tcPr>
          <w:p w14:paraId="527DEF97"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3.64</w:t>
            </w:r>
          </w:p>
        </w:tc>
        <w:tc>
          <w:tcPr>
            <w:tcW w:w="546" w:type="dxa"/>
            <w:tcBorders>
              <w:top w:val="nil"/>
              <w:left w:val="nil"/>
              <w:bottom w:val="nil"/>
              <w:right w:val="nil"/>
            </w:tcBorders>
            <w:vAlign w:val="center"/>
            <w:hideMark/>
          </w:tcPr>
          <w:p w14:paraId="445D61B3"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3.40</w:t>
            </w:r>
          </w:p>
        </w:tc>
        <w:tc>
          <w:tcPr>
            <w:tcW w:w="815" w:type="dxa"/>
            <w:tcBorders>
              <w:top w:val="nil"/>
              <w:left w:val="nil"/>
              <w:bottom w:val="nil"/>
              <w:right w:val="nil"/>
            </w:tcBorders>
            <w:vAlign w:val="center"/>
            <w:hideMark/>
          </w:tcPr>
          <w:p w14:paraId="4D79F4CE"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3.41</w:t>
            </w:r>
          </w:p>
        </w:tc>
        <w:tc>
          <w:tcPr>
            <w:tcW w:w="689" w:type="dxa"/>
            <w:tcBorders>
              <w:top w:val="nil"/>
              <w:left w:val="nil"/>
              <w:bottom w:val="nil"/>
              <w:right w:val="nil"/>
            </w:tcBorders>
            <w:vAlign w:val="center"/>
            <w:hideMark/>
          </w:tcPr>
          <w:p w14:paraId="5AB16870"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3.40</w:t>
            </w:r>
          </w:p>
        </w:tc>
      </w:tr>
      <w:tr w:rsidR="004A6D37" w:rsidRPr="001C4FC1" w14:paraId="42AC5B5B" w14:textId="77777777" w:rsidTr="000161BC">
        <w:trPr>
          <w:trHeight w:val="330"/>
        </w:trPr>
        <w:tc>
          <w:tcPr>
            <w:tcW w:w="382" w:type="dxa"/>
            <w:tcBorders>
              <w:top w:val="nil"/>
              <w:left w:val="nil"/>
              <w:bottom w:val="single" w:sz="4" w:space="0" w:color="auto"/>
              <w:right w:val="nil"/>
            </w:tcBorders>
            <w:vAlign w:val="center"/>
            <w:hideMark/>
          </w:tcPr>
          <w:p w14:paraId="23C3FA8B"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 </w:t>
            </w:r>
          </w:p>
        </w:tc>
        <w:tc>
          <w:tcPr>
            <w:tcW w:w="3567" w:type="dxa"/>
            <w:tcBorders>
              <w:top w:val="nil"/>
              <w:left w:val="nil"/>
              <w:bottom w:val="single" w:sz="4" w:space="0" w:color="auto"/>
              <w:right w:val="nil"/>
            </w:tcBorders>
            <w:vAlign w:val="center"/>
            <w:hideMark/>
          </w:tcPr>
          <w:p w14:paraId="306F62D1"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 </w:t>
            </w:r>
          </w:p>
        </w:tc>
        <w:tc>
          <w:tcPr>
            <w:tcW w:w="560" w:type="dxa"/>
            <w:tcBorders>
              <w:top w:val="nil"/>
              <w:left w:val="nil"/>
              <w:bottom w:val="single" w:sz="4" w:space="0" w:color="auto"/>
              <w:right w:val="nil"/>
            </w:tcBorders>
            <w:vAlign w:val="center"/>
            <w:hideMark/>
          </w:tcPr>
          <w:p w14:paraId="3C2EA7DE" w14:textId="77777777" w:rsidR="004A6D37" w:rsidRPr="001C4FC1" w:rsidRDefault="004A6D37" w:rsidP="000161BC">
            <w:pPr>
              <w:spacing w:after="0" w:line="240" w:lineRule="auto"/>
              <w:rPr>
                <w:rFonts w:ascii="Arial Narrow" w:eastAsia="Times New Roman" w:hAnsi="Arial Narrow" w:cs="Calibri"/>
                <w:color w:val="4472C4"/>
                <w:sz w:val="16"/>
                <w:szCs w:val="16"/>
                <w:lang w:eastAsia="sk-SK"/>
              </w:rPr>
            </w:pPr>
            <w:r w:rsidRPr="001C4FC1">
              <w:rPr>
                <w:rFonts w:ascii="Arial Narrow" w:eastAsia="Times New Roman" w:hAnsi="Arial Narrow" w:cs="Calibri"/>
                <w:color w:val="4472C4"/>
                <w:sz w:val="16"/>
                <w:szCs w:val="16"/>
                <w:lang w:eastAsia="sk-SK"/>
              </w:rPr>
              <w:t>EK</w:t>
            </w:r>
          </w:p>
        </w:tc>
        <w:tc>
          <w:tcPr>
            <w:tcW w:w="651" w:type="dxa"/>
            <w:tcBorders>
              <w:top w:val="nil"/>
              <w:left w:val="nil"/>
              <w:bottom w:val="single" w:sz="4" w:space="0" w:color="auto"/>
              <w:right w:val="nil"/>
            </w:tcBorders>
            <w:vAlign w:val="center"/>
            <w:hideMark/>
          </w:tcPr>
          <w:p w14:paraId="64EAD579"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3.78</w:t>
            </w:r>
          </w:p>
        </w:tc>
        <w:tc>
          <w:tcPr>
            <w:tcW w:w="651" w:type="dxa"/>
            <w:tcBorders>
              <w:top w:val="nil"/>
              <w:left w:val="nil"/>
              <w:bottom w:val="single" w:sz="4" w:space="0" w:color="auto"/>
              <w:right w:val="nil"/>
            </w:tcBorders>
            <w:vAlign w:val="center"/>
            <w:hideMark/>
          </w:tcPr>
          <w:p w14:paraId="200C7D64"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3.83</w:t>
            </w:r>
          </w:p>
        </w:tc>
        <w:tc>
          <w:tcPr>
            <w:tcW w:w="651" w:type="dxa"/>
            <w:tcBorders>
              <w:top w:val="nil"/>
              <w:left w:val="nil"/>
              <w:bottom w:val="single" w:sz="4" w:space="0" w:color="auto"/>
              <w:right w:val="nil"/>
            </w:tcBorders>
            <w:vAlign w:val="center"/>
            <w:hideMark/>
          </w:tcPr>
          <w:p w14:paraId="1A333787"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3.88</w:t>
            </w:r>
          </w:p>
        </w:tc>
        <w:tc>
          <w:tcPr>
            <w:tcW w:w="558" w:type="dxa"/>
            <w:tcBorders>
              <w:top w:val="nil"/>
              <w:left w:val="nil"/>
              <w:bottom w:val="single" w:sz="4" w:space="0" w:color="auto"/>
              <w:right w:val="nil"/>
            </w:tcBorders>
            <w:vAlign w:val="center"/>
            <w:hideMark/>
          </w:tcPr>
          <w:p w14:paraId="39E5F37C"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3.93</w:t>
            </w:r>
          </w:p>
        </w:tc>
        <w:tc>
          <w:tcPr>
            <w:tcW w:w="546" w:type="dxa"/>
            <w:tcBorders>
              <w:top w:val="nil"/>
              <w:left w:val="nil"/>
              <w:bottom w:val="single" w:sz="4" w:space="0" w:color="auto"/>
              <w:right w:val="nil"/>
            </w:tcBorders>
            <w:vAlign w:val="center"/>
            <w:hideMark/>
          </w:tcPr>
          <w:p w14:paraId="45BAB3CA"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4.16</w:t>
            </w:r>
          </w:p>
        </w:tc>
        <w:tc>
          <w:tcPr>
            <w:tcW w:w="815" w:type="dxa"/>
            <w:tcBorders>
              <w:top w:val="nil"/>
              <w:left w:val="nil"/>
              <w:bottom w:val="single" w:sz="4" w:space="0" w:color="auto"/>
              <w:right w:val="nil"/>
            </w:tcBorders>
            <w:vAlign w:val="center"/>
            <w:hideMark/>
          </w:tcPr>
          <w:p w14:paraId="26901AC2"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4.11</w:t>
            </w:r>
          </w:p>
        </w:tc>
        <w:tc>
          <w:tcPr>
            <w:tcW w:w="689" w:type="dxa"/>
            <w:tcBorders>
              <w:top w:val="nil"/>
              <w:left w:val="nil"/>
              <w:bottom w:val="single" w:sz="4" w:space="0" w:color="auto"/>
              <w:right w:val="nil"/>
            </w:tcBorders>
            <w:vAlign w:val="center"/>
            <w:hideMark/>
          </w:tcPr>
          <w:p w14:paraId="015F5E2B"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4.12</w:t>
            </w:r>
          </w:p>
        </w:tc>
      </w:tr>
      <w:tr w:rsidR="004A6D37" w:rsidRPr="001C4FC1" w14:paraId="6918C570" w14:textId="77777777" w:rsidTr="000161BC">
        <w:trPr>
          <w:trHeight w:val="300"/>
        </w:trPr>
        <w:tc>
          <w:tcPr>
            <w:tcW w:w="382" w:type="dxa"/>
            <w:tcBorders>
              <w:top w:val="nil"/>
              <w:left w:val="nil"/>
              <w:bottom w:val="nil"/>
              <w:right w:val="nil"/>
            </w:tcBorders>
            <w:vAlign w:val="center"/>
            <w:hideMark/>
          </w:tcPr>
          <w:p w14:paraId="693993B0"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6</w:t>
            </w:r>
          </w:p>
        </w:tc>
        <w:tc>
          <w:tcPr>
            <w:tcW w:w="3567" w:type="dxa"/>
            <w:tcBorders>
              <w:top w:val="single" w:sz="4" w:space="0" w:color="auto"/>
              <w:left w:val="nil"/>
              <w:bottom w:val="nil"/>
              <w:right w:val="nil"/>
            </w:tcBorders>
            <w:vAlign w:val="center"/>
            <w:hideMark/>
          </w:tcPr>
          <w:p w14:paraId="60E3C63D" w14:textId="77777777" w:rsidR="004A6D37" w:rsidRPr="001C4FC1" w:rsidRDefault="004A6D37" w:rsidP="000161BC">
            <w:pPr>
              <w:spacing w:after="0" w:line="240" w:lineRule="auto"/>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Krátkodobá úroková miera (%, ročný priemer)</w:t>
            </w:r>
          </w:p>
        </w:tc>
        <w:tc>
          <w:tcPr>
            <w:tcW w:w="560" w:type="dxa"/>
            <w:tcBorders>
              <w:top w:val="nil"/>
              <w:left w:val="nil"/>
              <w:bottom w:val="nil"/>
              <w:right w:val="nil"/>
            </w:tcBorders>
            <w:vAlign w:val="center"/>
            <w:hideMark/>
          </w:tcPr>
          <w:p w14:paraId="1D39034E" w14:textId="77777777" w:rsidR="004A6D37" w:rsidRPr="001C4FC1" w:rsidRDefault="004A6D37" w:rsidP="000161BC">
            <w:pPr>
              <w:spacing w:after="0" w:line="240" w:lineRule="auto"/>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MF SR</w:t>
            </w:r>
          </w:p>
        </w:tc>
        <w:tc>
          <w:tcPr>
            <w:tcW w:w="651" w:type="dxa"/>
            <w:tcBorders>
              <w:top w:val="nil"/>
              <w:left w:val="nil"/>
              <w:bottom w:val="nil"/>
              <w:right w:val="nil"/>
            </w:tcBorders>
            <w:vAlign w:val="center"/>
            <w:hideMark/>
          </w:tcPr>
          <w:p w14:paraId="2F408574"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2.18</w:t>
            </w:r>
          </w:p>
        </w:tc>
        <w:tc>
          <w:tcPr>
            <w:tcW w:w="651" w:type="dxa"/>
            <w:tcBorders>
              <w:top w:val="nil"/>
              <w:left w:val="nil"/>
              <w:bottom w:val="nil"/>
              <w:right w:val="nil"/>
            </w:tcBorders>
            <w:vAlign w:val="center"/>
            <w:hideMark/>
          </w:tcPr>
          <w:p w14:paraId="594C7CDE"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2.05</w:t>
            </w:r>
          </w:p>
        </w:tc>
        <w:tc>
          <w:tcPr>
            <w:tcW w:w="651" w:type="dxa"/>
            <w:tcBorders>
              <w:top w:val="nil"/>
              <w:left w:val="nil"/>
              <w:bottom w:val="nil"/>
              <w:right w:val="nil"/>
            </w:tcBorders>
            <w:vAlign w:val="center"/>
            <w:hideMark/>
          </w:tcPr>
          <w:p w14:paraId="665F46A9"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2.08</w:t>
            </w:r>
          </w:p>
        </w:tc>
        <w:tc>
          <w:tcPr>
            <w:tcW w:w="558" w:type="dxa"/>
            <w:tcBorders>
              <w:top w:val="nil"/>
              <w:left w:val="nil"/>
              <w:bottom w:val="nil"/>
              <w:right w:val="nil"/>
            </w:tcBorders>
            <w:vAlign w:val="center"/>
            <w:hideMark/>
          </w:tcPr>
          <w:p w14:paraId="70269E74"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2.17</w:t>
            </w:r>
          </w:p>
        </w:tc>
        <w:tc>
          <w:tcPr>
            <w:tcW w:w="546" w:type="dxa"/>
            <w:tcBorders>
              <w:top w:val="nil"/>
              <w:left w:val="nil"/>
              <w:bottom w:val="nil"/>
              <w:right w:val="nil"/>
            </w:tcBorders>
            <w:vAlign w:val="center"/>
            <w:hideMark/>
          </w:tcPr>
          <w:p w14:paraId="1499B8E9"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2.26</w:t>
            </w:r>
          </w:p>
        </w:tc>
        <w:tc>
          <w:tcPr>
            <w:tcW w:w="815" w:type="dxa"/>
            <w:tcBorders>
              <w:top w:val="nil"/>
              <w:left w:val="nil"/>
              <w:bottom w:val="nil"/>
              <w:right w:val="nil"/>
            </w:tcBorders>
            <w:vAlign w:val="center"/>
            <w:hideMark/>
          </w:tcPr>
          <w:p w14:paraId="6857845B"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2.34</w:t>
            </w:r>
          </w:p>
        </w:tc>
        <w:tc>
          <w:tcPr>
            <w:tcW w:w="689" w:type="dxa"/>
            <w:tcBorders>
              <w:top w:val="nil"/>
              <w:left w:val="nil"/>
              <w:bottom w:val="nil"/>
              <w:right w:val="nil"/>
            </w:tcBorders>
            <w:vAlign w:val="center"/>
            <w:hideMark/>
          </w:tcPr>
          <w:p w14:paraId="007D7C5E" w14:textId="77777777" w:rsidR="004A6D37" w:rsidRPr="001C4FC1" w:rsidRDefault="004A6D37" w:rsidP="000161BC">
            <w:pPr>
              <w:spacing w:after="0" w:line="240" w:lineRule="auto"/>
              <w:jc w:val="center"/>
              <w:rPr>
                <w:rFonts w:ascii="Arial Narrow" w:eastAsia="Times New Roman" w:hAnsi="Arial Narrow" w:cs="Calibri"/>
                <w:color w:val="000000"/>
                <w:sz w:val="16"/>
                <w:szCs w:val="16"/>
                <w:lang w:eastAsia="sk-SK"/>
              </w:rPr>
            </w:pPr>
            <w:r w:rsidRPr="001C4FC1">
              <w:rPr>
                <w:rFonts w:ascii="Arial Narrow" w:hAnsi="Arial Narrow" w:cs="Calibri"/>
                <w:color w:val="000000"/>
                <w:sz w:val="16"/>
                <w:szCs w:val="16"/>
              </w:rPr>
              <w:t>2.27</w:t>
            </w:r>
          </w:p>
        </w:tc>
      </w:tr>
      <w:tr w:rsidR="004A6D37" w:rsidRPr="001C4FC1" w14:paraId="07F6F748" w14:textId="77777777" w:rsidTr="000161BC">
        <w:trPr>
          <w:trHeight w:val="315"/>
        </w:trPr>
        <w:tc>
          <w:tcPr>
            <w:tcW w:w="382" w:type="dxa"/>
            <w:tcBorders>
              <w:top w:val="nil"/>
              <w:left w:val="nil"/>
              <w:bottom w:val="single" w:sz="8" w:space="0" w:color="auto"/>
              <w:right w:val="nil"/>
            </w:tcBorders>
            <w:noWrap/>
            <w:vAlign w:val="bottom"/>
            <w:hideMark/>
          </w:tcPr>
          <w:p w14:paraId="765B48BB" w14:textId="77777777" w:rsidR="004A6D37" w:rsidRPr="001C4FC1" w:rsidRDefault="004A6D37" w:rsidP="000161BC">
            <w:pPr>
              <w:spacing w:after="0" w:line="240" w:lineRule="auto"/>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 </w:t>
            </w:r>
          </w:p>
        </w:tc>
        <w:tc>
          <w:tcPr>
            <w:tcW w:w="3567" w:type="dxa"/>
            <w:tcBorders>
              <w:top w:val="nil"/>
              <w:left w:val="nil"/>
              <w:bottom w:val="single" w:sz="8" w:space="0" w:color="auto"/>
              <w:right w:val="nil"/>
            </w:tcBorders>
            <w:vAlign w:val="center"/>
            <w:hideMark/>
          </w:tcPr>
          <w:p w14:paraId="27021A95" w14:textId="77777777" w:rsidR="004A6D37" w:rsidRPr="001C4FC1" w:rsidRDefault="004A6D37" w:rsidP="000161BC">
            <w:pPr>
              <w:spacing w:after="0" w:line="240" w:lineRule="auto"/>
              <w:rPr>
                <w:rFonts w:ascii="Arial Narrow" w:eastAsia="Times New Roman" w:hAnsi="Arial Narrow" w:cs="Calibri"/>
                <w:color w:val="000000"/>
                <w:sz w:val="16"/>
                <w:szCs w:val="16"/>
                <w:lang w:eastAsia="sk-SK"/>
              </w:rPr>
            </w:pPr>
            <w:r w:rsidRPr="001C4FC1">
              <w:rPr>
                <w:rFonts w:ascii="Arial Narrow" w:eastAsia="Times New Roman" w:hAnsi="Arial Narrow" w:cs="Calibri"/>
                <w:color w:val="000000"/>
                <w:sz w:val="16"/>
                <w:szCs w:val="16"/>
                <w:lang w:eastAsia="sk-SK"/>
              </w:rPr>
              <w:t> </w:t>
            </w:r>
          </w:p>
        </w:tc>
        <w:tc>
          <w:tcPr>
            <w:tcW w:w="560" w:type="dxa"/>
            <w:tcBorders>
              <w:top w:val="nil"/>
              <w:left w:val="nil"/>
              <w:bottom w:val="single" w:sz="8" w:space="0" w:color="auto"/>
              <w:right w:val="nil"/>
            </w:tcBorders>
            <w:vAlign w:val="center"/>
            <w:hideMark/>
          </w:tcPr>
          <w:p w14:paraId="16C2884B" w14:textId="77777777" w:rsidR="004A6D37" w:rsidRPr="001C4FC1" w:rsidRDefault="004A6D37" w:rsidP="000161BC">
            <w:pPr>
              <w:spacing w:after="0" w:line="240" w:lineRule="auto"/>
              <w:rPr>
                <w:rFonts w:ascii="Arial Narrow" w:eastAsia="Times New Roman" w:hAnsi="Arial Narrow" w:cs="Calibri"/>
                <w:color w:val="4472C4"/>
                <w:sz w:val="16"/>
                <w:szCs w:val="16"/>
                <w:lang w:eastAsia="sk-SK"/>
              </w:rPr>
            </w:pPr>
            <w:r w:rsidRPr="001C4FC1">
              <w:rPr>
                <w:rFonts w:ascii="Arial Narrow" w:eastAsia="Times New Roman" w:hAnsi="Arial Narrow" w:cs="Calibri"/>
                <w:color w:val="4472C4"/>
                <w:sz w:val="16"/>
                <w:szCs w:val="16"/>
                <w:lang w:eastAsia="sk-SK"/>
              </w:rPr>
              <w:t>EK</w:t>
            </w:r>
          </w:p>
        </w:tc>
        <w:tc>
          <w:tcPr>
            <w:tcW w:w="651" w:type="dxa"/>
            <w:tcBorders>
              <w:top w:val="nil"/>
              <w:left w:val="nil"/>
              <w:bottom w:val="single" w:sz="8" w:space="0" w:color="auto"/>
              <w:right w:val="nil"/>
            </w:tcBorders>
            <w:vAlign w:val="center"/>
            <w:hideMark/>
          </w:tcPr>
          <w:p w14:paraId="3FF367A2"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2.82</w:t>
            </w:r>
          </w:p>
        </w:tc>
        <w:tc>
          <w:tcPr>
            <w:tcW w:w="651" w:type="dxa"/>
            <w:tcBorders>
              <w:top w:val="nil"/>
              <w:left w:val="nil"/>
              <w:bottom w:val="single" w:sz="8" w:space="0" w:color="auto"/>
              <w:right w:val="nil"/>
            </w:tcBorders>
            <w:vAlign w:val="center"/>
            <w:hideMark/>
          </w:tcPr>
          <w:p w14:paraId="77DB8924"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2.81</w:t>
            </w:r>
          </w:p>
        </w:tc>
        <w:tc>
          <w:tcPr>
            <w:tcW w:w="651" w:type="dxa"/>
            <w:tcBorders>
              <w:top w:val="nil"/>
              <w:left w:val="nil"/>
              <w:bottom w:val="single" w:sz="8" w:space="0" w:color="auto"/>
              <w:right w:val="nil"/>
            </w:tcBorders>
            <w:vAlign w:val="center"/>
            <w:hideMark/>
          </w:tcPr>
          <w:p w14:paraId="3C291B5F"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2.79</w:t>
            </w:r>
          </w:p>
        </w:tc>
        <w:tc>
          <w:tcPr>
            <w:tcW w:w="558" w:type="dxa"/>
            <w:tcBorders>
              <w:top w:val="nil"/>
              <w:left w:val="nil"/>
              <w:bottom w:val="single" w:sz="8" w:space="0" w:color="auto"/>
              <w:right w:val="nil"/>
            </w:tcBorders>
            <w:vAlign w:val="center"/>
            <w:hideMark/>
          </w:tcPr>
          <w:p w14:paraId="100BD791"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2.78</w:t>
            </w:r>
          </w:p>
        </w:tc>
        <w:tc>
          <w:tcPr>
            <w:tcW w:w="546" w:type="dxa"/>
            <w:tcBorders>
              <w:top w:val="nil"/>
              <w:left w:val="nil"/>
              <w:bottom w:val="single" w:sz="8" w:space="0" w:color="auto"/>
              <w:right w:val="nil"/>
            </w:tcBorders>
            <w:vAlign w:val="center"/>
            <w:hideMark/>
          </w:tcPr>
          <w:p w14:paraId="3159972A"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2.65</w:t>
            </w:r>
          </w:p>
        </w:tc>
        <w:tc>
          <w:tcPr>
            <w:tcW w:w="815" w:type="dxa"/>
            <w:tcBorders>
              <w:top w:val="nil"/>
              <w:left w:val="nil"/>
              <w:bottom w:val="single" w:sz="8" w:space="0" w:color="auto"/>
              <w:right w:val="nil"/>
            </w:tcBorders>
            <w:vAlign w:val="center"/>
            <w:hideMark/>
          </w:tcPr>
          <w:p w14:paraId="5508F6A8"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2.47</w:t>
            </w:r>
          </w:p>
        </w:tc>
        <w:tc>
          <w:tcPr>
            <w:tcW w:w="689" w:type="dxa"/>
            <w:tcBorders>
              <w:top w:val="nil"/>
              <w:left w:val="nil"/>
              <w:bottom w:val="single" w:sz="8" w:space="0" w:color="auto"/>
              <w:right w:val="nil"/>
            </w:tcBorders>
            <w:vAlign w:val="center"/>
            <w:hideMark/>
          </w:tcPr>
          <w:p w14:paraId="53EB610C" w14:textId="77777777" w:rsidR="004A6D37" w:rsidRPr="001C4FC1" w:rsidRDefault="004A6D37" w:rsidP="000161BC">
            <w:pPr>
              <w:spacing w:after="0" w:line="240" w:lineRule="auto"/>
              <w:jc w:val="center"/>
              <w:rPr>
                <w:rFonts w:ascii="Arial Narrow" w:eastAsia="Times New Roman" w:hAnsi="Arial Narrow" w:cs="Calibri"/>
                <w:color w:val="4472C4"/>
                <w:sz w:val="16"/>
                <w:szCs w:val="16"/>
                <w:lang w:eastAsia="sk-SK"/>
              </w:rPr>
            </w:pPr>
            <w:r w:rsidRPr="001C4FC1">
              <w:rPr>
                <w:rFonts w:ascii="Arial Narrow" w:hAnsi="Arial Narrow" w:cs="Calibri"/>
                <w:color w:val="4472C4"/>
                <w:sz w:val="16"/>
                <w:szCs w:val="16"/>
              </w:rPr>
              <w:t>2.64</w:t>
            </w:r>
          </w:p>
        </w:tc>
      </w:tr>
    </w:tbl>
    <w:p w14:paraId="28794A8B" w14:textId="77777777" w:rsidR="004A6D37" w:rsidRPr="001C4FC1" w:rsidRDefault="004A6D37" w:rsidP="004A6D37">
      <w:pPr>
        <w:jc w:val="right"/>
        <w:rPr>
          <w:rFonts w:ascii="Arial Narrow" w:hAnsi="Arial Narrow"/>
          <w:i/>
          <w:iCs/>
          <w:sz w:val="16"/>
          <w:szCs w:val="16"/>
        </w:rPr>
      </w:pPr>
      <w:r w:rsidRPr="001C4FC1">
        <w:rPr>
          <w:rFonts w:ascii="Arial Narrow" w:hAnsi="Arial Narrow"/>
          <w:i/>
          <w:iCs/>
          <w:sz w:val="16"/>
          <w:szCs w:val="16"/>
        </w:rPr>
        <w:t>Zdroj: EK, MF SR</w:t>
      </w:r>
    </w:p>
    <w:p w14:paraId="502D719D" w14:textId="77777777" w:rsidR="004A6D37" w:rsidRPr="001C4FC1" w:rsidRDefault="004A6D37" w:rsidP="004A6D37">
      <w:pPr>
        <w:spacing w:after="0" w:line="276" w:lineRule="auto"/>
        <w:jc w:val="both"/>
        <w:rPr>
          <w:rFonts w:ascii="Arial Narrow" w:hAnsi="Arial Narrow"/>
          <w:highlight w:val="yellow"/>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3CAEB" w:themeFill="accent1" w:themeFillTint="66"/>
        <w:tblLook w:val="04A0" w:firstRow="1" w:lastRow="0" w:firstColumn="1" w:lastColumn="0" w:noHBand="0" w:noVBand="1"/>
      </w:tblPr>
      <w:tblGrid>
        <w:gridCol w:w="9062"/>
      </w:tblGrid>
      <w:tr w:rsidR="004A6D37" w:rsidRPr="001C4FC1" w14:paraId="5BFBEDA0" w14:textId="77777777" w:rsidTr="000161BC">
        <w:trPr>
          <w:trHeight w:val="1560"/>
        </w:trPr>
        <w:tc>
          <w:tcPr>
            <w:tcW w:w="9062" w:type="dxa"/>
            <w:shd w:val="clear" w:color="auto" w:fill="83CAEB" w:themeFill="accent1" w:themeFillTint="66"/>
          </w:tcPr>
          <w:p w14:paraId="7A6C79EF" w14:textId="32250B93" w:rsidR="004A6D37" w:rsidRPr="001C4FC1" w:rsidRDefault="004A6D37" w:rsidP="000161BC">
            <w:pPr>
              <w:pStyle w:val="Box"/>
              <w:spacing w:after="120" w:line="276" w:lineRule="auto"/>
              <w:rPr>
                <w:color w:val="2C9ADC"/>
                <w:sz w:val="22"/>
                <w:szCs w:val="22"/>
              </w:rPr>
            </w:pPr>
            <w:bookmarkStart w:id="14" w:name="_Toc196311745"/>
            <w:bookmarkStart w:id="15" w:name="_Toc228177436"/>
            <w:bookmarkStart w:id="16" w:name="_Hlk196058725"/>
            <w:r w:rsidRPr="001C4FC1">
              <w:rPr>
                <w:color w:val="2C9ADC"/>
                <w:sz w:val="22"/>
                <w:szCs w:val="22"/>
              </w:rPr>
              <w:t xml:space="preserve">BOX </w:t>
            </w:r>
            <w:r w:rsidRPr="001C4FC1">
              <w:rPr>
                <w:color w:val="2C9ADC"/>
                <w:sz w:val="22"/>
                <w:szCs w:val="22"/>
              </w:rPr>
              <w:fldChar w:fldCharType="begin"/>
            </w:r>
            <w:r w:rsidRPr="001C4FC1">
              <w:rPr>
                <w:color w:val="2C9ADC"/>
                <w:sz w:val="22"/>
                <w:szCs w:val="22"/>
              </w:rPr>
              <w:instrText xml:space="preserve"> SEQ BOX \* ARABIC </w:instrText>
            </w:r>
            <w:r w:rsidRPr="001C4FC1">
              <w:rPr>
                <w:color w:val="2C9ADC"/>
                <w:sz w:val="22"/>
                <w:szCs w:val="22"/>
              </w:rPr>
              <w:fldChar w:fldCharType="separate"/>
            </w:r>
            <w:r w:rsidR="008765E2">
              <w:rPr>
                <w:noProof/>
                <w:color w:val="2C9ADC"/>
                <w:sz w:val="22"/>
                <w:szCs w:val="22"/>
              </w:rPr>
              <w:t>1</w:t>
            </w:r>
            <w:r w:rsidRPr="001C4FC1">
              <w:rPr>
                <w:color w:val="2C9ADC"/>
                <w:sz w:val="22"/>
                <w:szCs w:val="22"/>
              </w:rPr>
              <w:fldChar w:fldCharType="end"/>
            </w:r>
            <w:bookmarkEnd w:id="14"/>
            <w:r w:rsidRPr="001C4FC1">
              <w:rPr>
                <w:color w:val="2C9ADC"/>
                <w:sz w:val="22"/>
                <w:szCs w:val="22"/>
              </w:rPr>
              <w:t xml:space="preserve"> </w:t>
            </w:r>
            <w:r w:rsidR="001C37FF" w:rsidRPr="001C37FF">
              <w:rPr>
                <w:color w:val="2C9ADC"/>
                <w:sz w:val="22"/>
                <w:szCs w:val="22"/>
              </w:rPr>
              <w:t>–</w:t>
            </w:r>
            <w:r w:rsidR="001C37FF">
              <w:rPr>
                <w:color w:val="2C9ADC"/>
                <w:sz w:val="22"/>
                <w:szCs w:val="22"/>
              </w:rPr>
              <w:t xml:space="preserve"> </w:t>
            </w:r>
            <w:r w:rsidR="001A4F3C">
              <w:rPr>
                <w:color w:val="2C9ADC"/>
                <w:sz w:val="22"/>
                <w:szCs w:val="22"/>
              </w:rPr>
              <w:t>Scenáre v</w:t>
            </w:r>
            <w:r w:rsidR="001A4F3C" w:rsidRPr="001C4FC1">
              <w:rPr>
                <w:color w:val="2C9ADC"/>
                <w:sz w:val="22"/>
                <w:szCs w:val="22"/>
              </w:rPr>
              <w:t>plyv</w:t>
            </w:r>
            <w:r w:rsidR="001A4F3C">
              <w:rPr>
                <w:color w:val="2C9ADC"/>
                <w:sz w:val="22"/>
                <w:szCs w:val="22"/>
              </w:rPr>
              <w:t>u</w:t>
            </w:r>
            <w:r w:rsidR="001A4F3C" w:rsidRPr="001C4FC1">
              <w:rPr>
                <w:color w:val="2C9ADC"/>
                <w:sz w:val="22"/>
                <w:szCs w:val="22"/>
              </w:rPr>
              <w:t xml:space="preserve"> </w:t>
            </w:r>
            <w:r w:rsidRPr="001C4FC1">
              <w:rPr>
                <w:color w:val="2C9ADC"/>
                <w:sz w:val="22"/>
                <w:szCs w:val="22"/>
              </w:rPr>
              <w:t>konfliktu na Blízkom východe na slovenskú ekonomiku</w:t>
            </w:r>
            <w:bookmarkEnd w:id="15"/>
          </w:p>
          <w:p w14:paraId="2E8EC73A" w14:textId="61FA8C7C" w:rsidR="004A6D37" w:rsidRPr="00955B88" w:rsidRDefault="004A6D37" w:rsidP="000161BC">
            <w:pPr>
              <w:pStyle w:val="Box"/>
              <w:spacing w:after="120" w:line="276" w:lineRule="auto"/>
              <w:jc w:val="both"/>
              <w:rPr>
                <w:rFonts w:eastAsiaTheme="minorHAnsi" w:cstheme="minorBidi"/>
                <w:b w:val="0"/>
                <w:bCs w:val="0"/>
                <w:kern w:val="2"/>
                <w:sz w:val="22"/>
                <w:szCs w:val="22"/>
                <w14:ligatures w14:val="standardContextual"/>
              </w:rPr>
            </w:pPr>
            <w:r w:rsidRPr="001C4FC1">
              <w:rPr>
                <w:rFonts w:eastAsiaTheme="minorHAnsi" w:cstheme="minorBidi"/>
                <w:b w:val="0"/>
                <w:bCs w:val="0"/>
                <w:kern w:val="2"/>
                <w:sz w:val="22"/>
                <w:szCs w:val="22"/>
                <w14:ligatures w14:val="standardContextual"/>
              </w:rPr>
              <w:t>Keďže makroekonomická prognóza bola oficiálne publikovaná vo februári</w:t>
            </w:r>
            <w:r w:rsidR="00320413">
              <w:rPr>
                <w:rFonts w:eastAsiaTheme="minorHAnsi" w:cstheme="minorBidi"/>
                <w:b w:val="0"/>
                <w:bCs w:val="0"/>
                <w:kern w:val="2"/>
                <w:sz w:val="22"/>
                <w:szCs w:val="22"/>
                <w14:ligatures w14:val="standardContextual"/>
              </w:rPr>
              <w:t xml:space="preserve"> </w:t>
            </w:r>
            <w:r w:rsidR="00880EB2">
              <w:rPr>
                <w:rFonts w:eastAsiaTheme="minorHAnsi" w:cstheme="minorBidi"/>
                <w:b w:val="0"/>
                <w:bCs w:val="0"/>
                <w:kern w:val="2"/>
                <w:sz w:val="22"/>
                <w:szCs w:val="22"/>
                <w14:ligatures w14:val="standardContextual"/>
              </w:rPr>
              <w:t xml:space="preserve">2026 </w:t>
            </w:r>
            <w:r w:rsidR="00320413" w:rsidRPr="00880EB2">
              <w:rPr>
                <w:rFonts w:eastAsiaTheme="minorHAnsi" w:cstheme="minorBidi"/>
                <w:b w:val="0"/>
                <w:bCs w:val="0"/>
                <w:kern w:val="2"/>
                <w:sz w:val="22"/>
                <w:szCs w:val="22"/>
                <w14:ligatures w14:val="standardContextual"/>
              </w:rPr>
              <w:t>(s odhadom cien ropy okolo 60 USD za barel)</w:t>
            </w:r>
            <w:r w:rsidRPr="00880EB2">
              <w:rPr>
                <w:rFonts w:eastAsiaTheme="minorHAnsi" w:cstheme="minorBidi"/>
                <w:b w:val="0"/>
                <w:bCs w:val="0"/>
                <w:kern w:val="2"/>
                <w:sz w:val="22"/>
                <w:szCs w:val="22"/>
                <w14:ligatures w14:val="standardContextual"/>
              </w:rPr>
              <w:t>, nezohľadňuje tak ešte vývoj krízy na Blízkom východe.</w:t>
            </w:r>
            <w:r w:rsidR="00A971A6" w:rsidRPr="00880EB2">
              <w:rPr>
                <w:rFonts w:eastAsiaTheme="minorHAnsi" w:cstheme="minorBidi"/>
                <w:b w:val="0"/>
                <w:bCs w:val="0"/>
                <w:kern w:val="2"/>
                <w:sz w:val="22"/>
                <w:szCs w:val="22"/>
                <w14:ligatures w14:val="standardContextual"/>
              </w:rPr>
              <w:t xml:space="preserve"> Nižšie popísaný</w:t>
            </w:r>
            <w:r w:rsidR="00CA2964" w:rsidRPr="00880EB2">
              <w:rPr>
                <w:rFonts w:eastAsiaTheme="minorHAnsi" w:cstheme="minorBidi"/>
                <w:b w:val="0"/>
                <w:bCs w:val="0"/>
                <w:kern w:val="2"/>
                <w:sz w:val="22"/>
                <w:szCs w:val="22"/>
                <w14:ligatures w14:val="standardContextual"/>
              </w:rPr>
              <w:t xml:space="preserve"> a kvantifikovaný</w:t>
            </w:r>
            <w:r w:rsidR="00A971A6" w:rsidRPr="00880EB2">
              <w:rPr>
                <w:rFonts w:eastAsiaTheme="minorHAnsi" w:cstheme="minorBidi"/>
                <w:b w:val="0"/>
                <w:bCs w:val="0"/>
                <w:kern w:val="2"/>
                <w:sz w:val="22"/>
                <w:szCs w:val="22"/>
                <w14:ligatures w14:val="standardContextual"/>
              </w:rPr>
              <w:t xml:space="preserve"> mierny scenár</w:t>
            </w:r>
            <w:r w:rsidR="006D64A9" w:rsidRPr="00880EB2">
              <w:rPr>
                <w:rFonts w:eastAsiaTheme="minorHAnsi" w:cstheme="minorBidi"/>
                <w:b w:val="0"/>
                <w:bCs w:val="0"/>
                <w:kern w:val="2"/>
                <w:sz w:val="22"/>
                <w:szCs w:val="22"/>
                <w14:ligatures w14:val="standardContextual"/>
              </w:rPr>
              <w:t xml:space="preserve">, kde sa počíta </w:t>
            </w:r>
            <w:r w:rsidR="006D64A9" w:rsidRPr="00955B88">
              <w:rPr>
                <w:rFonts w:eastAsiaTheme="minorHAnsi" w:cstheme="minorBidi"/>
                <w:b w:val="0"/>
                <w:bCs w:val="0"/>
                <w:kern w:val="2"/>
                <w:sz w:val="22"/>
                <w:szCs w:val="22"/>
                <w14:ligatures w14:val="standardContextual"/>
              </w:rPr>
              <w:t xml:space="preserve">s dočasným nárastom cien ropy nad 100 </w:t>
            </w:r>
            <w:r w:rsidR="00320413" w:rsidRPr="00955B88">
              <w:rPr>
                <w:rFonts w:eastAsiaTheme="minorHAnsi" w:cstheme="minorBidi"/>
                <w:b w:val="0"/>
                <w:bCs w:val="0"/>
                <w:kern w:val="2"/>
                <w:sz w:val="22"/>
                <w:szCs w:val="22"/>
                <w14:ligatures w14:val="standardContextual"/>
              </w:rPr>
              <w:t>USD</w:t>
            </w:r>
            <w:r w:rsidR="006D64A9" w:rsidRPr="00955B88">
              <w:rPr>
                <w:rFonts w:eastAsiaTheme="minorHAnsi" w:cstheme="minorBidi"/>
                <w:b w:val="0"/>
                <w:bCs w:val="0"/>
                <w:kern w:val="2"/>
                <w:sz w:val="22"/>
                <w:szCs w:val="22"/>
                <w14:ligatures w14:val="standardContextual"/>
              </w:rPr>
              <w:t>,</w:t>
            </w:r>
            <w:r w:rsidR="00A971A6" w:rsidRPr="00955B88">
              <w:rPr>
                <w:rFonts w:eastAsiaTheme="minorHAnsi" w:cstheme="minorBidi"/>
                <w:b w:val="0"/>
                <w:bCs w:val="0"/>
                <w:kern w:val="2"/>
                <w:sz w:val="22"/>
                <w:szCs w:val="22"/>
                <w14:ligatures w14:val="standardContextual"/>
              </w:rPr>
              <w:t xml:space="preserve"> sa s</w:t>
            </w:r>
            <w:r w:rsidR="00723BEE" w:rsidRPr="00955B88">
              <w:rPr>
                <w:rFonts w:eastAsiaTheme="minorHAnsi" w:cstheme="minorBidi"/>
                <w:b w:val="0"/>
                <w:bCs w:val="0"/>
                <w:kern w:val="2"/>
                <w:sz w:val="22"/>
                <w:szCs w:val="22"/>
                <w14:ligatures w14:val="standardContextual"/>
              </w:rPr>
              <w:t xml:space="preserve"> veľmi </w:t>
            </w:r>
            <w:r w:rsidR="00A971A6" w:rsidRPr="00955B88">
              <w:rPr>
                <w:rFonts w:eastAsiaTheme="minorHAnsi" w:cstheme="minorBidi"/>
                <w:b w:val="0"/>
                <w:bCs w:val="0"/>
                <w:kern w:val="2"/>
                <w:sz w:val="22"/>
                <w:szCs w:val="22"/>
                <w14:ligatures w14:val="standardContextual"/>
              </w:rPr>
              <w:t>v</w:t>
            </w:r>
            <w:r w:rsidR="00723BEE" w:rsidRPr="00955B88">
              <w:rPr>
                <w:rFonts w:eastAsiaTheme="minorHAnsi" w:cstheme="minorBidi"/>
                <w:b w:val="0"/>
                <w:bCs w:val="0"/>
                <w:kern w:val="2"/>
                <w:sz w:val="22"/>
                <w:szCs w:val="22"/>
                <w14:ligatures w14:val="standardContextual"/>
              </w:rPr>
              <w:t>ysokou</w:t>
            </w:r>
            <w:r w:rsidR="00A971A6" w:rsidRPr="00955B88">
              <w:rPr>
                <w:rFonts w:eastAsiaTheme="minorHAnsi" w:cstheme="minorBidi"/>
                <w:b w:val="0"/>
                <w:bCs w:val="0"/>
                <w:kern w:val="2"/>
                <w:sz w:val="22"/>
                <w:szCs w:val="22"/>
                <w14:ligatures w14:val="standardContextual"/>
              </w:rPr>
              <w:t xml:space="preserve"> pravdepodobnosťou materializuje</w:t>
            </w:r>
            <w:r w:rsidR="006D64A9" w:rsidRPr="00955B88">
              <w:rPr>
                <w:rFonts w:eastAsiaTheme="minorHAnsi" w:cstheme="minorBidi"/>
                <w:b w:val="0"/>
                <w:bCs w:val="0"/>
                <w:kern w:val="2"/>
                <w:sz w:val="22"/>
                <w:szCs w:val="22"/>
                <w14:ligatures w14:val="standardContextual"/>
              </w:rPr>
              <w:t>.</w:t>
            </w:r>
            <w:r w:rsidR="00A971A6" w:rsidRPr="00955B88">
              <w:rPr>
                <w:rFonts w:eastAsiaTheme="minorHAnsi" w:cstheme="minorBidi"/>
                <w:b w:val="0"/>
                <w:bCs w:val="0"/>
                <w:kern w:val="2"/>
                <w:sz w:val="22"/>
                <w:szCs w:val="22"/>
                <w14:ligatures w14:val="standardContextual"/>
              </w:rPr>
              <w:t xml:space="preserve"> </w:t>
            </w:r>
            <w:r w:rsidR="006D64A9" w:rsidRPr="00955B88">
              <w:rPr>
                <w:rFonts w:eastAsiaTheme="minorHAnsi" w:cstheme="minorBidi"/>
                <w:b w:val="0"/>
                <w:bCs w:val="0"/>
                <w:kern w:val="2"/>
                <w:sz w:val="22"/>
                <w:szCs w:val="22"/>
                <w14:ligatures w14:val="standardContextual"/>
              </w:rPr>
              <w:t>R</w:t>
            </w:r>
            <w:r w:rsidR="00A971A6" w:rsidRPr="00955B88">
              <w:rPr>
                <w:rFonts w:eastAsiaTheme="minorHAnsi" w:cstheme="minorBidi"/>
                <w:b w:val="0"/>
                <w:bCs w:val="0"/>
                <w:kern w:val="2"/>
                <w:sz w:val="22"/>
                <w:szCs w:val="22"/>
                <w14:ligatures w14:val="standardContextual"/>
              </w:rPr>
              <w:t>izikom</w:t>
            </w:r>
            <w:r w:rsidR="00723BEE" w:rsidRPr="00955B88">
              <w:rPr>
                <w:rFonts w:eastAsiaTheme="minorHAnsi" w:cstheme="minorBidi"/>
                <w:b w:val="0"/>
                <w:bCs w:val="0"/>
                <w:kern w:val="2"/>
                <w:sz w:val="22"/>
                <w:szCs w:val="22"/>
                <w14:ligatures w14:val="standardContextual"/>
              </w:rPr>
              <w:t xml:space="preserve"> tak</w:t>
            </w:r>
            <w:r w:rsidR="00A971A6" w:rsidRPr="00955B88">
              <w:rPr>
                <w:rFonts w:eastAsiaTheme="minorHAnsi" w:cstheme="minorBidi"/>
                <w:b w:val="0"/>
                <w:bCs w:val="0"/>
                <w:kern w:val="2"/>
                <w:sz w:val="22"/>
                <w:szCs w:val="22"/>
                <w14:ligatures w14:val="standardContextual"/>
              </w:rPr>
              <w:t xml:space="preserve"> ostáva negatívnejší scenár</w:t>
            </w:r>
            <w:r w:rsidR="006D64A9" w:rsidRPr="00955B88">
              <w:rPr>
                <w:rFonts w:eastAsiaTheme="minorHAnsi" w:cstheme="minorBidi"/>
                <w:b w:val="0"/>
                <w:bCs w:val="0"/>
                <w:kern w:val="2"/>
                <w:sz w:val="22"/>
                <w:szCs w:val="22"/>
                <w14:ligatures w14:val="standardContextual"/>
              </w:rPr>
              <w:t xml:space="preserve">, kde by bol nárast významnejší a pretrvával by dlhšie (Graf 7) </w:t>
            </w:r>
          </w:p>
          <w:p w14:paraId="367DCA39" w14:textId="77777777" w:rsidR="004A6D37" w:rsidRPr="00955B88" w:rsidRDefault="004A6D37" w:rsidP="000161BC">
            <w:pPr>
              <w:pStyle w:val="Box"/>
              <w:spacing w:after="0" w:line="276" w:lineRule="auto"/>
              <w:rPr>
                <w:b w:val="0"/>
                <w:bCs w:val="0"/>
                <w:color w:val="2C9ADC"/>
              </w:rPr>
            </w:pPr>
            <w:r w:rsidRPr="00955B88">
              <w:rPr>
                <w:color w:val="2C9ADC"/>
                <w:sz w:val="22"/>
                <w:szCs w:val="22"/>
              </w:rPr>
              <w:t>Mierny scenár</w:t>
            </w:r>
          </w:p>
          <w:p w14:paraId="12C3B17F" w14:textId="33C02F38" w:rsidR="004A6D37" w:rsidRPr="001C4FC1" w:rsidRDefault="004A6D37" w:rsidP="000161BC">
            <w:pPr>
              <w:widowControl w:val="0"/>
              <w:spacing w:after="240"/>
              <w:jc w:val="both"/>
              <w:rPr>
                <w:rFonts w:ascii="Arial Narrow" w:hAnsi="Arial Narrow"/>
              </w:rPr>
            </w:pPr>
            <w:r w:rsidRPr="00955B88">
              <w:rPr>
                <w:rFonts w:ascii="Arial Narrow" w:hAnsi="Arial Narrow"/>
                <w:b/>
                <w:bCs/>
              </w:rPr>
              <w:t xml:space="preserve">Konflikt na Blízkom východe </w:t>
            </w:r>
            <w:r w:rsidR="00FE7705" w:rsidRPr="00955B88">
              <w:rPr>
                <w:rFonts w:ascii="Arial Narrow" w:hAnsi="Arial Narrow"/>
                <w:b/>
                <w:bCs/>
              </w:rPr>
              <w:t xml:space="preserve"> môže  v </w:t>
            </w:r>
            <w:r w:rsidRPr="00955B88">
              <w:rPr>
                <w:rFonts w:ascii="Arial Narrow" w:hAnsi="Arial Narrow"/>
                <w:b/>
                <w:bCs/>
              </w:rPr>
              <w:t xml:space="preserve">miernom scenári </w:t>
            </w:r>
            <w:r w:rsidR="00FE7705" w:rsidRPr="00955B88">
              <w:rPr>
                <w:rFonts w:ascii="Arial Narrow" w:hAnsi="Arial Narrow"/>
                <w:b/>
                <w:bCs/>
              </w:rPr>
              <w:t xml:space="preserve">spomaliť </w:t>
            </w:r>
            <w:r w:rsidRPr="00955B88">
              <w:rPr>
                <w:rFonts w:ascii="Arial Narrow" w:hAnsi="Arial Narrow"/>
                <w:b/>
                <w:bCs/>
              </w:rPr>
              <w:t xml:space="preserve">rast slovenského HDP v rokoch 2026 a 2027 priemerne o 0,2 p. b. </w:t>
            </w:r>
            <w:r w:rsidRPr="00955B88">
              <w:rPr>
                <w:rFonts w:ascii="Arial Narrow" w:hAnsi="Arial Narrow"/>
              </w:rPr>
              <w:t xml:space="preserve">Spomalenie ekonomík našich hlavných partnerov </w:t>
            </w:r>
            <w:r w:rsidR="004E1AD6" w:rsidRPr="00955B88">
              <w:rPr>
                <w:rFonts w:ascii="Arial Narrow" w:hAnsi="Arial Narrow"/>
              </w:rPr>
              <w:t>by</w:t>
            </w:r>
            <w:r w:rsidRPr="00955B88">
              <w:rPr>
                <w:rFonts w:ascii="Arial Narrow" w:hAnsi="Arial Narrow"/>
              </w:rPr>
              <w:t xml:space="preserve"> brzd</w:t>
            </w:r>
            <w:r w:rsidR="004E1AD6" w:rsidRPr="00955B88">
              <w:rPr>
                <w:rFonts w:ascii="Arial Narrow" w:hAnsi="Arial Narrow"/>
              </w:rPr>
              <w:t>il</w:t>
            </w:r>
            <w:r w:rsidRPr="00955B88">
              <w:rPr>
                <w:rFonts w:ascii="Arial Narrow" w:hAnsi="Arial Narrow"/>
              </w:rPr>
              <w:t xml:space="preserve"> export. Inflácia sa dodatočne zvýši v roku 2026 o 0,2 p.b. a v roku 2027 o 0,5 p.b. V tomto roku </w:t>
            </w:r>
            <w:r w:rsidR="004E1AD6" w:rsidRPr="00955B88">
              <w:rPr>
                <w:rFonts w:ascii="Arial Narrow" w:hAnsi="Arial Narrow"/>
              </w:rPr>
              <w:t xml:space="preserve">by </w:t>
            </w:r>
            <w:r w:rsidR="00955B88" w:rsidRPr="00955B88">
              <w:rPr>
                <w:rFonts w:ascii="Arial Narrow" w:hAnsi="Arial Narrow"/>
              </w:rPr>
              <w:t xml:space="preserve">mohlo byť </w:t>
            </w:r>
            <w:r w:rsidRPr="00955B88">
              <w:rPr>
                <w:rFonts w:ascii="Arial Narrow" w:hAnsi="Arial Narrow"/>
              </w:rPr>
              <w:t xml:space="preserve">príčinou rýchlejšieho rastu cien zdražovanie palív. V roku 2027 </w:t>
            </w:r>
            <w:r w:rsidR="004E1AD6" w:rsidRPr="00955B88">
              <w:rPr>
                <w:rFonts w:ascii="Arial Narrow" w:hAnsi="Arial Narrow"/>
              </w:rPr>
              <w:t>by stúpli</w:t>
            </w:r>
            <w:r w:rsidRPr="00955B88">
              <w:rPr>
                <w:rFonts w:ascii="Arial Narrow" w:hAnsi="Arial Narrow"/>
              </w:rPr>
              <w:t xml:space="preserve"> ceny potravín z dôvodu drahších hnojív a vyššie </w:t>
            </w:r>
            <w:r w:rsidR="00955B88">
              <w:rPr>
                <w:rFonts w:ascii="Arial Narrow" w:hAnsi="Arial Narrow"/>
              </w:rPr>
              <w:t>by boli</w:t>
            </w:r>
            <w:r w:rsidRPr="00955B88">
              <w:rPr>
                <w:rFonts w:ascii="Arial Narrow" w:hAnsi="Arial Narrow"/>
              </w:rPr>
              <w:t xml:space="preserve"> aj ceny energií pre domácnosti, ktorým nie je poskytovaná energopomoc. Tieto výpočty vychádzajú z technického predpokladu, že ceny ropy budú </w:t>
            </w:r>
            <w:r w:rsidR="00AF67C2" w:rsidRPr="00955B88">
              <w:rPr>
                <w:rFonts w:ascii="Arial Narrow" w:hAnsi="Arial Narrow"/>
              </w:rPr>
              <w:t>d</w:t>
            </w:r>
            <w:r w:rsidRPr="00955B88">
              <w:rPr>
                <w:rFonts w:ascii="Arial Narrow" w:hAnsi="Arial Narrow"/>
              </w:rPr>
              <w:t>o júna tohto roku na úrovni 100 USD/barel a následne klesnú k 70 USD/barel.</w:t>
            </w:r>
          </w:p>
          <w:p w14:paraId="787CFEDE" w14:textId="0231F83A" w:rsidR="004A6D37" w:rsidRPr="001C4FC1" w:rsidRDefault="004A6D37" w:rsidP="000161BC">
            <w:pPr>
              <w:widowControl w:val="0"/>
              <w:spacing w:before="120" w:after="240"/>
              <w:jc w:val="both"/>
              <w:rPr>
                <w:rFonts w:ascii="Arial Narrow" w:hAnsi="Arial Narrow"/>
              </w:rPr>
            </w:pPr>
            <w:r w:rsidRPr="001C4FC1">
              <w:rPr>
                <w:rFonts w:ascii="Arial Narrow" w:hAnsi="Arial Narrow"/>
                <w:b/>
                <w:bCs/>
              </w:rPr>
              <w:t xml:space="preserve">Vplyv na deficit verejných financií </w:t>
            </w:r>
            <w:r w:rsidR="0073023E">
              <w:rPr>
                <w:rFonts w:ascii="Arial Narrow" w:hAnsi="Arial Narrow"/>
                <w:b/>
                <w:bCs/>
              </w:rPr>
              <w:t>môže byť</w:t>
            </w:r>
            <w:r w:rsidRPr="001C4FC1">
              <w:rPr>
                <w:rFonts w:ascii="Arial Narrow" w:hAnsi="Arial Narrow"/>
                <w:b/>
                <w:bCs/>
              </w:rPr>
              <w:t xml:space="preserve"> len </w:t>
            </w:r>
            <w:r w:rsidR="0073023E">
              <w:rPr>
                <w:rFonts w:ascii="Arial Narrow" w:hAnsi="Arial Narrow"/>
                <w:b/>
                <w:bCs/>
              </w:rPr>
              <w:t>relatívne mierny</w:t>
            </w:r>
            <w:r w:rsidRPr="001C4FC1">
              <w:rPr>
                <w:rFonts w:ascii="Arial Narrow" w:hAnsi="Arial Narrow"/>
                <w:b/>
                <w:bCs/>
              </w:rPr>
              <w:t>.</w:t>
            </w:r>
            <w:r w:rsidRPr="001C4FC1">
              <w:rPr>
                <w:rFonts w:ascii="Arial Narrow" w:hAnsi="Arial Narrow"/>
              </w:rPr>
              <w:t xml:space="preserve"> Deficit verejných financií sa v roku 2026 </w:t>
            </w:r>
            <w:r w:rsidR="001371BB">
              <w:rPr>
                <w:rFonts w:ascii="Arial Narrow" w:hAnsi="Arial Narrow"/>
              </w:rPr>
              <w:t>m</w:t>
            </w:r>
            <w:r w:rsidR="001371BB">
              <w:t xml:space="preserve">ôže </w:t>
            </w:r>
            <w:r w:rsidRPr="001C4FC1">
              <w:rPr>
                <w:rFonts w:ascii="Arial Narrow" w:hAnsi="Arial Narrow"/>
              </w:rPr>
              <w:t>prehĺbi</w:t>
            </w:r>
            <w:r w:rsidR="001371BB">
              <w:rPr>
                <w:rFonts w:ascii="Arial Narrow" w:hAnsi="Arial Narrow"/>
              </w:rPr>
              <w:t>ť</w:t>
            </w:r>
            <w:r w:rsidRPr="001C4FC1">
              <w:rPr>
                <w:rFonts w:ascii="Arial Narrow" w:hAnsi="Arial Narrow"/>
              </w:rPr>
              <w:t xml:space="preserve"> o približne 80 mil. eur, v roku 2027 o 307 mil. eur. Príčinou bude najmä nárast výdavkov štátu z dôvodu vyšších cien a  v menšej miere pokles príjmov. </w:t>
            </w:r>
          </w:p>
          <w:p w14:paraId="6E4A9184" w14:textId="77777777" w:rsidR="004A6D37" w:rsidRPr="001C4FC1" w:rsidRDefault="004A6D37" w:rsidP="000161BC">
            <w:pPr>
              <w:pStyle w:val="Box"/>
              <w:spacing w:after="0" w:line="276" w:lineRule="auto"/>
              <w:rPr>
                <w:b w:val="0"/>
                <w:bCs w:val="0"/>
                <w:color w:val="2C9ADC"/>
              </w:rPr>
            </w:pPr>
            <w:r w:rsidRPr="001C4FC1">
              <w:rPr>
                <w:color w:val="2C9ADC"/>
                <w:sz w:val="22"/>
                <w:szCs w:val="22"/>
              </w:rPr>
              <w:t>Negatívny scenár</w:t>
            </w:r>
          </w:p>
          <w:p w14:paraId="3DBD735C" w14:textId="4337CC29" w:rsidR="004A6D37" w:rsidRPr="001C4FC1" w:rsidRDefault="004A6D37" w:rsidP="000161BC">
            <w:pPr>
              <w:widowControl w:val="0"/>
              <w:spacing w:after="240"/>
              <w:jc w:val="both"/>
              <w:rPr>
                <w:rFonts w:ascii="Arial Narrow" w:hAnsi="Arial Narrow"/>
              </w:rPr>
            </w:pPr>
            <w:r w:rsidRPr="001C4FC1">
              <w:rPr>
                <w:rFonts w:ascii="Arial Narrow" w:hAnsi="Arial Narrow"/>
                <w:b/>
                <w:bCs/>
              </w:rPr>
              <w:t xml:space="preserve">V negatívnom scenári </w:t>
            </w:r>
            <w:r w:rsidR="00322F95">
              <w:rPr>
                <w:rFonts w:ascii="Arial Narrow" w:hAnsi="Arial Narrow"/>
                <w:b/>
                <w:bCs/>
              </w:rPr>
              <w:t xml:space="preserve">by </w:t>
            </w:r>
            <w:r w:rsidRPr="001C4FC1">
              <w:rPr>
                <w:rFonts w:ascii="Arial Narrow" w:hAnsi="Arial Narrow"/>
                <w:b/>
                <w:bCs/>
              </w:rPr>
              <w:t>HDP Slovenska v roku 2026 a 2027 spomal</w:t>
            </w:r>
            <w:r w:rsidR="00322F95">
              <w:rPr>
                <w:rFonts w:ascii="Arial Narrow" w:hAnsi="Arial Narrow"/>
                <w:b/>
                <w:bCs/>
              </w:rPr>
              <w:t>ilo</w:t>
            </w:r>
            <w:r w:rsidRPr="001C4FC1">
              <w:rPr>
                <w:rFonts w:ascii="Arial Narrow" w:hAnsi="Arial Narrow"/>
                <w:b/>
                <w:bCs/>
              </w:rPr>
              <w:t xml:space="preserve"> v priemere </w:t>
            </w:r>
            <w:r w:rsidR="00322F95">
              <w:rPr>
                <w:rFonts w:ascii="Arial Narrow" w:hAnsi="Arial Narrow"/>
                <w:b/>
                <w:bCs/>
              </w:rPr>
              <w:t xml:space="preserve">až </w:t>
            </w:r>
            <w:r w:rsidRPr="001C4FC1">
              <w:rPr>
                <w:rFonts w:ascii="Arial Narrow" w:hAnsi="Arial Narrow"/>
                <w:b/>
                <w:bCs/>
              </w:rPr>
              <w:t xml:space="preserve">o 0,5 p.b., inflačné tlaky </w:t>
            </w:r>
            <w:r w:rsidR="00322F95">
              <w:rPr>
                <w:rFonts w:ascii="Arial Narrow" w:hAnsi="Arial Narrow"/>
                <w:b/>
                <w:bCs/>
              </w:rPr>
              <w:t>by boli ešte</w:t>
            </w:r>
            <w:r w:rsidRPr="001C4FC1">
              <w:rPr>
                <w:rFonts w:ascii="Arial Narrow" w:hAnsi="Arial Narrow"/>
                <w:b/>
                <w:bCs/>
              </w:rPr>
              <w:t xml:space="preserve"> výraznejšie.</w:t>
            </w:r>
            <w:r w:rsidRPr="001C4FC1">
              <w:rPr>
                <w:rFonts w:ascii="Arial Narrow" w:hAnsi="Arial Narrow"/>
              </w:rPr>
              <w:t xml:space="preserve"> </w:t>
            </w:r>
            <w:r w:rsidRPr="0073023E">
              <w:rPr>
                <w:rFonts w:ascii="Arial Narrow" w:hAnsi="Arial Narrow"/>
              </w:rPr>
              <w:t xml:space="preserve">Príčinou pomalšieho rastu ekonomiky </w:t>
            </w:r>
            <w:r w:rsidR="001371BB" w:rsidRPr="0073023E">
              <w:rPr>
                <w:rFonts w:ascii="Arial Narrow" w:hAnsi="Arial Narrow"/>
              </w:rPr>
              <w:t xml:space="preserve">by bol výraznejší </w:t>
            </w:r>
            <w:r w:rsidRPr="0073023E">
              <w:rPr>
                <w:rFonts w:ascii="Arial Narrow" w:hAnsi="Arial Narrow"/>
              </w:rPr>
              <w:t>pokles reálnych disponibilných príjmov domácností z dôvodu vyššej inflácie a výraznejšie ochladenie u našich najvýznamnejších obchodných partnerov</w:t>
            </w:r>
            <w:r w:rsidRPr="0073023E">
              <w:rPr>
                <w:rFonts w:ascii="Arial Narrow" w:hAnsi="Arial Narrow"/>
                <w:b/>
                <w:bCs/>
              </w:rPr>
              <w:t xml:space="preserve">. </w:t>
            </w:r>
            <w:r w:rsidRPr="0073023E">
              <w:rPr>
                <w:rFonts w:ascii="Arial Narrow" w:hAnsi="Arial Narrow"/>
              </w:rPr>
              <w:t xml:space="preserve">Inflácia </w:t>
            </w:r>
            <w:r w:rsidR="001371BB" w:rsidRPr="0073023E">
              <w:rPr>
                <w:rFonts w:ascii="Arial Narrow" w:hAnsi="Arial Narrow"/>
              </w:rPr>
              <w:t>by</w:t>
            </w:r>
            <w:r w:rsidR="004E1AD6" w:rsidRPr="0073023E">
              <w:rPr>
                <w:rFonts w:ascii="Arial Narrow" w:hAnsi="Arial Narrow"/>
              </w:rPr>
              <w:t xml:space="preserve"> mohla </w:t>
            </w:r>
            <w:r w:rsidR="001371BB" w:rsidRPr="0073023E">
              <w:rPr>
                <w:rFonts w:ascii="Arial Narrow" w:hAnsi="Arial Narrow"/>
              </w:rPr>
              <w:t>stúp</w:t>
            </w:r>
            <w:r w:rsidR="004E1AD6" w:rsidRPr="0073023E">
              <w:rPr>
                <w:rFonts w:ascii="Arial Narrow" w:hAnsi="Arial Narrow"/>
              </w:rPr>
              <w:t>nuť</w:t>
            </w:r>
            <w:r w:rsidR="001371BB" w:rsidRPr="0073023E">
              <w:rPr>
                <w:rFonts w:ascii="Arial Narrow" w:hAnsi="Arial Narrow"/>
              </w:rPr>
              <w:t xml:space="preserve"> </w:t>
            </w:r>
            <w:r w:rsidRPr="0073023E">
              <w:rPr>
                <w:rFonts w:ascii="Arial Narrow" w:hAnsi="Arial Narrow"/>
              </w:rPr>
              <w:t>v negatívnom scenári v tomto roku o 1,6 p.b., v budúcom roku o 3,8 p.b. Scenár vychádza z predpokladov</w:t>
            </w:r>
            <w:r w:rsidRPr="001C4FC1">
              <w:rPr>
                <w:rFonts w:ascii="Arial Narrow" w:hAnsi="Arial Narrow"/>
              </w:rPr>
              <w:t xml:space="preserve"> najnovšej prognózy ECB („severe scenario“), ktorý predpokladá, že obmedzenia v dodávkach ropy a plynu potrvajú až do konca roka 2026. Cena ropy by sa v druhom kvartáli 2026 vyšplhala až na 145 eur/barel a klesala by len pozvoľne k 100 na konci roka 2028. Cena plynu by vyskočila na 106 eur/MWh, čo sa blíži k úrovniam, ktoré sme pozorovali po začiatku ruskej invázie na Ukrajinu.</w:t>
            </w:r>
          </w:p>
          <w:p w14:paraId="27FF5462" w14:textId="42D4B079" w:rsidR="004A6D37" w:rsidRPr="001C4FC1" w:rsidRDefault="004A6D37" w:rsidP="000161BC">
            <w:pPr>
              <w:widowControl w:val="0"/>
              <w:spacing w:before="120" w:after="240"/>
              <w:jc w:val="both"/>
              <w:rPr>
                <w:rFonts w:ascii="Arial Narrow" w:hAnsi="Arial Narrow"/>
              </w:rPr>
            </w:pPr>
            <w:r w:rsidRPr="001C4FC1">
              <w:rPr>
                <w:rFonts w:ascii="Arial Narrow" w:hAnsi="Arial Narrow"/>
                <w:b/>
                <w:bCs/>
              </w:rPr>
              <w:t>Priamym následkom by bol prudký nárast cien pohonných hmôt v roku 2026 až takmer k 2 eur/l benzínu a rast cien energií od roku 2027</w:t>
            </w:r>
            <w:r w:rsidRPr="001C4FC1">
              <w:rPr>
                <w:rFonts w:ascii="Arial Narrow" w:hAnsi="Arial Narrow"/>
              </w:rPr>
              <w:t xml:space="preserve">. Odhaduje sa, že pre domácnosti nepokryté energopomocou by sa zvýšili ceny elektriny o cca 25 % a ceny plynu o cca 18%, kým ceny tepla by stúpli pre všetkých o 19 %. Energopomoc utlmí celkový vplyv vyšších cien energií na infláciu, výrazne by sa však zvýšili jej fiškálne náklady. Mzdy v súkromnom sektore </w:t>
            </w:r>
            <w:r w:rsidR="001371BB">
              <w:rPr>
                <w:rFonts w:ascii="Arial Narrow" w:hAnsi="Arial Narrow"/>
              </w:rPr>
              <w:t>b</w:t>
            </w:r>
            <w:r w:rsidR="001371BB">
              <w:t>y</w:t>
            </w:r>
            <w:r w:rsidR="001371BB" w:rsidRPr="001C4FC1">
              <w:rPr>
                <w:rFonts w:ascii="Arial Narrow" w:hAnsi="Arial Narrow"/>
              </w:rPr>
              <w:t xml:space="preserve"> </w:t>
            </w:r>
            <w:r w:rsidR="001371BB">
              <w:rPr>
                <w:rFonts w:ascii="Arial Narrow" w:hAnsi="Arial Narrow"/>
              </w:rPr>
              <w:t>n</w:t>
            </w:r>
            <w:r w:rsidR="001371BB">
              <w:t>e</w:t>
            </w:r>
            <w:r w:rsidR="001371BB">
              <w:rPr>
                <w:rFonts w:ascii="Arial Narrow" w:hAnsi="Arial Narrow"/>
              </w:rPr>
              <w:t>s</w:t>
            </w:r>
            <w:r w:rsidR="001371BB" w:rsidRPr="001C4FC1">
              <w:rPr>
                <w:rFonts w:ascii="Arial Narrow" w:hAnsi="Arial Narrow"/>
              </w:rPr>
              <w:t>tíha</w:t>
            </w:r>
            <w:r w:rsidR="001371BB">
              <w:rPr>
                <w:rFonts w:ascii="Arial Narrow" w:hAnsi="Arial Narrow"/>
              </w:rPr>
              <w:t>li</w:t>
            </w:r>
            <w:r w:rsidR="001371BB" w:rsidRPr="001C4FC1">
              <w:rPr>
                <w:rFonts w:ascii="Arial Narrow" w:hAnsi="Arial Narrow"/>
              </w:rPr>
              <w:t xml:space="preserve"> </w:t>
            </w:r>
            <w:r w:rsidRPr="001C4FC1">
              <w:rPr>
                <w:rFonts w:ascii="Arial Narrow" w:hAnsi="Arial Narrow"/>
              </w:rPr>
              <w:t xml:space="preserve">s infláciou. </w:t>
            </w:r>
          </w:p>
          <w:p w14:paraId="095503C7" w14:textId="10A0D5F0" w:rsidR="004A6D37" w:rsidRPr="001C4FC1" w:rsidRDefault="004A6D37" w:rsidP="00230E7E">
            <w:pPr>
              <w:widowControl w:val="0"/>
              <w:spacing w:before="120"/>
              <w:jc w:val="both"/>
              <w:rPr>
                <w:rFonts w:ascii="Arial Narrow" w:hAnsi="Arial Narrow"/>
              </w:rPr>
            </w:pPr>
            <w:r w:rsidRPr="001C4FC1">
              <w:rPr>
                <w:rFonts w:ascii="Arial Narrow" w:hAnsi="Arial Narrow"/>
                <w:b/>
                <w:bCs/>
              </w:rPr>
              <w:t>Vplyv na deficit verejných financií by bol v negatívnom scenári výrazný.</w:t>
            </w:r>
            <w:r w:rsidRPr="001C4FC1">
              <w:rPr>
                <w:rFonts w:ascii="Arial Narrow" w:hAnsi="Arial Narrow"/>
              </w:rPr>
              <w:t xml:space="preserve"> Deficit verejných financií by sa v roku 2026 prehĺbil o 300 mil. eur, v rok</w:t>
            </w:r>
            <w:r w:rsidR="00581EBB">
              <w:rPr>
                <w:rFonts w:ascii="Arial Narrow" w:hAnsi="Arial Narrow"/>
              </w:rPr>
              <w:t>u</w:t>
            </w:r>
            <w:r w:rsidRPr="001C4FC1">
              <w:rPr>
                <w:rFonts w:ascii="Arial Narrow" w:hAnsi="Arial Narrow"/>
              </w:rPr>
              <w:t xml:space="preserve"> 2027 o 1,0 mld. eur a v roku 2028 o 1,5 mld. eur. K rastu deficitu by najviac prispeli bežné výdavky, valorizácia sociálnych transferov a verejných miezd. </w:t>
            </w:r>
            <w:r w:rsidR="00FE7705">
              <w:rPr>
                <w:rFonts w:ascii="Arial Narrow" w:hAnsi="Arial Narrow"/>
              </w:rPr>
              <w:t>Tento</w:t>
            </w:r>
            <w:r w:rsidR="00FE7705" w:rsidRPr="001C4FC1">
              <w:rPr>
                <w:rFonts w:ascii="Arial Narrow" w:hAnsi="Arial Narrow"/>
              </w:rPr>
              <w:t xml:space="preserve">  </w:t>
            </w:r>
            <w:r w:rsidRPr="001C4FC1">
              <w:rPr>
                <w:rFonts w:ascii="Arial Narrow" w:hAnsi="Arial Narrow"/>
              </w:rPr>
              <w:t xml:space="preserve">scenár predpokladá, </w:t>
            </w:r>
            <w:r w:rsidRPr="001C4FC1">
              <w:rPr>
                <w:rFonts w:ascii="Arial Narrow" w:hAnsi="Arial Narrow"/>
              </w:rPr>
              <w:lastRenderedPageBreak/>
              <w:t xml:space="preserve">že v roku 2026 aj 2027 </w:t>
            </w:r>
            <w:r w:rsidR="0073023E">
              <w:rPr>
                <w:rFonts w:ascii="Arial Narrow" w:hAnsi="Arial Narrow"/>
              </w:rPr>
              <w:t>by došlo</w:t>
            </w:r>
            <w:r w:rsidRPr="001C4FC1">
              <w:rPr>
                <w:rFonts w:ascii="Arial Narrow" w:hAnsi="Arial Narrow"/>
              </w:rPr>
              <w:t xml:space="preserve"> k spusteniu mimoriadnej valorizácie dôchodkov</w:t>
            </w:r>
            <w:r w:rsidRPr="001C4FC1">
              <w:rPr>
                <w:rStyle w:val="Odkaznapoznmkupodiarou"/>
                <w:rFonts w:ascii="Arial Narrow" w:hAnsi="Arial Narrow"/>
              </w:rPr>
              <w:footnoteReference w:id="2"/>
            </w:r>
            <w:r w:rsidRPr="001C4FC1">
              <w:rPr>
                <w:rFonts w:ascii="Arial Narrow" w:hAnsi="Arial Narrow"/>
              </w:rPr>
              <w:t>. V prípade, že kritické hodnoty na spustenie mimoriadnej valorizácie inflácia nedosiahne, vplyvy na deficit v rokoch 2026 a 2027 by boli miernejšie a vplyv na deficit roku 2028 by ostal nezmenený.</w:t>
            </w:r>
          </w:p>
          <w:tbl>
            <w:tblPr>
              <w:tblpPr w:leftFromText="141" w:rightFromText="141" w:vertAnchor="text" w:horzAnchor="margin" w:tblpY="253"/>
              <w:tblOverlap w:val="never"/>
              <w:tblW w:w="5000" w:type="pct"/>
              <w:tblCellMar>
                <w:left w:w="70" w:type="dxa"/>
                <w:right w:w="70" w:type="dxa"/>
              </w:tblCellMar>
              <w:tblLook w:val="04A0" w:firstRow="1" w:lastRow="0" w:firstColumn="1" w:lastColumn="0" w:noHBand="0" w:noVBand="1"/>
            </w:tblPr>
            <w:tblGrid>
              <w:gridCol w:w="2960"/>
              <w:gridCol w:w="980"/>
              <w:gridCol w:w="980"/>
              <w:gridCol w:w="982"/>
              <w:gridCol w:w="980"/>
              <w:gridCol w:w="980"/>
              <w:gridCol w:w="984"/>
            </w:tblGrid>
            <w:tr w:rsidR="004A6D37" w:rsidRPr="001C4FC1" w14:paraId="1F5C2BB4" w14:textId="77777777" w:rsidTr="000161BC">
              <w:trPr>
                <w:trHeight w:val="288"/>
              </w:trPr>
              <w:tc>
                <w:tcPr>
                  <w:tcW w:w="5000" w:type="pct"/>
                  <w:gridSpan w:val="7"/>
                  <w:tcBorders>
                    <w:bottom w:val="single" w:sz="4" w:space="0" w:color="auto"/>
                  </w:tcBorders>
                  <w:noWrap/>
                  <w:vAlign w:val="bottom"/>
                </w:tcPr>
                <w:p w14:paraId="1D7EAA68" w14:textId="0AA6288F" w:rsidR="004A6D37" w:rsidRPr="001C4FC1" w:rsidRDefault="001C4FC1" w:rsidP="000161BC">
                  <w:pPr>
                    <w:widowControl w:val="0"/>
                    <w:spacing w:after="0" w:line="240" w:lineRule="auto"/>
                    <w:jc w:val="both"/>
                    <w:rPr>
                      <w:rFonts w:ascii="Arial Narrow" w:eastAsia="Arial Narrow" w:hAnsi="Arial Narrow" w:cs="Arial Narrow"/>
                      <w:b/>
                      <w:bCs/>
                      <w:noProof/>
                      <w:color w:val="2C9ADC"/>
                      <w:sz w:val="20"/>
                      <w:szCs w:val="20"/>
                      <w:bdr w:val="nil"/>
                      <w:lang w:eastAsia="sk-SK"/>
                    </w:rPr>
                  </w:pPr>
                  <w:bookmarkStart w:id="17" w:name="_Toc228177375"/>
                  <w:r w:rsidRPr="001C4FC1">
                    <w:rPr>
                      <w:rFonts w:ascii="Arial Narrow" w:eastAsia="Arial Narrow" w:hAnsi="Arial Narrow" w:cs="Arial Narrow"/>
                      <w:b/>
                      <w:bCs/>
                      <w:noProof/>
                      <w:color w:val="2C9ADC"/>
                      <w:sz w:val="20"/>
                      <w:szCs w:val="20"/>
                      <w:bdr w:val="nil"/>
                      <w:lang w:eastAsia="sk-SK"/>
                    </w:rPr>
                    <w:t xml:space="preserve">TABUĽKA </w:t>
                  </w:r>
                  <w:r w:rsidRPr="001C4FC1">
                    <w:rPr>
                      <w:rFonts w:ascii="Arial Narrow" w:eastAsia="Arial Narrow" w:hAnsi="Arial Narrow" w:cs="Arial Narrow"/>
                      <w:b/>
                      <w:bCs/>
                      <w:noProof/>
                      <w:color w:val="2C9ADC"/>
                      <w:sz w:val="20"/>
                      <w:szCs w:val="20"/>
                      <w:bdr w:val="nil"/>
                      <w:lang w:eastAsia="sk-SK"/>
                    </w:rPr>
                    <w:fldChar w:fldCharType="begin"/>
                  </w:r>
                  <w:r w:rsidRPr="001C4FC1">
                    <w:rPr>
                      <w:rFonts w:ascii="Arial Narrow" w:eastAsia="Arial Narrow" w:hAnsi="Arial Narrow" w:cs="Arial Narrow"/>
                      <w:b/>
                      <w:bCs/>
                      <w:noProof/>
                      <w:color w:val="2C9ADC"/>
                      <w:sz w:val="20"/>
                      <w:szCs w:val="20"/>
                      <w:bdr w:val="nil"/>
                      <w:lang w:eastAsia="sk-SK"/>
                    </w:rPr>
                    <w:instrText xml:space="preserve"> SEQ TABUĽKA \* ARABIC </w:instrText>
                  </w:r>
                  <w:r w:rsidRPr="001C4FC1">
                    <w:rPr>
                      <w:rFonts w:ascii="Arial Narrow" w:eastAsia="Arial Narrow" w:hAnsi="Arial Narrow" w:cs="Arial Narrow"/>
                      <w:b/>
                      <w:bCs/>
                      <w:noProof/>
                      <w:color w:val="2C9ADC"/>
                      <w:sz w:val="20"/>
                      <w:szCs w:val="20"/>
                      <w:bdr w:val="nil"/>
                      <w:lang w:eastAsia="sk-SK"/>
                    </w:rPr>
                    <w:fldChar w:fldCharType="separate"/>
                  </w:r>
                  <w:r w:rsidR="008765E2">
                    <w:rPr>
                      <w:rFonts w:ascii="Arial Narrow" w:eastAsia="Arial Narrow" w:hAnsi="Arial Narrow" w:cs="Arial Narrow"/>
                      <w:b/>
                      <w:bCs/>
                      <w:noProof/>
                      <w:color w:val="2C9ADC"/>
                      <w:sz w:val="20"/>
                      <w:szCs w:val="20"/>
                      <w:bdr w:val="nil"/>
                      <w:lang w:eastAsia="sk-SK"/>
                    </w:rPr>
                    <w:t>2</w:t>
                  </w:r>
                  <w:r w:rsidRPr="001C4FC1">
                    <w:rPr>
                      <w:rFonts w:ascii="Arial Narrow" w:eastAsia="Arial Narrow" w:hAnsi="Arial Narrow" w:cs="Arial Narrow"/>
                      <w:b/>
                      <w:bCs/>
                      <w:noProof/>
                      <w:color w:val="2C9ADC"/>
                      <w:sz w:val="20"/>
                      <w:szCs w:val="20"/>
                      <w:bdr w:val="nil"/>
                      <w:lang w:eastAsia="sk-SK"/>
                    </w:rPr>
                    <w:fldChar w:fldCharType="end"/>
                  </w:r>
                  <w:r w:rsidRPr="001C4FC1">
                    <w:rPr>
                      <w:rFonts w:ascii="Arial Narrow" w:eastAsia="Arial Narrow" w:hAnsi="Arial Narrow" w:cs="Arial Narrow"/>
                      <w:b/>
                      <w:bCs/>
                      <w:noProof/>
                      <w:color w:val="2C9ADC"/>
                      <w:sz w:val="20"/>
                      <w:szCs w:val="20"/>
                      <w:bdr w:val="nil"/>
                      <w:lang w:eastAsia="sk-SK"/>
                    </w:rPr>
                    <w:t xml:space="preserve"> – </w:t>
                  </w:r>
                  <w:r w:rsidR="004A6D37" w:rsidRPr="001C4FC1">
                    <w:rPr>
                      <w:rFonts w:ascii="Arial Narrow" w:eastAsia="Arial Narrow" w:hAnsi="Arial Narrow" w:cs="Arial Narrow"/>
                      <w:b/>
                      <w:bCs/>
                      <w:noProof/>
                      <w:color w:val="2C9ADC"/>
                      <w:sz w:val="20"/>
                      <w:szCs w:val="20"/>
                      <w:bdr w:val="nil"/>
                      <w:lang w:eastAsia="sk-SK"/>
                    </w:rPr>
                    <w:t>Vplyv konfliktu na Blízkom východe na ekonomiku SR</w:t>
                  </w:r>
                  <w:bookmarkEnd w:id="17"/>
                </w:p>
              </w:tc>
            </w:tr>
            <w:tr w:rsidR="004A6D37" w:rsidRPr="001C4FC1" w14:paraId="324D545B" w14:textId="77777777" w:rsidTr="000161BC">
              <w:trPr>
                <w:trHeight w:val="288"/>
              </w:trPr>
              <w:tc>
                <w:tcPr>
                  <w:tcW w:w="1673" w:type="pct"/>
                  <w:tcBorders>
                    <w:top w:val="single" w:sz="4" w:space="0" w:color="auto"/>
                    <w:bottom w:val="single" w:sz="4" w:space="0" w:color="auto"/>
                    <w:right w:val="single" w:sz="4" w:space="0" w:color="auto"/>
                  </w:tcBorders>
                  <w:noWrap/>
                  <w:vAlign w:val="center"/>
                </w:tcPr>
                <w:p w14:paraId="2E055CA7" w14:textId="77777777" w:rsidR="004A6D37" w:rsidRPr="001C4FC1" w:rsidRDefault="004A6D37" w:rsidP="000161BC">
                  <w:pPr>
                    <w:widowControl w:val="0"/>
                    <w:spacing w:after="0" w:line="240" w:lineRule="auto"/>
                    <w:jc w:val="both"/>
                    <w:rPr>
                      <w:rFonts w:ascii="Arial Narrow" w:hAnsi="Arial Narrow"/>
                    </w:rPr>
                  </w:pPr>
                  <w:r w:rsidRPr="001C4FC1">
                    <w:rPr>
                      <w:rFonts w:ascii="Arial Narrow" w:hAnsi="Arial Narrow"/>
                    </w:rPr>
                    <w:t> </w:t>
                  </w:r>
                </w:p>
              </w:tc>
              <w:tc>
                <w:tcPr>
                  <w:tcW w:w="1663" w:type="pct"/>
                  <w:gridSpan w:val="3"/>
                  <w:tcBorders>
                    <w:top w:val="single" w:sz="4" w:space="0" w:color="auto"/>
                    <w:left w:val="single" w:sz="4" w:space="0" w:color="auto"/>
                    <w:bottom w:val="single" w:sz="4" w:space="0" w:color="auto"/>
                    <w:right w:val="single" w:sz="4" w:space="0" w:color="auto"/>
                  </w:tcBorders>
                  <w:noWrap/>
                  <w:vAlign w:val="center"/>
                </w:tcPr>
                <w:p w14:paraId="1EC0385B" w14:textId="77777777" w:rsidR="004A6D37" w:rsidRPr="001C4FC1" w:rsidRDefault="004A6D37" w:rsidP="000161BC">
                  <w:pPr>
                    <w:widowControl w:val="0"/>
                    <w:spacing w:after="0" w:line="240" w:lineRule="auto"/>
                    <w:jc w:val="center"/>
                    <w:rPr>
                      <w:rFonts w:ascii="Arial Narrow" w:hAnsi="Arial Narrow"/>
                      <w:b/>
                      <w:bCs/>
                    </w:rPr>
                  </w:pPr>
                  <w:r w:rsidRPr="001C4FC1">
                    <w:rPr>
                      <w:rFonts w:ascii="Arial Narrow" w:hAnsi="Arial Narrow"/>
                      <w:b/>
                      <w:bCs/>
                    </w:rPr>
                    <w:t>Mierny scenár</w:t>
                  </w:r>
                </w:p>
              </w:tc>
              <w:tc>
                <w:tcPr>
                  <w:tcW w:w="1664" w:type="pct"/>
                  <w:gridSpan w:val="3"/>
                  <w:tcBorders>
                    <w:top w:val="single" w:sz="4" w:space="0" w:color="auto"/>
                    <w:left w:val="single" w:sz="4" w:space="0" w:color="auto"/>
                    <w:bottom w:val="single" w:sz="4" w:space="0" w:color="auto"/>
                  </w:tcBorders>
                  <w:vAlign w:val="center"/>
                </w:tcPr>
                <w:p w14:paraId="4F3EABB0" w14:textId="77777777" w:rsidR="004A6D37" w:rsidRPr="001C4FC1" w:rsidRDefault="004A6D37" w:rsidP="000161BC">
                  <w:pPr>
                    <w:widowControl w:val="0"/>
                    <w:spacing w:after="0" w:line="240" w:lineRule="auto"/>
                    <w:jc w:val="center"/>
                    <w:rPr>
                      <w:rFonts w:ascii="Arial Narrow" w:hAnsi="Arial Narrow"/>
                      <w:b/>
                      <w:bCs/>
                    </w:rPr>
                  </w:pPr>
                  <w:r w:rsidRPr="001C4FC1">
                    <w:rPr>
                      <w:rFonts w:ascii="Arial Narrow" w:hAnsi="Arial Narrow"/>
                      <w:b/>
                      <w:bCs/>
                    </w:rPr>
                    <w:t>Negatívny scenár</w:t>
                  </w:r>
                </w:p>
              </w:tc>
            </w:tr>
            <w:tr w:rsidR="004A6D37" w:rsidRPr="001C4FC1" w14:paraId="1AA6D545" w14:textId="77777777" w:rsidTr="000161BC">
              <w:trPr>
                <w:trHeight w:val="288"/>
              </w:trPr>
              <w:tc>
                <w:tcPr>
                  <w:tcW w:w="1673" w:type="pct"/>
                  <w:tcBorders>
                    <w:top w:val="single" w:sz="4" w:space="0" w:color="auto"/>
                    <w:bottom w:val="single" w:sz="4" w:space="0" w:color="auto"/>
                    <w:right w:val="single" w:sz="4" w:space="0" w:color="auto"/>
                  </w:tcBorders>
                  <w:noWrap/>
                  <w:vAlign w:val="center"/>
                  <w:hideMark/>
                </w:tcPr>
                <w:p w14:paraId="5BAA0398" w14:textId="77777777" w:rsidR="004A6D37" w:rsidRPr="001C4FC1" w:rsidRDefault="004A6D37" w:rsidP="000161BC">
                  <w:pPr>
                    <w:widowControl w:val="0"/>
                    <w:spacing w:after="0" w:line="240" w:lineRule="auto"/>
                    <w:jc w:val="both"/>
                    <w:rPr>
                      <w:rFonts w:ascii="Arial Narrow" w:hAnsi="Arial Narrow"/>
                    </w:rPr>
                  </w:pPr>
                  <w:r w:rsidRPr="001C4FC1">
                    <w:rPr>
                      <w:rFonts w:ascii="Arial Narrow" w:hAnsi="Arial Narrow"/>
                    </w:rPr>
                    <w:t> </w:t>
                  </w:r>
                </w:p>
              </w:tc>
              <w:tc>
                <w:tcPr>
                  <w:tcW w:w="554" w:type="pct"/>
                  <w:tcBorders>
                    <w:top w:val="single" w:sz="4" w:space="0" w:color="auto"/>
                    <w:left w:val="single" w:sz="4" w:space="0" w:color="auto"/>
                    <w:bottom w:val="single" w:sz="4" w:space="0" w:color="auto"/>
                  </w:tcBorders>
                  <w:noWrap/>
                  <w:vAlign w:val="center"/>
                  <w:hideMark/>
                </w:tcPr>
                <w:p w14:paraId="2458C493" w14:textId="77777777" w:rsidR="004A6D37" w:rsidRPr="001C4FC1" w:rsidRDefault="004A6D37" w:rsidP="000161BC">
                  <w:pPr>
                    <w:widowControl w:val="0"/>
                    <w:spacing w:after="0" w:line="240" w:lineRule="auto"/>
                    <w:jc w:val="center"/>
                    <w:rPr>
                      <w:rFonts w:ascii="Arial Narrow" w:hAnsi="Arial Narrow"/>
                      <w:b/>
                      <w:bCs/>
                    </w:rPr>
                  </w:pPr>
                  <w:r w:rsidRPr="001C4FC1">
                    <w:rPr>
                      <w:rFonts w:ascii="Arial Narrow" w:hAnsi="Arial Narrow"/>
                      <w:b/>
                      <w:bCs/>
                    </w:rPr>
                    <w:t>2026</w:t>
                  </w:r>
                </w:p>
              </w:tc>
              <w:tc>
                <w:tcPr>
                  <w:tcW w:w="554" w:type="pct"/>
                  <w:tcBorders>
                    <w:top w:val="single" w:sz="4" w:space="0" w:color="auto"/>
                    <w:bottom w:val="single" w:sz="4" w:space="0" w:color="auto"/>
                  </w:tcBorders>
                  <w:noWrap/>
                  <w:vAlign w:val="center"/>
                  <w:hideMark/>
                </w:tcPr>
                <w:p w14:paraId="7C79F385" w14:textId="77777777" w:rsidR="004A6D37" w:rsidRPr="001C4FC1" w:rsidRDefault="004A6D37" w:rsidP="000161BC">
                  <w:pPr>
                    <w:widowControl w:val="0"/>
                    <w:spacing w:after="0" w:line="240" w:lineRule="auto"/>
                    <w:jc w:val="center"/>
                    <w:rPr>
                      <w:rFonts w:ascii="Arial Narrow" w:hAnsi="Arial Narrow"/>
                      <w:b/>
                      <w:bCs/>
                    </w:rPr>
                  </w:pPr>
                  <w:r w:rsidRPr="001C4FC1">
                    <w:rPr>
                      <w:rFonts w:ascii="Arial Narrow" w:hAnsi="Arial Narrow"/>
                      <w:b/>
                      <w:bCs/>
                    </w:rPr>
                    <w:t>2027</w:t>
                  </w:r>
                </w:p>
              </w:tc>
              <w:tc>
                <w:tcPr>
                  <w:tcW w:w="554" w:type="pct"/>
                  <w:tcBorders>
                    <w:bottom w:val="single" w:sz="4" w:space="0" w:color="auto"/>
                    <w:right w:val="single" w:sz="4" w:space="0" w:color="auto"/>
                  </w:tcBorders>
                  <w:vAlign w:val="center"/>
                </w:tcPr>
                <w:p w14:paraId="6D803764" w14:textId="77777777" w:rsidR="004A6D37" w:rsidRPr="001C4FC1" w:rsidRDefault="004A6D37" w:rsidP="000161BC">
                  <w:pPr>
                    <w:widowControl w:val="0"/>
                    <w:spacing w:after="0" w:line="240" w:lineRule="auto"/>
                    <w:jc w:val="center"/>
                    <w:rPr>
                      <w:rFonts w:ascii="Arial Narrow" w:hAnsi="Arial Narrow"/>
                      <w:b/>
                      <w:bCs/>
                    </w:rPr>
                  </w:pPr>
                  <w:r w:rsidRPr="001C4FC1">
                    <w:rPr>
                      <w:rFonts w:ascii="Arial Narrow" w:hAnsi="Arial Narrow"/>
                      <w:b/>
                      <w:bCs/>
                    </w:rPr>
                    <w:t>2028</w:t>
                  </w:r>
                </w:p>
              </w:tc>
              <w:tc>
                <w:tcPr>
                  <w:tcW w:w="554" w:type="pct"/>
                  <w:tcBorders>
                    <w:top w:val="single" w:sz="4" w:space="0" w:color="auto"/>
                    <w:left w:val="single" w:sz="4" w:space="0" w:color="auto"/>
                    <w:bottom w:val="single" w:sz="4" w:space="0" w:color="auto"/>
                  </w:tcBorders>
                  <w:vAlign w:val="center"/>
                </w:tcPr>
                <w:p w14:paraId="6AD9DDC1" w14:textId="77777777" w:rsidR="004A6D37" w:rsidRPr="001C4FC1" w:rsidRDefault="004A6D37" w:rsidP="000161BC">
                  <w:pPr>
                    <w:widowControl w:val="0"/>
                    <w:spacing w:after="0" w:line="240" w:lineRule="auto"/>
                    <w:jc w:val="center"/>
                    <w:rPr>
                      <w:rFonts w:ascii="Arial Narrow" w:hAnsi="Arial Narrow"/>
                      <w:b/>
                      <w:bCs/>
                    </w:rPr>
                  </w:pPr>
                  <w:r w:rsidRPr="001C4FC1">
                    <w:rPr>
                      <w:rFonts w:ascii="Arial Narrow" w:hAnsi="Arial Narrow"/>
                      <w:b/>
                      <w:bCs/>
                    </w:rPr>
                    <w:t>2026</w:t>
                  </w:r>
                </w:p>
              </w:tc>
              <w:tc>
                <w:tcPr>
                  <w:tcW w:w="554" w:type="pct"/>
                  <w:tcBorders>
                    <w:top w:val="single" w:sz="4" w:space="0" w:color="auto"/>
                    <w:bottom w:val="single" w:sz="4" w:space="0" w:color="auto"/>
                  </w:tcBorders>
                  <w:vAlign w:val="center"/>
                </w:tcPr>
                <w:p w14:paraId="431D1AA4" w14:textId="77777777" w:rsidR="004A6D37" w:rsidRPr="001C4FC1" w:rsidRDefault="004A6D37" w:rsidP="000161BC">
                  <w:pPr>
                    <w:widowControl w:val="0"/>
                    <w:spacing w:after="0" w:line="240" w:lineRule="auto"/>
                    <w:jc w:val="center"/>
                    <w:rPr>
                      <w:rFonts w:ascii="Arial Narrow" w:hAnsi="Arial Narrow"/>
                      <w:b/>
                      <w:bCs/>
                    </w:rPr>
                  </w:pPr>
                  <w:r w:rsidRPr="001C4FC1">
                    <w:rPr>
                      <w:rFonts w:ascii="Arial Narrow" w:hAnsi="Arial Narrow"/>
                      <w:b/>
                      <w:bCs/>
                    </w:rPr>
                    <w:t>2027</w:t>
                  </w:r>
                </w:p>
              </w:tc>
              <w:tc>
                <w:tcPr>
                  <w:tcW w:w="555" w:type="pct"/>
                  <w:tcBorders>
                    <w:top w:val="single" w:sz="4" w:space="0" w:color="auto"/>
                    <w:bottom w:val="single" w:sz="4" w:space="0" w:color="auto"/>
                  </w:tcBorders>
                  <w:vAlign w:val="center"/>
                </w:tcPr>
                <w:p w14:paraId="4E93E436" w14:textId="77777777" w:rsidR="004A6D37" w:rsidRPr="001C4FC1" w:rsidRDefault="004A6D37" w:rsidP="000161BC">
                  <w:pPr>
                    <w:widowControl w:val="0"/>
                    <w:spacing w:after="0" w:line="240" w:lineRule="auto"/>
                    <w:jc w:val="center"/>
                    <w:rPr>
                      <w:rFonts w:ascii="Arial Narrow" w:hAnsi="Arial Narrow"/>
                      <w:b/>
                      <w:bCs/>
                    </w:rPr>
                  </w:pPr>
                  <w:r w:rsidRPr="001C4FC1">
                    <w:rPr>
                      <w:rFonts w:ascii="Arial Narrow" w:hAnsi="Arial Narrow"/>
                      <w:b/>
                      <w:bCs/>
                    </w:rPr>
                    <w:t>2028</w:t>
                  </w:r>
                </w:p>
              </w:tc>
            </w:tr>
            <w:tr w:rsidR="004A6D37" w:rsidRPr="001C4FC1" w14:paraId="4CC61259" w14:textId="77777777" w:rsidTr="000161BC">
              <w:trPr>
                <w:trHeight w:val="288"/>
              </w:trPr>
              <w:tc>
                <w:tcPr>
                  <w:tcW w:w="1673" w:type="pct"/>
                  <w:tcBorders>
                    <w:top w:val="single" w:sz="4" w:space="0" w:color="auto"/>
                    <w:right w:val="single" w:sz="4" w:space="0" w:color="auto"/>
                  </w:tcBorders>
                  <w:noWrap/>
                  <w:vAlign w:val="center"/>
                  <w:hideMark/>
                </w:tcPr>
                <w:p w14:paraId="0D506FE4" w14:textId="77777777" w:rsidR="004A6D37" w:rsidRPr="001C4FC1" w:rsidRDefault="004A6D37" w:rsidP="000161BC">
                  <w:pPr>
                    <w:widowControl w:val="0"/>
                    <w:spacing w:after="0" w:line="240" w:lineRule="auto"/>
                    <w:jc w:val="both"/>
                    <w:rPr>
                      <w:rFonts w:ascii="Arial Narrow" w:hAnsi="Arial Narrow"/>
                    </w:rPr>
                  </w:pPr>
                  <w:r w:rsidRPr="001C4FC1">
                    <w:rPr>
                      <w:rFonts w:ascii="Arial Narrow" w:hAnsi="Arial Narrow"/>
                    </w:rPr>
                    <w:t>Rast HDP (p.b.)</w:t>
                  </w:r>
                </w:p>
              </w:tc>
              <w:tc>
                <w:tcPr>
                  <w:tcW w:w="554" w:type="pct"/>
                  <w:tcBorders>
                    <w:top w:val="single" w:sz="4" w:space="0" w:color="auto"/>
                    <w:left w:val="single" w:sz="4" w:space="0" w:color="auto"/>
                  </w:tcBorders>
                  <w:noWrap/>
                  <w:vAlign w:val="center"/>
                  <w:hideMark/>
                </w:tcPr>
                <w:p w14:paraId="61E13DAA"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-0.2</w:t>
                  </w:r>
                </w:p>
              </w:tc>
              <w:tc>
                <w:tcPr>
                  <w:tcW w:w="554" w:type="pct"/>
                  <w:tcBorders>
                    <w:top w:val="single" w:sz="4" w:space="0" w:color="auto"/>
                  </w:tcBorders>
                  <w:noWrap/>
                  <w:vAlign w:val="center"/>
                  <w:hideMark/>
                </w:tcPr>
                <w:p w14:paraId="190799AC"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-0.2</w:t>
                  </w:r>
                </w:p>
              </w:tc>
              <w:tc>
                <w:tcPr>
                  <w:tcW w:w="554" w:type="pct"/>
                  <w:tcBorders>
                    <w:top w:val="single" w:sz="4" w:space="0" w:color="auto"/>
                    <w:right w:val="single" w:sz="4" w:space="0" w:color="auto"/>
                  </w:tcBorders>
                  <w:vAlign w:val="center"/>
                </w:tcPr>
                <w:p w14:paraId="539F1913"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0.1</w:t>
                  </w:r>
                </w:p>
              </w:tc>
              <w:tc>
                <w:tcPr>
                  <w:tcW w:w="554" w:type="pct"/>
                  <w:tcBorders>
                    <w:top w:val="single" w:sz="4" w:space="0" w:color="auto"/>
                    <w:left w:val="single" w:sz="4" w:space="0" w:color="auto"/>
                  </w:tcBorders>
                  <w:vAlign w:val="center"/>
                </w:tcPr>
                <w:p w14:paraId="1991D395"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-0.6</w:t>
                  </w:r>
                </w:p>
              </w:tc>
              <w:tc>
                <w:tcPr>
                  <w:tcW w:w="554" w:type="pct"/>
                  <w:tcBorders>
                    <w:top w:val="single" w:sz="4" w:space="0" w:color="auto"/>
                  </w:tcBorders>
                  <w:vAlign w:val="center"/>
                </w:tcPr>
                <w:p w14:paraId="0A6EC144"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-0.5</w:t>
                  </w:r>
                </w:p>
              </w:tc>
              <w:tc>
                <w:tcPr>
                  <w:tcW w:w="555" w:type="pct"/>
                  <w:tcBorders>
                    <w:top w:val="single" w:sz="4" w:space="0" w:color="auto"/>
                  </w:tcBorders>
                  <w:vAlign w:val="center"/>
                </w:tcPr>
                <w:p w14:paraId="55F901C7"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0.4</w:t>
                  </w:r>
                </w:p>
              </w:tc>
            </w:tr>
            <w:tr w:rsidR="004A6D37" w:rsidRPr="001C4FC1" w14:paraId="4DBF9BF1" w14:textId="77777777" w:rsidTr="000161BC">
              <w:trPr>
                <w:trHeight w:val="288"/>
              </w:trPr>
              <w:tc>
                <w:tcPr>
                  <w:tcW w:w="1673" w:type="pct"/>
                  <w:tcBorders>
                    <w:right w:val="single" w:sz="4" w:space="0" w:color="auto"/>
                  </w:tcBorders>
                  <w:noWrap/>
                  <w:vAlign w:val="center"/>
                </w:tcPr>
                <w:p w14:paraId="65BABF1D" w14:textId="77777777" w:rsidR="004A6D37" w:rsidRPr="001C4FC1" w:rsidRDefault="004A6D37" w:rsidP="000161BC">
                  <w:pPr>
                    <w:widowControl w:val="0"/>
                    <w:spacing w:after="0" w:line="240" w:lineRule="auto"/>
                    <w:jc w:val="both"/>
                    <w:rPr>
                      <w:rFonts w:ascii="Arial Narrow" w:hAnsi="Arial Narrow"/>
                    </w:rPr>
                  </w:pPr>
                  <w:r w:rsidRPr="001C4FC1">
                    <w:rPr>
                      <w:rFonts w:ascii="Arial Narrow" w:hAnsi="Arial Narrow"/>
                    </w:rPr>
                    <w:t>Zamestnanosť (p.b.)</w:t>
                  </w:r>
                </w:p>
              </w:tc>
              <w:tc>
                <w:tcPr>
                  <w:tcW w:w="554" w:type="pct"/>
                  <w:tcBorders>
                    <w:left w:val="single" w:sz="4" w:space="0" w:color="auto"/>
                  </w:tcBorders>
                  <w:noWrap/>
                  <w:vAlign w:val="center"/>
                </w:tcPr>
                <w:p w14:paraId="4842B31F"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0.0</w:t>
                  </w:r>
                </w:p>
              </w:tc>
              <w:tc>
                <w:tcPr>
                  <w:tcW w:w="554" w:type="pct"/>
                  <w:noWrap/>
                  <w:vAlign w:val="center"/>
                </w:tcPr>
                <w:p w14:paraId="41DE8234"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0.0</w:t>
                  </w:r>
                </w:p>
              </w:tc>
              <w:tc>
                <w:tcPr>
                  <w:tcW w:w="554" w:type="pct"/>
                  <w:tcBorders>
                    <w:right w:val="single" w:sz="4" w:space="0" w:color="auto"/>
                  </w:tcBorders>
                  <w:vAlign w:val="center"/>
                </w:tcPr>
                <w:p w14:paraId="1035EBD8"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0.0</w:t>
                  </w:r>
                </w:p>
              </w:tc>
              <w:tc>
                <w:tcPr>
                  <w:tcW w:w="554" w:type="pct"/>
                  <w:tcBorders>
                    <w:left w:val="single" w:sz="4" w:space="0" w:color="auto"/>
                  </w:tcBorders>
                  <w:vAlign w:val="center"/>
                </w:tcPr>
                <w:p w14:paraId="7FA586F8"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-0.4</w:t>
                  </w:r>
                </w:p>
              </w:tc>
              <w:tc>
                <w:tcPr>
                  <w:tcW w:w="554" w:type="pct"/>
                  <w:vAlign w:val="center"/>
                </w:tcPr>
                <w:p w14:paraId="0C37DF91"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-0.1</w:t>
                  </w:r>
                </w:p>
              </w:tc>
              <w:tc>
                <w:tcPr>
                  <w:tcW w:w="555" w:type="pct"/>
                  <w:vAlign w:val="center"/>
                </w:tcPr>
                <w:p w14:paraId="568880BC"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0.2</w:t>
                  </w:r>
                </w:p>
              </w:tc>
            </w:tr>
            <w:tr w:rsidR="004A6D37" w:rsidRPr="001C4FC1" w14:paraId="04088003" w14:textId="77777777" w:rsidTr="000161BC">
              <w:trPr>
                <w:trHeight w:val="288"/>
              </w:trPr>
              <w:tc>
                <w:tcPr>
                  <w:tcW w:w="1673" w:type="pct"/>
                  <w:tcBorders>
                    <w:right w:val="single" w:sz="4" w:space="0" w:color="auto"/>
                  </w:tcBorders>
                  <w:noWrap/>
                  <w:vAlign w:val="center"/>
                </w:tcPr>
                <w:p w14:paraId="4ACE38C1" w14:textId="77777777" w:rsidR="004A6D37" w:rsidRPr="001C4FC1" w:rsidRDefault="004A6D37" w:rsidP="000161BC">
                  <w:pPr>
                    <w:widowControl w:val="0"/>
                    <w:spacing w:after="0" w:line="240" w:lineRule="auto"/>
                    <w:jc w:val="both"/>
                    <w:rPr>
                      <w:rFonts w:ascii="Arial Narrow" w:hAnsi="Arial Narrow"/>
                    </w:rPr>
                  </w:pPr>
                  <w:r w:rsidRPr="001C4FC1">
                    <w:rPr>
                      <w:rFonts w:ascii="Arial Narrow" w:hAnsi="Arial Narrow"/>
                    </w:rPr>
                    <w:t>Mzdy (p.b.)</w:t>
                  </w:r>
                </w:p>
              </w:tc>
              <w:tc>
                <w:tcPr>
                  <w:tcW w:w="554" w:type="pct"/>
                  <w:tcBorders>
                    <w:left w:val="single" w:sz="4" w:space="0" w:color="auto"/>
                  </w:tcBorders>
                  <w:noWrap/>
                  <w:vAlign w:val="center"/>
                </w:tcPr>
                <w:p w14:paraId="64641389"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0.0</w:t>
                  </w:r>
                </w:p>
              </w:tc>
              <w:tc>
                <w:tcPr>
                  <w:tcW w:w="554" w:type="pct"/>
                  <w:noWrap/>
                  <w:vAlign w:val="center"/>
                </w:tcPr>
                <w:p w14:paraId="6E4E5D49"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0.0</w:t>
                  </w:r>
                </w:p>
              </w:tc>
              <w:tc>
                <w:tcPr>
                  <w:tcW w:w="554" w:type="pct"/>
                  <w:tcBorders>
                    <w:right w:val="single" w:sz="4" w:space="0" w:color="auto"/>
                  </w:tcBorders>
                  <w:vAlign w:val="center"/>
                </w:tcPr>
                <w:p w14:paraId="4F5DB6A6"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0.0</w:t>
                  </w:r>
                </w:p>
              </w:tc>
              <w:tc>
                <w:tcPr>
                  <w:tcW w:w="554" w:type="pct"/>
                  <w:tcBorders>
                    <w:left w:val="single" w:sz="4" w:space="0" w:color="auto"/>
                  </w:tcBorders>
                  <w:vAlign w:val="center"/>
                </w:tcPr>
                <w:p w14:paraId="5934E554"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0.3</w:t>
                  </w:r>
                </w:p>
              </w:tc>
              <w:tc>
                <w:tcPr>
                  <w:tcW w:w="554" w:type="pct"/>
                  <w:vAlign w:val="center"/>
                </w:tcPr>
                <w:p w14:paraId="5D4EBE5A"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2.3</w:t>
                  </w:r>
                </w:p>
              </w:tc>
              <w:tc>
                <w:tcPr>
                  <w:tcW w:w="555" w:type="pct"/>
                  <w:vAlign w:val="center"/>
                </w:tcPr>
                <w:p w14:paraId="30E95FAF"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0.5</w:t>
                  </w:r>
                </w:p>
              </w:tc>
            </w:tr>
            <w:tr w:rsidR="004A6D37" w:rsidRPr="001C4FC1" w14:paraId="62BA2747" w14:textId="77777777" w:rsidTr="000161BC">
              <w:trPr>
                <w:trHeight w:val="288"/>
              </w:trPr>
              <w:tc>
                <w:tcPr>
                  <w:tcW w:w="1673" w:type="pct"/>
                  <w:tcBorders>
                    <w:bottom w:val="single" w:sz="4" w:space="0" w:color="auto"/>
                    <w:right w:val="single" w:sz="4" w:space="0" w:color="auto"/>
                  </w:tcBorders>
                  <w:noWrap/>
                  <w:vAlign w:val="center"/>
                  <w:hideMark/>
                </w:tcPr>
                <w:p w14:paraId="5523B8D9" w14:textId="77777777" w:rsidR="004A6D37" w:rsidRPr="001C4FC1" w:rsidRDefault="004A6D37" w:rsidP="000161BC">
                  <w:pPr>
                    <w:widowControl w:val="0"/>
                    <w:spacing w:after="0" w:line="240" w:lineRule="auto"/>
                    <w:jc w:val="both"/>
                    <w:rPr>
                      <w:rFonts w:ascii="Arial Narrow" w:hAnsi="Arial Narrow"/>
                    </w:rPr>
                  </w:pPr>
                  <w:r w:rsidRPr="001C4FC1">
                    <w:rPr>
                      <w:rFonts w:ascii="Arial Narrow" w:hAnsi="Arial Narrow"/>
                    </w:rPr>
                    <w:t>Inflácia (p.b.)</w:t>
                  </w:r>
                </w:p>
              </w:tc>
              <w:tc>
                <w:tcPr>
                  <w:tcW w:w="554" w:type="pct"/>
                  <w:tcBorders>
                    <w:left w:val="single" w:sz="4" w:space="0" w:color="auto"/>
                    <w:bottom w:val="single" w:sz="4" w:space="0" w:color="auto"/>
                  </w:tcBorders>
                  <w:noWrap/>
                  <w:vAlign w:val="center"/>
                  <w:hideMark/>
                </w:tcPr>
                <w:p w14:paraId="56773ACB"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0.2</w:t>
                  </w:r>
                </w:p>
              </w:tc>
              <w:tc>
                <w:tcPr>
                  <w:tcW w:w="554" w:type="pct"/>
                  <w:tcBorders>
                    <w:bottom w:val="single" w:sz="4" w:space="0" w:color="auto"/>
                  </w:tcBorders>
                  <w:noWrap/>
                  <w:vAlign w:val="center"/>
                  <w:hideMark/>
                </w:tcPr>
                <w:p w14:paraId="37174F0B"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0.5</w:t>
                  </w:r>
                </w:p>
              </w:tc>
              <w:tc>
                <w:tcPr>
                  <w:tcW w:w="554" w:type="pct"/>
                  <w:tcBorders>
                    <w:bottom w:val="single" w:sz="4" w:space="0" w:color="auto"/>
                    <w:right w:val="single" w:sz="4" w:space="0" w:color="auto"/>
                  </w:tcBorders>
                  <w:vAlign w:val="center"/>
                </w:tcPr>
                <w:p w14:paraId="144035E9"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0.0</w:t>
                  </w:r>
                </w:p>
              </w:tc>
              <w:tc>
                <w:tcPr>
                  <w:tcW w:w="554" w:type="pct"/>
                  <w:tcBorders>
                    <w:left w:val="single" w:sz="4" w:space="0" w:color="auto"/>
                    <w:bottom w:val="single" w:sz="4" w:space="0" w:color="auto"/>
                  </w:tcBorders>
                  <w:vAlign w:val="center"/>
                </w:tcPr>
                <w:p w14:paraId="7E60E81C"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1.6</w:t>
                  </w:r>
                </w:p>
              </w:tc>
              <w:tc>
                <w:tcPr>
                  <w:tcW w:w="554" w:type="pct"/>
                  <w:tcBorders>
                    <w:bottom w:val="single" w:sz="4" w:space="0" w:color="auto"/>
                  </w:tcBorders>
                  <w:vAlign w:val="center"/>
                </w:tcPr>
                <w:p w14:paraId="66B56A6A"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3.8</w:t>
                  </w:r>
                </w:p>
              </w:tc>
              <w:tc>
                <w:tcPr>
                  <w:tcW w:w="555" w:type="pct"/>
                  <w:tcBorders>
                    <w:bottom w:val="single" w:sz="4" w:space="0" w:color="auto"/>
                  </w:tcBorders>
                  <w:vAlign w:val="center"/>
                </w:tcPr>
                <w:p w14:paraId="58C0423E"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-0.1</w:t>
                  </w:r>
                </w:p>
              </w:tc>
            </w:tr>
            <w:tr w:rsidR="004A6D37" w:rsidRPr="001C4FC1" w14:paraId="39DAFE39" w14:textId="77777777" w:rsidTr="000161BC">
              <w:trPr>
                <w:trHeight w:val="288"/>
              </w:trPr>
              <w:tc>
                <w:tcPr>
                  <w:tcW w:w="1673" w:type="pct"/>
                  <w:tcBorders>
                    <w:top w:val="single" w:sz="4" w:space="0" w:color="auto"/>
                    <w:bottom w:val="single" w:sz="4" w:space="0" w:color="auto"/>
                    <w:right w:val="single" w:sz="4" w:space="0" w:color="auto"/>
                  </w:tcBorders>
                  <w:noWrap/>
                  <w:vAlign w:val="center"/>
                  <w:hideMark/>
                </w:tcPr>
                <w:p w14:paraId="1A81B812" w14:textId="77777777" w:rsidR="004A6D37" w:rsidRPr="001C4FC1" w:rsidRDefault="004A6D37" w:rsidP="000161BC">
                  <w:pPr>
                    <w:widowControl w:val="0"/>
                    <w:spacing w:after="0" w:line="240" w:lineRule="auto"/>
                    <w:jc w:val="both"/>
                    <w:rPr>
                      <w:rFonts w:ascii="Arial Narrow" w:hAnsi="Arial Narrow"/>
                    </w:rPr>
                  </w:pPr>
                  <w:r w:rsidRPr="001C4FC1">
                    <w:rPr>
                      <w:rFonts w:ascii="Arial Narrow" w:hAnsi="Arial Narrow"/>
                    </w:rPr>
                    <w:t>Saldo verejných financií (mil. eur)</w:t>
                  </w:r>
                </w:p>
              </w:tc>
              <w:tc>
                <w:tcPr>
                  <w:tcW w:w="554" w:type="pct"/>
                  <w:tcBorders>
                    <w:top w:val="single" w:sz="4" w:space="0" w:color="auto"/>
                    <w:left w:val="single" w:sz="4" w:space="0" w:color="auto"/>
                    <w:bottom w:val="single" w:sz="4" w:space="0" w:color="auto"/>
                  </w:tcBorders>
                  <w:noWrap/>
                  <w:vAlign w:val="center"/>
                  <w:hideMark/>
                </w:tcPr>
                <w:p w14:paraId="7D7F45E1"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-80.3</w:t>
                  </w:r>
                </w:p>
              </w:tc>
              <w:tc>
                <w:tcPr>
                  <w:tcW w:w="554" w:type="pct"/>
                  <w:tcBorders>
                    <w:top w:val="single" w:sz="4" w:space="0" w:color="auto"/>
                    <w:bottom w:val="single" w:sz="4" w:space="0" w:color="auto"/>
                  </w:tcBorders>
                  <w:noWrap/>
                  <w:vAlign w:val="center"/>
                  <w:hideMark/>
                </w:tcPr>
                <w:p w14:paraId="16A8C38C"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-306.6</w:t>
                  </w:r>
                </w:p>
              </w:tc>
              <w:tc>
                <w:tcPr>
                  <w:tcW w:w="554" w:type="pct"/>
                  <w:tcBorders>
                    <w:top w:val="single" w:sz="4" w:space="0" w:color="auto"/>
                    <w:bottom w:val="single" w:sz="4" w:space="0" w:color="auto"/>
                    <w:right w:val="single" w:sz="4" w:space="0" w:color="auto"/>
                  </w:tcBorders>
                  <w:vAlign w:val="center"/>
                </w:tcPr>
                <w:p w14:paraId="6362A09B"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-399.6</w:t>
                  </w:r>
                </w:p>
              </w:tc>
              <w:tc>
                <w:tcPr>
                  <w:tcW w:w="554" w:type="pct"/>
                  <w:tcBorders>
                    <w:top w:val="single" w:sz="4" w:space="0" w:color="auto"/>
                    <w:left w:val="single" w:sz="4" w:space="0" w:color="auto"/>
                    <w:bottom w:val="single" w:sz="4" w:space="0" w:color="auto"/>
                  </w:tcBorders>
                  <w:vAlign w:val="center"/>
                </w:tcPr>
                <w:p w14:paraId="59B856D7"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-300.4</w:t>
                  </w:r>
                </w:p>
              </w:tc>
              <w:tc>
                <w:tcPr>
                  <w:tcW w:w="554" w:type="pct"/>
                  <w:tcBorders>
                    <w:top w:val="single" w:sz="4" w:space="0" w:color="auto"/>
                    <w:bottom w:val="single" w:sz="4" w:space="0" w:color="auto"/>
                  </w:tcBorders>
                  <w:vAlign w:val="center"/>
                </w:tcPr>
                <w:p w14:paraId="0FE84B9A"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-997.4</w:t>
                  </w:r>
                </w:p>
              </w:tc>
              <w:tc>
                <w:tcPr>
                  <w:tcW w:w="555" w:type="pct"/>
                  <w:tcBorders>
                    <w:top w:val="single" w:sz="4" w:space="0" w:color="auto"/>
                    <w:bottom w:val="single" w:sz="4" w:space="0" w:color="auto"/>
                  </w:tcBorders>
                  <w:vAlign w:val="center"/>
                </w:tcPr>
                <w:p w14:paraId="5DA91016" w14:textId="77777777" w:rsidR="004A6D37" w:rsidRPr="001C4FC1" w:rsidRDefault="004A6D37" w:rsidP="000161BC">
                  <w:pPr>
                    <w:widowControl w:val="0"/>
                    <w:spacing w:after="0" w:line="240" w:lineRule="auto"/>
                    <w:jc w:val="center"/>
                    <w:rPr>
                      <w:rFonts w:ascii="Arial Narrow" w:hAnsi="Arial Narrow"/>
                    </w:rPr>
                  </w:pPr>
                  <w:r w:rsidRPr="001C4FC1">
                    <w:rPr>
                      <w:rFonts w:ascii="Arial Narrow" w:hAnsi="Arial Narrow"/>
                    </w:rPr>
                    <w:t>-1 470.0</w:t>
                  </w:r>
                </w:p>
              </w:tc>
            </w:tr>
          </w:tbl>
          <w:p w14:paraId="2157AF92" w14:textId="77777777" w:rsidR="004A6D37" w:rsidRPr="001C4FC1" w:rsidRDefault="004A6D37" w:rsidP="00230E7E">
            <w:pPr>
              <w:widowControl w:val="0"/>
              <w:spacing w:before="120"/>
              <w:jc w:val="both"/>
              <w:rPr>
                <w:rFonts w:ascii="Arial Narrow" w:hAnsi="Arial Narrow"/>
              </w:rPr>
            </w:pPr>
          </w:p>
          <w:tbl>
            <w:tblPr>
              <w:tblStyle w:val="Mriekatabuky"/>
              <w:tblW w:w="8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4"/>
              <w:gridCol w:w="7031"/>
            </w:tblGrid>
            <w:tr w:rsidR="004A6D37" w:rsidRPr="001C4FC1" w14:paraId="13748779" w14:textId="77777777" w:rsidTr="000161BC">
              <w:trPr>
                <w:trHeight w:val="148"/>
              </w:trPr>
              <w:tc>
                <w:tcPr>
                  <w:tcW w:w="0" w:type="auto"/>
                  <w:gridSpan w:val="2"/>
                  <w:tcBorders>
                    <w:bottom w:val="single" w:sz="4" w:space="0" w:color="auto"/>
                  </w:tcBorders>
                  <w:vAlign w:val="center"/>
                </w:tcPr>
                <w:p w14:paraId="3BF725DE" w14:textId="5EF17D3C" w:rsidR="004A6D37" w:rsidRPr="001C4FC1" w:rsidRDefault="001C4FC1" w:rsidP="00230E7E">
                  <w:pPr>
                    <w:widowControl w:val="0"/>
                    <w:spacing w:before="120"/>
                    <w:jc w:val="both"/>
                    <w:rPr>
                      <w:rFonts w:ascii="Arial Narrow" w:hAnsi="Arial Narrow"/>
                      <w:b/>
                      <w:bCs/>
                    </w:rPr>
                  </w:pPr>
                  <w:bookmarkStart w:id="18" w:name="_Toc228283010"/>
                  <w:r w:rsidRPr="001C4FC1">
                    <w:rPr>
                      <w:rFonts w:ascii="Arial Narrow" w:hAnsi="Arial Narrow"/>
                      <w:b/>
                      <w:color w:val="2C9ADC"/>
                      <w:sz w:val="20"/>
                      <w:szCs w:val="20"/>
                    </w:rPr>
                    <w:t xml:space="preserve">GRAF </w:t>
                  </w:r>
                  <w:r w:rsidRPr="001C4FC1">
                    <w:rPr>
                      <w:rFonts w:ascii="Arial Narrow" w:hAnsi="Arial Narrow"/>
                      <w:b/>
                      <w:color w:val="2C9ADC"/>
                      <w:sz w:val="20"/>
                      <w:szCs w:val="20"/>
                    </w:rPr>
                    <w:fldChar w:fldCharType="begin"/>
                  </w:r>
                  <w:r w:rsidRPr="001C4FC1">
                    <w:rPr>
                      <w:rFonts w:ascii="Arial Narrow" w:hAnsi="Arial Narrow"/>
                      <w:b/>
                      <w:color w:val="2C9ADC"/>
                      <w:sz w:val="20"/>
                      <w:szCs w:val="20"/>
                    </w:rPr>
                    <w:instrText xml:space="preserve"> SEQ GRAF \* ARABIC </w:instrText>
                  </w:r>
                  <w:r w:rsidRPr="001C4FC1">
                    <w:rPr>
                      <w:rFonts w:ascii="Arial Narrow" w:hAnsi="Arial Narrow"/>
                      <w:b/>
                      <w:color w:val="2C9ADC"/>
                      <w:sz w:val="20"/>
                      <w:szCs w:val="20"/>
                    </w:rPr>
                    <w:fldChar w:fldCharType="separate"/>
                  </w:r>
                  <w:r w:rsidR="008765E2">
                    <w:rPr>
                      <w:rFonts w:ascii="Arial Narrow" w:hAnsi="Arial Narrow"/>
                      <w:b/>
                      <w:noProof/>
                      <w:color w:val="2C9ADC"/>
                      <w:sz w:val="20"/>
                      <w:szCs w:val="20"/>
                    </w:rPr>
                    <w:t>7</w:t>
                  </w:r>
                  <w:r w:rsidRPr="001C4FC1">
                    <w:rPr>
                      <w:rFonts w:ascii="Arial Narrow" w:hAnsi="Arial Narrow"/>
                      <w:b/>
                      <w:color w:val="2C9ADC"/>
                      <w:sz w:val="20"/>
                      <w:szCs w:val="20"/>
                    </w:rPr>
                    <w:fldChar w:fldCharType="end"/>
                  </w:r>
                  <w:r w:rsidRPr="001C4FC1">
                    <w:rPr>
                      <w:rFonts w:ascii="Arial Narrow" w:hAnsi="Arial Narrow"/>
                      <w:b/>
                      <w:color w:val="2C9ADC"/>
                      <w:sz w:val="20"/>
                      <w:szCs w:val="20"/>
                    </w:rPr>
                    <w:t xml:space="preserve"> – </w:t>
                  </w:r>
                  <w:r w:rsidR="004A6D37" w:rsidRPr="001C4FC1">
                    <w:rPr>
                      <w:rFonts w:ascii="Arial Narrow" w:hAnsi="Arial Narrow"/>
                      <w:b/>
                      <w:color w:val="2C9ADC"/>
                      <w:sz w:val="20"/>
                      <w:szCs w:val="20"/>
                    </w:rPr>
                    <w:t>Predpoklady o cenách ropy (USD/barel)</w:t>
                  </w:r>
                  <w:bookmarkEnd w:id="18"/>
                </w:p>
              </w:tc>
            </w:tr>
            <w:tr w:rsidR="004A6D37" w:rsidRPr="001C4FC1" w14:paraId="121D3CB8" w14:textId="77777777" w:rsidTr="000161BC">
              <w:tblPrEx>
                <w:tblCellMar>
                  <w:left w:w="70" w:type="dxa"/>
                  <w:right w:w="70" w:type="dxa"/>
                </w:tblCellMar>
              </w:tblPrEx>
              <w:trPr>
                <w:trHeight w:val="2605"/>
              </w:trPr>
              <w:tc>
                <w:tcPr>
                  <w:tcW w:w="0" w:type="auto"/>
                  <w:gridSpan w:val="2"/>
                  <w:tcBorders>
                    <w:top w:val="single" w:sz="4" w:space="0" w:color="auto"/>
                    <w:bottom w:val="single" w:sz="4" w:space="0" w:color="auto"/>
                  </w:tcBorders>
                  <w:vAlign w:val="center"/>
                </w:tcPr>
                <w:p w14:paraId="787DEDEB" w14:textId="77777777" w:rsidR="004A6D37" w:rsidRPr="001C4FC1" w:rsidRDefault="004A6D37" w:rsidP="000161BC">
                  <w:pPr>
                    <w:widowControl w:val="0"/>
                    <w:spacing w:before="120" w:after="240"/>
                    <w:jc w:val="both"/>
                    <w:rPr>
                      <w:rFonts w:ascii="Arial Narrow" w:hAnsi="Arial Narrow"/>
                      <w:b/>
                      <w:bCs/>
                      <w:i/>
                      <w:iCs/>
                    </w:rPr>
                  </w:pPr>
                  <w:r w:rsidRPr="001C4FC1">
                    <w:rPr>
                      <w:rFonts w:ascii="Arial Narrow" w:hAnsi="Arial Narrow"/>
                      <w:b/>
                      <w:bCs/>
                      <w:i/>
                      <w:iCs/>
                      <w:noProof/>
                    </w:rPr>
                    <w:drawing>
                      <wp:inline distT="0" distB="0" distL="0" distR="0" wp14:anchorId="1F9CB6D6" wp14:editId="57AB93B5">
                        <wp:extent cx="5246995" cy="2122227"/>
                        <wp:effectExtent l="0" t="0" r="0" b="0"/>
                        <wp:docPr id="321927446" name="Graf 1">
                          <a:extLst xmlns:a="http://schemas.openxmlformats.org/drawingml/2006/main">
                            <a:ext uri="{FF2B5EF4-FFF2-40B4-BE49-F238E27FC236}">
                              <a16:creationId xmlns:a16="http://schemas.microsoft.com/office/drawing/2014/main" id="{AF5AE9A2-186F-4F45-AAEE-7A95EDE2FF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4A6D37" w:rsidRPr="001C4FC1" w14:paraId="57697485" w14:textId="77777777" w:rsidTr="000161BC">
              <w:trPr>
                <w:trHeight w:val="124"/>
              </w:trPr>
              <w:tc>
                <w:tcPr>
                  <w:tcW w:w="0" w:type="auto"/>
                  <w:tcBorders>
                    <w:top w:val="single" w:sz="4" w:space="0" w:color="auto"/>
                  </w:tcBorders>
                </w:tcPr>
                <w:p w14:paraId="06AF2B80" w14:textId="77777777" w:rsidR="004A6D37" w:rsidRPr="001C4FC1" w:rsidRDefault="004A6D37" w:rsidP="00230E7E">
                  <w:pPr>
                    <w:widowControl w:val="0"/>
                    <w:spacing w:before="120"/>
                    <w:jc w:val="both"/>
                    <w:rPr>
                      <w:rFonts w:ascii="Arial Narrow" w:hAnsi="Arial Narrow"/>
                      <w:b/>
                      <w:bCs/>
                      <w:i/>
                      <w:iCs/>
                    </w:rPr>
                  </w:pPr>
                </w:p>
              </w:tc>
              <w:tc>
                <w:tcPr>
                  <w:tcW w:w="0" w:type="auto"/>
                  <w:tcBorders>
                    <w:top w:val="single" w:sz="4" w:space="0" w:color="auto"/>
                  </w:tcBorders>
                </w:tcPr>
                <w:p w14:paraId="09247A03" w14:textId="0A4DA382" w:rsidR="004A6D37" w:rsidRPr="001C4FC1" w:rsidRDefault="004A6D37" w:rsidP="00230E7E">
                  <w:pPr>
                    <w:widowControl w:val="0"/>
                    <w:jc w:val="right"/>
                    <w:rPr>
                      <w:rFonts w:ascii="Arial Narrow" w:hAnsi="Arial Narrow"/>
                      <w:i/>
                      <w:iCs/>
                    </w:rPr>
                  </w:pPr>
                  <w:r w:rsidRPr="001C4FC1">
                    <w:rPr>
                      <w:rFonts w:ascii="Arial Narrow" w:hAnsi="Arial Narrow"/>
                      <w:i/>
                      <w:iCs/>
                      <w:sz w:val="18"/>
                      <w:szCs w:val="18"/>
                    </w:rPr>
                    <w:t xml:space="preserve">Zdroj: </w:t>
                  </w:r>
                  <w:r w:rsidR="00AD57FE">
                    <w:rPr>
                      <w:rFonts w:ascii="Arial Narrow" w:hAnsi="Arial Narrow"/>
                      <w:i/>
                      <w:iCs/>
                      <w:sz w:val="18"/>
                      <w:szCs w:val="18"/>
                    </w:rPr>
                    <w:t>MF SR</w:t>
                  </w:r>
                </w:p>
              </w:tc>
            </w:tr>
          </w:tbl>
          <w:p w14:paraId="03A7EB56" w14:textId="77777777" w:rsidR="004A6D37" w:rsidRPr="001C4FC1" w:rsidRDefault="004A6D37" w:rsidP="000161BC">
            <w:pPr>
              <w:widowControl w:val="0"/>
              <w:spacing w:before="120" w:after="240"/>
              <w:jc w:val="both"/>
              <w:rPr>
                <w:rFonts w:ascii="Arial Narrow" w:hAnsi="Arial Narrow"/>
                <w:highlight w:val="yellow"/>
              </w:rPr>
            </w:pPr>
          </w:p>
        </w:tc>
      </w:tr>
      <w:bookmarkEnd w:id="16"/>
    </w:tbl>
    <w:p w14:paraId="6AD7F37B" w14:textId="77777777" w:rsidR="004A6D37" w:rsidRPr="001C4FC1" w:rsidRDefault="004A6D37" w:rsidP="004A6D37">
      <w:pPr>
        <w:rPr>
          <w:rFonts w:ascii="Arial Narrow" w:hAnsi="Arial Narrow"/>
        </w:rPr>
      </w:pPr>
    </w:p>
    <w:p w14:paraId="592E426D" w14:textId="2DC028E2" w:rsidR="004A6D37" w:rsidRPr="001C4FC1" w:rsidRDefault="004A6D37">
      <w:pPr>
        <w:rPr>
          <w:rFonts w:ascii="Arial Narrow" w:hAnsi="Arial Narrow"/>
          <w:b/>
          <w:bCs/>
        </w:rPr>
      </w:pPr>
      <w:r w:rsidRPr="001C4FC1">
        <w:rPr>
          <w:rFonts w:ascii="Arial Narrow" w:hAnsi="Arial Narrow"/>
          <w:b/>
          <w:bCs/>
        </w:rPr>
        <w:br w:type="page"/>
      </w:r>
    </w:p>
    <w:p w14:paraId="17D84FC0" w14:textId="77777777" w:rsidR="004A6D37" w:rsidRPr="001C4FC1" w:rsidRDefault="004A6D37" w:rsidP="004A6D37">
      <w:pPr>
        <w:pStyle w:val="ifphl1"/>
      </w:pPr>
      <w:bookmarkStart w:id="19" w:name="_Toc195082564"/>
      <w:bookmarkStart w:id="20" w:name="_Toc228177456"/>
      <w:r w:rsidRPr="001C4FC1">
        <w:lastRenderedPageBreak/>
        <w:t>Vývoj verejných financií</w:t>
      </w:r>
      <w:bookmarkEnd w:id="19"/>
      <w:bookmarkEnd w:id="20"/>
    </w:p>
    <w:p w14:paraId="60783451" w14:textId="39305D57" w:rsidR="004A6D37" w:rsidRPr="001C4FC1" w:rsidRDefault="004A6D37" w:rsidP="004A6D37">
      <w:pPr>
        <w:pStyle w:val="ifpperex"/>
      </w:pPr>
      <w:r w:rsidRPr="002C3C7F">
        <w:t xml:space="preserve">Po dvoch významnejších krízach </w:t>
      </w:r>
      <w:r w:rsidR="00880EB2" w:rsidRPr="002C3C7F">
        <w:t xml:space="preserve"> a </w:t>
      </w:r>
      <w:r w:rsidR="00B122C3" w:rsidRPr="002C3C7F">
        <w:t>výrazne</w:t>
      </w:r>
      <w:r w:rsidR="00880EB2" w:rsidRPr="002C3C7F">
        <w:t xml:space="preserve"> expanzívnej politike v roku 2023 </w:t>
      </w:r>
      <w:r w:rsidR="00EE48C8" w:rsidRPr="002C3C7F">
        <w:t>narástol</w:t>
      </w:r>
      <w:r w:rsidRPr="002C3C7F">
        <w:t xml:space="preserve"> deficit verejných financií na vysok</w:t>
      </w:r>
      <w:r w:rsidR="00EE48C8" w:rsidRPr="002C3C7F">
        <w:t>ú</w:t>
      </w:r>
      <w:r w:rsidRPr="002C3C7F">
        <w:t xml:space="preserve"> úrov</w:t>
      </w:r>
      <w:r w:rsidR="00EE48C8" w:rsidRPr="002C3C7F">
        <w:t>eň</w:t>
      </w:r>
      <w:r w:rsidRPr="002C3C7F">
        <w:t xml:space="preserve"> a Slovensko sa </w:t>
      </w:r>
      <w:r w:rsidR="00880EB2" w:rsidRPr="002C3C7F">
        <w:t>ocitlo</w:t>
      </w:r>
      <w:r w:rsidRPr="002C3C7F">
        <w:t xml:space="preserve"> v procedúre nadmerného deficitu.</w:t>
      </w:r>
      <w:r w:rsidR="000F50AC">
        <w:t xml:space="preserve"> Pôvodný návrh rozpočtu na rok 2024 v scenári nezme</w:t>
      </w:r>
      <w:r w:rsidR="006C0532">
        <w:t>ne</w:t>
      </w:r>
      <w:r w:rsidR="000F50AC">
        <w:t>ných politík očakával deficit 6,5 % HDP.</w:t>
      </w:r>
      <w:r w:rsidRPr="002C3C7F">
        <w:t xml:space="preserve"> Vláda </w:t>
      </w:r>
      <w:r w:rsidR="00880EB2" w:rsidRPr="002C3C7F">
        <w:t xml:space="preserve">na to od svojho nástupu na konci roka 2023 </w:t>
      </w:r>
      <w:r w:rsidRPr="002C3C7F">
        <w:t xml:space="preserve">reagovala prijatím troch konsolidačných balíčkov v celkovom objeme </w:t>
      </w:r>
      <w:r w:rsidR="003E0341" w:rsidRPr="002C3C7F">
        <w:t xml:space="preserve">vyše </w:t>
      </w:r>
      <w:r w:rsidRPr="002C3C7F">
        <w:t>4 % HDP</w:t>
      </w:r>
      <w:r w:rsidR="00880EB2" w:rsidRPr="002C3C7F">
        <w:t xml:space="preserve">. </w:t>
      </w:r>
      <w:r w:rsidR="00EE48C8" w:rsidRPr="002C3C7F">
        <w:t xml:space="preserve"> Deficit </w:t>
      </w:r>
      <w:r w:rsidR="00880EB2" w:rsidRPr="002C3C7F">
        <w:t xml:space="preserve">tak </w:t>
      </w:r>
      <w:r w:rsidR="00EE48C8" w:rsidRPr="002C3C7F">
        <w:t>postupne klesal z 5,3</w:t>
      </w:r>
      <w:r w:rsidR="001371BB">
        <w:t>5</w:t>
      </w:r>
      <w:r w:rsidR="00EE48C8" w:rsidRPr="002C3C7F">
        <w:t xml:space="preserve"> % HDP v 2023 na 4,</w:t>
      </w:r>
      <w:r w:rsidR="001371BB">
        <w:t>4</w:t>
      </w:r>
      <w:r w:rsidR="00EE48C8" w:rsidRPr="002C3C7F">
        <w:t>5% v 2025 a v tomto roku klesne na 4,3</w:t>
      </w:r>
      <w:r w:rsidR="001371BB">
        <w:t>4</w:t>
      </w:r>
      <w:r w:rsidR="00EE48C8" w:rsidRPr="002C3C7F">
        <w:t xml:space="preserve"> %. P</w:t>
      </w:r>
      <w:r w:rsidRPr="002C3C7F">
        <w:t xml:space="preserve">ozitívny vplyv </w:t>
      </w:r>
      <w:r w:rsidR="00EE48C8" w:rsidRPr="002C3C7F">
        <w:t xml:space="preserve">konsolidačného úsilia </w:t>
      </w:r>
      <w:r w:rsidRPr="002C3C7F">
        <w:t xml:space="preserve">na saldo </w:t>
      </w:r>
      <w:r w:rsidR="00EE48C8" w:rsidRPr="002C3C7F">
        <w:t>je</w:t>
      </w:r>
      <w:r w:rsidRPr="002C3C7F">
        <w:t xml:space="preserve"> tlmený najmä rastom obranných výdavkov</w:t>
      </w:r>
      <w:r w:rsidR="00880EB2" w:rsidRPr="002C3C7F">
        <w:t xml:space="preserve"> k</w:t>
      </w:r>
      <w:r w:rsidR="00B122C3" w:rsidRPr="002C3C7F">
        <w:t xml:space="preserve"> dávnejšie určenému cieľu </w:t>
      </w:r>
      <w:r w:rsidR="00880EB2" w:rsidRPr="002C3C7F">
        <w:t>2% HDP</w:t>
      </w:r>
      <w:r w:rsidRPr="002C3C7F">
        <w:t>, vyššími úrokovými nákladmi na obsluhu dlhu</w:t>
      </w:r>
      <w:r w:rsidR="00B122C3" w:rsidRPr="002C3C7F">
        <w:t xml:space="preserve"> kvôli zhoršenej globálnej situácii na finančných trhoch a </w:t>
      </w:r>
      <w:r w:rsidRPr="002C3C7F">
        <w:t>navýšením prioritných výdavkov vlády.</w:t>
      </w:r>
      <w:r w:rsidR="002C3C7F">
        <w:t xml:space="preserve"> </w:t>
      </w:r>
      <w:r w:rsidRPr="002C3C7F">
        <w:t>Navyše, vývoj verejných financií zhoršilo nepriaznivejšie než očakávané makroekonomické prostredie.</w:t>
      </w:r>
      <w:r w:rsidR="00EE48C8" w:rsidRPr="002C3C7F">
        <w:t xml:space="preserve"> </w:t>
      </w:r>
      <w:r w:rsidRPr="002C3C7F">
        <w:t xml:space="preserve">Takýto vývoj deficitu v optike kumulatívneho rastu čistých výdavkov </w:t>
      </w:r>
      <w:r w:rsidR="00A971A6" w:rsidRPr="002C3C7F">
        <w:t>predstavuje</w:t>
      </w:r>
      <w:r w:rsidRPr="002C3C7F">
        <w:t xml:space="preserve"> 7,4 % v rokoch 2024 až 2026, </w:t>
      </w:r>
      <w:r w:rsidR="00A971A6" w:rsidRPr="002C3C7F">
        <w:t>čo je</w:t>
      </w:r>
      <w:r w:rsidRPr="002C3C7F">
        <w:t xml:space="preserve"> významne nižšie ako bol maximálny rast stanovený rozpočtovými pravidlami EÚ. Dôvodom je najmä skutočnosť, že </w:t>
      </w:r>
      <w:r w:rsidR="00010DC1" w:rsidRPr="002C3C7F">
        <w:t xml:space="preserve">viaceré </w:t>
      </w:r>
      <w:r w:rsidR="00AD1F27" w:rsidRPr="002C3C7F">
        <w:t xml:space="preserve">vyššie spomínané </w:t>
      </w:r>
      <w:r w:rsidRPr="002C3C7F">
        <w:t>negatívne vplyvy na deficit mimo kontroly vlády</w:t>
      </w:r>
      <w:r w:rsidR="00010DC1" w:rsidRPr="002C3C7F">
        <w:t xml:space="preserve"> neovplyvňujú plnenie pravidiel EÚ.</w:t>
      </w:r>
      <w:r w:rsidR="000E6CC7" w:rsidRPr="002C3C7F">
        <w:t xml:space="preserve"> V</w:t>
      </w:r>
      <w:r w:rsidR="000F50AC">
        <w:t xml:space="preserve"> aktualizovanom </w:t>
      </w:r>
      <w:r w:rsidR="000E6CC7" w:rsidRPr="002C3C7F">
        <w:t xml:space="preserve">hypotetickom scenári </w:t>
      </w:r>
      <w:r w:rsidR="000F50AC">
        <w:t xml:space="preserve">nezmenených politík </w:t>
      </w:r>
      <w:r w:rsidR="000E6CC7" w:rsidRPr="002C3C7F">
        <w:t>od nástupu</w:t>
      </w:r>
      <w:r w:rsidR="000F50AC">
        <w:t xml:space="preserve"> vlády</w:t>
      </w:r>
      <w:r w:rsidR="000E6CC7" w:rsidRPr="002C3C7F">
        <w:t xml:space="preserve">, by sa schodok priblížil </w:t>
      </w:r>
      <w:r w:rsidR="00D83F51" w:rsidRPr="002C3C7F">
        <w:t xml:space="preserve">v 2026 </w:t>
      </w:r>
      <w:r w:rsidR="00880EB2" w:rsidRPr="002C3C7F">
        <w:t xml:space="preserve">až </w:t>
      </w:r>
      <w:r w:rsidR="000E6CC7" w:rsidRPr="002C3C7F">
        <w:t>k 7 % HDP</w:t>
      </w:r>
      <w:r w:rsidR="000F50AC">
        <w:t xml:space="preserve"> a dlh by narastal </w:t>
      </w:r>
      <w:r w:rsidR="001E7206">
        <w:t>v nasledujúcej dekáde k</w:t>
      </w:r>
      <w:r w:rsidR="000F50AC">
        <w:t xml:space="preserve"> 100</w:t>
      </w:r>
      <w:r w:rsidR="001A4F3C">
        <w:t xml:space="preserve"> </w:t>
      </w:r>
      <w:r w:rsidR="000F50AC">
        <w:t>% HDP.</w:t>
      </w:r>
    </w:p>
    <w:p w14:paraId="7E7BF0C5" w14:textId="77777777" w:rsidR="004A6D37" w:rsidRPr="001C4FC1" w:rsidRDefault="004A6D37" w:rsidP="004A6D37">
      <w:pPr>
        <w:pStyle w:val="ifpzhl2"/>
        <w:numPr>
          <w:ilvl w:val="1"/>
          <w:numId w:val="2"/>
        </w:numPr>
        <w:tabs>
          <w:tab w:val="num" w:pos="360"/>
        </w:tabs>
        <w:ind w:left="567" w:hanging="567"/>
      </w:pPr>
      <w:bookmarkStart w:id="21" w:name="_Toc228177457"/>
      <w:r w:rsidRPr="001C4FC1">
        <w:t>Fiškálny vývoj 2024 až 2026</w:t>
      </w:r>
      <w:bookmarkEnd w:id="21"/>
    </w:p>
    <w:p w14:paraId="73D0C49A" w14:textId="096F4193" w:rsidR="004A6D37" w:rsidRPr="001C4FC1" w:rsidRDefault="004A6D37" w:rsidP="004A6D37">
      <w:pPr>
        <w:pStyle w:val="ifptext"/>
      </w:pPr>
      <w:r w:rsidRPr="001C4FC1">
        <w:rPr>
          <w:rStyle w:val="ifptextbChar"/>
        </w:rPr>
        <w:t>Deficit verejnej správy sa zníži na 4,3 %</w:t>
      </w:r>
      <w:r w:rsidR="001E7206">
        <w:rPr>
          <w:rStyle w:val="ifptextbChar"/>
        </w:rPr>
        <w:t xml:space="preserve"> HDP</w:t>
      </w:r>
      <w:r w:rsidRPr="001C4FC1">
        <w:rPr>
          <w:rStyle w:val="ifptextbChar"/>
        </w:rPr>
        <w:t xml:space="preserve"> v roku 2026. </w:t>
      </w:r>
      <w:r w:rsidRPr="00337E2B">
        <w:rPr>
          <w:rStyle w:val="ifptextbChar"/>
          <w:b w:val="0"/>
        </w:rPr>
        <w:t>Konsolidačné opatrenia prijaté po nástupe novej vlády najskôr zastavili rast deficitu v roku 2024 na úrovni 5,3 % HDP a následne v</w:t>
      </w:r>
      <w:r w:rsidR="00365995">
        <w:rPr>
          <w:rStyle w:val="ifptextbChar"/>
          <w:b w:val="0"/>
        </w:rPr>
        <w:t>edú</w:t>
      </w:r>
      <w:r w:rsidRPr="00337E2B">
        <w:rPr>
          <w:rStyle w:val="ifptextbChar"/>
          <w:b w:val="0"/>
        </w:rPr>
        <w:t xml:space="preserve"> k jeho zníženiu na 4,3 %.</w:t>
      </w:r>
      <w:r w:rsidRPr="001C4FC1">
        <w:t xml:space="preserve"> Hoci mali konsolidačné opatrenia na príjmovej aj výdavkovej strane výrazný pozitívny vplyv, súčasne kryli aj faktory zvyšujúce deficit. </w:t>
      </w:r>
    </w:p>
    <w:tbl>
      <w:tblPr>
        <w:tblStyle w:val="Mriekatabuky"/>
        <w:tblW w:w="9072" w:type="dxa"/>
        <w:jc w:val="center"/>
        <w:tblCellMar>
          <w:top w:w="28" w:type="dxa"/>
        </w:tblCellMar>
        <w:tblLook w:val="04A0" w:firstRow="1" w:lastRow="0" w:firstColumn="1" w:lastColumn="0" w:noHBand="0" w:noVBand="1"/>
      </w:tblPr>
      <w:tblGrid>
        <w:gridCol w:w="9072"/>
      </w:tblGrid>
      <w:tr w:rsidR="004A6D37" w:rsidRPr="001C4FC1" w14:paraId="1C597BD9" w14:textId="77777777" w:rsidTr="000161BC">
        <w:trPr>
          <w:jc w:val="center"/>
        </w:trPr>
        <w:tc>
          <w:tcPr>
            <w:tcW w:w="9072" w:type="dxa"/>
            <w:tcBorders>
              <w:top w:val="nil"/>
              <w:left w:val="nil"/>
              <w:bottom w:val="single" w:sz="4" w:space="0" w:color="auto"/>
              <w:right w:val="nil"/>
            </w:tcBorders>
          </w:tcPr>
          <w:p w14:paraId="2B133EB5" w14:textId="1AA61312" w:rsidR="004A6D37" w:rsidRPr="001C4FC1" w:rsidRDefault="004A6D37" w:rsidP="000161BC">
            <w:pPr>
              <w:pStyle w:val="ifppopis"/>
              <w:jc w:val="both"/>
              <w:rPr>
                <w:noProof/>
                <w:highlight w:val="yellow"/>
              </w:rPr>
            </w:pPr>
            <w:bookmarkStart w:id="22" w:name="_Toc196311753"/>
            <w:bookmarkStart w:id="23" w:name="_Toc228283011"/>
            <w:r w:rsidRPr="001C4FC1">
              <w:t xml:space="preserve">GRAF </w:t>
            </w:r>
            <w:fldSimple w:instr=" SEQ GRAF \* ARABIC ">
              <w:r w:rsidR="008765E2">
                <w:rPr>
                  <w:noProof/>
                </w:rPr>
                <w:t>8</w:t>
              </w:r>
            </w:fldSimple>
            <w:r w:rsidRPr="001C4FC1">
              <w:t xml:space="preserve"> – </w:t>
            </w:r>
            <w:r w:rsidRPr="001C4FC1">
              <w:rPr>
                <w:noProof/>
              </w:rPr>
              <w:t>Hlavné príspevky k  zmene deficitu hospodárenia verejnej správy v rokoch 2023 až 2026 (% HDP, ESA2010)</w:t>
            </w:r>
            <w:bookmarkEnd w:id="22"/>
            <w:bookmarkEnd w:id="23"/>
          </w:p>
        </w:tc>
      </w:tr>
      <w:tr w:rsidR="004A6D37" w:rsidRPr="001C4FC1" w14:paraId="4BF444AF" w14:textId="77777777" w:rsidTr="006C0532">
        <w:tblPrEx>
          <w:tblCellMar>
            <w:left w:w="70" w:type="dxa"/>
            <w:right w:w="70" w:type="dxa"/>
          </w:tblCellMar>
        </w:tblPrEx>
        <w:trPr>
          <w:jc w:val="center"/>
        </w:trPr>
        <w:tc>
          <w:tcPr>
            <w:tcW w:w="9072" w:type="dxa"/>
            <w:tcBorders>
              <w:top w:val="single" w:sz="4" w:space="0" w:color="auto"/>
              <w:left w:val="nil"/>
              <w:bottom w:val="single" w:sz="4" w:space="0" w:color="auto"/>
              <w:right w:val="nil"/>
            </w:tcBorders>
            <w:vAlign w:val="center"/>
          </w:tcPr>
          <w:p w14:paraId="2FF1025C" w14:textId="1323BBFF" w:rsidR="004A6D37" w:rsidRPr="001C4FC1" w:rsidRDefault="006C0532" w:rsidP="000161BC">
            <w:pPr>
              <w:pStyle w:val="ifptext"/>
              <w:jc w:val="center"/>
              <w:rPr>
                <w:noProof/>
                <w:highlight w:val="yellow"/>
              </w:rPr>
            </w:pPr>
            <w:r>
              <w:rPr>
                <w:noProof/>
              </w:rPr>
              <w:t xml:space="preserve"> </w:t>
            </w:r>
            <w:r>
              <w:rPr>
                <w:noProof/>
              </w:rPr>
              <w:drawing>
                <wp:inline distT="0" distB="0" distL="0" distR="0" wp14:anchorId="49E5A1F7" wp14:editId="5803F2A7">
                  <wp:extent cx="5661660" cy="2364105"/>
                  <wp:effectExtent l="0" t="0" r="0" b="0"/>
                  <wp:docPr id="1110166183" name="Graf 1">
                    <a:extLst xmlns:a="http://schemas.openxmlformats.org/drawingml/2006/main">
                      <a:ext uri="{FF2B5EF4-FFF2-40B4-BE49-F238E27FC236}">
                        <a16:creationId xmlns:a16="http://schemas.microsoft.com/office/drawing/2014/main" id="{FD7A4BD9-2503-8DB7-75A6-1A20757764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4A6D37" w:rsidRPr="001C4FC1" w14:paraId="0341A37B" w14:textId="77777777" w:rsidTr="000161BC">
        <w:trPr>
          <w:trHeight w:val="198"/>
          <w:jc w:val="center"/>
        </w:trPr>
        <w:tc>
          <w:tcPr>
            <w:tcW w:w="9072" w:type="dxa"/>
            <w:tcBorders>
              <w:top w:val="single" w:sz="4" w:space="0" w:color="auto"/>
              <w:left w:val="nil"/>
              <w:bottom w:val="nil"/>
              <w:right w:val="nil"/>
            </w:tcBorders>
            <w:vAlign w:val="bottom"/>
          </w:tcPr>
          <w:p w14:paraId="74FBCF6D" w14:textId="0E724832" w:rsidR="004A6D37" w:rsidRPr="001C4FC1" w:rsidRDefault="004A6D37" w:rsidP="00E81344">
            <w:pPr>
              <w:pStyle w:val="ifpszdroj"/>
              <w:jc w:val="left"/>
            </w:pPr>
            <w:r w:rsidRPr="00807C08">
              <w:t xml:space="preserve">Poznámka: </w:t>
            </w:r>
            <w:r w:rsidR="003121F0" w:rsidRPr="00807C08">
              <w:t>V rámci položiek konsolidácie sú konečné hodnoty spresnené o neskoršie legislatívne úpravy niektorých príjmových opatrení. V</w:t>
            </w:r>
            <w:r w:rsidRPr="00807C08">
              <w:t>rámci položky ostatné ide</w:t>
            </w:r>
            <w:r w:rsidR="006C0532">
              <w:t xml:space="preserve"> najmä</w:t>
            </w:r>
            <w:r w:rsidRPr="00807C08">
              <w:t xml:space="preserve"> o vplyv </w:t>
            </w:r>
            <w:r w:rsidR="006C0532">
              <w:t>opatrení prijatách predošlými vládami, rast odvodu do rozpočtu EÚ</w:t>
            </w:r>
            <w:r w:rsidRPr="00807C08">
              <w:t>,</w:t>
            </w:r>
            <w:r w:rsidR="006C0532">
              <w:t xml:space="preserve"> či</w:t>
            </w:r>
            <w:r w:rsidRPr="00807C08">
              <w:t xml:space="preserve"> </w:t>
            </w:r>
            <w:r w:rsidR="006C0532">
              <w:t>ostatné</w:t>
            </w:r>
            <w:r w:rsidR="006C0532" w:rsidRPr="00807C08">
              <w:t xml:space="preserve"> </w:t>
            </w:r>
            <w:r w:rsidRPr="00807C08">
              <w:t>navýšenie mzdových výdavkov a výdavkov na medzispotrebu</w:t>
            </w:r>
            <w:r w:rsidR="006C0532">
              <w:t xml:space="preserve"> nad rámec identifikovaných konkrétnych opatrení súčasnej vlády</w:t>
            </w:r>
            <w:r w:rsidR="001371BB">
              <w:t xml:space="preserve"> uvedených na grafe vyššie.</w:t>
            </w:r>
          </w:p>
          <w:p w14:paraId="7B519157" w14:textId="77777777" w:rsidR="004A6D37" w:rsidRPr="001C4FC1" w:rsidRDefault="004A6D37" w:rsidP="000161BC">
            <w:pPr>
              <w:pStyle w:val="ifpszdroj"/>
              <w:rPr>
                <w:highlight w:val="yellow"/>
              </w:rPr>
            </w:pPr>
            <w:r w:rsidRPr="001C4FC1">
              <w:t>Zdroj: MF SR, ŠÚ SR</w:t>
            </w:r>
          </w:p>
        </w:tc>
      </w:tr>
      <w:tr w:rsidR="004A6D37" w:rsidRPr="001C4FC1" w14:paraId="34E1107C" w14:textId="77777777" w:rsidTr="000161BC">
        <w:trPr>
          <w:jc w:val="center"/>
        </w:trPr>
        <w:tc>
          <w:tcPr>
            <w:tcW w:w="9072" w:type="dxa"/>
            <w:tcBorders>
              <w:top w:val="nil"/>
              <w:left w:val="nil"/>
              <w:bottom w:val="nil"/>
              <w:right w:val="nil"/>
            </w:tcBorders>
            <w:vAlign w:val="center"/>
          </w:tcPr>
          <w:p w14:paraId="08295651" w14:textId="77777777" w:rsidR="004A6D37" w:rsidRPr="001C4FC1" w:rsidRDefault="004A6D37" w:rsidP="000161BC">
            <w:pPr>
              <w:pStyle w:val="ifpszdroj"/>
              <w:rPr>
                <w:highlight w:val="yellow"/>
              </w:rPr>
            </w:pPr>
          </w:p>
        </w:tc>
      </w:tr>
    </w:tbl>
    <w:p w14:paraId="39423237" w14:textId="37AAB5F1" w:rsidR="004A6D37" w:rsidRPr="001C4FC1" w:rsidRDefault="004A6D37" w:rsidP="004A6D37">
      <w:pPr>
        <w:pStyle w:val="ifptext"/>
        <w:rPr>
          <w:rStyle w:val="ifptextbChar"/>
          <w:b w:val="0"/>
        </w:rPr>
      </w:pPr>
      <w:r w:rsidRPr="001C4FC1">
        <w:rPr>
          <w:rStyle w:val="ifptextbChar"/>
        </w:rPr>
        <w:t>Vláda už schválila tri konsolidačné balíky v celkovom objeme 4,3 % HDP</w:t>
      </w:r>
      <w:r w:rsidRPr="001C4FC1">
        <w:rPr>
          <w:rStyle w:val="ifptextbChar"/>
          <w:bCs/>
        </w:rPr>
        <w:t xml:space="preserve">. </w:t>
      </w:r>
      <w:r w:rsidRPr="001C4FC1">
        <w:rPr>
          <w:rStyle w:val="ifptextbChar"/>
          <w:b w:val="0"/>
        </w:rPr>
        <w:t xml:space="preserve">Konsolidačné opatrenia na príjmovej </w:t>
      </w:r>
      <w:r w:rsidRPr="00807C08">
        <w:rPr>
          <w:rStyle w:val="ifptextbChar"/>
          <w:b w:val="0"/>
        </w:rPr>
        <w:t xml:space="preserve">strane tvoria </w:t>
      </w:r>
      <w:r w:rsidR="006D64A9" w:rsidRPr="00807C08">
        <w:rPr>
          <w:rStyle w:val="ifptextbChar"/>
          <w:b w:val="0"/>
        </w:rPr>
        <w:t>väčšinový</w:t>
      </w:r>
      <w:r w:rsidRPr="00807C08">
        <w:rPr>
          <w:rStyle w:val="ifptextbChar"/>
          <w:b w:val="0"/>
        </w:rPr>
        <w:t xml:space="preserve"> podiel z doterajšej</w:t>
      </w:r>
      <w:r w:rsidRPr="001C4FC1">
        <w:rPr>
          <w:rStyle w:val="ifptextbChar"/>
          <w:b w:val="0"/>
        </w:rPr>
        <w:t xml:space="preserve"> konsolidácie. </w:t>
      </w:r>
    </w:p>
    <w:p w14:paraId="3B8D3605" w14:textId="60E631BD" w:rsidR="004A6D37" w:rsidRPr="001C4FC1" w:rsidRDefault="004A6D37" w:rsidP="00B61F87">
      <w:pPr>
        <w:pStyle w:val="ifptext"/>
        <w:numPr>
          <w:ilvl w:val="0"/>
          <w:numId w:val="5"/>
        </w:numPr>
      </w:pPr>
      <w:r w:rsidRPr="001C4FC1">
        <w:rPr>
          <w:rStyle w:val="ifptextbChar"/>
        </w:rPr>
        <w:t>Prvý súbor konsolidačných opatrení v objeme 1,0 % HDP</w:t>
      </w:r>
      <w:r w:rsidRPr="001C4FC1">
        <w:rPr>
          <w:rStyle w:val="ifptextbChar"/>
          <w:bCs/>
        </w:rPr>
        <w:t xml:space="preserve"> na rok 2024 obsahoval</w:t>
      </w:r>
      <w:r w:rsidRPr="001C4FC1">
        <w:t xml:space="preserve"> 3 najvýznamnejšie opatrenia: zníženie odvodu do druhého dôchodkového piliera, zvýšenie zdravotných odvodov zamestnávateľov o 1 p. b. a rozšírenie osobitného odvodu z podnikania na bankový sektor (spolu za 0,7 % HDP). Výraznejší vplyv malo tiež zavedenie daňovej licencie, zvýšenie spotrebných daní na tabak a</w:t>
      </w:r>
      <w:r w:rsidR="00723F63">
        <w:t> </w:t>
      </w:r>
      <w:r w:rsidRPr="001C4FC1">
        <w:t>lieh</w:t>
      </w:r>
      <w:r w:rsidR="00723F63">
        <w:t>,</w:t>
      </w:r>
      <w:r w:rsidRPr="001C4FC1">
        <w:t xml:space="preserve"> ako aj dočasné predĺženie odvodu zo zisku Vodohospodárskej výstavby. </w:t>
      </w:r>
    </w:p>
    <w:p w14:paraId="335E2B4B" w14:textId="11DDCB22" w:rsidR="004A6D37" w:rsidRPr="003E0341" w:rsidRDefault="004A6D37" w:rsidP="00B61F87">
      <w:pPr>
        <w:pStyle w:val="ifptext"/>
        <w:numPr>
          <w:ilvl w:val="0"/>
          <w:numId w:val="5"/>
        </w:numPr>
        <w:rPr>
          <w:rStyle w:val="ifptextbChar"/>
          <w:b w:val="0"/>
        </w:rPr>
      </w:pPr>
      <w:r w:rsidRPr="001C4FC1">
        <w:rPr>
          <w:b/>
          <w:bCs/>
        </w:rPr>
        <w:t xml:space="preserve">Druhý konsolidačný balíček </w:t>
      </w:r>
      <w:r w:rsidRPr="001C4FC1">
        <w:rPr>
          <w:rStyle w:val="ifptextbChar"/>
          <w:bCs/>
        </w:rPr>
        <w:t>bol v objeme 1,</w:t>
      </w:r>
      <w:r w:rsidR="003121F0">
        <w:rPr>
          <w:rStyle w:val="ifptextbChar"/>
          <w:bCs/>
        </w:rPr>
        <w:t>6</w:t>
      </w:r>
      <w:r w:rsidRPr="001C4FC1">
        <w:rPr>
          <w:rStyle w:val="ifptextbChar"/>
          <w:bCs/>
        </w:rPr>
        <w:t xml:space="preserve"> % HDP. </w:t>
      </w:r>
      <w:r w:rsidRPr="001C4FC1">
        <w:rPr>
          <w:rStyle w:val="ifptextbChar"/>
          <w:b w:val="0"/>
        </w:rPr>
        <w:t>Konsolidáciu v objeme 1,</w:t>
      </w:r>
      <w:r w:rsidR="003121F0">
        <w:rPr>
          <w:rStyle w:val="ifptextbChar"/>
          <w:b w:val="0"/>
        </w:rPr>
        <w:t>1</w:t>
      </w:r>
      <w:r w:rsidRPr="001C4FC1">
        <w:rPr>
          <w:rStyle w:val="ifptextbChar"/>
          <w:b w:val="0"/>
        </w:rPr>
        <w:t xml:space="preserve"> % HDP zabezpečili 3 príjmové opatrenia: zvýšenie základnej sadzby DPH z 20 % na 23 %, zavedenie transakčnej dane a úpravy dane z príjmov veľkých právnických osôb, kde sa zvýšila sadzba na 24 %. Zvyšné príjmové </w:t>
      </w:r>
      <w:r w:rsidRPr="001C4FC1">
        <w:rPr>
          <w:rStyle w:val="ifptextbChar"/>
          <w:b w:val="0"/>
        </w:rPr>
        <w:lastRenderedPageBreak/>
        <w:t>opatrenia za 0,</w:t>
      </w:r>
      <w:r w:rsidR="003121F0">
        <w:rPr>
          <w:rStyle w:val="ifptextbChar"/>
          <w:b w:val="0"/>
        </w:rPr>
        <w:t>3</w:t>
      </w:r>
      <w:r w:rsidRPr="001C4FC1">
        <w:rPr>
          <w:rStyle w:val="ifptextbChar"/>
          <w:b w:val="0"/>
        </w:rPr>
        <w:t xml:space="preserve"> % HDP pozostávajú zo zvýšenia spotrebných daní z tabaku a výrobkov súvisiacich s tabakovými výrobkami, daňou z liehu, zavedenia spotrebnej dane zo sladených nápojov, ako aj úpravami cien diaľničných známok a mýta. Na výdavkovej strane sa opatrenia za celkovo 0,3 % HDP </w:t>
      </w:r>
      <w:r w:rsidRPr="003E0341">
        <w:rPr>
          <w:rStyle w:val="ifptextbChar"/>
          <w:b w:val="0"/>
        </w:rPr>
        <w:t xml:space="preserve">týkali najmä reformy rodičovského dôchodku - možnosť asignácie dane rodičom a reformy daňového bonusu na dieťa </w:t>
      </w:r>
    </w:p>
    <w:p w14:paraId="3EAFAF0B" w14:textId="77777777" w:rsidR="004A6D37" w:rsidRPr="003E0341" w:rsidRDefault="004A6D37" w:rsidP="00B61F87">
      <w:pPr>
        <w:pStyle w:val="ifptext"/>
        <w:numPr>
          <w:ilvl w:val="0"/>
          <w:numId w:val="5"/>
        </w:numPr>
        <w:rPr>
          <w:rStyle w:val="ifptextbChar"/>
          <w:b w:val="0"/>
          <w:iCs/>
        </w:rPr>
      </w:pPr>
      <w:r w:rsidRPr="003E0341">
        <w:rPr>
          <w:b/>
          <w:iCs/>
        </w:rPr>
        <w:t>Opatrenia tretieho konsolidačného balíčka sú v objeme za 1,6 % HDP</w:t>
      </w:r>
      <w:r w:rsidRPr="003E0341">
        <w:rPr>
          <w:bCs/>
          <w:iCs/>
        </w:rPr>
        <w:t xml:space="preserve">. Parametrické úpravy na príjmovej strane </w:t>
      </w:r>
      <w:bookmarkStart w:id="24" w:name="_Hlk177722845"/>
      <w:r w:rsidRPr="003E0341">
        <w:rPr>
          <w:bCs/>
          <w:iCs/>
        </w:rPr>
        <w:t>za 1,0 % HDP sa zamerali na zvýšenie odvodového zaťaženia, zvýšenie progresivity zdanenia, kroky zamerané na boj s daňovými únikmi a optimalizáciou daní</w:t>
      </w:r>
      <w:r w:rsidRPr="003E0341">
        <w:rPr>
          <w:rStyle w:val="Odkaznapoznmkupodiarou"/>
          <w:bCs/>
          <w:iCs/>
        </w:rPr>
        <w:footnoteReference w:id="3"/>
      </w:r>
      <w:r w:rsidRPr="003E0341">
        <w:rPr>
          <w:bCs/>
          <w:iCs/>
        </w:rPr>
        <w:t xml:space="preserve"> a odvodov, ako aj zvýšenie zdanenia negatívnych externalít. Príjmy majú rásť aj v dôsledku zníženia počtu dní pracovného pokoja, ako aj</w:t>
      </w:r>
      <w:r w:rsidRPr="003E0341">
        <w:rPr>
          <w:iCs/>
        </w:rPr>
        <w:t> zrušeného zákazu predaja počas štátnych sviatkov.</w:t>
      </w:r>
      <w:r w:rsidRPr="003E0341">
        <w:rPr>
          <w:bCs/>
          <w:iCs/>
        </w:rPr>
        <w:t xml:space="preserve"> Na výdavkovej strane má priniesť najväčšiu úsporu tlmenie výdavkov jednotlivých ministerstiev, ich podriadených organizácií, ako aj samospráv v objeme 0,5 % HDP. Ostatné úpravy na výdavkovej strane za 0,1 % HDP sú v oblasti dôchodkov a vybraných sociálnych dávok. </w:t>
      </w:r>
      <w:bookmarkEnd w:id="24"/>
    </w:p>
    <w:p w14:paraId="74DB07D1" w14:textId="04C69DA3" w:rsidR="004A6D37" w:rsidRPr="00807C08" w:rsidRDefault="004A6D37" w:rsidP="004A6D37">
      <w:pPr>
        <w:pStyle w:val="ifptext"/>
        <w:rPr>
          <w:rStyle w:val="ifptextbChar"/>
          <w:b w:val="0"/>
        </w:rPr>
      </w:pPr>
      <w:r w:rsidRPr="001C4FC1">
        <w:rPr>
          <w:rStyle w:val="ifptextbChar"/>
        </w:rPr>
        <w:t>Prijaté konsolidačné opatrenia súčasne kryli vplyvy iných deficitných opatrení prijatých v posledných rokoch, ktoré zhoršujú hospodárenie.</w:t>
      </w:r>
      <w:r w:rsidRPr="001C4FC1">
        <w:t xml:space="preserve"> Tieto opatrenia predstavovali v roku 2024 oproti predošlému roku približne 0,4 % HDP</w:t>
      </w:r>
      <w:r w:rsidRPr="001C4FC1">
        <w:rPr>
          <w:rStyle w:val="Odkaznapoznmkupodiarou"/>
        </w:rPr>
        <w:footnoteReference w:id="4"/>
      </w:r>
      <w:r w:rsidRPr="001C4FC1">
        <w:t xml:space="preserve">. Najväčšie dodatočné náklady prinieslo dofinancovanie zdravotníckeho sektora z navýšených zamestnávateľských odvodov o 1 p. b. Výdavky rástli aj v súvislosti s novým ministerstvom cestovného ruchu a športu, ako aj opatreniami na zlepšenie podmienok odmeňovania ozbrojených zložiek a finančnej správy. K vyšším výdavkom prispel aj plný 13. </w:t>
      </w:r>
      <w:r w:rsidRPr="00807C08">
        <w:t xml:space="preserve">dôchodok. </w:t>
      </w:r>
      <w:r w:rsidRPr="00807C08">
        <w:rPr>
          <w:rStyle w:val="ifptextbChar"/>
          <w:b w:val="0"/>
        </w:rPr>
        <w:t>K</w:t>
      </w:r>
      <w:r w:rsidR="00AD1F27" w:rsidRPr="00807C08">
        <w:rPr>
          <w:rStyle w:val="ifptextbChar"/>
          <w:b w:val="0"/>
        </w:rPr>
        <w:t xml:space="preserve"> ďalším </w:t>
      </w:r>
      <w:r w:rsidRPr="00807C08">
        <w:rPr>
          <w:rStyle w:val="ifptextbChar"/>
          <w:b w:val="0"/>
        </w:rPr>
        <w:t xml:space="preserve">opatreniam </w:t>
      </w:r>
      <w:r w:rsidR="00365995" w:rsidRPr="00807C08">
        <w:rPr>
          <w:rStyle w:val="ifptextbChar"/>
          <w:b w:val="0"/>
        </w:rPr>
        <w:t>s vplyvom</w:t>
      </w:r>
      <w:r w:rsidRPr="00807C08">
        <w:rPr>
          <w:rStyle w:val="ifptextbChar"/>
          <w:b w:val="0"/>
        </w:rPr>
        <w:t xml:space="preserve"> v roku 2025 patria navýšenie platov pedagogických zamestnancov (s vplyvom najmä v roku 2026), navýšenie normatívov financovania materských škôl, ktorých financovanie prešlo pod ústrednú štátnu správu. Zvýšili sa aj osobné príplatky zamestnancov súdov a vojakov. V roku 2026 </w:t>
      </w:r>
      <w:r w:rsidRPr="00807C08">
        <w:rPr>
          <w:bCs/>
        </w:rPr>
        <w:t>prináša zásadné zmeny a vyššie výdavky reforma sociálnych služieb, ktorej vplyvy sa však prejavia postupne</w:t>
      </w:r>
      <w:r w:rsidRPr="00807C08">
        <w:rPr>
          <w:rStyle w:val="Odkaznapoznmkupodiarou"/>
          <w:b/>
        </w:rPr>
        <w:footnoteReference w:id="5"/>
      </w:r>
      <w:r w:rsidRPr="00807C08">
        <w:rPr>
          <w:b/>
        </w:rPr>
        <w:t xml:space="preserve">. </w:t>
      </w:r>
      <w:r w:rsidRPr="00807C08">
        <w:rPr>
          <w:rStyle w:val="ifptextbChar"/>
          <w:b w:val="0"/>
        </w:rPr>
        <w:t xml:space="preserve">Výdavky rástli aj z dôvodu opatrení prijatých ešte pred súčasným volebným obdobím, ako sú predčasné dôchodky s možnosťou odchodu do dôchodku už po 40 odpracovaných rokoch, </w:t>
      </w:r>
      <w:r w:rsidR="00270A85" w:rsidRPr="00807C08">
        <w:rPr>
          <w:rStyle w:val="ifptextbChar"/>
          <w:b w:val="0"/>
        </w:rPr>
        <w:t xml:space="preserve">prijatie </w:t>
      </w:r>
      <w:r w:rsidRPr="00807C08">
        <w:rPr>
          <w:rStyle w:val="ifptextbChar"/>
          <w:b w:val="0"/>
        </w:rPr>
        <w:t>školsk</w:t>
      </w:r>
      <w:r w:rsidR="00270A85" w:rsidRPr="00807C08">
        <w:rPr>
          <w:rStyle w:val="ifptextbChar"/>
          <w:b w:val="0"/>
        </w:rPr>
        <w:t>ého</w:t>
      </w:r>
      <w:r w:rsidRPr="00807C08">
        <w:rPr>
          <w:rStyle w:val="ifptextbChar"/>
          <w:b w:val="0"/>
        </w:rPr>
        <w:t xml:space="preserve"> zákon</w:t>
      </w:r>
      <w:r w:rsidR="00270A85" w:rsidRPr="00807C08">
        <w:rPr>
          <w:rStyle w:val="ifptextbChar"/>
          <w:b w:val="0"/>
        </w:rPr>
        <w:t>a</w:t>
      </w:r>
      <w:r w:rsidRPr="00807C08">
        <w:rPr>
          <w:rStyle w:val="ifptextbChar"/>
          <w:b w:val="0"/>
        </w:rPr>
        <w:t xml:space="preserve">, postupné zvyšovanie výdavkov na vedu a výskum alebo zavedenie výkonnostných zmlúv pre verejné vysoké školy. </w:t>
      </w:r>
    </w:p>
    <w:p w14:paraId="3BF9870C" w14:textId="6D9A6DF2" w:rsidR="004A6D37" w:rsidRPr="001C4FC1" w:rsidRDefault="004A6D37" w:rsidP="009F10EE">
      <w:pPr>
        <w:jc w:val="both"/>
        <w:rPr>
          <w:rFonts w:ascii="Arial Narrow" w:hAnsi="Arial Narrow"/>
          <w:bCs/>
        </w:rPr>
      </w:pPr>
      <w:r w:rsidRPr="001C4FC1">
        <w:rPr>
          <w:rStyle w:val="ifptextbChar"/>
        </w:rPr>
        <w:t xml:space="preserve">Poklesu deficitu bránili od roku 2023 aj ďalšie faktory, sčasti mimo priameho dosahu vlády. </w:t>
      </w:r>
      <w:r w:rsidRPr="001C4FC1">
        <w:rPr>
          <w:rFonts w:ascii="Arial Narrow" w:eastAsia="Times New Roman" w:hAnsi="Arial Narrow" w:cs="Book Antiqua"/>
          <w:lang w:eastAsia="sk-SK"/>
        </w:rPr>
        <w:t xml:space="preserve">Pozitívny vplyv konsolidačných opatrení bol </w:t>
      </w:r>
      <w:r w:rsidR="00885BFB">
        <w:rPr>
          <w:rFonts w:ascii="Arial Narrow" w:eastAsia="Times New Roman" w:hAnsi="Arial Narrow" w:cs="Book Antiqua"/>
          <w:lang w:eastAsia="sk-SK"/>
        </w:rPr>
        <w:t>výrazne</w:t>
      </w:r>
      <w:r w:rsidRPr="001C4FC1">
        <w:rPr>
          <w:rFonts w:ascii="Arial Narrow" w:eastAsia="Times New Roman" w:hAnsi="Arial Narrow" w:cs="Book Antiqua"/>
          <w:lang w:eastAsia="sk-SK"/>
        </w:rPr>
        <w:t xml:space="preserve"> tlmený zhoršujúcim sa makroekonomickým prostredím. Od roku 2025 negatívne vplývalo zavedenie ciel zo strany americkej administratívy, ktoré výrazne znížilo makroekonomické základne ako je spotreba domácností či zamestnanosť. Navyše dochádza k slabšiemu výberu daní než by zodpovedalo vývoju príslušných makroekonomických základní, a to najmä pri</w:t>
      </w:r>
      <w:r w:rsidRPr="001C4FC1" w:rsidDel="00DF7C42">
        <w:rPr>
          <w:rFonts w:ascii="Arial Narrow" w:eastAsia="Times New Roman" w:hAnsi="Arial Narrow" w:cs="Book Antiqua"/>
          <w:lang w:eastAsia="sk-SK"/>
        </w:rPr>
        <w:t xml:space="preserve"> </w:t>
      </w:r>
      <w:r w:rsidRPr="001C4FC1">
        <w:rPr>
          <w:rFonts w:ascii="Arial Narrow" w:eastAsia="Times New Roman" w:hAnsi="Arial Narrow" w:cs="Book Antiqua"/>
          <w:lang w:eastAsia="sk-SK"/>
        </w:rPr>
        <w:t>dani z pridanej hodnoty</w:t>
      </w:r>
      <w:r w:rsidRPr="001C4FC1">
        <w:rPr>
          <w:rStyle w:val="Odkaznapoznmkupodiarou"/>
          <w:rFonts w:ascii="Arial Narrow" w:eastAsia="Times New Roman" w:hAnsi="Arial Narrow" w:cs="Book Antiqua"/>
          <w:lang w:eastAsia="sk-SK"/>
        </w:rPr>
        <w:footnoteReference w:id="6"/>
      </w:r>
      <w:r w:rsidRPr="001C4FC1">
        <w:rPr>
          <w:rFonts w:ascii="Arial Narrow" w:eastAsia="Times New Roman" w:hAnsi="Arial Narrow" w:cs="Book Antiqua"/>
          <w:lang w:eastAsia="sk-SK"/>
        </w:rPr>
        <w:t>. Výrazne narástli tiež výdavky na dôchodky mimo</w:t>
      </w:r>
      <w:r w:rsidR="00616581">
        <w:rPr>
          <w:rFonts w:ascii="Arial Narrow" w:eastAsia="Times New Roman" w:hAnsi="Arial Narrow" w:cs="Book Antiqua"/>
          <w:lang w:eastAsia="sk-SK"/>
        </w:rPr>
        <w:t xml:space="preserve"> vplyvu</w:t>
      </w:r>
      <w:r w:rsidRPr="001C4FC1">
        <w:rPr>
          <w:rFonts w:ascii="Arial Narrow" w:eastAsia="Times New Roman" w:hAnsi="Arial Narrow" w:cs="Book Antiqua"/>
          <w:lang w:eastAsia="sk-SK"/>
        </w:rPr>
        <w:t xml:space="preserve"> opatrení vlády, čo bolo spôsobené inflačným šokom a nadmerným odchodom ľudí do predčasného dôchodku. Z dôvodu nastavenia mechanizmu prvej valorizácie dôchodkov sa ľuďom v preddôchodkovom veku oplatilo ísť do penzie skôr.</w:t>
      </w:r>
      <w:r w:rsidRPr="001C4FC1">
        <w:rPr>
          <w:rFonts w:ascii="Arial Narrow" w:hAnsi="Arial Narrow"/>
        </w:rPr>
        <w:t xml:space="preserve"> Na rozpočet pôsobí </w:t>
      </w:r>
      <w:r w:rsidRPr="00270A85">
        <w:rPr>
          <w:rFonts w:ascii="Arial Narrow" w:hAnsi="Arial Narrow"/>
        </w:rPr>
        <w:t>aj</w:t>
      </w:r>
      <w:r w:rsidRPr="00270A85">
        <w:rPr>
          <w:rFonts w:ascii="Arial Narrow" w:hAnsi="Arial Narrow"/>
          <w:b/>
          <w:bCs/>
        </w:rPr>
        <w:t xml:space="preserve"> </w:t>
      </w:r>
      <w:r w:rsidRPr="00270A85">
        <w:rPr>
          <w:rStyle w:val="ifptextbChar"/>
          <w:b w:val="0"/>
          <w:bCs/>
        </w:rPr>
        <w:t>rast úrokových</w:t>
      </w:r>
      <w:r w:rsidRPr="001C4FC1">
        <w:rPr>
          <w:rStyle w:val="ifptextbChar"/>
          <w:b w:val="0"/>
          <w:bCs/>
        </w:rPr>
        <w:t xml:space="preserve"> nákladov najmä z dôvodu globálneho rastu úrokových sadzieb a geopolitickej nestability. Rozpočet zasiahne aj výrazný nárast výdavkov v obrane v porovnaní s rokom 2023. Ten je daný  dodaním väčšej časti vojenskej techniky v roku 2026 ako aj vyšších hotovostných výdavkov. Negatívne pôsobí aj nárast výdavkov spojených s odvodom do EÚ. Časť týchto negatívnych faktorov bola kompenzovaná vývojom cien energií; čo spôsobilo, že náklady na energetickú pomoc výrazne poklesli.</w:t>
      </w:r>
    </w:p>
    <w:p w14:paraId="78E01DBA" w14:textId="6CDAFBE0" w:rsidR="00577C32" w:rsidRPr="001C4FC1" w:rsidRDefault="00577C32" w:rsidP="00577C32">
      <w:pPr>
        <w:pStyle w:val="ifpzhl2"/>
        <w:ind w:left="567" w:hanging="567"/>
        <w:rPr>
          <w:color w:val="2C9ADC"/>
        </w:rPr>
      </w:pPr>
      <w:bookmarkStart w:id="25" w:name="_Toc228177458"/>
      <w:r w:rsidRPr="001C4FC1">
        <w:rPr>
          <w:color w:val="2C9ADC"/>
        </w:rPr>
        <w:lastRenderedPageBreak/>
        <w:t>Plnenie fiškálnych pravidiel</w:t>
      </w:r>
      <w:r w:rsidR="00E94F25">
        <w:rPr>
          <w:color w:val="2C9ADC"/>
        </w:rPr>
        <w:t xml:space="preserve"> EÚ</w:t>
      </w:r>
      <w:bookmarkEnd w:id="25"/>
    </w:p>
    <w:p w14:paraId="48E1707D" w14:textId="23D7C98D" w:rsidR="00577C32" w:rsidRPr="001C4FC1" w:rsidRDefault="00577C32" w:rsidP="00577C32">
      <w:pPr>
        <w:spacing w:after="60"/>
        <w:jc w:val="both"/>
        <w:rPr>
          <w:rFonts w:ascii="Arial Narrow" w:hAnsi="Arial Narrow"/>
          <w:bCs/>
        </w:rPr>
      </w:pPr>
      <w:bookmarkStart w:id="26" w:name="_Toc196296449"/>
      <w:r w:rsidRPr="001C4FC1">
        <w:rPr>
          <w:rFonts w:ascii="Arial Narrow" w:hAnsi="Arial Narrow"/>
          <w:b/>
        </w:rPr>
        <w:t>Výročná správa o pokroku druhýkrát vyhodnocuje plnenie fiškálnych pravidiel EÚ optikou rastu čistých výdavkov</w:t>
      </w:r>
      <w:r w:rsidRPr="001C4FC1">
        <w:rPr>
          <w:rStyle w:val="Odkaznapoznmkupodiarou"/>
          <w:rFonts w:ascii="Arial Narrow" w:hAnsi="Arial Narrow"/>
          <w:b/>
        </w:rPr>
        <w:footnoteReference w:id="7"/>
      </w:r>
      <w:r w:rsidRPr="001C4FC1">
        <w:rPr>
          <w:rStyle w:val="Odkaznapoznmkupodiarou"/>
          <w:rFonts w:ascii="Arial Narrow" w:hAnsi="Arial Narrow"/>
          <w:b/>
        </w:rPr>
        <w:footnoteReference w:id="8"/>
      </w:r>
      <w:r w:rsidRPr="001C4FC1">
        <w:rPr>
          <w:rFonts w:ascii="Arial Narrow" w:hAnsi="Arial Narrow"/>
          <w:b/>
        </w:rPr>
        <w:t xml:space="preserve">. </w:t>
      </w:r>
      <w:r w:rsidRPr="001C4FC1">
        <w:rPr>
          <w:rFonts w:ascii="Arial Narrow" w:hAnsi="Arial Narrow"/>
          <w:bCs/>
        </w:rPr>
        <w:t>Reformované rozpočtové pravidlá EÚ zaviedli v roku 2024 nový ukazovateľ – rast čistých výdavkov. Ten slúži ako jediný nástroj, ktorý má zabezpečiť znižovanie deficitu a dlhodobú udržateľnosť verejného dlhu</w:t>
      </w:r>
      <w:r w:rsidR="00E94F25">
        <w:rPr>
          <w:rFonts w:ascii="Arial Narrow" w:hAnsi="Arial Narrow"/>
          <w:bCs/>
        </w:rPr>
        <w:t>, avšak zároveň so silným dôrazom na proti-cyklickú fiškálnu politiku</w:t>
      </w:r>
      <w:r w:rsidRPr="001C4FC1">
        <w:rPr>
          <w:rFonts w:ascii="Arial Narrow" w:hAnsi="Arial Narrow"/>
          <w:bCs/>
        </w:rPr>
        <w:t>. Vláda sa preto v národnom strednodobom fiškálno-štrukturálnom pláne (ďalej len „strednodobom pláne“ alebo MTP) na jeseň 2024 zaviazala zlepšovať stav verejných financií práve prostredníctvom tohto nástroja. Keďže ide o viacročný plán, trajektória výdavkov bola vopred určená až do roku 2028, predložená Európskej komisii a schválená Radou EÚ. Predkladaná výročná správa teraz hodnotí, ako Slovensko naplnilo svoj záväzok v prvých dvoch rokoch 2024-2025. Konkrétne, či rast čistých výdavkov zodpovedal záväznej trajektórii zo strednodobého plánu</w:t>
      </w:r>
      <w:r w:rsidRPr="001C4FC1">
        <w:rPr>
          <w:rStyle w:val="Odkaznapoznmkupodiarou"/>
          <w:rFonts w:ascii="Arial Narrow" w:hAnsi="Arial Narrow"/>
          <w:bCs/>
        </w:rPr>
        <w:footnoteReference w:id="9"/>
      </w:r>
      <w:r w:rsidRPr="001C4FC1">
        <w:rPr>
          <w:rFonts w:ascii="Arial Narrow" w:hAnsi="Arial Narrow"/>
          <w:bCs/>
        </w:rPr>
        <w:t>. Slovensko zároveň dodržuje odporúčanie Rady o zverejňovaní aktualizovaného zoznamu konsolidačných opatrení, tak aby rast čistých výdavkov nepresiahol maximálne povolené tempo každých 6 mesiacov</w:t>
      </w:r>
      <w:r w:rsidR="00E94F25">
        <w:rPr>
          <w:rFonts w:ascii="Arial Narrow" w:hAnsi="Arial Narrow"/>
          <w:bCs/>
        </w:rPr>
        <w:t xml:space="preserve"> v kontexte procedúry nadmerného deficitu</w:t>
      </w:r>
      <w:r w:rsidRPr="001C4FC1">
        <w:rPr>
          <w:rFonts w:ascii="Arial Narrow" w:hAnsi="Arial Narrow"/>
          <w:bCs/>
        </w:rPr>
        <w:t>. Vláda zverejňuje konsolidačné opatrenia v Návrhu rozpočtového plánu na jeseň ako aj vo Výročnej správe o pokroku publikovanej na jar.</w:t>
      </w:r>
    </w:p>
    <w:p w14:paraId="0BA5586F" w14:textId="1913D1DC" w:rsidR="00577C32" w:rsidRPr="001C4FC1" w:rsidRDefault="00577C32" w:rsidP="00577C32">
      <w:pPr>
        <w:spacing w:before="240"/>
        <w:jc w:val="both"/>
        <w:rPr>
          <w:rFonts w:ascii="Arial Narrow" w:hAnsi="Arial Narrow"/>
          <w:bCs/>
        </w:rPr>
      </w:pPr>
      <w:r w:rsidRPr="001C4FC1">
        <w:rPr>
          <w:rFonts w:ascii="Arial Narrow" w:hAnsi="Arial Narrow"/>
          <w:b/>
        </w:rPr>
        <w:t xml:space="preserve">Kumulatívny rast čistých výdavkov do roku </w:t>
      </w:r>
      <w:r w:rsidRPr="00B122C3">
        <w:rPr>
          <w:rFonts w:ascii="Arial Narrow" w:hAnsi="Arial Narrow"/>
          <w:b/>
        </w:rPr>
        <w:t xml:space="preserve">2026 </w:t>
      </w:r>
      <w:r w:rsidR="006D64A9" w:rsidRPr="00B122C3">
        <w:rPr>
          <w:rFonts w:ascii="Arial Narrow" w:hAnsi="Arial Narrow"/>
          <w:b/>
        </w:rPr>
        <w:t>ostáva</w:t>
      </w:r>
      <w:r w:rsidRPr="00B122C3">
        <w:rPr>
          <w:rFonts w:ascii="Arial Narrow" w:hAnsi="Arial Narrow"/>
          <w:b/>
        </w:rPr>
        <w:t xml:space="preserve"> bezpečne pod maximálnym povoleným rastom</w:t>
      </w:r>
      <w:r w:rsidRPr="00B122C3">
        <w:rPr>
          <w:rStyle w:val="Odkaznapoznmkupodiarou"/>
          <w:rFonts w:ascii="Arial Narrow" w:hAnsi="Arial Narrow"/>
          <w:b/>
        </w:rPr>
        <w:footnoteReference w:id="10"/>
      </w:r>
      <w:r w:rsidRPr="00B122C3">
        <w:rPr>
          <w:rFonts w:ascii="Arial Narrow" w:hAnsi="Arial Narrow"/>
          <w:b/>
        </w:rPr>
        <w:t xml:space="preserve">. </w:t>
      </w:r>
      <w:r w:rsidRPr="00B122C3">
        <w:rPr>
          <w:rFonts w:ascii="Arial Narrow" w:hAnsi="Arial Narrow"/>
          <w:bCs/>
        </w:rPr>
        <w:t>MF SR vo svojom strednodobom pláne počítalo s maximálnym kumulatívnym rastom čistých výdavkov v rokoch 2024 až 2026 na úrovni 11,2 %. V skutočnosti rástli čisté výdavky za roky</w:t>
      </w:r>
      <w:r w:rsidRPr="001C4FC1">
        <w:rPr>
          <w:rFonts w:ascii="Arial Narrow" w:hAnsi="Arial Narrow"/>
          <w:bCs/>
        </w:rPr>
        <w:t xml:space="preserve"> 2024 a</w:t>
      </w:r>
      <w:r w:rsidR="006375B4">
        <w:rPr>
          <w:rFonts w:ascii="Arial Narrow" w:hAnsi="Arial Narrow"/>
          <w:bCs/>
        </w:rPr>
        <w:t>ž</w:t>
      </w:r>
      <w:r w:rsidRPr="001C4FC1">
        <w:rPr>
          <w:rFonts w:ascii="Arial Narrow" w:hAnsi="Arial Narrow"/>
          <w:bCs/>
        </w:rPr>
        <w:t xml:space="preserve"> 2026 kumulatívne o 7,4 % a sú tak bezpečne pod stanoveným maximálnym rastom. Rast čistých výdavkov tlmili </w:t>
      </w:r>
      <w:r w:rsidR="00BE59A4">
        <w:rPr>
          <w:rFonts w:ascii="Arial Narrow" w:hAnsi="Arial Narrow"/>
          <w:bCs/>
        </w:rPr>
        <w:t>najmä</w:t>
      </w:r>
      <w:r w:rsidR="00E94F25">
        <w:rPr>
          <w:rFonts w:ascii="Arial Narrow" w:hAnsi="Arial Narrow"/>
          <w:bCs/>
        </w:rPr>
        <w:t xml:space="preserve"> </w:t>
      </w:r>
      <w:r w:rsidR="00E94F25" w:rsidRPr="001C4FC1">
        <w:rPr>
          <w:rFonts w:ascii="Arial Narrow" w:hAnsi="Arial Narrow"/>
          <w:bCs/>
        </w:rPr>
        <w:t>prijaté</w:t>
      </w:r>
      <w:r w:rsidR="00BE59A4">
        <w:rPr>
          <w:rFonts w:ascii="Arial Narrow" w:hAnsi="Arial Narrow"/>
          <w:bCs/>
        </w:rPr>
        <w:t xml:space="preserve"> </w:t>
      </w:r>
      <w:r w:rsidRPr="001C4FC1">
        <w:rPr>
          <w:rFonts w:ascii="Arial Narrow" w:hAnsi="Arial Narrow"/>
          <w:bCs/>
        </w:rPr>
        <w:t>príjmové opatrenia.</w:t>
      </w:r>
      <w:r w:rsidR="00EF3360">
        <w:rPr>
          <w:rFonts w:ascii="Arial Narrow" w:hAnsi="Arial Narrow"/>
          <w:bCs/>
        </w:rPr>
        <w:t xml:space="preserve"> </w:t>
      </w:r>
      <w:r w:rsidR="00BB0A84">
        <w:rPr>
          <w:rFonts w:ascii="Arial Narrow" w:hAnsi="Arial Narrow"/>
          <w:bCs/>
        </w:rPr>
        <w:t>Na druhú stranu,</w:t>
      </w:r>
      <w:r w:rsidR="00EF3360" w:rsidRPr="001C4FC1">
        <w:rPr>
          <w:rFonts w:ascii="Arial Narrow" w:hAnsi="Arial Narrow"/>
          <w:bCs/>
        </w:rPr>
        <w:t> pokles príjmov</w:t>
      </w:r>
      <w:r w:rsidR="0040119F">
        <w:rPr>
          <w:rFonts w:ascii="Arial Narrow" w:hAnsi="Arial Narrow"/>
          <w:bCs/>
        </w:rPr>
        <w:t xml:space="preserve"> oproti pôvodným plánom</w:t>
      </w:r>
      <w:r w:rsidR="00EF3360" w:rsidRPr="001C4FC1">
        <w:rPr>
          <w:rFonts w:ascii="Arial Narrow" w:hAnsi="Arial Narrow"/>
          <w:bCs/>
        </w:rPr>
        <w:t>, ktorý neovplyvňuje povolený rast čistých výdavkov</w:t>
      </w:r>
      <w:r w:rsidR="00EF3360">
        <w:rPr>
          <w:rFonts w:ascii="Arial Narrow" w:hAnsi="Arial Narrow"/>
          <w:bCs/>
        </w:rPr>
        <w:t>,</w:t>
      </w:r>
      <w:r w:rsidR="00EF3360" w:rsidRPr="001C4FC1">
        <w:rPr>
          <w:rFonts w:ascii="Arial Narrow" w:hAnsi="Arial Narrow"/>
          <w:bCs/>
        </w:rPr>
        <w:t xml:space="preserve"> </w:t>
      </w:r>
      <w:r w:rsidR="00EF3360">
        <w:rPr>
          <w:rFonts w:ascii="Arial Narrow" w:hAnsi="Arial Narrow"/>
          <w:bCs/>
        </w:rPr>
        <w:t>bol</w:t>
      </w:r>
      <w:r w:rsidR="00EF3360" w:rsidRPr="001C4FC1">
        <w:rPr>
          <w:rFonts w:ascii="Arial Narrow" w:hAnsi="Arial Narrow"/>
          <w:bCs/>
        </w:rPr>
        <w:t xml:space="preserve"> čiastočne kompenzova</w:t>
      </w:r>
      <w:r w:rsidR="00EF3360">
        <w:rPr>
          <w:rFonts w:ascii="Arial Narrow" w:hAnsi="Arial Narrow"/>
          <w:bCs/>
        </w:rPr>
        <w:t>ný</w:t>
      </w:r>
      <w:r w:rsidR="00EF3360" w:rsidRPr="001C4FC1">
        <w:rPr>
          <w:rFonts w:ascii="Arial Narrow" w:hAnsi="Arial Narrow"/>
          <w:bCs/>
        </w:rPr>
        <w:t xml:space="preserve"> viazaním rezerv na nepriaznivý makroekonomický vývoj</w:t>
      </w:r>
      <w:r w:rsidR="00885BFB">
        <w:rPr>
          <w:rStyle w:val="Odkaznapoznmkupodiarou"/>
          <w:rFonts w:ascii="Arial Narrow" w:hAnsi="Arial Narrow"/>
          <w:bCs/>
        </w:rPr>
        <w:footnoteReference w:id="11"/>
      </w:r>
      <w:r w:rsidR="00EF3360">
        <w:rPr>
          <w:rFonts w:ascii="Arial Narrow" w:hAnsi="Arial Narrow"/>
          <w:bCs/>
        </w:rPr>
        <w:t>, čím sa</w:t>
      </w:r>
      <w:r w:rsidR="006375B4">
        <w:rPr>
          <w:rFonts w:ascii="Arial Narrow" w:hAnsi="Arial Narrow"/>
          <w:bCs/>
        </w:rPr>
        <w:t xml:space="preserve"> ďalej</w:t>
      </w:r>
      <w:r w:rsidR="00EF3360">
        <w:rPr>
          <w:rFonts w:ascii="Arial Narrow" w:hAnsi="Arial Narrow"/>
          <w:bCs/>
        </w:rPr>
        <w:t xml:space="preserve"> tlmil vývoj výdavkov nad rámec požiadaviek pravidiel EÚ.</w:t>
      </w:r>
      <w:r w:rsidRPr="001C4FC1">
        <w:rPr>
          <w:rFonts w:ascii="Arial Narrow" w:hAnsi="Arial Narrow"/>
          <w:bCs/>
        </w:rPr>
        <w:t xml:space="preserve"> Plneniu </w:t>
      </w:r>
      <w:r w:rsidR="00BE59A4">
        <w:rPr>
          <w:rFonts w:ascii="Arial Narrow" w:hAnsi="Arial Narrow"/>
          <w:bCs/>
        </w:rPr>
        <w:t>pravidiel</w:t>
      </w:r>
      <w:r w:rsidRPr="001C4FC1">
        <w:rPr>
          <w:rFonts w:ascii="Arial Narrow" w:hAnsi="Arial Narrow"/>
          <w:bCs/>
        </w:rPr>
        <w:t xml:space="preserve"> napomáha aj výnimka na rast obranných výdavkov</w:t>
      </w:r>
      <w:r w:rsidR="0095520B">
        <w:rPr>
          <w:rFonts w:ascii="Arial Narrow" w:hAnsi="Arial Narrow"/>
          <w:bCs/>
        </w:rPr>
        <w:t xml:space="preserve">, </w:t>
      </w:r>
      <w:r w:rsidRPr="001C4FC1">
        <w:rPr>
          <w:rFonts w:ascii="Arial Narrow" w:hAnsi="Arial Narrow"/>
          <w:bCs/>
        </w:rPr>
        <w:t>uznaná EK v júli 2025 do objemu 1,5 % HDP nad úroveň obranných výdavkov z roku 2021.</w:t>
      </w:r>
      <w:r w:rsidR="00245A6A">
        <w:rPr>
          <w:rFonts w:ascii="Arial Narrow" w:hAnsi="Arial Narrow"/>
          <w:bCs/>
        </w:rPr>
        <w:t xml:space="preserve"> Po </w:t>
      </w:r>
      <w:r w:rsidR="00BE59A4">
        <w:rPr>
          <w:rFonts w:ascii="Arial Narrow" w:hAnsi="Arial Narrow"/>
          <w:bCs/>
        </w:rPr>
        <w:t>zohľadnení obrannej</w:t>
      </w:r>
      <w:r w:rsidRPr="001C4FC1">
        <w:rPr>
          <w:rFonts w:ascii="Arial Narrow" w:hAnsi="Arial Narrow"/>
          <w:bCs/>
        </w:rPr>
        <w:t xml:space="preserve"> </w:t>
      </w:r>
      <w:r w:rsidR="00245A6A">
        <w:rPr>
          <w:rFonts w:ascii="Arial Narrow" w:hAnsi="Arial Narrow"/>
          <w:bCs/>
        </w:rPr>
        <w:t xml:space="preserve">výnimky </w:t>
      </w:r>
      <w:r w:rsidR="001E6B80">
        <w:rPr>
          <w:rFonts w:ascii="Arial Narrow" w:hAnsi="Arial Narrow"/>
          <w:bCs/>
        </w:rPr>
        <w:t>sa odhaduje</w:t>
      </w:r>
      <w:r w:rsidR="00764AAC">
        <w:rPr>
          <w:rFonts w:ascii="Arial Narrow" w:hAnsi="Arial Narrow"/>
          <w:bCs/>
        </w:rPr>
        <w:t xml:space="preserve"> kumulatívny</w:t>
      </w:r>
      <w:r w:rsidR="00245A6A">
        <w:rPr>
          <w:rFonts w:ascii="Arial Narrow" w:hAnsi="Arial Narrow"/>
          <w:bCs/>
        </w:rPr>
        <w:t xml:space="preserve"> rast</w:t>
      </w:r>
      <w:r w:rsidR="00BE59A4">
        <w:rPr>
          <w:rFonts w:ascii="Arial Narrow" w:hAnsi="Arial Narrow"/>
          <w:bCs/>
        </w:rPr>
        <w:t xml:space="preserve"> čistých výdavkov</w:t>
      </w:r>
      <w:r w:rsidR="00245A6A">
        <w:rPr>
          <w:rFonts w:ascii="Arial Narrow" w:hAnsi="Arial Narrow"/>
          <w:bCs/>
        </w:rPr>
        <w:t xml:space="preserve"> len </w:t>
      </w:r>
      <w:r w:rsidR="001E6B80">
        <w:rPr>
          <w:rFonts w:ascii="Arial Narrow" w:hAnsi="Arial Narrow"/>
          <w:bCs/>
        </w:rPr>
        <w:t>mierne</w:t>
      </w:r>
      <w:r w:rsidR="00245A6A">
        <w:rPr>
          <w:rFonts w:ascii="Arial Narrow" w:hAnsi="Arial Narrow"/>
          <w:bCs/>
        </w:rPr>
        <w:t xml:space="preserve"> nad 6%. </w:t>
      </w:r>
    </w:p>
    <w:tbl>
      <w:tblPr>
        <w:tblStyle w:val="Mriekatabuky"/>
        <w:tblW w:w="9072" w:type="dxa"/>
        <w:jc w:val="center"/>
        <w:tblCellMar>
          <w:top w:w="28" w:type="dxa"/>
        </w:tblCellMar>
        <w:tblLook w:val="04A0" w:firstRow="1" w:lastRow="0" w:firstColumn="1" w:lastColumn="0" w:noHBand="0" w:noVBand="1"/>
      </w:tblPr>
      <w:tblGrid>
        <w:gridCol w:w="9072"/>
      </w:tblGrid>
      <w:tr w:rsidR="00577C32" w:rsidRPr="001C4FC1" w14:paraId="2FE21023" w14:textId="77777777" w:rsidTr="000161BC">
        <w:trPr>
          <w:jc w:val="center"/>
        </w:trPr>
        <w:tc>
          <w:tcPr>
            <w:tcW w:w="9072" w:type="dxa"/>
            <w:tcBorders>
              <w:top w:val="nil"/>
              <w:left w:val="nil"/>
              <w:bottom w:val="single" w:sz="4" w:space="0" w:color="auto"/>
              <w:right w:val="nil"/>
            </w:tcBorders>
          </w:tcPr>
          <w:p w14:paraId="613E58D0" w14:textId="65020401" w:rsidR="00577C32" w:rsidRPr="001C4FC1" w:rsidRDefault="00577C32" w:rsidP="000161BC">
            <w:pPr>
              <w:pStyle w:val="ifppopis"/>
              <w:jc w:val="both"/>
              <w:rPr>
                <w:noProof/>
              </w:rPr>
            </w:pPr>
            <w:bookmarkStart w:id="27" w:name="_Toc228283012"/>
            <w:r w:rsidRPr="001C4FC1">
              <w:t xml:space="preserve">GRAF </w:t>
            </w:r>
            <w:fldSimple w:instr=" SEQ GRAF \* ARABIC ">
              <w:r w:rsidR="008765E2">
                <w:rPr>
                  <w:noProof/>
                </w:rPr>
                <w:t>9</w:t>
              </w:r>
            </w:fldSimple>
            <w:r w:rsidRPr="001C4FC1">
              <w:t xml:space="preserve"> –</w:t>
            </w:r>
            <w:r w:rsidRPr="001C4FC1">
              <w:rPr>
                <w:bCs/>
                <w:color w:val="2C9ADC"/>
                <w:szCs w:val="20"/>
              </w:rPr>
              <w:t xml:space="preserve"> Kumulatívny rast čistých výdavkov verejnej správy </w:t>
            </w:r>
            <w:r w:rsidRPr="001C4FC1">
              <w:rPr>
                <w:noProof/>
              </w:rPr>
              <w:t>2024 až 2026</w:t>
            </w:r>
            <w:bookmarkEnd w:id="27"/>
          </w:p>
        </w:tc>
      </w:tr>
      <w:tr w:rsidR="00577C32" w:rsidRPr="001C4FC1" w14:paraId="09F5F66A" w14:textId="77777777" w:rsidTr="000161BC">
        <w:tblPrEx>
          <w:tblCellMar>
            <w:left w:w="70" w:type="dxa"/>
            <w:right w:w="70" w:type="dxa"/>
          </w:tblCellMar>
        </w:tblPrEx>
        <w:trPr>
          <w:jc w:val="center"/>
        </w:trPr>
        <w:tc>
          <w:tcPr>
            <w:tcW w:w="9072" w:type="dxa"/>
            <w:tcBorders>
              <w:top w:val="single" w:sz="4" w:space="0" w:color="auto"/>
              <w:left w:val="nil"/>
              <w:bottom w:val="single" w:sz="4" w:space="0" w:color="auto"/>
              <w:right w:val="nil"/>
            </w:tcBorders>
            <w:vAlign w:val="center"/>
          </w:tcPr>
          <w:p w14:paraId="0E91C9C3" w14:textId="77777777" w:rsidR="00577C32" w:rsidRPr="00B122C3" w:rsidRDefault="00577C32" w:rsidP="000161BC">
            <w:pPr>
              <w:pStyle w:val="ifptext"/>
              <w:jc w:val="center"/>
              <w:rPr>
                <w:noProof/>
                <w:color w:val="000000" w:themeColor="text1"/>
                <w:highlight w:val="yellow"/>
              </w:rPr>
            </w:pPr>
            <w:r w:rsidRPr="00B122C3">
              <w:rPr>
                <w:noProof/>
                <w:color w:val="000000" w:themeColor="text1"/>
              </w:rPr>
              <w:drawing>
                <wp:inline distT="0" distB="0" distL="0" distR="0" wp14:anchorId="61E2B0BC" wp14:editId="4F68208F">
                  <wp:extent cx="5032375" cy="1916582"/>
                  <wp:effectExtent l="0" t="0" r="0" b="7620"/>
                  <wp:docPr id="1835098657" name="Graf 1">
                    <a:extLst xmlns:a="http://schemas.openxmlformats.org/drawingml/2006/main">
                      <a:ext uri="{FF2B5EF4-FFF2-40B4-BE49-F238E27FC236}">
                        <a16:creationId xmlns:a16="http://schemas.microsoft.com/office/drawing/2014/main" id="{2D712DC0-33D9-B21C-3D00-6E637900D1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577C32" w:rsidRPr="001C4FC1" w14:paraId="263AF30A" w14:textId="77777777" w:rsidTr="000161BC">
        <w:trPr>
          <w:trHeight w:val="198"/>
          <w:jc w:val="center"/>
        </w:trPr>
        <w:tc>
          <w:tcPr>
            <w:tcW w:w="9072" w:type="dxa"/>
            <w:tcBorders>
              <w:top w:val="single" w:sz="4" w:space="0" w:color="auto"/>
              <w:left w:val="nil"/>
              <w:bottom w:val="nil"/>
              <w:right w:val="nil"/>
            </w:tcBorders>
            <w:vAlign w:val="bottom"/>
          </w:tcPr>
          <w:p w14:paraId="3BFAF94E" w14:textId="77777777" w:rsidR="00577C32" w:rsidRPr="001C4FC1" w:rsidRDefault="00577C32" w:rsidP="000161BC">
            <w:pPr>
              <w:pStyle w:val="ifpszdroj"/>
              <w:rPr>
                <w:highlight w:val="yellow"/>
              </w:rPr>
            </w:pPr>
            <w:r w:rsidRPr="001C4FC1">
              <w:t>Zdroj: MF SR, ŠÚ SR</w:t>
            </w:r>
          </w:p>
        </w:tc>
      </w:tr>
      <w:tr w:rsidR="00577C32" w:rsidRPr="001C4FC1" w14:paraId="638F1DEB" w14:textId="77777777" w:rsidTr="000161BC">
        <w:trPr>
          <w:jc w:val="center"/>
        </w:trPr>
        <w:tc>
          <w:tcPr>
            <w:tcW w:w="9072" w:type="dxa"/>
            <w:tcBorders>
              <w:top w:val="nil"/>
              <w:left w:val="nil"/>
              <w:bottom w:val="nil"/>
              <w:right w:val="nil"/>
            </w:tcBorders>
            <w:vAlign w:val="center"/>
          </w:tcPr>
          <w:p w14:paraId="03965235" w14:textId="77777777" w:rsidR="00577C32" w:rsidRDefault="00577C32" w:rsidP="000161BC">
            <w:pPr>
              <w:pStyle w:val="ifpszdroj"/>
              <w:rPr>
                <w:highlight w:val="yellow"/>
              </w:rPr>
            </w:pPr>
          </w:p>
          <w:p w14:paraId="3E8A87F8" w14:textId="77777777" w:rsidR="00056BBD" w:rsidRPr="001C4FC1" w:rsidRDefault="00056BBD" w:rsidP="00056BBD">
            <w:pPr>
              <w:pStyle w:val="ifpszdroj"/>
              <w:jc w:val="center"/>
              <w:rPr>
                <w:highlight w:val="yellow"/>
              </w:rPr>
            </w:pPr>
          </w:p>
        </w:tc>
      </w:tr>
    </w:tbl>
    <w:tbl>
      <w:tblPr>
        <w:tblW w:w="9072" w:type="dxa"/>
        <w:jc w:val="center"/>
        <w:tblCellMar>
          <w:left w:w="70" w:type="dxa"/>
          <w:right w:w="70" w:type="dxa"/>
        </w:tblCellMar>
        <w:tblLook w:val="04A0" w:firstRow="1" w:lastRow="0" w:firstColumn="1" w:lastColumn="0" w:noHBand="0" w:noVBand="1"/>
      </w:tblPr>
      <w:tblGrid>
        <w:gridCol w:w="416"/>
        <w:gridCol w:w="5316"/>
        <w:gridCol w:w="510"/>
        <w:gridCol w:w="940"/>
        <w:gridCol w:w="903"/>
        <w:gridCol w:w="987"/>
      </w:tblGrid>
      <w:tr w:rsidR="00577C32" w:rsidRPr="001C4FC1" w14:paraId="6A4A383E" w14:textId="77777777" w:rsidTr="00056BBD">
        <w:trPr>
          <w:trHeight w:val="238"/>
          <w:jc w:val="center"/>
        </w:trPr>
        <w:tc>
          <w:tcPr>
            <w:tcW w:w="5732" w:type="dxa"/>
            <w:gridSpan w:val="2"/>
            <w:tcBorders>
              <w:top w:val="nil"/>
              <w:left w:val="nil"/>
              <w:bottom w:val="single" w:sz="4" w:space="0" w:color="auto"/>
              <w:right w:val="nil"/>
            </w:tcBorders>
            <w:noWrap/>
            <w:vAlign w:val="bottom"/>
            <w:hideMark/>
          </w:tcPr>
          <w:p w14:paraId="7E25EFDB" w14:textId="68698FAD" w:rsidR="00577C32" w:rsidRDefault="00577C32" w:rsidP="000161BC">
            <w:pPr>
              <w:spacing w:after="0" w:line="240" w:lineRule="auto"/>
              <w:rPr>
                <w:rFonts w:ascii="Arial Narrow" w:eastAsia="NeueHaasGroteskText W02" w:hAnsi="Arial Narrow" w:cs="Arial"/>
                <w:b/>
                <w:bCs/>
                <w:color w:val="2C9ADC"/>
                <w:sz w:val="20"/>
                <w:szCs w:val="20"/>
                <w:u w:color="2C9ADC"/>
              </w:rPr>
            </w:pPr>
            <w:bookmarkStart w:id="28" w:name="_Toc228177376"/>
            <w:r w:rsidRPr="001C4FC1">
              <w:rPr>
                <w:rFonts w:ascii="Arial Narrow" w:eastAsia="Arial Narrow" w:hAnsi="Arial Narrow" w:cs="Arial Narrow"/>
                <w:b/>
                <w:bCs/>
                <w:noProof/>
                <w:color w:val="2C9ADC"/>
                <w:sz w:val="20"/>
                <w:szCs w:val="20"/>
                <w:bdr w:val="nil"/>
                <w:lang w:eastAsia="sk-SK"/>
              </w:rPr>
              <w:t xml:space="preserve">TABUĽKA </w:t>
            </w:r>
            <w:r w:rsidRPr="001C4FC1">
              <w:rPr>
                <w:rFonts w:ascii="Arial Narrow" w:eastAsia="Arial Narrow" w:hAnsi="Arial Narrow" w:cs="Arial Narrow"/>
                <w:b/>
                <w:bCs/>
                <w:noProof/>
                <w:color w:val="2C9ADC"/>
                <w:sz w:val="20"/>
                <w:szCs w:val="20"/>
                <w:bdr w:val="nil"/>
                <w:lang w:eastAsia="sk-SK"/>
              </w:rPr>
              <w:fldChar w:fldCharType="begin"/>
            </w:r>
            <w:r w:rsidRPr="001C4FC1">
              <w:rPr>
                <w:rFonts w:ascii="Arial Narrow" w:eastAsia="Arial Narrow" w:hAnsi="Arial Narrow" w:cs="Arial Narrow"/>
                <w:b/>
                <w:bCs/>
                <w:noProof/>
                <w:color w:val="2C9ADC"/>
                <w:sz w:val="20"/>
                <w:szCs w:val="20"/>
                <w:bdr w:val="nil"/>
                <w:lang w:eastAsia="sk-SK"/>
              </w:rPr>
              <w:instrText xml:space="preserve"> SEQ TABUĽKA \* ARABIC </w:instrText>
            </w:r>
            <w:r w:rsidRPr="001C4FC1">
              <w:rPr>
                <w:rFonts w:ascii="Arial Narrow" w:eastAsia="Arial Narrow" w:hAnsi="Arial Narrow" w:cs="Arial Narrow"/>
                <w:b/>
                <w:bCs/>
                <w:noProof/>
                <w:color w:val="2C9ADC"/>
                <w:sz w:val="20"/>
                <w:szCs w:val="20"/>
                <w:bdr w:val="nil"/>
                <w:lang w:eastAsia="sk-SK"/>
              </w:rPr>
              <w:fldChar w:fldCharType="separate"/>
            </w:r>
            <w:r w:rsidR="008765E2">
              <w:rPr>
                <w:rFonts w:ascii="Arial Narrow" w:eastAsia="Arial Narrow" w:hAnsi="Arial Narrow" w:cs="Arial Narrow"/>
                <w:b/>
                <w:bCs/>
                <w:noProof/>
                <w:color w:val="2C9ADC"/>
                <w:sz w:val="20"/>
                <w:szCs w:val="20"/>
                <w:bdr w:val="nil"/>
                <w:lang w:eastAsia="sk-SK"/>
              </w:rPr>
              <w:t>3</w:t>
            </w:r>
            <w:r w:rsidRPr="001C4FC1">
              <w:rPr>
                <w:rFonts w:ascii="Arial Narrow" w:eastAsia="Arial Narrow" w:hAnsi="Arial Narrow" w:cs="Arial Narrow"/>
                <w:b/>
                <w:bCs/>
                <w:noProof/>
                <w:color w:val="2C9ADC"/>
                <w:sz w:val="20"/>
                <w:szCs w:val="20"/>
                <w:bdr w:val="nil"/>
                <w:lang w:eastAsia="sk-SK"/>
              </w:rPr>
              <w:fldChar w:fldCharType="end"/>
            </w:r>
            <w:r w:rsidRPr="001C4FC1">
              <w:rPr>
                <w:rFonts w:ascii="Arial Narrow" w:hAnsi="Arial Narrow"/>
                <w:b/>
                <w:color w:val="2C9ADC"/>
                <w:sz w:val="20"/>
                <w:szCs w:val="20"/>
              </w:rPr>
              <w:t xml:space="preserve"> –</w:t>
            </w:r>
            <w:r w:rsidRPr="001C4FC1">
              <w:rPr>
                <w:rFonts w:ascii="Arial Narrow" w:eastAsia="NeueHaasGroteskText W02" w:hAnsi="Arial Narrow" w:cs="Arial"/>
                <w:b/>
                <w:bCs/>
                <w:color w:val="2C9ADC"/>
                <w:sz w:val="20"/>
                <w:szCs w:val="20"/>
                <w:u w:color="2C9ADC"/>
              </w:rPr>
              <w:t> Rast čistých výdavkov (mld. eur, ESA2010)</w:t>
            </w:r>
            <w:bookmarkEnd w:id="28"/>
          </w:p>
          <w:p w14:paraId="27AE8BF7" w14:textId="77777777" w:rsidR="00056BBD" w:rsidRDefault="00056BBD" w:rsidP="000161BC">
            <w:pPr>
              <w:spacing w:after="0" w:line="240" w:lineRule="auto"/>
              <w:rPr>
                <w:rFonts w:ascii="Arial Narrow" w:eastAsia="NeueHaasGroteskText W02" w:hAnsi="Arial Narrow" w:cs="Arial"/>
                <w:b/>
                <w:bCs/>
                <w:color w:val="2C9ADC"/>
                <w:sz w:val="20"/>
                <w:szCs w:val="20"/>
                <w:u w:color="2C9ADC"/>
              </w:rPr>
            </w:pPr>
          </w:p>
          <w:p w14:paraId="223EE6D3" w14:textId="2CE8AD83" w:rsidR="00056BBD" w:rsidRPr="001C4FC1" w:rsidRDefault="00056BBD" w:rsidP="000161BC">
            <w:pPr>
              <w:spacing w:after="0" w:line="240" w:lineRule="auto"/>
              <w:rPr>
                <w:rFonts w:ascii="Arial Narrow" w:eastAsia="Times New Roman" w:hAnsi="Arial Narrow" w:cs="Calibri"/>
                <w:b/>
                <w:bCs/>
                <w:color w:val="000000"/>
                <w:sz w:val="20"/>
                <w:szCs w:val="20"/>
                <w:lang w:eastAsia="sk-SK"/>
              </w:rPr>
            </w:pPr>
          </w:p>
        </w:tc>
        <w:tc>
          <w:tcPr>
            <w:tcW w:w="510" w:type="dxa"/>
            <w:tcBorders>
              <w:top w:val="nil"/>
              <w:left w:val="nil"/>
              <w:bottom w:val="single" w:sz="4" w:space="0" w:color="auto"/>
              <w:right w:val="nil"/>
            </w:tcBorders>
            <w:noWrap/>
            <w:vAlign w:val="bottom"/>
            <w:hideMark/>
          </w:tcPr>
          <w:p w14:paraId="6229EA9E" w14:textId="77777777" w:rsidR="00577C32" w:rsidRPr="001C4FC1" w:rsidRDefault="00577C32" w:rsidP="00056BBD">
            <w:pPr>
              <w:spacing w:after="0" w:line="240" w:lineRule="auto"/>
              <w:jc w:val="right"/>
              <w:rPr>
                <w:rFonts w:ascii="Arial Narrow" w:eastAsia="Times New Roman" w:hAnsi="Arial Narrow" w:cs="Calibri"/>
                <w:b/>
                <w:bCs/>
                <w:color w:val="000000"/>
                <w:sz w:val="18"/>
                <w:szCs w:val="18"/>
                <w:lang w:eastAsia="sk-SK"/>
              </w:rPr>
            </w:pPr>
            <w:r w:rsidRPr="001C4FC1">
              <w:rPr>
                <w:rFonts w:ascii="Arial Narrow" w:eastAsia="Times New Roman" w:hAnsi="Arial Narrow" w:cs="Calibri"/>
                <w:b/>
                <w:bCs/>
                <w:color w:val="000000"/>
                <w:sz w:val="18"/>
                <w:szCs w:val="18"/>
                <w:lang w:eastAsia="sk-SK"/>
              </w:rPr>
              <w:t>2023</w:t>
            </w:r>
          </w:p>
        </w:tc>
        <w:tc>
          <w:tcPr>
            <w:tcW w:w="940" w:type="dxa"/>
            <w:tcBorders>
              <w:top w:val="nil"/>
              <w:left w:val="nil"/>
              <w:bottom w:val="single" w:sz="4" w:space="0" w:color="auto"/>
              <w:right w:val="nil"/>
            </w:tcBorders>
            <w:vAlign w:val="bottom"/>
          </w:tcPr>
          <w:p w14:paraId="7D1A918D" w14:textId="77777777" w:rsidR="00577C32" w:rsidRPr="001C4FC1" w:rsidRDefault="00577C32" w:rsidP="00056BBD">
            <w:pPr>
              <w:spacing w:after="0" w:line="240" w:lineRule="auto"/>
              <w:jc w:val="right"/>
              <w:rPr>
                <w:rFonts w:ascii="Arial Narrow" w:eastAsia="Times New Roman" w:hAnsi="Arial Narrow" w:cs="Calibri"/>
                <w:b/>
                <w:bCs/>
                <w:color w:val="000000"/>
                <w:sz w:val="18"/>
                <w:szCs w:val="18"/>
                <w:lang w:eastAsia="sk-SK"/>
              </w:rPr>
            </w:pPr>
            <w:r w:rsidRPr="001C4FC1">
              <w:rPr>
                <w:rFonts w:ascii="Arial Narrow" w:eastAsia="Times New Roman" w:hAnsi="Arial Narrow" w:cs="Calibri"/>
                <w:b/>
                <w:bCs/>
                <w:color w:val="000000"/>
                <w:sz w:val="18"/>
                <w:szCs w:val="18"/>
                <w:lang w:eastAsia="sk-SK"/>
              </w:rPr>
              <w:t>2024</w:t>
            </w:r>
          </w:p>
        </w:tc>
        <w:tc>
          <w:tcPr>
            <w:tcW w:w="903" w:type="dxa"/>
            <w:tcBorders>
              <w:top w:val="nil"/>
              <w:left w:val="nil"/>
              <w:bottom w:val="single" w:sz="4" w:space="0" w:color="auto"/>
              <w:right w:val="nil"/>
            </w:tcBorders>
            <w:noWrap/>
            <w:vAlign w:val="bottom"/>
            <w:hideMark/>
          </w:tcPr>
          <w:p w14:paraId="7F4ECC79" w14:textId="77777777" w:rsidR="00577C32" w:rsidRPr="001C4FC1" w:rsidRDefault="00577C32" w:rsidP="00056BBD">
            <w:pPr>
              <w:spacing w:after="0" w:line="240" w:lineRule="auto"/>
              <w:jc w:val="right"/>
              <w:rPr>
                <w:rFonts w:ascii="Arial Narrow" w:eastAsia="Times New Roman" w:hAnsi="Arial Narrow" w:cs="Calibri"/>
                <w:b/>
                <w:bCs/>
                <w:color w:val="000000"/>
                <w:sz w:val="18"/>
                <w:szCs w:val="18"/>
                <w:lang w:eastAsia="sk-SK"/>
              </w:rPr>
            </w:pPr>
            <w:r w:rsidRPr="001C4FC1">
              <w:rPr>
                <w:rFonts w:ascii="Arial Narrow" w:eastAsia="Times New Roman" w:hAnsi="Arial Narrow" w:cs="Calibri"/>
                <w:b/>
                <w:bCs/>
                <w:color w:val="000000"/>
                <w:sz w:val="18"/>
                <w:szCs w:val="18"/>
                <w:lang w:eastAsia="sk-SK"/>
              </w:rPr>
              <w:t>2025</w:t>
            </w:r>
          </w:p>
        </w:tc>
        <w:tc>
          <w:tcPr>
            <w:tcW w:w="987" w:type="dxa"/>
            <w:tcBorders>
              <w:top w:val="nil"/>
              <w:left w:val="nil"/>
              <w:bottom w:val="single" w:sz="4" w:space="0" w:color="auto"/>
              <w:right w:val="nil"/>
            </w:tcBorders>
            <w:vAlign w:val="bottom"/>
          </w:tcPr>
          <w:p w14:paraId="0D0740B6" w14:textId="77777777" w:rsidR="00577C32" w:rsidRPr="001C4FC1" w:rsidRDefault="00577C32" w:rsidP="00056BBD">
            <w:pPr>
              <w:spacing w:after="0" w:line="240" w:lineRule="auto"/>
              <w:jc w:val="right"/>
              <w:rPr>
                <w:rFonts w:ascii="Arial Narrow" w:eastAsia="Times New Roman" w:hAnsi="Arial Narrow" w:cs="Calibri"/>
                <w:b/>
                <w:bCs/>
                <w:color w:val="000000"/>
                <w:sz w:val="18"/>
                <w:szCs w:val="18"/>
                <w:lang w:eastAsia="sk-SK"/>
              </w:rPr>
            </w:pPr>
            <w:r w:rsidRPr="001C4FC1">
              <w:rPr>
                <w:rFonts w:ascii="Arial Narrow" w:eastAsia="Times New Roman" w:hAnsi="Arial Narrow" w:cs="Calibri"/>
                <w:b/>
                <w:bCs/>
                <w:color w:val="000000"/>
                <w:sz w:val="18"/>
                <w:szCs w:val="18"/>
                <w:lang w:eastAsia="sk-SK"/>
              </w:rPr>
              <w:t>2026</w:t>
            </w:r>
          </w:p>
        </w:tc>
      </w:tr>
      <w:tr w:rsidR="00577C32" w:rsidRPr="001C4FC1" w14:paraId="56B2A655" w14:textId="77777777" w:rsidTr="000161BC">
        <w:trPr>
          <w:trHeight w:val="237"/>
          <w:jc w:val="center"/>
        </w:trPr>
        <w:tc>
          <w:tcPr>
            <w:tcW w:w="416" w:type="dxa"/>
            <w:tcBorders>
              <w:top w:val="nil"/>
              <w:left w:val="nil"/>
              <w:bottom w:val="nil"/>
              <w:right w:val="nil"/>
            </w:tcBorders>
            <w:noWrap/>
            <w:vAlign w:val="center"/>
            <w:hideMark/>
          </w:tcPr>
          <w:p w14:paraId="3C5C9038" w14:textId="77777777" w:rsidR="00577C32" w:rsidRPr="001C4FC1" w:rsidRDefault="00577C32" w:rsidP="000161BC">
            <w:pPr>
              <w:spacing w:after="0" w:line="240" w:lineRule="auto"/>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1</w:t>
            </w:r>
          </w:p>
        </w:tc>
        <w:tc>
          <w:tcPr>
            <w:tcW w:w="5316" w:type="dxa"/>
            <w:tcBorders>
              <w:top w:val="nil"/>
              <w:left w:val="nil"/>
              <w:bottom w:val="nil"/>
              <w:right w:val="nil"/>
            </w:tcBorders>
            <w:noWrap/>
            <w:vAlign w:val="center"/>
            <w:hideMark/>
          </w:tcPr>
          <w:p w14:paraId="46158B30" w14:textId="77777777" w:rsidR="00577C32" w:rsidRPr="001C4FC1" w:rsidRDefault="00577C32" w:rsidP="000161BC">
            <w:pPr>
              <w:spacing w:after="0" w:line="240" w:lineRule="auto"/>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Celkové výdavky verejnej správy</w:t>
            </w:r>
          </w:p>
        </w:tc>
        <w:tc>
          <w:tcPr>
            <w:tcW w:w="510" w:type="dxa"/>
            <w:tcBorders>
              <w:top w:val="nil"/>
              <w:left w:val="nil"/>
              <w:bottom w:val="nil"/>
              <w:right w:val="nil"/>
            </w:tcBorders>
            <w:vAlign w:val="center"/>
          </w:tcPr>
          <w:p w14:paraId="438977EB"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59,8</w:t>
            </w:r>
          </w:p>
        </w:tc>
        <w:tc>
          <w:tcPr>
            <w:tcW w:w="940" w:type="dxa"/>
            <w:tcBorders>
              <w:top w:val="nil"/>
              <w:left w:val="nil"/>
              <w:bottom w:val="nil"/>
              <w:right w:val="nil"/>
            </w:tcBorders>
            <w:noWrap/>
            <w:vAlign w:val="center"/>
            <w:hideMark/>
          </w:tcPr>
          <w:p w14:paraId="0BCA5727"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61,8</w:t>
            </w:r>
          </w:p>
        </w:tc>
        <w:tc>
          <w:tcPr>
            <w:tcW w:w="903" w:type="dxa"/>
            <w:tcBorders>
              <w:top w:val="nil"/>
              <w:left w:val="nil"/>
              <w:bottom w:val="nil"/>
              <w:right w:val="nil"/>
            </w:tcBorders>
            <w:noWrap/>
            <w:hideMark/>
          </w:tcPr>
          <w:p w14:paraId="6C7E3268"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65,6</w:t>
            </w:r>
          </w:p>
        </w:tc>
        <w:tc>
          <w:tcPr>
            <w:tcW w:w="987" w:type="dxa"/>
            <w:tcBorders>
              <w:top w:val="nil"/>
              <w:left w:val="nil"/>
              <w:bottom w:val="nil"/>
              <w:right w:val="nil"/>
            </w:tcBorders>
          </w:tcPr>
          <w:p w14:paraId="4060A54F"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69,0</w:t>
            </w:r>
          </w:p>
        </w:tc>
      </w:tr>
      <w:tr w:rsidR="00577C32" w:rsidRPr="001C4FC1" w14:paraId="395C3ECE" w14:textId="77777777" w:rsidTr="000161BC">
        <w:trPr>
          <w:trHeight w:val="137"/>
          <w:jc w:val="center"/>
        </w:trPr>
        <w:tc>
          <w:tcPr>
            <w:tcW w:w="416" w:type="dxa"/>
            <w:tcBorders>
              <w:top w:val="nil"/>
              <w:left w:val="nil"/>
              <w:bottom w:val="nil"/>
              <w:right w:val="nil"/>
            </w:tcBorders>
            <w:noWrap/>
            <w:vAlign w:val="center"/>
            <w:hideMark/>
          </w:tcPr>
          <w:p w14:paraId="1EA3F488" w14:textId="77777777" w:rsidR="00577C32" w:rsidRPr="001C4FC1" w:rsidRDefault="00577C32" w:rsidP="000161BC">
            <w:pPr>
              <w:spacing w:after="0" w:line="240" w:lineRule="auto"/>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lastRenderedPageBreak/>
              <w:t>2</w:t>
            </w:r>
          </w:p>
        </w:tc>
        <w:tc>
          <w:tcPr>
            <w:tcW w:w="5316" w:type="dxa"/>
            <w:tcBorders>
              <w:top w:val="nil"/>
              <w:left w:val="nil"/>
              <w:bottom w:val="nil"/>
              <w:right w:val="nil"/>
            </w:tcBorders>
            <w:noWrap/>
            <w:vAlign w:val="center"/>
            <w:hideMark/>
          </w:tcPr>
          <w:p w14:paraId="12E8BD3B" w14:textId="4FB1AD49" w:rsidR="00577C32" w:rsidRPr="001C4FC1" w:rsidRDefault="00577C32" w:rsidP="000161BC">
            <w:pPr>
              <w:spacing w:after="0" w:line="240" w:lineRule="auto"/>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Zdroje z</w:t>
            </w:r>
            <w:r w:rsidR="001A4F3C">
              <w:rPr>
                <w:rFonts w:ascii="Arial Narrow" w:eastAsia="Times New Roman" w:hAnsi="Arial Narrow" w:cs="Calibri"/>
                <w:color w:val="000000"/>
                <w:sz w:val="18"/>
                <w:szCs w:val="18"/>
                <w:lang w:eastAsia="sk-SK"/>
              </w:rPr>
              <w:t> </w:t>
            </w:r>
            <w:r w:rsidRPr="001C4FC1">
              <w:rPr>
                <w:rFonts w:ascii="Arial Narrow" w:eastAsia="Times New Roman" w:hAnsi="Arial Narrow" w:cs="Calibri"/>
                <w:color w:val="000000"/>
                <w:sz w:val="18"/>
                <w:szCs w:val="18"/>
                <w:lang w:eastAsia="sk-SK"/>
              </w:rPr>
              <w:t>EÚ</w:t>
            </w:r>
          </w:p>
        </w:tc>
        <w:tc>
          <w:tcPr>
            <w:tcW w:w="510" w:type="dxa"/>
            <w:tcBorders>
              <w:top w:val="nil"/>
              <w:left w:val="nil"/>
              <w:bottom w:val="nil"/>
              <w:right w:val="nil"/>
            </w:tcBorders>
            <w:vAlign w:val="center"/>
          </w:tcPr>
          <w:p w14:paraId="05B04047"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3,6</w:t>
            </w:r>
          </w:p>
        </w:tc>
        <w:tc>
          <w:tcPr>
            <w:tcW w:w="940" w:type="dxa"/>
            <w:tcBorders>
              <w:top w:val="nil"/>
              <w:left w:val="nil"/>
              <w:bottom w:val="nil"/>
              <w:right w:val="nil"/>
            </w:tcBorders>
            <w:noWrap/>
            <w:vAlign w:val="center"/>
            <w:hideMark/>
          </w:tcPr>
          <w:p w14:paraId="559E8DFA"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2,1</w:t>
            </w:r>
          </w:p>
        </w:tc>
        <w:tc>
          <w:tcPr>
            <w:tcW w:w="903" w:type="dxa"/>
            <w:tcBorders>
              <w:top w:val="nil"/>
              <w:left w:val="nil"/>
              <w:bottom w:val="nil"/>
              <w:right w:val="nil"/>
            </w:tcBorders>
            <w:noWrap/>
            <w:vAlign w:val="center"/>
            <w:hideMark/>
          </w:tcPr>
          <w:p w14:paraId="3EB993C6"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3,2</w:t>
            </w:r>
          </w:p>
        </w:tc>
        <w:tc>
          <w:tcPr>
            <w:tcW w:w="987" w:type="dxa"/>
            <w:tcBorders>
              <w:top w:val="nil"/>
              <w:left w:val="nil"/>
              <w:bottom w:val="nil"/>
              <w:right w:val="nil"/>
            </w:tcBorders>
          </w:tcPr>
          <w:p w14:paraId="7066F89B"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4,7</w:t>
            </w:r>
          </w:p>
        </w:tc>
      </w:tr>
      <w:tr w:rsidR="00577C32" w:rsidRPr="001C4FC1" w14:paraId="2B5EB861" w14:textId="77777777" w:rsidTr="000161BC">
        <w:trPr>
          <w:trHeight w:val="199"/>
          <w:jc w:val="center"/>
        </w:trPr>
        <w:tc>
          <w:tcPr>
            <w:tcW w:w="416" w:type="dxa"/>
            <w:tcBorders>
              <w:top w:val="nil"/>
              <w:left w:val="nil"/>
              <w:bottom w:val="nil"/>
              <w:right w:val="nil"/>
            </w:tcBorders>
            <w:noWrap/>
            <w:vAlign w:val="center"/>
            <w:hideMark/>
          </w:tcPr>
          <w:p w14:paraId="22E23F47" w14:textId="77777777" w:rsidR="00577C32" w:rsidRPr="001C4FC1" w:rsidRDefault="00577C32" w:rsidP="000161BC">
            <w:pPr>
              <w:spacing w:after="0" w:line="240" w:lineRule="auto"/>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3</w:t>
            </w:r>
          </w:p>
        </w:tc>
        <w:tc>
          <w:tcPr>
            <w:tcW w:w="5316" w:type="dxa"/>
            <w:tcBorders>
              <w:top w:val="nil"/>
              <w:left w:val="nil"/>
              <w:bottom w:val="nil"/>
              <w:right w:val="nil"/>
            </w:tcBorders>
            <w:noWrap/>
            <w:vAlign w:val="center"/>
            <w:hideMark/>
          </w:tcPr>
          <w:p w14:paraId="5CA2437C" w14:textId="77777777" w:rsidR="00577C32" w:rsidRPr="001C4FC1" w:rsidRDefault="00577C32" w:rsidP="000161BC">
            <w:pPr>
              <w:spacing w:after="0" w:line="240" w:lineRule="auto"/>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Úrokové náklady</w:t>
            </w:r>
          </w:p>
        </w:tc>
        <w:tc>
          <w:tcPr>
            <w:tcW w:w="510" w:type="dxa"/>
            <w:tcBorders>
              <w:top w:val="nil"/>
              <w:left w:val="nil"/>
              <w:bottom w:val="nil"/>
              <w:right w:val="nil"/>
            </w:tcBorders>
            <w:vAlign w:val="center"/>
          </w:tcPr>
          <w:p w14:paraId="5803CAD4"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1,4</w:t>
            </w:r>
          </w:p>
        </w:tc>
        <w:tc>
          <w:tcPr>
            <w:tcW w:w="940" w:type="dxa"/>
            <w:tcBorders>
              <w:top w:val="nil"/>
              <w:left w:val="nil"/>
              <w:bottom w:val="nil"/>
              <w:right w:val="nil"/>
            </w:tcBorders>
            <w:noWrap/>
            <w:vAlign w:val="center"/>
            <w:hideMark/>
          </w:tcPr>
          <w:p w14:paraId="24891E9A"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1,9</w:t>
            </w:r>
          </w:p>
        </w:tc>
        <w:tc>
          <w:tcPr>
            <w:tcW w:w="903" w:type="dxa"/>
            <w:tcBorders>
              <w:top w:val="nil"/>
              <w:left w:val="nil"/>
              <w:bottom w:val="nil"/>
              <w:right w:val="nil"/>
            </w:tcBorders>
            <w:noWrap/>
            <w:vAlign w:val="bottom"/>
            <w:hideMark/>
          </w:tcPr>
          <w:p w14:paraId="3B67CFE3"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2,1</w:t>
            </w:r>
          </w:p>
        </w:tc>
        <w:tc>
          <w:tcPr>
            <w:tcW w:w="987" w:type="dxa"/>
            <w:tcBorders>
              <w:top w:val="nil"/>
              <w:left w:val="nil"/>
              <w:bottom w:val="nil"/>
              <w:right w:val="nil"/>
            </w:tcBorders>
            <w:vAlign w:val="bottom"/>
          </w:tcPr>
          <w:p w14:paraId="189F1E6B"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2,4</w:t>
            </w:r>
          </w:p>
        </w:tc>
      </w:tr>
      <w:tr w:rsidR="00577C32" w:rsidRPr="001C4FC1" w14:paraId="44EE6478" w14:textId="77777777" w:rsidTr="000161BC">
        <w:trPr>
          <w:trHeight w:val="300"/>
          <w:jc w:val="center"/>
        </w:trPr>
        <w:tc>
          <w:tcPr>
            <w:tcW w:w="416" w:type="dxa"/>
            <w:tcBorders>
              <w:top w:val="nil"/>
              <w:left w:val="nil"/>
              <w:bottom w:val="nil"/>
              <w:right w:val="nil"/>
            </w:tcBorders>
            <w:noWrap/>
            <w:vAlign w:val="center"/>
            <w:hideMark/>
          </w:tcPr>
          <w:p w14:paraId="6BD41BFB" w14:textId="77777777" w:rsidR="00577C32" w:rsidRPr="001C4FC1" w:rsidRDefault="00577C32" w:rsidP="000161BC">
            <w:pPr>
              <w:spacing w:after="0" w:line="240" w:lineRule="auto"/>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4</w:t>
            </w:r>
          </w:p>
        </w:tc>
        <w:tc>
          <w:tcPr>
            <w:tcW w:w="5316" w:type="dxa"/>
            <w:tcBorders>
              <w:top w:val="nil"/>
              <w:left w:val="nil"/>
              <w:bottom w:val="nil"/>
              <w:right w:val="nil"/>
            </w:tcBorders>
            <w:noWrap/>
            <w:vAlign w:val="center"/>
            <w:hideMark/>
          </w:tcPr>
          <w:p w14:paraId="4342559C" w14:textId="720C52A7" w:rsidR="00577C32" w:rsidRPr="001C4FC1" w:rsidRDefault="00577C32" w:rsidP="000161BC">
            <w:pPr>
              <w:spacing w:after="0" w:line="240" w:lineRule="auto"/>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Cyklické výdavky v</w:t>
            </w:r>
            <w:r w:rsidR="00885BFB">
              <w:rPr>
                <w:rFonts w:ascii="Arial Narrow" w:eastAsia="Times New Roman" w:hAnsi="Arial Narrow" w:cs="Calibri"/>
                <w:color w:val="000000"/>
                <w:sz w:val="18"/>
                <w:szCs w:val="18"/>
                <w:lang w:eastAsia="sk-SK"/>
              </w:rPr>
              <w:t> </w:t>
            </w:r>
            <w:r w:rsidRPr="001C4FC1">
              <w:rPr>
                <w:rFonts w:ascii="Arial Narrow" w:eastAsia="Times New Roman" w:hAnsi="Arial Narrow" w:cs="Calibri"/>
                <w:color w:val="000000"/>
                <w:sz w:val="18"/>
                <w:szCs w:val="18"/>
                <w:lang w:eastAsia="sk-SK"/>
              </w:rPr>
              <w:t>nezamestnanosti</w:t>
            </w:r>
          </w:p>
        </w:tc>
        <w:tc>
          <w:tcPr>
            <w:tcW w:w="510" w:type="dxa"/>
            <w:tcBorders>
              <w:top w:val="nil"/>
              <w:left w:val="nil"/>
              <w:bottom w:val="nil"/>
              <w:right w:val="nil"/>
            </w:tcBorders>
            <w:vAlign w:val="center"/>
          </w:tcPr>
          <w:p w14:paraId="62DB0B06"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0,0</w:t>
            </w:r>
          </w:p>
        </w:tc>
        <w:tc>
          <w:tcPr>
            <w:tcW w:w="940" w:type="dxa"/>
            <w:tcBorders>
              <w:top w:val="nil"/>
              <w:left w:val="nil"/>
              <w:bottom w:val="nil"/>
              <w:right w:val="nil"/>
            </w:tcBorders>
            <w:noWrap/>
            <w:vAlign w:val="center"/>
            <w:hideMark/>
          </w:tcPr>
          <w:p w14:paraId="0842DEB8"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0,0</w:t>
            </w:r>
          </w:p>
        </w:tc>
        <w:tc>
          <w:tcPr>
            <w:tcW w:w="903" w:type="dxa"/>
            <w:tcBorders>
              <w:top w:val="nil"/>
              <w:left w:val="nil"/>
              <w:bottom w:val="nil"/>
              <w:right w:val="nil"/>
            </w:tcBorders>
            <w:noWrap/>
            <w:vAlign w:val="center"/>
            <w:hideMark/>
          </w:tcPr>
          <w:p w14:paraId="0866DDCA"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0,0</w:t>
            </w:r>
          </w:p>
        </w:tc>
        <w:tc>
          <w:tcPr>
            <w:tcW w:w="987" w:type="dxa"/>
            <w:tcBorders>
              <w:top w:val="nil"/>
              <w:left w:val="nil"/>
              <w:bottom w:val="nil"/>
              <w:right w:val="nil"/>
            </w:tcBorders>
            <w:vAlign w:val="center"/>
          </w:tcPr>
          <w:p w14:paraId="6D57308C"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0,0</w:t>
            </w:r>
          </w:p>
        </w:tc>
      </w:tr>
      <w:tr w:rsidR="00577C32" w:rsidRPr="001C4FC1" w14:paraId="5A3D1482" w14:textId="77777777" w:rsidTr="000161BC">
        <w:trPr>
          <w:trHeight w:val="190"/>
          <w:jc w:val="center"/>
        </w:trPr>
        <w:tc>
          <w:tcPr>
            <w:tcW w:w="416" w:type="dxa"/>
            <w:tcBorders>
              <w:top w:val="nil"/>
              <w:left w:val="nil"/>
              <w:bottom w:val="nil"/>
              <w:right w:val="nil"/>
            </w:tcBorders>
            <w:noWrap/>
            <w:vAlign w:val="center"/>
            <w:hideMark/>
          </w:tcPr>
          <w:p w14:paraId="089121F2" w14:textId="77777777" w:rsidR="00577C32" w:rsidRPr="001C4FC1" w:rsidRDefault="00577C32" w:rsidP="000161BC">
            <w:pPr>
              <w:spacing w:after="0" w:line="240" w:lineRule="auto"/>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5</w:t>
            </w:r>
          </w:p>
        </w:tc>
        <w:tc>
          <w:tcPr>
            <w:tcW w:w="5316" w:type="dxa"/>
            <w:tcBorders>
              <w:top w:val="nil"/>
              <w:left w:val="nil"/>
              <w:bottom w:val="nil"/>
              <w:right w:val="nil"/>
            </w:tcBorders>
            <w:noWrap/>
            <w:vAlign w:val="center"/>
            <w:hideMark/>
          </w:tcPr>
          <w:p w14:paraId="42CFE5EE" w14:textId="77777777" w:rsidR="00577C32" w:rsidRPr="001C4FC1" w:rsidRDefault="00577C32" w:rsidP="000161BC">
            <w:pPr>
              <w:spacing w:after="0" w:line="240" w:lineRule="auto"/>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Jednorazové vplyvy</w:t>
            </w:r>
          </w:p>
        </w:tc>
        <w:tc>
          <w:tcPr>
            <w:tcW w:w="510" w:type="dxa"/>
            <w:tcBorders>
              <w:top w:val="nil"/>
              <w:left w:val="nil"/>
              <w:bottom w:val="nil"/>
              <w:right w:val="nil"/>
            </w:tcBorders>
            <w:vAlign w:val="center"/>
          </w:tcPr>
          <w:p w14:paraId="3CB4AAF6"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0,0</w:t>
            </w:r>
          </w:p>
        </w:tc>
        <w:tc>
          <w:tcPr>
            <w:tcW w:w="940" w:type="dxa"/>
            <w:tcBorders>
              <w:top w:val="nil"/>
              <w:left w:val="nil"/>
              <w:bottom w:val="nil"/>
              <w:right w:val="nil"/>
            </w:tcBorders>
            <w:noWrap/>
            <w:vAlign w:val="center"/>
            <w:hideMark/>
          </w:tcPr>
          <w:p w14:paraId="7A0F6E7D"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0,0</w:t>
            </w:r>
          </w:p>
        </w:tc>
        <w:tc>
          <w:tcPr>
            <w:tcW w:w="903" w:type="dxa"/>
            <w:tcBorders>
              <w:top w:val="nil"/>
              <w:left w:val="nil"/>
              <w:bottom w:val="nil"/>
              <w:right w:val="nil"/>
            </w:tcBorders>
            <w:noWrap/>
            <w:vAlign w:val="center"/>
            <w:hideMark/>
          </w:tcPr>
          <w:p w14:paraId="3D0EAA6B"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0,0</w:t>
            </w:r>
          </w:p>
        </w:tc>
        <w:tc>
          <w:tcPr>
            <w:tcW w:w="987" w:type="dxa"/>
            <w:tcBorders>
              <w:top w:val="nil"/>
              <w:left w:val="nil"/>
              <w:bottom w:val="nil"/>
              <w:right w:val="nil"/>
            </w:tcBorders>
            <w:vAlign w:val="center"/>
          </w:tcPr>
          <w:p w14:paraId="76ACB232"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0,0</w:t>
            </w:r>
          </w:p>
        </w:tc>
      </w:tr>
      <w:tr w:rsidR="00577C32" w:rsidRPr="001C4FC1" w14:paraId="2F53E9B1" w14:textId="77777777" w:rsidTr="000161BC">
        <w:trPr>
          <w:trHeight w:val="154"/>
          <w:jc w:val="center"/>
        </w:trPr>
        <w:tc>
          <w:tcPr>
            <w:tcW w:w="416" w:type="dxa"/>
            <w:tcBorders>
              <w:top w:val="nil"/>
              <w:left w:val="nil"/>
              <w:bottom w:val="single" w:sz="4" w:space="0" w:color="auto"/>
              <w:right w:val="nil"/>
            </w:tcBorders>
            <w:noWrap/>
            <w:vAlign w:val="center"/>
            <w:hideMark/>
          </w:tcPr>
          <w:p w14:paraId="7448B23D" w14:textId="77777777" w:rsidR="00577C32" w:rsidRPr="001C4FC1" w:rsidRDefault="00577C32" w:rsidP="000161BC">
            <w:pPr>
              <w:spacing w:after="0" w:line="240" w:lineRule="auto"/>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6</w:t>
            </w:r>
          </w:p>
        </w:tc>
        <w:tc>
          <w:tcPr>
            <w:tcW w:w="5316" w:type="dxa"/>
            <w:tcBorders>
              <w:top w:val="nil"/>
              <w:left w:val="nil"/>
              <w:bottom w:val="single" w:sz="4" w:space="0" w:color="auto"/>
              <w:right w:val="nil"/>
            </w:tcBorders>
            <w:noWrap/>
            <w:vAlign w:val="center"/>
            <w:hideMark/>
          </w:tcPr>
          <w:p w14:paraId="23EAC765" w14:textId="77777777" w:rsidR="00577C32" w:rsidRPr="001C4FC1" w:rsidRDefault="00577C32" w:rsidP="000161BC">
            <w:pPr>
              <w:spacing w:after="0" w:line="240" w:lineRule="auto"/>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Spolufinancovanie</w:t>
            </w:r>
          </w:p>
        </w:tc>
        <w:tc>
          <w:tcPr>
            <w:tcW w:w="510" w:type="dxa"/>
            <w:tcBorders>
              <w:top w:val="nil"/>
              <w:left w:val="nil"/>
              <w:bottom w:val="single" w:sz="4" w:space="0" w:color="auto"/>
              <w:right w:val="nil"/>
            </w:tcBorders>
            <w:vAlign w:val="center"/>
          </w:tcPr>
          <w:p w14:paraId="00F043A3"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0,6</w:t>
            </w:r>
          </w:p>
        </w:tc>
        <w:tc>
          <w:tcPr>
            <w:tcW w:w="940" w:type="dxa"/>
            <w:tcBorders>
              <w:top w:val="nil"/>
              <w:left w:val="nil"/>
              <w:bottom w:val="single" w:sz="4" w:space="0" w:color="auto"/>
              <w:right w:val="nil"/>
            </w:tcBorders>
            <w:noWrap/>
            <w:vAlign w:val="center"/>
            <w:hideMark/>
          </w:tcPr>
          <w:p w14:paraId="1C5F84CE"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0,5</w:t>
            </w:r>
          </w:p>
        </w:tc>
        <w:tc>
          <w:tcPr>
            <w:tcW w:w="903" w:type="dxa"/>
            <w:tcBorders>
              <w:top w:val="nil"/>
              <w:left w:val="nil"/>
              <w:bottom w:val="single" w:sz="4" w:space="0" w:color="auto"/>
              <w:right w:val="nil"/>
            </w:tcBorders>
            <w:noWrap/>
            <w:vAlign w:val="center"/>
            <w:hideMark/>
          </w:tcPr>
          <w:p w14:paraId="17769C58"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0,5</w:t>
            </w:r>
          </w:p>
        </w:tc>
        <w:tc>
          <w:tcPr>
            <w:tcW w:w="987" w:type="dxa"/>
            <w:tcBorders>
              <w:top w:val="nil"/>
              <w:left w:val="nil"/>
              <w:bottom w:val="single" w:sz="4" w:space="0" w:color="auto"/>
              <w:right w:val="nil"/>
            </w:tcBorders>
          </w:tcPr>
          <w:p w14:paraId="3C58A237"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0,5</w:t>
            </w:r>
          </w:p>
        </w:tc>
      </w:tr>
      <w:tr w:rsidR="00577C32" w:rsidRPr="001C4FC1" w14:paraId="5BD8678D" w14:textId="77777777" w:rsidTr="000161BC">
        <w:trPr>
          <w:trHeight w:val="300"/>
          <w:jc w:val="center"/>
        </w:trPr>
        <w:tc>
          <w:tcPr>
            <w:tcW w:w="416" w:type="dxa"/>
            <w:tcBorders>
              <w:top w:val="nil"/>
              <w:left w:val="nil"/>
              <w:bottom w:val="nil"/>
              <w:right w:val="nil"/>
            </w:tcBorders>
            <w:noWrap/>
            <w:vAlign w:val="center"/>
            <w:hideMark/>
          </w:tcPr>
          <w:p w14:paraId="4138F508" w14:textId="77777777" w:rsidR="00577C32" w:rsidRPr="001C4FC1" w:rsidRDefault="00577C32" w:rsidP="000161BC">
            <w:pPr>
              <w:spacing w:after="0" w:line="240" w:lineRule="auto"/>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7</w:t>
            </w:r>
          </w:p>
        </w:tc>
        <w:tc>
          <w:tcPr>
            <w:tcW w:w="5316" w:type="dxa"/>
            <w:tcBorders>
              <w:top w:val="nil"/>
              <w:left w:val="nil"/>
              <w:bottom w:val="nil"/>
              <w:right w:val="nil"/>
            </w:tcBorders>
            <w:noWrap/>
            <w:vAlign w:val="center"/>
            <w:hideMark/>
          </w:tcPr>
          <w:p w14:paraId="411D038E" w14:textId="77777777" w:rsidR="00577C32" w:rsidRPr="001C4FC1" w:rsidRDefault="00577C32" w:rsidP="000161BC">
            <w:pPr>
              <w:spacing w:after="0" w:line="240" w:lineRule="auto"/>
              <w:rPr>
                <w:rFonts w:ascii="Arial Narrow" w:eastAsia="Times New Roman" w:hAnsi="Arial Narrow" w:cs="Calibri"/>
                <w:b/>
                <w:bCs/>
                <w:color w:val="000000"/>
                <w:sz w:val="18"/>
                <w:szCs w:val="18"/>
                <w:lang w:eastAsia="sk-SK"/>
              </w:rPr>
            </w:pPr>
            <w:r w:rsidRPr="001C4FC1">
              <w:rPr>
                <w:rFonts w:ascii="Arial Narrow" w:eastAsia="Times New Roman" w:hAnsi="Arial Narrow" w:cs="Calibri"/>
                <w:b/>
                <w:bCs/>
                <w:color w:val="000000"/>
                <w:sz w:val="18"/>
                <w:szCs w:val="18"/>
                <w:lang w:eastAsia="sk-SK"/>
              </w:rPr>
              <w:t>NFPV - národne financované primárne výdavky (= 1-2-3-4-5-6)</w:t>
            </w:r>
          </w:p>
        </w:tc>
        <w:tc>
          <w:tcPr>
            <w:tcW w:w="510" w:type="dxa"/>
            <w:tcBorders>
              <w:top w:val="nil"/>
              <w:left w:val="nil"/>
              <w:bottom w:val="nil"/>
              <w:right w:val="nil"/>
            </w:tcBorders>
            <w:vAlign w:val="center"/>
          </w:tcPr>
          <w:p w14:paraId="111E3BA6" w14:textId="77777777" w:rsidR="00577C32" w:rsidRPr="001C4FC1" w:rsidRDefault="00577C32" w:rsidP="000161BC">
            <w:pPr>
              <w:spacing w:after="0" w:line="240" w:lineRule="auto"/>
              <w:jc w:val="right"/>
              <w:rPr>
                <w:rFonts w:ascii="Arial Narrow" w:eastAsia="Times New Roman" w:hAnsi="Arial Narrow" w:cs="Calibri"/>
                <w:b/>
                <w:bCs/>
                <w:color w:val="000000"/>
                <w:sz w:val="18"/>
                <w:szCs w:val="18"/>
                <w:lang w:eastAsia="sk-SK"/>
              </w:rPr>
            </w:pPr>
            <w:r w:rsidRPr="001C4FC1">
              <w:rPr>
                <w:rFonts w:ascii="Arial Narrow" w:eastAsia="Times New Roman" w:hAnsi="Arial Narrow" w:cs="Calibri"/>
                <w:b/>
                <w:bCs/>
                <w:color w:val="000000"/>
                <w:sz w:val="18"/>
                <w:szCs w:val="18"/>
                <w:lang w:eastAsia="sk-SK"/>
              </w:rPr>
              <w:t>54,1</w:t>
            </w:r>
          </w:p>
        </w:tc>
        <w:tc>
          <w:tcPr>
            <w:tcW w:w="940" w:type="dxa"/>
            <w:tcBorders>
              <w:top w:val="nil"/>
              <w:left w:val="nil"/>
              <w:bottom w:val="nil"/>
              <w:right w:val="nil"/>
            </w:tcBorders>
            <w:noWrap/>
            <w:vAlign w:val="center"/>
            <w:hideMark/>
          </w:tcPr>
          <w:p w14:paraId="4FE319B5" w14:textId="77777777" w:rsidR="00577C32" w:rsidRPr="001C4FC1" w:rsidRDefault="00577C32" w:rsidP="000161BC">
            <w:pPr>
              <w:spacing w:after="0" w:line="240" w:lineRule="auto"/>
              <w:jc w:val="right"/>
              <w:rPr>
                <w:rFonts w:ascii="Arial Narrow" w:eastAsia="Times New Roman" w:hAnsi="Arial Narrow" w:cs="Calibri"/>
                <w:b/>
                <w:bCs/>
                <w:color w:val="000000"/>
                <w:sz w:val="18"/>
                <w:szCs w:val="18"/>
                <w:lang w:eastAsia="sk-SK"/>
              </w:rPr>
            </w:pPr>
            <w:r w:rsidRPr="001C4FC1">
              <w:rPr>
                <w:rFonts w:ascii="Arial Narrow" w:eastAsia="Times New Roman" w:hAnsi="Arial Narrow" w:cs="Calibri"/>
                <w:b/>
                <w:bCs/>
                <w:color w:val="000000"/>
                <w:sz w:val="18"/>
                <w:szCs w:val="18"/>
                <w:lang w:eastAsia="sk-SK"/>
              </w:rPr>
              <w:t>57,4</w:t>
            </w:r>
          </w:p>
        </w:tc>
        <w:tc>
          <w:tcPr>
            <w:tcW w:w="903" w:type="dxa"/>
            <w:tcBorders>
              <w:top w:val="nil"/>
              <w:left w:val="nil"/>
              <w:bottom w:val="nil"/>
              <w:right w:val="nil"/>
            </w:tcBorders>
            <w:noWrap/>
            <w:vAlign w:val="center"/>
            <w:hideMark/>
          </w:tcPr>
          <w:p w14:paraId="565E1CC1" w14:textId="77777777" w:rsidR="00577C32" w:rsidRPr="001C4FC1" w:rsidRDefault="00577C32" w:rsidP="000161BC">
            <w:pPr>
              <w:spacing w:after="0" w:line="240" w:lineRule="auto"/>
              <w:jc w:val="right"/>
              <w:rPr>
                <w:rFonts w:ascii="Arial Narrow" w:eastAsia="Times New Roman" w:hAnsi="Arial Narrow" w:cs="Calibri"/>
                <w:b/>
                <w:bCs/>
                <w:color w:val="000000"/>
                <w:sz w:val="18"/>
                <w:szCs w:val="18"/>
                <w:lang w:eastAsia="sk-SK"/>
              </w:rPr>
            </w:pPr>
            <w:r w:rsidRPr="001C4FC1">
              <w:rPr>
                <w:rFonts w:ascii="Arial Narrow" w:eastAsia="Times New Roman" w:hAnsi="Arial Narrow" w:cs="Calibri"/>
                <w:b/>
                <w:bCs/>
                <w:color w:val="000000"/>
                <w:sz w:val="18"/>
                <w:szCs w:val="18"/>
                <w:lang w:eastAsia="sk-SK"/>
              </w:rPr>
              <w:t>59,8</w:t>
            </w:r>
          </w:p>
        </w:tc>
        <w:tc>
          <w:tcPr>
            <w:tcW w:w="987" w:type="dxa"/>
            <w:tcBorders>
              <w:top w:val="nil"/>
              <w:left w:val="nil"/>
              <w:bottom w:val="nil"/>
              <w:right w:val="nil"/>
            </w:tcBorders>
          </w:tcPr>
          <w:p w14:paraId="7381F672" w14:textId="77777777" w:rsidR="00577C32" w:rsidRPr="001C4FC1" w:rsidRDefault="00577C32" w:rsidP="000161BC">
            <w:pPr>
              <w:spacing w:after="0" w:line="240" w:lineRule="auto"/>
              <w:jc w:val="right"/>
              <w:rPr>
                <w:rFonts w:ascii="Arial Narrow" w:eastAsia="Times New Roman" w:hAnsi="Arial Narrow" w:cs="Calibri"/>
                <w:b/>
                <w:bCs/>
                <w:color w:val="000000"/>
                <w:sz w:val="18"/>
                <w:szCs w:val="18"/>
                <w:lang w:eastAsia="sk-SK"/>
              </w:rPr>
            </w:pPr>
            <w:r w:rsidRPr="001C4FC1">
              <w:rPr>
                <w:rFonts w:ascii="Arial Narrow" w:eastAsia="Times New Roman" w:hAnsi="Arial Narrow" w:cs="Calibri"/>
                <w:b/>
                <w:bCs/>
                <w:color w:val="000000"/>
                <w:sz w:val="18"/>
                <w:szCs w:val="18"/>
                <w:lang w:eastAsia="sk-SK"/>
              </w:rPr>
              <w:t>61,4</w:t>
            </w:r>
          </w:p>
        </w:tc>
      </w:tr>
      <w:tr w:rsidR="00577C32" w:rsidRPr="001C4FC1" w14:paraId="0CAD2B0F" w14:textId="77777777" w:rsidTr="000161BC">
        <w:trPr>
          <w:trHeight w:val="106"/>
          <w:jc w:val="center"/>
        </w:trPr>
        <w:tc>
          <w:tcPr>
            <w:tcW w:w="416" w:type="dxa"/>
            <w:tcBorders>
              <w:top w:val="nil"/>
              <w:left w:val="nil"/>
              <w:bottom w:val="single" w:sz="4" w:space="0" w:color="auto"/>
              <w:right w:val="nil"/>
            </w:tcBorders>
            <w:noWrap/>
            <w:vAlign w:val="center"/>
            <w:hideMark/>
          </w:tcPr>
          <w:p w14:paraId="18097B0B" w14:textId="77777777" w:rsidR="00577C32" w:rsidRPr="001C4FC1" w:rsidRDefault="00577C32" w:rsidP="000161BC">
            <w:pPr>
              <w:spacing w:after="0" w:line="240" w:lineRule="auto"/>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8</w:t>
            </w:r>
          </w:p>
        </w:tc>
        <w:tc>
          <w:tcPr>
            <w:tcW w:w="5316" w:type="dxa"/>
            <w:tcBorders>
              <w:top w:val="nil"/>
              <w:left w:val="nil"/>
              <w:bottom w:val="single" w:sz="4" w:space="0" w:color="auto"/>
              <w:right w:val="nil"/>
            </w:tcBorders>
            <w:noWrap/>
            <w:vAlign w:val="center"/>
            <w:hideMark/>
          </w:tcPr>
          <w:p w14:paraId="3EC22146" w14:textId="77777777" w:rsidR="00577C32" w:rsidRPr="001C4FC1" w:rsidRDefault="00577C32" w:rsidP="000161BC">
            <w:pPr>
              <w:spacing w:after="0" w:line="240" w:lineRule="auto"/>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Diskrečné príjmové opatrenia (DRM)</w:t>
            </w:r>
          </w:p>
        </w:tc>
        <w:tc>
          <w:tcPr>
            <w:tcW w:w="510" w:type="dxa"/>
            <w:tcBorders>
              <w:top w:val="nil"/>
              <w:left w:val="nil"/>
              <w:bottom w:val="single" w:sz="4" w:space="0" w:color="auto"/>
              <w:right w:val="nil"/>
            </w:tcBorders>
            <w:vAlign w:val="center"/>
          </w:tcPr>
          <w:p w14:paraId="388350D3"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p>
        </w:tc>
        <w:tc>
          <w:tcPr>
            <w:tcW w:w="940" w:type="dxa"/>
            <w:tcBorders>
              <w:top w:val="nil"/>
              <w:left w:val="nil"/>
              <w:bottom w:val="single" w:sz="4" w:space="0" w:color="auto"/>
              <w:right w:val="nil"/>
            </w:tcBorders>
            <w:noWrap/>
            <w:vAlign w:val="center"/>
            <w:hideMark/>
          </w:tcPr>
          <w:p w14:paraId="20C072B1"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1,3</w:t>
            </w:r>
          </w:p>
        </w:tc>
        <w:tc>
          <w:tcPr>
            <w:tcW w:w="903" w:type="dxa"/>
            <w:tcBorders>
              <w:top w:val="nil"/>
              <w:left w:val="nil"/>
              <w:bottom w:val="single" w:sz="4" w:space="0" w:color="auto"/>
              <w:right w:val="nil"/>
            </w:tcBorders>
            <w:noWrap/>
            <w:vAlign w:val="center"/>
            <w:hideMark/>
          </w:tcPr>
          <w:p w14:paraId="11FCA115"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1,4</w:t>
            </w:r>
          </w:p>
        </w:tc>
        <w:tc>
          <w:tcPr>
            <w:tcW w:w="987" w:type="dxa"/>
            <w:tcBorders>
              <w:top w:val="nil"/>
              <w:left w:val="nil"/>
              <w:bottom w:val="single" w:sz="4" w:space="0" w:color="auto"/>
              <w:right w:val="nil"/>
            </w:tcBorders>
          </w:tcPr>
          <w:p w14:paraId="23BC5F9F" w14:textId="77777777" w:rsidR="00577C32" w:rsidRPr="001C4FC1" w:rsidRDefault="00577C32" w:rsidP="000161BC">
            <w:pPr>
              <w:spacing w:after="0" w:line="240" w:lineRule="auto"/>
              <w:jc w:val="right"/>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0,4</w:t>
            </w:r>
          </w:p>
        </w:tc>
      </w:tr>
      <w:tr w:rsidR="00577C32" w:rsidRPr="001C4FC1" w14:paraId="1A9CB3CE" w14:textId="77777777" w:rsidTr="000161BC">
        <w:trPr>
          <w:trHeight w:val="192"/>
          <w:jc w:val="center"/>
        </w:trPr>
        <w:tc>
          <w:tcPr>
            <w:tcW w:w="416" w:type="dxa"/>
            <w:tcBorders>
              <w:top w:val="nil"/>
              <w:left w:val="nil"/>
              <w:right w:val="nil"/>
            </w:tcBorders>
            <w:noWrap/>
            <w:vAlign w:val="center"/>
            <w:hideMark/>
          </w:tcPr>
          <w:p w14:paraId="6A599F2F" w14:textId="77777777" w:rsidR="00577C32" w:rsidRPr="001C4FC1" w:rsidRDefault="00577C32" w:rsidP="000161BC">
            <w:pPr>
              <w:spacing w:after="0" w:line="240" w:lineRule="auto"/>
              <w:rPr>
                <w:rFonts w:ascii="Arial Narrow" w:eastAsia="Times New Roman" w:hAnsi="Arial Narrow" w:cs="Calibri"/>
                <w:color w:val="000000"/>
                <w:sz w:val="18"/>
                <w:szCs w:val="18"/>
                <w:lang w:eastAsia="sk-SK"/>
              </w:rPr>
            </w:pPr>
            <w:r w:rsidRPr="001C4FC1">
              <w:rPr>
                <w:rFonts w:ascii="Arial Narrow" w:eastAsia="Times New Roman" w:hAnsi="Arial Narrow" w:cs="Calibri"/>
                <w:color w:val="000000"/>
                <w:sz w:val="18"/>
                <w:szCs w:val="18"/>
                <w:lang w:eastAsia="sk-SK"/>
              </w:rPr>
              <w:t>9</w:t>
            </w:r>
          </w:p>
        </w:tc>
        <w:tc>
          <w:tcPr>
            <w:tcW w:w="5316" w:type="dxa"/>
            <w:tcBorders>
              <w:top w:val="nil"/>
              <w:left w:val="nil"/>
              <w:right w:val="nil"/>
            </w:tcBorders>
            <w:noWrap/>
            <w:vAlign w:val="center"/>
            <w:hideMark/>
          </w:tcPr>
          <w:p w14:paraId="0B3CCBE2" w14:textId="77777777" w:rsidR="00577C32" w:rsidRPr="001C4FC1" w:rsidRDefault="00577C32" w:rsidP="000161BC">
            <w:pPr>
              <w:spacing w:after="0" w:line="240" w:lineRule="auto"/>
              <w:rPr>
                <w:rFonts w:ascii="Arial Narrow" w:eastAsia="Times New Roman" w:hAnsi="Arial Narrow" w:cs="Calibri"/>
                <w:b/>
                <w:bCs/>
                <w:color w:val="000000"/>
                <w:sz w:val="18"/>
                <w:szCs w:val="18"/>
                <w:lang w:eastAsia="sk-SK"/>
              </w:rPr>
            </w:pPr>
            <w:r w:rsidRPr="001C4FC1">
              <w:rPr>
                <w:rFonts w:ascii="Arial Narrow" w:eastAsia="Times New Roman" w:hAnsi="Arial Narrow" w:cs="Calibri"/>
                <w:b/>
                <w:bCs/>
                <w:color w:val="000000"/>
                <w:sz w:val="18"/>
                <w:szCs w:val="18"/>
                <w:lang w:eastAsia="sk-SK"/>
              </w:rPr>
              <w:t>Rast NFPV po zohľadnení DRM (= (7</w:t>
            </w:r>
            <w:r w:rsidRPr="001C4FC1">
              <w:rPr>
                <w:rFonts w:ascii="Arial Narrow" w:eastAsia="Times New Roman" w:hAnsi="Arial Narrow" w:cs="Calibri"/>
                <w:b/>
                <w:bCs/>
                <w:color w:val="000000"/>
                <w:sz w:val="18"/>
                <w:szCs w:val="18"/>
                <w:vertAlign w:val="subscript"/>
                <w:lang w:eastAsia="sk-SK"/>
              </w:rPr>
              <w:t>t</w:t>
            </w:r>
            <w:r w:rsidRPr="001C4FC1">
              <w:rPr>
                <w:rFonts w:ascii="Arial Narrow" w:eastAsia="Times New Roman" w:hAnsi="Arial Narrow" w:cs="Calibri"/>
                <w:b/>
                <w:bCs/>
                <w:color w:val="000000"/>
                <w:sz w:val="18"/>
                <w:szCs w:val="18"/>
                <w:lang w:eastAsia="sk-SK"/>
              </w:rPr>
              <w:t>-8</w:t>
            </w:r>
            <w:r w:rsidRPr="001C4FC1">
              <w:rPr>
                <w:rFonts w:ascii="Arial Narrow" w:eastAsia="Times New Roman" w:hAnsi="Arial Narrow" w:cs="Calibri"/>
                <w:b/>
                <w:bCs/>
                <w:color w:val="000000"/>
                <w:sz w:val="18"/>
                <w:szCs w:val="18"/>
                <w:vertAlign w:val="subscript"/>
                <w:lang w:eastAsia="sk-SK"/>
              </w:rPr>
              <w:t>t</w:t>
            </w:r>
            <w:r w:rsidRPr="001C4FC1">
              <w:rPr>
                <w:rFonts w:ascii="Arial Narrow" w:eastAsia="Times New Roman" w:hAnsi="Arial Narrow" w:cs="Calibri"/>
                <w:b/>
                <w:bCs/>
                <w:color w:val="000000"/>
                <w:sz w:val="18"/>
                <w:szCs w:val="18"/>
                <w:lang w:eastAsia="sk-SK"/>
              </w:rPr>
              <w:t>)/7</w:t>
            </w:r>
            <w:r w:rsidRPr="001C4FC1">
              <w:rPr>
                <w:rFonts w:ascii="Arial Narrow" w:eastAsia="Times New Roman" w:hAnsi="Arial Narrow" w:cs="Calibri"/>
                <w:b/>
                <w:bCs/>
                <w:color w:val="000000"/>
                <w:sz w:val="18"/>
                <w:szCs w:val="18"/>
                <w:vertAlign w:val="subscript"/>
                <w:lang w:eastAsia="sk-SK"/>
              </w:rPr>
              <w:t>t-1</w:t>
            </w:r>
            <w:r w:rsidRPr="001C4FC1">
              <w:rPr>
                <w:rFonts w:ascii="Arial Narrow" w:eastAsia="Times New Roman" w:hAnsi="Arial Narrow" w:cs="Calibri"/>
                <w:b/>
                <w:bCs/>
                <w:color w:val="000000"/>
                <w:sz w:val="18"/>
                <w:szCs w:val="18"/>
                <w:lang w:eastAsia="sk-SK"/>
              </w:rPr>
              <w:t>)</w:t>
            </w:r>
          </w:p>
        </w:tc>
        <w:tc>
          <w:tcPr>
            <w:tcW w:w="510" w:type="dxa"/>
            <w:tcBorders>
              <w:top w:val="nil"/>
              <w:left w:val="nil"/>
              <w:right w:val="nil"/>
            </w:tcBorders>
            <w:vAlign w:val="center"/>
          </w:tcPr>
          <w:p w14:paraId="36664F9B" w14:textId="77777777" w:rsidR="00577C32" w:rsidRPr="001C4FC1" w:rsidRDefault="00577C32" w:rsidP="000161BC">
            <w:pPr>
              <w:spacing w:after="0" w:line="240" w:lineRule="auto"/>
              <w:jc w:val="right"/>
              <w:rPr>
                <w:rFonts w:ascii="Arial Narrow" w:eastAsia="Times New Roman" w:hAnsi="Arial Narrow" w:cs="Calibri"/>
                <w:b/>
                <w:bCs/>
                <w:color w:val="000000"/>
                <w:sz w:val="18"/>
                <w:szCs w:val="18"/>
                <w:lang w:eastAsia="sk-SK"/>
              </w:rPr>
            </w:pPr>
          </w:p>
        </w:tc>
        <w:tc>
          <w:tcPr>
            <w:tcW w:w="940" w:type="dxa"/>
            <w:tcBorders>
              <w:top w:val="nil"/>
              <w:left w:val="nil"/>
              <w:right w:val="nil"/>
            </w:tcBorders>
            <w:noWrap/>
            <w:vAlign w:val="center"/>
            <w:hideMark/>
          </w:tcPr>
          <w:p w14:paraId="0E08B11F" w14:textId="77777777" w:rsidR="00577C32" w:rsidRPr="001C4FC1" w:rsidRDefault="00577C32" w:rsidP="000161BC">
            <w:pPr>
              <w:spacing w:after="0" w:line="240" w:lineRule="auto"/>
              <w:jc w:val="right"/>
              <w:rPr>
                <w:rFonts w:ascii="Arial Narrow" w:eastAsia="Times New Roman" w:hAnsi="Arial Narrow" w:cs="Calibri"/>
                <w:b/>
                <w:bCs/>
                <w:color w:val="000000"/>
                <w:sz w:val="18"/>
                <w:szCs w:val="18"/>
                <w:lang w:eastAsia="sk-SK"/>
              </w:rPr>
            </w:pPr>
            <w:r w:rsidRPr="001C4FC1">
              <w:rPr>
                <w:rFonts w:ascii="Arial Narrow" w:eastAsia="Times New Roman" w:hAnsi="Arial Narrow" w:cs="Calibri"/>
                <w:b/>
                <w:bCs/>
                <w:color w:val="000000"/>
                <w:sz w:val="18"/>
                <w:szCs w:val="18"/>
                <w:lang w:eastAsia="sk-SK"/>
              </w:rPr>
              <w:t>3,5 %</w:t>
            </w:r>
          </w:p>
        </w:tc>
        <w:tc>
          <w:tcPr>
            <w:tcW w:w="903" w:type="dxa"/>
            <w:tcBorders>
              <w:top w:val="nil"/>
              <w:left w:val="nil"/>
              <w:right w:val="nil"/>
            </w:tcBorders>
            <w:noWrap/>
            <w:vAlign w:val="center"/>
            <w:hideMark/>
          </w:tcPr>
          <w:p w14:paraId="7E7FB47F" w14:textId="77777777" w:rsidR="00577C32" w:rsidRPr="001C4FC1" w:rsidRDefault="00577C32" w:rsidP="000161BC">
            <w:pPr>
              <w:spacing w:after="0" w:line="240" w:lineRule="auto"/>
              <w:jc w:val="right"/>
              <w:rPr>
                <w:rFonts w:ascii="Arial Narrow" w:eastAsia="Times New Roman" w:hAnsi="Arial Narrow" w:cs="Calibri"/>
                <w:b/>
                <w:bCs/>
                <w:color w:val="000000"/>
                <w:sz w:val="18"/>
                <w:szCs w:val="18"/>
                <w:lang w:eastAsia="sk-SK"/>
              </w:rPr>
            </w:pPr>
            <w:r w:rsidRPr="001C4FC1">
              <w:rPr>
                <w:rFonts w:ascii="Arial Narrow" w:eastAsia="Times New Roman" w:hAnsi="Arial Narrow" w:cs="Calibri"/>
                <w:b/>
                <w:bCs/>
                <w:color w:val="000000"/>
                <w:sz w:val="18"/>
                <w:szCs w:val="18"/>
                <w:lang w:eastAsia="sk-SK"/>
              </w:rPr>
              <w:t>1,7 %</w:t>
            </w:r>
          </w:p>
        </w:tc>
        <w:tc>
          <w:tcPr>
            <w:tcW w:w="987" w:type="dxa"/>
            <w:tcBorders>
              <w:top w:val="nil"/>
              <w:left w:val="nil"/>
              <w:right w:val="nil"/>
            </w:tcBorders>
          </w:tcPr>
          <w:p w14:paraId="043C5BDC" w14:textId="77777777" w:rsidR="00577C32" w:rsidRPr="001C4FC1" w:rsidRDefault="00577C32" w:rsidP="000161BC">
            <w:pPr>
              <w:spacing w:after="0" w:line="240" w:lineRule="auto"/>
              <w:jc w:val="right"/>
              <w:rPr>
                <w:rFonts w:ascii="Arial Narrow" w:eastAsia="Times New Roman" w:hAnsi="Arial Narrow" w:cs="Calibri"/>
                <w:b/>
                <w:bCs/>
                <w:color w:val="000000"/>
                <w:sz w:val="18"/>
                <w:szCs w:val="18"/>
                <w:lang w:eastAsia="sk-SK"/>
              </w:rPr>
            </w:pPr>
            <w:r w:rsidRPr="001C4FC1">
              <w:rPr>
                <w:rFonts w:ascii="Arial Narrow" w:eastAsia="Times New Roman" w:hAnsi="Arial Narrow" w:cs="Calibri"/>
                <w:b/>
                <w:bCs/>
                <w:color w:val="000000"/>
                <w:sz w:val="18"/>
                <w:szCs w:val="18"/>
                <w:lang w:eastAsia="sk-SK"/>
              </w:rPr>
              <w:t>2,0 %</w:t>
            </w:r>
          </w:p>
        </w:tc>
      </w:tr>
      <w:tr w:rsidR="00577C32" w:rsidRPr="001C4FC1" w14:paraId="21ED808B" w14:textId="77777777" w:rsidTr="000161BC">
        <w:trPr>
          <w:trHeight w:val="164"/>
          <w:jc w:val="center"/>
        </w:trPr>
        <w:tc>
          <w:tcPr>
            <w:tcW w:w="416" w:type="dxa"/>
            <w:tcBorders>
              <w:top w:val="nil"/>
              <w:left w:val="nil"/>
              <w:bottom w:val="single" w:sz="4" w:space="0" w:color="auto"/>
              <w:right w:val="nil"/>
            </w:tcBorders>
            <w:noWrap/>
            <w:vAlign w:val="center"/>
          </w:tcPr>
          <w:p w14:paraId="08AAB81C" w14:textId="77777777" w:rsidR="00577C32" w:rsidRPr="001C4FC1" w:rsidRDefault="00577C32" w:rsidP="000161BC">
            <w:pPr>
              <w:spacing w:after="0" w:line="240" w:lineRule="auto"/>
              <w:rPr>
                <w:rFonts w:ascii="Arial Narrow" w:eastAsia="Times New Roman" w:hAnsi="Arial Narrow" w:cs="Calibri"/>
                <w:i/>
                <w:iCs/>
                <w:color w:val="000000"/>
                <w:sz w:val="20"/>
                <w:szCs w:val="20"/>
                <w:highlight w:val="yellow"/>
                <w:lang w:eastAsia="sk-SK"/>
              </w:rPr>
            </w:pPr>
          </w:p>
        </w:tc>
        <w:tc>
          <w:tcPr>
            <w:tcW w:w="5316" w:type="dxa"/>
            <w:tcBorders>
              <w:top w:val="nil"/>
              <w:left w:val="nil"/>
              <w:bottom w:val="single" w:sz="4" w:space="0" w:color="auto"/>
              <w:right w:val="nil"/>
            </w:tcBorders>
            <w:noWrap/>
            <w:vAlign w:val="center"/>
          </w:tcPr>
          <w:p w14:paraId="1865CE96" w14:textId="77777777" w:rsidR="00577C32" w:rsidRPr="001C4FC1" w:rsidRDefault="00577C32" w:rsidP="000161BC">
            <w:pPr>
              <w:spacing w:after="0" w:line="240" w:lineRule="auto"/>
              <w:rPr>
                <w:rFonts w:ascii="Arial Narrow" w:eastAsia="Times New Roman" w:hAnsi="Arial Narrow" w:cs="Calibri"/>
                <w:i/>
                <w:iCs/>
                <w:color w:val="000000"/>
                <w:sz w:val="18"/>
                <w:szCs w:val="18"/>
                <w:lang w:eastAsia="sk-SK"/>
              </w:rPr>
            </w:pPr>
            <w:r w:rsidRPr="001C4FC1">
              <w:rPr>
                <w:rFonts w:ascii="Arial Narrow" w:eastAsia="Times New Roman" w:hAnsi="Arial Narrow" w:cs="Calibri"/>
                <w:i/>
                <w:iCs/>
                <w:color w:val="000000"/>
                <w:sz w:val="18"/>
                <w:szCs w:val="18"/>
                <w:lang w:eastAsia="sk-SK"/>
              </w:rPr>
              <w:t>p.m. Maximálny rast čistých výdavkov (MTP)</w:t>
            </w:r>
          </w:p>
        </w:tc>
        <w:tc>
          <w:tcPr>
            <w:tcW w:w="510" w:type="dxa"/>
            <w:tcBorders>
              <w:top w:val="nil"/>
              <w:left w:val="nil"/>
              <w:bottom w:val="single" w:sz="4" w:space="0" w:color="auto"/>
              <w:right w:val="nil"/>
            </w:tcBorders>
            <w:vAlign w:val="center"/>
          </w:tcPr>
          <w:p w14:paraId="14B2FDC0" w14:textId="77777777" w:rsidR="00577C32" w:rsidRPr="001C4FC1" w:rsidRDefault="00577C32" w:rsidP="000161BC">
            <w:pPr>
              <w:spacing w:after="0" w:line="240" w:lineRule="auto"/>
              <w:jc w:val="right"/>
              <w:rPr>
                <w:rFonts w:ascii="Arial Narrow" w:eastAsia="Times New Roman" w:hAnsi="Arial Narrow" w:cs="Calibri"/>
                <w:i/>
                <w:iCs/>
                <w:color w:val="000000"/>
                <w:sz w:val="18"/>
                <w:szCs w:val="18"/>
                <w:highlight w:val="yellow"/>
                <w:lang w:eastAsia="sk-SK"/>
              </w:rPr>
            </w:pPr>
          </w:p>
        </w:tc>
        <w:tc>
          <w:tcPr>
            <w:tcW w:w="940" w:type="dxa"/>
            <w:tcBorders>
              <w:top w:val="nil"/>
              <w:left w:val="nil"/>
              <w:bottom w:val="single" w:sz="4" w:space="0" w:color="auto"/>
              <w:right w:val="nil"/>
            </w:tcBorders>
            <w:noWrap/>
            <w:vAlign w:val="center"/>
          </w:tcPr>
          <w:p w14:paraId="31BD7D80" w14:textId="77777777" w:rsidR="00577C32" w:rsidRPr="001C4FC1" w:rsidRDefault="00577C32" w:rsidP="000161BC">
            <w:pPr>
              <w:spacing w:after="0" w:line="240" w:lineRule="auto"/>
              <w:jc w:val="right"/>
              <w:rPr>
                <w:rFonts w:ascii="Arial Narrow" w:eastAsia="Times New Roman" w:hAnsi="Arial Narrow" w:cs="Calibri"/>
                <w:i/>
                <w:iCs/>
                <w:color w:val="000000"/>
                <w:sz w:val="18"/>
                <w:szCs w:val="18"/>
                <w:lang w:eastAsia="sk-SK"/>
              </w:rPr>
            </w:pPr>
            <w:r w:rsidRPr="001C4FC1">
              <w:rPr>
                <w:rFonts w:ascii="Arial Narrow" w:eastAsia="Times New Roman" w:hAnsi="Arial Narrow" w:cs="Calibri"/>
                <w:i/>
                <w:iCs/>
                <w:color w:val="000000"/>
                <w:sz w:val="18"/>
                <w:szCs w:val="18"/>
                <w:lang w:eastAsia="sk-SK"/>
              </w:rPr>
              <w:t>6,2 %</w:t>
            </w:r>
          </w:p>
        </w:tc>
        <w:tc>
          <w:tcPr>
            <w:tcW w:w="903" w:type="dxa"/>
            <w:tcBorders>
              <w:top w:val="nil"/>
              <w:left w:val="nil"/>
              <w:bottom w:val="single" w:sz="4" w:space="0" w:color="auto"/>
              <w:right w:val="nil"/>
            </w:tcBorders>
            <w:noWrap/>
            <w:vAlign w:val="center"/>
          </w:tcPr>
          <w:p w14:paraId="4D846DAB" w14:textId="77777777" w:rsidR="00577C32" w:rsidRPr="001C4FC1" w:rsidRDefault="00577C32" w:rsidP="000161BC">
            <w:pPr>
              <w:spacing w:after="0" w:line="240" w:lineRule="auto"/>
              <w:jc w:val="right"/>
              <w:rPr>
                <w:rFonts w:ascii="Arial Narrow" w:eastAsia="Times New Roman" w:hAnsi="Arial Narrow" w:cs="Calibri"/>
                <w:i/>
                <w:iCs/>
                <w:color w:val="000000"/>
                <w:sz w:val="18"/>
                <w:szCs w:val="18"/>
                <w:lang w:eastAsia="sk-SK"/>
              </w:rPr>
            </w:pPr>
            <w:r w:rsidRPr="001C4FC1">
              <w:rPr>
                <w:rFonts w:ascii="Arial Narrow" w:eastAsia="Times New Roman" w:hAnsi="Arial Narrow" w:cs="Calibri"/>
                <w:i/>
                <w:iCs/>
                <w:color w:val="000000"/>
                <w:sz w:val="18"/>
                <w:szCs w:val="18"/>
                <w:lang w:eastAsia="sk-SK"/>
              </w:rPr>
              <w:t>3,8 %</w:t>
            </w:r>
          </w:p>
        </w:tc>
        <w:tc>
          <w:tcPr>
            <w:tcW w:w="987" w:type="dxa"/>
            <w:tcBorders>
              <w:top w:val="nil"/>
              <w:left w:val="nil"/>
              <w:bottom w:val="single" w:sz="4" w:space="0" w:color="auto"/>
              <w:right w:val="nil"/>
            </w:tcBorders>
          </w:tcPr>
          <w:p w14:paraId="6C700E9D" w14:textId="77777777" w:rsidR="00577C32" w:rsidRPr="001C4FC1" w:rsidRDefault="00577C32" w:rsidP="000161BC">
            <w:pPr>
              <w:spacing w:after="0" w:line="240" w:lineRule="auto"/>
              <w:jc w:val="right"/>
              <w:rPr>
                <w:rFonts w:ascii="Arial Narrow" w:eastAsia="Times New Roman" w:hAnsi="Arial Narrow" w:cs="Calibri"/>
                <w:i/>
                <w:iCs/>
                <w:color w:val="000000"/>
                <w:sz w:val="18"/>
                <w:szCs w:val="18"/>
                <w:lang w:eastAsia="sk-SK"/>
              </w:rPr>
            </w:pPr>
            <w:r w:rsidRPr="001C4FC1">
              <w:rPr>
                <w:rFonts w:ascii="Arial Narrow" w:eastAsia="Times New Roman" w:hAnsi="Arial Narrow" w:cs="Calibri"/>
                <w:i/>
                <w:iCs/>
                <w:color w:val="000000"/>
                <w:sz w:val="18"/>
                <w:szCs w:val="18"/>
                <w:lang w:eastAsia="sk-SK"/>
              </w:rPr>
              <w:t>0,9 %</w:t>
            </w:r>
          </w:p>
        </w:tc>
      </w:tr>
      <w:tr w:rsidR="00577C32" w:rsidRPr="001C4FC1" w14:paraId="104C8C88" w14:textId="77777777" w:rsidTr="000161BC">
        <w:trPr>
          <w:trHeight w:val="300"/>
          <w:jc w:val="center"/>
        </w:trPr>
        <w:tc>
          <w:tcPr>
            <w:tcW w:w="416" w:type="dxa"/>
            <w:tcBorders>
              <w:top w:val="single" w:sz="4" w:space="0" w:color="auto"/>
              <w:left w:val="nil"/>
              <w:right w:val="nil"/>
            </w:tcBorders>
            <w:noWrap/>
            <w:vAlign w:val="center"/>
          </w:tcPr>
          <w:p w14:paraId="2F69105D" w14:textId="77777777" w:rsidR="00577C32" w:rsidRPr="001C4FC1" w:rsidRDefault="00577C32" w:rsidP="000161BC">
            <w:pPr>
              <w:spacing w:after="0" w:line="240" w:lineRule="auto"/>
              <w:rPr>
                <w:rFonts w:ascii="Arial Narrow" w:eastAsia="Times New Roman" w:hAnsi="Arial Narrow" w:cs="Calibri"/>
                <w:i/>
                <w:iCs/>
                <w:color w:val="000000"/>
                <w:sz w:val="20"/>
                <w:szCs w:val="20"/>
                <w:highlight w:val="yellow"/>
                <w:lang w:eastAsia="sk-SK"/>
              </w:rPr>
            </w:pPr>
          </w:p>
        </w:tc>
        <w:tc>
          <w:tcPr>
            <w:tcW w:w="5316" w:type="dxa"/>
            <w:tcBorders>
              <w:top w:val="single" w:sz="4" w:space="0" w:color="auto"/>
              <w:left w:val="nil"/>
              <w:right w:val="nil"/>
            </w:tcBorders>
            <w:noWrap/>
            <w:vAlign w:val="center"/>
          </w:tcPr>
          <w:p w14:paraId="6CA59EA4" w14:textId="77777777" w:rsidR="00577C32" w:rsidRPr="001C4FC1" w:rsidRDefault="00577C32" w:rsidP="000161BC">
            <w:pPr>
              <w:spacing w:after="0" w:line="240" w:lineRule="auto"/>
              <w:rPr>
                <w:rFonts w:ascii="Arial Narrow" w:eastAsia="Times New Roman" w:hAnsi="Arial Narrow" w:cs="Calibri"/>
                <w:i/>
                <w:iCs/>
                <w:color w:val="000000"/>
                <w:sz w:val="18"/>
                <w:szCs w:val="18"/>
                <w:highlight w:val="yellow"/>
                <w:lang w:eastAsia="sk-SK"/>
              </w:rPr>
            </w:pPr>
          </w:p>
        </w:tc>
        <w:tc>
          <w:tcPr>
            <w:tcW w:w="510" w:type="dxa"/>
            <w:tcBorders>
              <w:top w:val="single" w:sz="4" w:space="0" w:color="auto"/>
              <w:left w:val="nil"/>
              <w:right w:val="nil"/>
            </w:tcBorders>
            <w:vAlign w:val="center"/>
          </w:tcPr>
          <w:p w14:paraId="28C3F822" w14:textId="77777777" w:rsidR="00577C32" w:rsidRPr="001C4FC1" w:rsidRDefault="00577C32" w:rsidP="000161BC">
            <w:pPr>
              <w:spacing w:after="0" w:line="240" w:lineRule="auto"/>
              <w:jc w:val="right"/>
              <w:rPr>
                <w:rFonts w:ascii="Arial Narrow" w:eastAsia="Times New Roman" w:hAnsi="Arial Narrow" w:cs="Calibri"/>
                <w:i/>
                <w:iCs/>
                <w:color w:val="000000"/>
                <w:sz w:val="18"/>
                <w:szCs w:val="18"/>
                <w:highlight w:val="yellow"/>
                <w:lang w:eastAsia="sk-SK"/>
              </w:rPr>
            </w:pPr>
          </w:p>
        </w:tc>
        <w:tc>
          <w:tcPr>
            <w:tcW w:w="940" w:type="dxa"/>
            <w:tcBorders>
              <w:top w:val="single" w:sz="4" w:space="0" w:color="auto"/>
              <w:left w:val="nil"/>
              <w:right w:val="nil"/>
            </w:tcBorders>
            <w:noWrap/>
            <w:vAlign w:val="center"/>
          </w:tcPr>
          <w:p w14:paraId="01130241" w14:textId="77777777" w:rsidR="00577C32" w:rsidRPr="001C4FC1" w:rsidRDefault="00577C32" w:rsidP="000161BC">
            <w:pPr>
              <w:spacing w:after="0" w:line="240" w:lineRule="auto"/>
              <w:jc w:val="right"/>
              <w:rPr>
                <w:rFonts w:ascii="Arial Narrow" w:eastAsia="Times New Roman" w:hAnsi="Arial Narrow" w:cs="Calibri"/>
                <w:i/>
                <w:iCs/>
                <w:color w:val="000000"/>
                <w:sz w:val="18"/>
                <w:szCs w:val="18"/>
                <w:highlight w:val="yellow"/>
                <w:lang w:eastAsia="sk-SK"/>
              </w:rPr>
            </w:pPr>
          </w:p>
        </w:tc>
        <w:tc>
          <w:tcPr>
            <w:tcW w:w="903" w:type="dxa"/>
            <w:tcBorders>
              <w:top w:val="single" w:sz="4" w:space="0" w:color="auto"/>
              <w:left w:val="nil"/>
              <w:right w:val="nil"/>
            </w:tcBorders>
            <w:noWrap/>
            <w:vAlign w:val="center"/>
          </w:tcPr>
          <w:p w14:paraId="514A192E" w14:textId="77777777" w:rsidR="00577C32" w:rsidRPr="001C4FC1" w:rsidRDefault="00577C32" w:rsidP="000161BC">
            <w:pPr>
              <w:spacing w:after="0" w:line="240" w:lineRule="auto"/>
              <w:jc w:val="right"/>
              <w:rPr>
                <w:rFonts w:ascii="Arial Narrow" w:eastAsia="Times New Roman" w:hAnsi="Arial Narrow" w:cs="Calibri"/>
                <w:i/>
                <w:iCs/>
                <w:color w:val="000000"/>
                <w:sz w:val="18"/>
                <w:szCs w:val="18"/>
                <w:lang w:eastAsia="sk-SK"/>
              </w:rPr>
            </w:pPr>
          </w:p>
        </w:tc>
        <w:tc>
          <w:tcPr>
            <w:tcW w:w="987" w:type="dxa"/>
            <w:tcBorders>
              <w:top w:val="single" w:sz="4" w:space="0" w:color="auto"/>
              <w:left w:val="nil"/>
              <w:right w:val="nil"/>
            </w:tcBorders>
          </w:tcPr>
          <w:p w14:paraId="22B4E1F1" w14:textId="77777777" w:rsidR="00577C32" w:rsidRPr="001C4FC1" w:rsidRDefault="00577C32" w:rsidP="000161BC">
            <w:pPr>
              <w:spacing w:after="0" w:line="240" w:lineRule="auto"/>
              <w:jc w:val="right"/>
              <w:rPr>
                <w:rFonts w:ascii="Arial Narrow" w:hAnsi="Arial Narrow"/>
                <w:bCs/>
                <w:i/>
                <w:iCs/>
                <w:sz w:val="16"/>
                <w:szCs w:val="16"/>
              </w:rPr>
            </w:pPr>
            <w:r w:rsidRPr="001C4FC1">
              <w:rPr>
                <w:rFonts w:ascii="Arial Narrow" w:hAnsi="Arial Narrow"/>
                <w:bCs/>
                <w:i/>
                <w:iCs/>
                <w:sz w:val="16"/>
                <w:szCs w:val="16"/>
              </w:rPr>
              <w:t>Zdroj: MF SR</w:t>
            </w:r>
          </w:p>
        </w:tc>
      </w:tr>
      <w:bookmarkEnd w:id="26"/>
    </w:tbl>
    <w:p w14:paraId="63B7F6CD" w14:textId="77777777" w:rsidR="00577C32" w:rsidRPr="001C4FC1" w:rsidRDefault="00577C32" w:rsidP="00577C32">
      <w:pPr>
        <w:spacing w:after="60"/>
        <w:jc w:val="both"/>
        <w:rPr>
          <w:rFonts w:ascii="Arial Narrow" w:hAnsi="Arial Narrow"/>
          <w:bC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3CAEB" w:themeFill="accent1" w:themeFillTint="66"/>
        <w:tblLook w:val="04A0" w:firstRow="1" w:lastRow="0" w:firstColumn="1" w:lastColumn="0" w:noHBand="0" w:noVBand="1"/>
      </w:tblPr>
      <w:tblGrid>
        <w:gridCol w:w="9062"/>
      </w:tblGrid>
      <w:tr w:rsidR="00577C32" w:rsidRPr="001C4FC1" w14:paraId="7BFF3C95" w14:textId="77777777" w:rsidTr="000161BC">
        <w:trPr>
          <w:trHeight w:val="284"/>
        </w:trPr>
        <w:tc>
          <w:tcPr>
            <w:tcW w:w="9062" w:type="dxa"/>
            <w:shd w:val="clear" w:color="auto" w:fill="83CAEB" w:themeFill="accent1" w:themeFillTint="66"/>
          </w:tcPr>
          <w:p w14:paraId="2383F58F" w14:textId="40D1133C" w:rsidR="00577C32" w:rsidRPr="001C4FC1" w:rsidRDefault="00577C32" w:rsidP="000161BC">
            <w:pPr>
              <w:pStyle w:val="Box"/>
              <w:spacing w:after="120" w:line="276" w:lineRule="auto"/>
              <w:rPr>
                <w:rStyle w:val="Vrazn"/>
              </w:rPr>
            </w:pPr>
            <w:bookmarkStart w:id="29" w:name="_Toc196311746"/>
            <w:bookmarkStart w:id="30" w:name="_Toc228177437"/>
            <w:r w:rsidRPr="001C4FC1">
              <w:rPr>
                <w:color w:val="2C9ADC"/>
                <w:sz w:val="22"/>
                <w:szCs w:val="22"/>
              </w:rPr>
              <w:t xml:space="preserve">BOX </w:t>
            </w:r>
            <w:r w:rsidRPr="001C4FC1">
              <w:rPr>
                <w:color w:val="2C9ADC"/>
                <w:sz w:val="22"/>
                <w:szCs w:val="22"/>
              </w:rPr>
              <w:fldChar w:fldCharType="begin"/>
            </w:r>
            <w:r w:rsidRPr="001C4FC1">
              <w:rPr>
                <w:color w:val="2C9ADC"/>
                <w:sz w:val="22"/>
                <w:szCs w:val="22"/>
              </w:rPr>
              <w:instrText xml:space="preserve"> SEQ BOX \* ARABIC </w:instrText>
            </w:r>
            <w:r w:rsidRPr="001C4FC1">
              <w:rPr>
                <w:color w:val="2C9ADC"/>
                <w:sz w:val="22"/>
                <w:szCs w:val="22"/>
              </w:rPr>
              <w:fldChar w:fldCharType="separate"/>
            </w:r>
            <w:r w:rsidR="008765E2">
              <w:rPr>
                <w:noProof/>
                <w:color w:val="2C9ADC"/>
                <w:sz w:val="22"/>
                <w:szCs w:val="22"/>
              </w:rPr>
              <w:t>2</w:t>
            </w:r>
            <w:r w:rsidRPr="001C4FC1">
              <w:rPr>
                <w:color w:val="2C9ADC"/>
                <w:sz w:val="22"/>
                <w:szCs w:val="22"/>
              </w:rPr>
              <w:fldChar w:fldCharType="end"/>
            </w:r>
            <w:r w:rsidRPr="001C4FC1">
              <w:rPr>
                <w:color w:val="2C9ADC"/>
                <w:sz w:val="22"/>
                <w:szCs w:val="22"/>
              </w:rPr>
              <w:t xml:space="preserve"> –</w:t>
            </w:r>
            <w:bookmarkEnd w:id="29"/>
            <w:r w:rsidRPr="001C4FC1">
              <w:rPr>
                <w:color w:val="2C9ADC"/>
                <w:sz w:val="22"/>
                <w:szCs w:val="22"/>
              </w:rPr>
              <w:t xml:space="preserve"> Procedúra nadmerného deficitu</w:t>
            </w:r>
            <w:bookmarkEnd w:id="30"/>
          </w:p>
          <w:p w14:paraId="187035AF" w14:textId="77777777" w:rsidR="00577C32" w:rsidRPr="001C4FC1" w:rsidRDefault="00577C32" w:rsidP="000161BC">
            <w:pPr>
              <w:jc w:val="both"/>
              <w:rPr>
                <w:rFonts w:ascii="Arial Narrow" w:hAnsi="Arial Narrow"/>
                <w:bCs/>
              </w:rPr>
            </w:pPr>
            <w:r w:rsidRPr="001C4FC1">
              <w:rPr>
                <w:rFonts w:ascii="Arial Narrow" w:hAnsi="Arial Narrow"/>
                <w:b/>
              </w:rPr>
              <w:t xml:space="preserve">Slovensko začiatkom roku 2025 formálne vstúpilo do procedúry nadmerného deficitu pre nepriaznivý stav verejných financií po krízových rokoch 2020-2023. </w:t>
            </w:r>
            <w:r w:rsidRPr="001C4FC1">
              <w:rPr>
                <w:rFonts w:ascii="Arial Narrow" w:hAnsi="Arial Narrow"/>
                <w:bCs/>
              </w:rPr>
              <w:t>Na základe článku 126 Zmluvy o fungovaní EÚ sa členské štáty majú vyhýbať nadmernému deficitu cez 3 % HDP. V prípade vyššieho schodku sa spúšťa procedúra nadmerného deficitu (EDP) ako korekčná časť Paktu stability a rastu. Slovensko od pandémie v roku 2020 pravidelne hospodárilo s deficitmi nad 5 % HDP, s výnimkou roku 2022, kedy sa dočasne pozitívne prejavil najmä inflačný šok na príjmoch. Keďže vysoké deficity neboli dočasného charakteru a podľa Európskej komisie by schodok výhľadovo neklesol pod 3 % HDP, EK v roku 2024 odporučila zaradiť Slovensko do EDP a v 2025 to potvrdila aj Rada EÚ. Procedúra nadmerného deficitu predstavuje formálnu požiadavku na korekciu negatívneho stavu verejných financií v stanovenom termíne a pravidelný polročný sprísnený režim fiškálneho dohľadu. V prípade priebežného neplnenia postupu smerujúceho k zníženiu deficitu krajine hrozia finančné sankcie.</w:t>
            </w:r>
          </w:p>
          <w:p w14:paraId="23C84009" w14:textId="77777777" w:rsidR="00577C32" w:rsidRPr="001C4FC1" w:rsidRDefault="00577C32" w:rsidP="000161BC">
            <w:pPr>
              <w:jc w:val="both"/>
              <w:rPr>
                <w:rFonts w:ascii="Arial Narrow" w:hAnsi="Arial Narrow"/>
                <w:bCs/>
              </w:rPr>
            </w:pPr>
          </w:p>
          <w:p w14:paraId="544D5B5B" w14:textId="77777777" w:rsidR="00577C32" w:rsidRPr="001C4FC1" w:rsidRDefault="00577C32" w:rsidP="000161BC">
            <w:pPr>
              <w:jc w:val="both"/>
              <w:rPr>
                <w:rFonts w:ascii="Arial Narrow" w:hAnsi="Arial Narrow"/>
                <w:bCs/>
              </w:rPr>
            </w:pPr>
            <w:r w:rsidRPr="001C4FC1">
              <w:rPr>
                <w:rFonts w:ascii="Arial Narrow" w:hAnsi="Arial Narrow"/>
                <w:b/>
              </w:rPr>
              <w:t xml:space="preserve">Reforma európskych fiškálnych pravidiel znamenala presun ťažiska dohľadu v EDP od deficitu k trajektórii čistých výdavkov. </w:t>
            </w:r>
            <w:r w:rsidRPr="001C4FC1">
              <w:rPr>
                <w:rFonts w:ascii="Arial Narrow" w:hAnsi="Arial Narrow"/>
                <w:bCs/>
              </w:rPr>
              <w:t>Nová podoba Paktu stability a rastu po reforme z roku 2024 zosúladila korekčnú časť s upravenou preventívnou časťou založenou na jedinom operatívnom pravidle výdavkov. Súčasné požiadavky EDP na znižovanie deficitu sú tak vyjadrené v metrike tzv. referenčnej trajektórie rastu čistých výdavkov. Hoci deficit ostáva jedným zo sledovaných parametrov v rámci dohľadu, jediným odpočtovaným indikátorom pre Komisiu pri EDP bude vývoj čistých výdavkov</w:t>
            </w:r>
            <w:r w:rsidRPr="001C4FC1">
              <w:rPr>
                <w:rStyle w:val="Odkaznapoznmkupodiarou"/>
                <w:rFonts w:ascii="Arial Narrow" w:hAnsi="Arial Narrow"/>
                <w:bCs/>
              </w:rPr>
              <w:footnoteReference w:id="12"/>
            </w:r>
            <w:r w:rsidRPr="001C4FC1">
              <w:rPr>
                <w:rFonts w:ascii="Arial Narrow" w:hAnsi="Arial Narrow"/>
                <w:bCs/>
              </w:rPr>
              <w:t>. Vzhľadom na proti-cyklickosť nového výdavkového pravidla nemusí referenčná trajektória výdavkov doručiť úroveň deficitu pod 3 % HDP v termíne, ktorý bol stanovený v odporúčaní EDP</w:t>
            </w:r>
            <w:r w:rsidRPr="001C4FC1">
              <w:rPr>
                <w:rStyle w:val="Odkaznapoznmkupodiarou"/>
                <w:rFonts w:ascii="Arial Narrow" w:hAnsi="Arial Narrow"/>
                <w:bCs/>
              </w:rPr>
              <w:footnoteReference w:id="13"/>
            </w:r>
            <w:r w:rsidRPr="001C4FC1">
              <w:rPr>
                <w:rFonts w:ascii="Arial Narrow" w:hAnsi="Arial Narrow"/>
                <w:bCs/>
              </w:rPr>
              <w:t>.</w:t>
            </w:r>
          </w:p>
          <w:p w14:paraId="36B693D7" w14:textId="77777777" w:rsidR="00577C32" w:rsidRPr="001C4FC1" w:rsidRDefault="00577C32" w:rsidP="000161BC">
            <w:pPr>
              <w:jc w:val="both"/>
              <w:rPr>
                <w:rFonts w:ascii="Arial Narrow" w:hAnsi="Arial Narrow"/>
                <w:bCs/>
              </w:rPr>
            </w:pPr>
          </w:p>
          <w:p w14:paraId="15527A85" w14:textId="77777777" w:rsidR="00577C32" w:rsidRPr="001C4FC1" w:rsidRDefault="00577C32" w:rsidP="000161BC">
            <w:pPr>
              <w:jc w:val="both"/>
              <w:rPr>
                <w:rFonts w:ascii="Arial Narrow" w:hAnsi="Arial Narrow"/>
                <w:bCs/>
              </w:rPr>
            </w:pPr>
            <w:r w:rsidRPr="001C4FC1">
              <w:rPr>
                <w:rFonts w:ascii="Arial Narrow" w:hAnsi="Arial Narrow"/>
                <w:b/>
              </w:rPr>
              <w:t xml:space="preserve">Trajektória rastu čistých výdavkov, ktorá má naplniť požiadavky EDP na zníženie deficitu pod 3 % HDP, zodpovedá záväzku vlády SR v strednodobom pláne na roky 2025 až 2028. </w:t>
            </w:r>
            <w:r w:rsidRPr="001C4FC1">
              <w:rPr>
                <w:rFonts w:ascii="Arial Narrow" w:hAnsi="Arial Narrow"/>
                <w:bCs/>
              </w:rPr>
              <w:t>Prechod zo starého rámca EÚ pravidiel k novému, založenému na čistých výdavkoch, si vyžadoval zosúladiť korekčnú trajektóriu výdavkov s novým strednodobým plánom na roky 2025 až 2028 (MTP). Schválený kumulatívny rast čistých výdavkov SR v MTP preto reflektoval aj na odporúčanie EDP a trajektória výdavkov súčasne zodpovedá požiadavke procedúry nadmerného deficitu.</w:t>
            </w:r>
          </w:p>
          <w:p w14:paraId="18330ADF" w14:textId="77777777" w:rsidR="00577C32" w:rsidRPr="001C4FC1" w:rsidRDefault="00577C32" w:rsidP="000161BC">
            <w:pPr>
              <w:jc w:val="both"/>
              <w:rPr>
                <w:rFonts w:ascii="Arial Narrow" w:hAnsi="Arial Narrow"/>
                <w:bCs/>
              </w:rPr>
            </w:pPr>
          </w:p>
          <w:p w14:paraId="7934DC95" w14:textId="77777777" w:rsidR="00577C32" w:rsidRPr="001C4FC1" w:rsidRDefault="00577C32" w:rsidP="000161BC">
            <w:pPr>
              <w:spacing w:after="60"/>
              <w:jc w:val="both"/>
              <w:rPr>
                <w:rFonts w:ascii="Arial Narrow" w:hAnsi="Arial Narrow"/>
                <w:bCs/>
              </w:rPr>
            </w:pPr>
            <w:r w:rsidRPr="001C4FC1">
              <w:rPr>
                <w:rFonts w:ascii="Arial Narrow" w:hAnsi="Arial Narrow"/>
                <w:b/>
              </w:rPr>
              <w:t xml:space="preserve">Odporúčanie Rady pre Slovensko v rámci EDP stanovuje maximálny rast čistých výdavkov, tomu zodpovedajúci termín pre zníženie deficitu a podmienky pre pravidelné zverejňovanie konsolidačných opatrení. </w:t>
            </w:r>
            <w:r w:rsidRPr="001C4FC1">
              <w:rPr>
                <w:rFonts w:ascii="Arial Narrow" w:hAnsi="Arial Narrow"/>
                <w:bCs/>
              </w:rPr>
              <w:t xml:space="preserve">Rada vo svojom odporúčaní určila Slovensku do roku 2027 udržať rast čistých výdavkov kumulatívne na úrovni do 13 %, čo pri odhadoch v danom čase malo viesť k zníženiu deficitu pod 3 % HDP. Rada zároveň odporučila zverejniť aktualizovaný zoznam opatrení najneskôr do 30. apríla 2025, ktorými vláda v roku 2025 plánuje zabezpečiť, aby rast výdavkov nepresiahol maximálne povolené tempo v odporúčaní. Ďalšie opatrenia, ktoré zabezpečia postupné znižovanie deficitu, je potrebné predstaviť každých 6 mesiacov, a to až do vystúpenia z EDP. </w:t>
            </w:r>
            <w:r w:rsidRPr="001C4FC1">
              <w:rPr>
                <w:rStyle w:val="Vrazn"/>
                <w:rFonts w:ascii="Arial Narrow" w:hAnsi="Arial Narrow"/>
              </w:rPr>
              <w:t xml:space="preserve"> </w:t>
            </w:r>
          </w:p>
        </w:tc>
      </w:tr>
    </w:tbl>
    <w:p w14:paraId="09C41518" w14:textId="77777777" w:rsidR="00577C32" w:rsidRPr="001C4FC1" w:rsidRDefault="00577C32" w:rsidP="00577C32">
      <w:pPr>
        <w:spacing w:after="60"/>
        <w:jc w:val="both"/>
        <w:rPr>
          <w:rFonts w:ascii="Arial Narrow" w:hAnsi="Arial Narrow"/>
          <w:bCs/>
        </w:rPr>
      </w:pPr>
    </w:p>
    <w:p w14:paraId="0CBE2281" w14:textId="0A391BB8" w:rsidR="00CB362F" w:rsidRPr="001C4FC1" w:rsidRDefault="00CB362F" w:rsidP="00CB362F">
      <w:pPr>
        <w:pStyle w:val="ifpzhl3"/>
        <w:rPr>
          <w:color w:val="2C9ADC"/>
          <w:sz w:val="22"/>
          <w:szCs w:val="22"/>
        </w:rPr>
      </w:pPr>
      <w:bookmarkStart w:id="31" w:name="_Toc196296450"/>
      <w:bookmarkStart w:id="32" w:name="_Toc196299145"/>
      <w:bookmarkStart w:id="33" w:name="_Toc196730258"/>
      <w:bookmarkStart w:id="34" w:name="_Toc196730293"/>
      <w:bookmarkStart w:id="35" w:name="_Toc228177459"/>
      <w:r w:rsidRPr="001C4FC1">
        <w:rPr>
          <w:color w:val="2C9ADC"/>
          <w:sz w:val="22"/>
          <w:szCs w:val="22"/>
        </w:rPr>
        <w:t xml:space="preserve">Aktualizácia </w:t>
      </w:r>
      <w:r w:rsidR="006D3CDA">
        <w:rPr>
          <w:color w:val="2C9ADC"/>
          <w:sz w:val="22"/>
          <w:szCs w:val="22"/>
        </w:rPr>
        <w:t xml:space="preserve">konsolidačných </w:t>
      </w:r>
      <w:r w:rsidRPr="001C4FC1">
        <w:rPr>
          <w:color w:val="2C9ADC"/>
          <w:sz w:val="22"/>
          <w:szCs w:val="22"/>
        </w:rPr>
        <w:t>opatrení implementovaných v rozpočte na rok 202</w:t>
      </w:r>
      <w:bookmarkEnd w:id="31"/>
      <w:bookmarkEnd w:id="32"/>
      <w:bookmarkEnd w:id="33"/>
      <w:bookmarkEnd w:id="34"/>
      <w:r w:rsidRPr="001C4FC1">
        <w:rPr>
          <w:color w:val="2C9ADC"/>
          <w:sz w:val="22"/>
          <w:szCs w:val="22"/>
        </w:rPr>
        <w:t>6</w:t>
      </w:r>
      <w:bookmarkEnd w:id="35"/>
      <w:r w:rsidRPr="001C4FC1">
        <w:rPr>
          <w:color w:val="2C9ADC"/>
          <w:sz w:val="22"/>
          <w:szCs w:val="22"/>
        </w:rPr>
        <w:t xml:space="preserve">  </w:t>
      </w:r>
    </w:p>
    <w:p w14:paraId="753E761E" w14:textId="210DE10F" w:rsidR="00CB362F" w:rsidRPr="001C4FC1" w:rsidRDefault="00880EB2" w:rsidP="00CB362F">
      <w:pPr>
        <w:spacing w:before="240" w:after="240"/>
        <w:jc w:val="both"/>
        <w:rPr>
          <w:rFonts w:ascii="Arial Narrow" w:hAnsi="Arial Narrow"/>
          <w:b/>
        </w:rPr>
      </w:pPr>
      <w:r>
        <w:rPr>
          <w:rFonts w:ascii="Arial Narrow" w:hAnsi="Arial Narrow"/>
          <w:b/>
        </w:rPr>
        <w:t>Súčasná</w:t>
      </w:r>
      <w:r w:rsidR="00CB362F" w:rsidRPr="001C4FC1">
        <w:rPr>
          <w:rFonts w:ascii="Arial Narrow" w:hAnsi="Arial Narrow"/>
          <w:b/>
        </w:rPr>
        <w:t xml:space="preserve"> vláda prijala </w:t>
      </w:r>
      <w:r>
        <w:rPr>
          <w:rFonts w:ascii="Arial Narrow" w:hAnsi="Arial Narrow"/>
          <w:b/>
        </w:rPr>
        <w:t>tri</w:t>
      </w:r>
      <w:r w:rsidR="00CB362F" w:rsidRPr="001C4FC1">
        <w:rPr>
          <w:rFonts w:ascii="Arial Narrow" w:hAnsi="Arial Narrow"/>
          <w:b/>
        </w:rPr>
        <w:t xml:space="preserve"> konsolidačné balíky v objeme vyše 4 % HDP. </w:t>
      </w:r>
      <w:r w:rsidR="00CB362F" w:rsidRPr="001C4FC1">
        <w:rPr>
          <w:rFonts w:ascii="Arial Narrow" w:hAnsi="Arial Narrow"/>
          <w:bCs/>
        </w:rPr>
        <w:t>Aktualizácia makroekonomických a rozpočtových prognóz vo februári 2026 mierne zrevidovala vplyv konsolidačných opatrení na príjmovej strane rozpočtu</w:t>
      </w:r>
      <w:r w:rsidR="00CB362F" w:rsidRPr="001C4FC1">
        <w:rPr>
          <w:rFonts w:ascii="Arial Narrow" w:hAnsi="Arial Narrow"/>
          <w:b/>
        </w:rPr>
        <w:t>.</w:t>
      </w:r>
      <w:r w:rsidR="00E07E81">
        <w:rPr>
          <w:rFonts w:ascii="Arial Narrow" w:hAnsi="Arial Narrow"/>
          <w:bCs/>
        </w:rPr>
        <w:t xml:space="preserve"> Zároveň d</w:t>
      </w:r>
      <w:r w:rsidR="00CB362F" w:rsidRPr="001C4FC1">
        <w:rPr>
          <w:rFonts w:ascii="Arial Narrow" w:hAnsi="Arial Narrow"/>
          <w:bCs/>
        </w:rPr>
        <w:t>o roku 2028, v dôsledku dočasnosti niektorých opatrení</w:t>
      </w:r>
      <w:r w:rsidR="009768F9">
        <w:rPr>
          <w:rFonts w:ascii="Arial Narrow" w:hAnsi="Arial Narrow"/>
          <w:bCs/>
        </w:rPr>
        <w:t xml:space="preserve"> mierne</w:t>
      </w:r>
      <w:r w:rsidR="00CB362F" w:rsidRPr="001C4FC1">
        <w:rPr>
          <w:rFonts w:ascii="Arial Narrow" w:hAnsi="Arial Narrow"/>
          <w:bCs/>
        </w:rPr>
        <w:t xml:space="preserve"> klesne</w:t>
      </w:r>
      <w:r w:rsidR="00E07E81">
        <w:rPr>
          <w:rFonts w:ascii="Arial Narrow" w:hAnsi="Arial Narrow"/>
          <w:bCs/>
        </w:rPr>
        <w:t>, avšak udrží sa</w:t>
      </w:r>
      <w:r w:rsidR="00CB362F" w:rsidRPr="001C4FC1">
        <w:rPr>
          <w:rFonts w:ascii="Arial Narrow" w:hAnsi="Arial Narrow"/>
          <w:bCs/>
        </w:rPr>
        <w:t xml:space="preserve"> na </w:t>
      </w:r>
      <w:r w:rsidR="00E07E81">
        <w:rPr>
          <w:rFonts w:ascii="Arial Narrow" w:hAnsi="Arial Narrow"/>
          <w:bCs/>
        </w:rPr>
        <w:t xml:space="preserve"> úrovni </w:t>
      </w:r>
      <w:r w:rsidR="00CB362F" w:rsidRPr="001C4FC1">
        <w:rPr>
          <w:rFonts w:ascii="Arial Narrow" w:hAnsi="Arial Narrow"/>
          <w:bCs/>
        </w:rPr>
        <w:t xml:space="preserve">4,1 % HDP. Podrobnejší rozpis opatrení je dostupný v prílohe </w:t>
      </w:r>
      <w:r w:rsidR="00C24F6F">
        <w:rPr>
          <w:rFonts w:ascii="Arial Narrow" w:hAnsi="Arial Narrow"/>
          <w:bCs/>
        </w:rPr>
        <w:t>4</w:t>
      </w:r>
      <w:r w:rsidR="00CB362F" w:rsidRPr="001C4FC1">
        <w:rPr>
          <w:rFonts w:ascii="Arial Narrow" w:hAnsi="Arial Narrow"/>
          <w:bCs/>
        </w:rPr>
        <w:t>.</w:t>
      </w:r>
    </w:p>
    <w:p w14:paraId="78465322" w14:textId="0BDE283F" w:rsidR="00CB362F" w:rsidRPr="001C4FC1" w:rsidRDefault="00CB362F" w:rsidP="00CB362F">
      <w:pPr>
        <w:spacing w:before="240" w:after="240"/>
        <w:jc w:val="both"/>
        <w:rPr>
          <w:rFonts w:ascii="Arial Narrow" w:eastAsia="Times New Roman" w:hAnsi="Arial Narrow" w:cs="Times New Roman"/>
          <w:b/>
          <w:bCs/>
          <w:color w:val="2C9ADC"/>
          <w:sz w:val="20"/>
          <w:lang w:eastAsia="sk-SK"/>
        </w:rPr>
      </w:pPr>
      <w:bookmarkStart w:id="36" w:name="_Toc228177377"/>
      <w:r w:rsidRPr="001C4FC1">
        <w:rPr>
          <w:rFonts w:ascii="Arial Narrow" w:eastAsia="Times New Roman" w:hAnsi="Arial Narrow" w:cs="Times New Roman"/>
          <w:b/>
          <w:bCs/>
          <w:color w:val="2C9ADC"/>
          <w:sz w:val="20"/>
          <w:lang w:eastAsia="sk-SK"/>
        </w:rPr>
        <w:t xml:space="preserve">TABUĽKA </w:t>
      </w:r>
      <w:r w:rsidRPr="001C4FC1">
        <w:rPr>
          <w:rFonts w:ascii="Arial Narrow" w:eastAsia="Times New Roman" w:hAnsi="Arial Narrow" w:cs="Times New Roman"/>
          <w:b/>
          <w:bCs/>
          <w:color w:val="2C9ADC"/>
          <w:sz w:val="20"/>
          <w:lang w:eastAsia="sk-SK"/>
        </w:rPr>
        <w:fldChar w:fldCharType="begin"/>
      </w:r>
      <w:r w:rsidRPr="001C4FC1">
        <w:rPr>
          <w:rFonts w:ascii="Arial Narrow" w:eastAsia="Times New Roman" w:hAnsi="Arial Narrow" w:cs="Times New Roman"/>
          <w:b/>
          <w:bCs/>
          <w:color w:val="2C9ADC"/>
          <w:sz w:val="20"/>
          <w:lang w:eastAsia="sk-SK"/>
        </w:rPr>
        <w:instrText xml:space="preserve"> SEQ TABUĽKA \* ARABIC </w:instrText>
      </w:r>
      <w:r w:rsidRPr="001C4FC1">
        <w:rPr>
          <w:rFonts w:ascii="Arial Narrow" w:eastAsia="Times New Roman" w:hAnsi="Arial Narrow" w:cs="Times New Roman"/>
          <w:b/>
          <w:bCs/>
          <w:color w:val="2C9ADC"/>
          <w:sz w:val="20"/>
          <w:lang w:eastAsia="sk-SK"/>
        </w:rPr>
        <w:fldChar w:fldCharType="separate"/>
      </w:r>
      <w:r w:rsidR="008765E2">
        <w:rPr>
          <w:rFonts w:ascii="Arial Narrow" w:eastAsia="Times New Roman" w:hAnsi="Arial Narrow" w:cs="Times New Roman"/>
          <w:b/>
          <w:bCs/>
          <w:noProof/>
          <w:color w:val="2C9ADC"/>
          <w:sz w:val="20"/>
          <w:lang w:eastAsia="sk-SK"/>
        </w:rPr>
        <w:t>4</w:t>
      </w:r>
      <w:r w:rsidRPr="001C4FC1">
        <w:rPr>
          <w:rFonts w:ascii="Arial Narrow" w:eastAsia="Times New Roman" w:hAnsi="Arial Narrow" w:cs="Times New Roman"/>
          <w:b/>
          <w:bCs/>
          <w:color w:val="2C9ADC"/>
          <w:sz w:val="20"/>
          <w:lang w:eastAsia="sk-SK"/>
        </w:rPr>
        <w:fldChar w:fldCharType="end"/>
      </w:r>
      <w:r w:rsidRPr="001C4FC1">
        <w:rPr>
          <w:rFonts w:ascii="Arial Narrow" w:eastAsia="Times New Roman" w:hAnsi="Arial Narrow" w:cs="Times New Roman"/>
          <w:b/>
          <w:bCs/>
          <w:color w:val="2C9ADC"/>
          <w:sz w:val="20"/>
          <w:lang w:eastAsia="sk-SK"/>
        </w:rPr>
        <w:t xml:space="preserve"> – Kvantifikácia príjmových a výdavkových opatrení (vplyv na rozpočet v mil. eur, ESA2010)</w:t>
      </w:r>
      <w:bookmarkEnd w:id="36"/>
    </w:p>
    <w:tbl>
      <w:tblPr>
        <w:tblStyle w:val="Mriekatabuky"/>
        <w:tblW w:w="0" w:type="auto"/>
        <w:tblLayout w:type="fixed"/>
        <w:tblLook w:val="04A0" w:firstRow="1" w:lastRow="0" w:firstColumn="1" w:lastColumn="0" w:noHBand="0" w:noVBand="1"/>
      </w:tblPr>
      <w:tblGrid>
        <w:gridCol w:w="2972"/>
        <w:gridCol w:w="1418"/>
        <w:gridCol w:w="1275"/>
        <w:gridCol w:w="993"/>
        <w:gridCol w:w="1115"/>
        <w:gridCol w:w="1289"/>
      </w:tblGrid>
      <w:tr w:rsidR="00CB362F" w:rsidRPr="001C4FC1" w14:paraId="64DBC2FB" w14:textId="77777777" w:rsidTr="000161BC">
        <w:trPr>
          <w:trHeight w:val="255"/>
        </w:trPr>
        <w:tc>
          <w:tcPr>
            <w:tcW w:w="2972" w:type="dxa"/>
            <w:tcBorders>
              <w:top w:val="single" w:sz="4" w:space="0" w:color="auto"/>
              <w:left w:val="nil"/>
              <w:bottom w:val="single" w:sz="4" w:space="0" w:color="auto"/>
              <w:right w:val="nil"/>
            </w:tcBorders>
            <w:vAlign w:val="center"/>
          </w:tcPr>
          <w:p w14:paraId="3CF03178" w14:textId="77777777" w:rsidR="00CB362F" w:rsidRPr="001C4FC1" w:rsidRDefault="00CB362F" w:rsidP="000161BC">
            <w:pPr>
              <w:rPr>
                <w:rFonts w:ascii="Arial Narrow" w:hAnsi="Arial Narrow"/>
                <w:b/>
                <w:sz w:val="20"/>
                <w:szCs w:val="20"/>
              </w:rPr>
            </w:pPr>
          </w:p>
        </w:tc>
        <w:tc>
          <w:tcPr>
            <w:tcW w:w="1418" w:type="dxa"/>
            <w:tcBorders>
              <w:top w:val="single" w:sz="4" w:space="0" w:color="auto"/>
              <w:left w:val="nil"/>
              <w:bottom w:val="single" w:sz="4" w:space="0" w:color="auto"/>
              <w:right w:val="nil"/>
            </w:tcBorders>
            <w:vAlign w:val="center"/>
          </w:tcPr>
          <w:p w14:paraId="65A694A5" w14:textId="77777777" w:rsidR="00CB362F" w:rsidRPr="001C4FC1" w:rsidRDefault="00CB362F" w:rsidP="000161BC">
            <w:pPr>
              <w:jc w:val="center"/>
              <w:rPr>
                <w:rFonts w:ascii="Arial Narrow" w:hAnsi="Arial Narrow"/>
                <w:b/>
                <w:sz w:val="20"/>
                <w:szCs w:val="20"/>
              </w:rPr>
            </w:pPr>
            <w:r w:rsidRPr="001C4FC1">
              <w:rPr>
                <w:rFonts w:ascii="Arial Narrow" w:hAnsi="Arial Narrow"/>
                <w:b/>
                <w:sz w:val="20"/>
                <w:szCs w:val="20"/>
              </w:rPr>
              <w:t>2024</w:t>
            </w:r>
          </w:p>
        </w:tc>
        <w:tc>
          <w:tcPr>
            <w:tcW w:w="1275" w:type="dxa"/>
            <w:tcBorders>
              <w:top w:val="single" w:sz="4" w:space="0" w:color="auto"/>
              <w:left w:val="nil"/>
              <w:bottom w:val="single" w:sz="4" w:space="0" w:color="auto"/>
              <w:right w:val="nil"/>
            </w:tcBorders>
            <w:vAlign w:val="center"/>
          </w:tcPr>
          <w:p w14:paraId="42A165CB" w14:textId="77777777" w:rsidR="00CB362F" w:rsidRPr="001C4FC1" w:rsidRDefault="00CB362F" w:rsidP="000161BC">
            <w:pPr>
              <w:jc w:val="center"/>
              <w:rPr>
                <w:rFonts w:ascii="Arial Narrow" w:hAnsi="Arial Narrow"/>
                <w:b/>
                <w:sz w:val="20"/>
                <w:szCs w:val="20"/>
              </w:rPr>
            </w:pPr>
            <w:r w:rsidRPr="001C4FC1">
              <w:rPr>
                <w:rFonts w:ascii="Arial Narrow" w:hAnsi="Arial Narrow"/>
                <w:b/>
                <w:sz w:val="20"/>
                <w:szCs w:val="20"/>
              </w:rPr>
              <w:t>2025</w:t>
            </w:r>
          </w:p>
        </w:tc>
        <w:tc>
          <w:tcPr>
            <w:tcW w:w="993" w:type="dxa"/>
            <w:tcBorders>
              <w:top w:val="single" w:sz="4" w:space="0" w:color="auto"/>
              <w:left w:val="nil"/>
              <w:bottom w:val="single" w:sz="4" w:space="0" w:color="auto"/>
              <w:right w:val="nil"/>
            </w:tcBorders>
            <w:vAlign w:val="center"/>
          </w:tcPr>
          <w:p w14:paraId="44CAED25" w14:textId="77777777" w:rsidR="00CB362F" w:rsidRPr="001C4FC1" w:rsidRDefault="00CB362F" w:rsidP="000161BC">
            <w:pPr>
              <w:jc w:val="center"/>
              <w:rPr>
                <w:rFonts w:ascii="Arial Narrow" w:hAnsi="Arial Narrow"/>
                <w:b/>
                <w:sz w:val="20"/>
                <w:szCs w:val="20"/>
              </w:rPr>
            </w:pPr>
            <w:r w:rsidRPr="001C4FC1">
              <w:rPr>
                <w:rFonts w:ascii="Arial Narrow" w:hAnsi="Arial Narrow"/>
                <w:b/>
                <w:sz w:val="20"/>
                <w:szCs w:val="20"/>
              </w:rPr>
              <w:t>2026</w:t>
            </w:r>
          </w:p>
        </w:tc>
        <w:tc>
          <w:tcPr>
            <w:tcW w:w="1115" w:type="dxa"/>
            <w:tcBorders>
              <w:top w:val="single" w:sz="4" w:space="0" w:color="auto"/>
              <w:left w:val="nil"/>
              <w:bottom w:val="single" w:sz="4" w:space="0" w:color="auto"/>
              <w:right w:val="nil"/>
            </w:tcBorders>
            <w:vAlign w:val="center"/>
          </w:tcPr>
          <w:p w14:paraId="37F87A76" w14:textId="77777777" w:rsidR="00CB362F" w:rsidRPr="001C4FC1" w:rsidRDefault="00CB362F" w:rsidP="000161BC">
            <w:pPr>
              <w:jc w:val="center"/>
              <w:rPr>
                <w:rFonts w:ascii="Arial Narrow" w:hAnsi="Arial Narrow"/>
                <w:b/>
                <w:sz w:val="20"/>
                <w:szCs w:val="20"/>
              </w:rPr>
            </w:pPr>
            <w:r w:rsidRPr="001C4FC1">
              <w:rPr>
                <w:rFonts w:ascii="Arial Narrow" w:hAnsi="Arial Narrow"/>
                <w:b/>
                <w:sz w:val="20"/>
                <w:szCs w:val="20"/>
              </w:rPr>
              <w:t>2027</w:t>
            </w:r>
          </w:p>
        </w:tc>
        <w:tc>
          <w:tcPr>
            <w:tcW w:w="1289" w:type="dxa"/>
            <w:tcBorders>
              <w:top w:val="single" w:sz="4" w:space="0" w:color="auto"/>
              <w:left w:val="nil"/>
              <w:bottom w:val="single" w:sz="4" w:space="0" w:color="auto"/>
              <w:right w:val="nil"/>
            </w:tcBorders>
            <w:vAlign w:val="center"/>
          </w:tcPr>
          <w:p w14:paraId="527EC86C" w14:textId="77777777" w:rsidR="00CB362F" w:rsidRPr="001C4FC1" w:rsidRDefault="00CB362F" w:rsidP="000161BC">
            <w:pPr>
              <w:jc w:val="center"/>
              <w:rPr>
                <w:rFonts w:ascii="Arial Narrow" w:hAnsi="Arial Narrow"/>
                <w:b/>
                <w:sz w:val="20"/>
                <w:szCs w:val="20"/>
              </w:rPr>
            </w:pPr>
            <w:r w:rsidRPr="001C4FC1">
              <w:rPr>
                <w:rFonts w:ascii="Arial Narrow" w:hAnsi="Arial Narrow"/>
                <w:b/>
                <w:sz w:val="20"/>
                <w:szCs w:val="20"/>
              </w:rPr>
              <w:t>2028</w:t>
            </w:r>
          </w:p>
        </w:tc>
      </w:tr>
      <w:tr w:rsidR="00EC223A" w:rsidRPr="001C4FC1" w14:paraId="13BFE176" w14:textId="77777777" w:rsidTr="000161BC">
        <w:trPr>
          <w:trHeight w:val="255"/>
        </w:trPr>
        <w:tc>
          <w:tcPr>
            <w:tcW w:w="2972" w:type="dxa"/>
            <w:tcBorders>
              <w:top w:val="single" w:sz="4" w:space="0" w:color="auto"/>
              <w:left w:val="nil"/>
              <w:bottom w:val="single" w:sz="4" w:space="0" w:color="auto"/>
              <w:right w:val="nil"/>
            </w:tcBorders>
            <w:vAlign w:val="center"/>
          </w:tcPr>
          <w:p w14:paraId="5DD3F8AA" w14:textId="77777777" w:rsidR="00EC223A" w:rsidRPr="001C4FC1" w:rsidRDefault="00EC223A" w:rsidP="00EC223A">
            <w:pPr>
              <w:rPr>
                <w:rFonts w:ascii="Arial Narrow" w:hAnsi="Arial Narrow"/>
                <w:b/>
                <w:sz w:val="20"/>
                <w:szCs w:val="20"/>
              </w:rPr>
            </w:pPr>
            <w:r w:rsidRPr="001C4FC1">
              <w:rPr>
                <w:rFonts w:ascii="Arial Narrow" w:hAnsi="Arial Narrow"/>
                <w:b/>
                <w:sz w:val="20"/>
                <w:szCs w:val="20"/>
              </w:rPr>
              <w:t>Konsolidačné opatrenia spolu</w:t>
            </w:r>
          </w:p>
        </w:tc>
        <w:tc>
          <w:tcPr>
            <w:tcW w:w="1418" w:type="dxa"/>
            <w:tcBorders>
              <w:top w:val="single" w:sz="4" w:space="0" w:color="auto"/>
              <w:left w:val="nil"/>
              <w:bottom w:val="single" w:sz="4" w:space="0" w:color="auto"/>
              <w:right w:val="nil"/>
            </w:tcBorders>
          </w:tcPr>
          <w:p w14:paraId="27F777A9" w14:textId="7C689E9A" w:rsidR="00EC223A" w:rsidRPr="001C4FC1" w:rsidRDefault="00EC223A" w:rsidP="00EC223A">
            <w:pPr>
              <w:jc w:val="center"/>
              <w:rPr>
                <w:rFonts w:ascii="Arial Narrow" w:hAnsi="Arial Narrow"/>
                <w:b/>
                <w:sz w:val="20"/>
                <w:szCs w:val="20"/>
              </w:rPr>
            </w:pPr>
            <w:r w:rsidRPr="00EC223A">
              <w:rPr>
                <w:rFonts w:ascii="Arial Narrow" w:hAnsi="Arial Narrow"/>
                <w:b/>
                <w:sz w:val="20"/>
                <w:szCs w:val="20"/>
              </w:rPr>
              <w:t>1509</w:t>
            </w:r>
          </w:p>
        </w:tc>
        <w:tc>
          <w:tcPr>
            <w:tcW w:w="1275" w:type="dxa"/>
            <w:tcBorders>
              <w:top w:val="single" w:sz="4" w:space="0" w:color="auto"/>
              <w:left w:val="nil"/>
              <w:bottom w:val="single" w:sz="4" w:space="0" w:color="auto"/>
              <w:right w:val="nil"/>
            </w:tcBorders>
          </w:tcPr>
          <w:p w14:paraId="5BB6696E" w14:textId="1E8B3A01" w:rsidR="00EC223A" w:rsidRPr="001C4FC1" w:rsidRDefault="00EC223A" w:rsidP="00EC223A">
            <w:pPr>
              <w:jc w:val="center"/>
              <w:rPr>
                <w:rFonts w:ascii="Arial Narrow" w:hAnsi="Arial Narrow"/>
                <w:b/>
                <w:sz w:val="20"/>
                <w:szCs w:val="20"/>
              </w:rPr>
            </w:pPr>
            <w:r w:rsidRPr="00EC223A">
              <w:rPr>
                <w:rFonts w:ascii="Arial Narrow" w:hAnsi="Arial Narrow"/>
                <w:b/>
                <w:sz w:val="20"/>
                <w:szCs w:val="20"/>
              </w:rPr>
              <w:t>3785</w:t>
            </w:r>
          </w:p>
        </w:tc>
        <w:tc>
          <w:tcPr>
            <w:tcW w:w="993" w:type="dxa"/>
            <w:tcBorders>
              <w:top w:val="single" w:sz="4" w:space="0" w:color="auto"/>
              <w:left w:val="nil"/>
              <w:bottom w:val="single" w:sz="4" w:space="0" w:color="auto"/>
              <w:right w:val="nil"/>
            </w:tcBorders>
          </w:tcPr>
          <w:p w14:paraId="7FF79565" w14:textId="667D573E" w:rsidR="00EC223A" w:rsidRPr="001C4FC1" w:rsidRDefault="00EC223A" w:rsidP="00EC223A">
            <w:pPr>
              <w:jc w:val="center"/>
              <w:rPr>
                <w:rFonts w:ascii="Arial Narrow" w:hAnsi="Arial Narrow"/>
                <w:b/>
                <w:sz w:val="20"/>
                <w:szCs w:val="20"/>
              </w:rPr>
            </w:pPr>
            <w:r w:rsidRPr="00EC223A">
              <w:rPr>
                <w:rFonts w:ascii="Arial Narrow" w:hAnsi="Arial Narrow"/>
                <w:b/>
                <w:sz w:val="20"/>
                <w:szCs w:val="20"/>
              </w:rPr>
              <w:t>6325</w:t>
            </w:r>
          </w:p>
        </w:tc>
        <w:tc>
          <w:tcPr>
            <w:tcW w:w="1115" w:type="dxa"/>
            <w:tcBorders>
              <w:top w:val="single" w:sz="4" w:space="0" w:color="auto"/>
              <w:left w:val="nil"/>
              <w:bottom w:val="single" w:sz="4" w:space="0" w:color="auto"/>
              <w:right w:val="nil"/>
            </w:tcBorders>
          </w:tcPr>
          <w:p w14:paraId="582B4E3C" w14:textId="2AFECC76" w:rsidR="00EC223A" w:rsidRPr="001C4FC1" w:rsidRDefault="00EC223A" w:rsidP="00EC223A">
            <w:pPr>
              <w:jc w:val="center"/>
              <w:rPr>
                <w:rFonts w:ascii="Arial Narrow" w:hAnsi="Arial Narrow"/>
                <w:b/>
                <w:sz w:val="20"/>
                <w:szCs w:val="20"/>
              </w:rPr>
            </w:pPr>
            <w:r w:rsidRPr="00EC223A">
              <w:rPr>
                <w:rFonts w:ascii="Arial Narrow" w:hAnsi="Arial Narrow"/>
                <w:b/>
                <w:sz w:val="20"/>
                <w:szCs w:val="20"/>
              </w:rPr>
              <w:t>6427</w:t>
            </w:r>
          </w:p>
        </w:tc>
        <w:tc>
          <w:tcPr>
            <w:tcW w:w="1289" w:type="dxa"/>
            <w:tcBorders>
              <w:top w:val="single" w:sz="4" w:space="0" w:color="auto"/>
              <w:left w:val="nil"/>
              <w:bottom w:val="single" w:sz="4" w:space="0" w:color="auto"/>
              <w:right w:val="nil"/>
            </w:tcBorders>
          </w:tcPr>
          <w:p w14:paraId="10652818" w14:textId="0D172817" w:rsidR="00EC223A" w:rsidRPr="001C4FC1" w:rsidRDefault="00EC223A" w:rsidP="00EC223A">
            <w:pPr>
              <w:jc w:val="center"/>
              <w:rPr>
                <w:rFonts w:ascii="Arial Narrow" w:hAnsi="Arial Narrow"/>
                <w:b/>
                <w:sz w:val="20"/>
                <w:szCs w:val="20"/>
              </w:rPr>
            </w:pPr>
            <w:r w:rsidRPr="00EC223A">
              <w:rPr>
                <w:rFonts w:ascii="Arial Narrow" w:hAnsi="Arial Narrow"/>
                <w:b/>
                <w:sz w:val="20"/>
                <w:szCs w:val="20"/>
              </w:rPr>
              <w:t>6262</w:t>
            </w:r>
          </w:p>
        </w:tc>
      </w:tr>
      <w:tr w:rsidR="00EC223A" w:rsidRPr="001C4FC1" w14:paraId="4B38810D" w14:textId="77777777" w:rsidTr="000161BC">
        <w:trPr>
          <w:trHeight w:val="255"/>
        </w:trPr>
        <w:tc>
          <w:tcPr>
            <w:tcW w:w="2972" w:type="dxa"/>
            <w:tcBorders>
              <w:top w:val="single" w:sz="4" w:space="0" w:color="auto"/>
              <w:left w:val="nil"/>
              <w:bottom w:val="nil"/>
              <w:right w:val="nil"/>
            </w:tcBorders>
            <w:vAlign w:val="center"/>
          </w:tcPr>
          <w:p w14:paraId="43391CF2" w14:textId="77777777" w:rsidR="00EC223A" w:rsidRPr="001C4FC1" w:rsidRDefault="00EC223A" w:rsidP="00EC223A">
            <w:pPr>
              <w:rPr>
                <w:rFonts w:ascii="Arial Narrow" w:hAnsi="Arial Narrow"/>
                <w:bCs/>
                <w:sz w:val="20"/>
                <w:szCs w:val="20"/>
              </w:rPr>
            </w:pPr>
            <w:r w:rsidRPr="001C4FC1">
              <w:rPr>
                <w:rFonts w:ascii="Arial Narrow" w:hAnsi="Arial Narrow"/>
                <w:bCs/>
                <w:sz w:val="20"/>
                <w:szCs w:val="20"/>
              </w:rPr>
              <w:t>1. Konsolidačný balík</w:t>
            </w:r>
          </w:p>
        </w:tc>
        <w:tc>
          <w:tcPr>
            <w:tcW w:w="1418" w:type="dxa"/>
            <w:tcBorders>
              <w:top w:val="single" w:sz="4" w:space="0" w:color="auto"/>
              <w:left w:val="nil"/>
              <w:bottom w:val="nil"/>
              <w:right w:val="nil"/>
            </w:tcBorders>
          </w:tcPr>
          <w:p w14:paraId="011848C8" w14:textId="0BF6E4CC" w:rsidR="00EC223A" w:rsidRPr="00EC223A" w:rsidRDefault="00EC223A" w:rsidP="00EC223A">
            <w:pPr>
              <w:jc w:val="center"/>
              <w:rPr>
                <w:rFonts w:ascii="Arial Narrow" w:hAnsi="Arial Narrow"/>
                <w:bCs/>
                <w:sz w:val="20"/>
                <w:szCs w:val="20"/>
              </w:rPr>
            </w:pPr>
            <w:r w:rsidRPr="00EC223A">
              <w:rPr>
                <w:rFonts w:ascii="Arial Narrow" w:hAnsi="Arial Narrow"/>
                <w:bCs/>
                <w:sz w:val="20"/>
                <w:szCs w:val="20"/>
              </w:rPr>
              <w:t>1509</w:t>
            </w:r>
          </w:p>
        </w:tc>
        <w:tc>
          <w:tcPr>
            <w:tcW w:w="1275" w:type="dxa"/>
            <w:tcBorders>
              <w:top w:val="single" w:sz="4" w:space="0" w:color="auto"/>
              <w:left w:val="nil"/>
              <w:bottom w:val="nil"/>
              <w:right w:val="nil"/>
            </w:tcBorders>
          </w:tcPr>
          <w:p w14:paraId="1BACE478" w14:textId="2E9F51A5" w:rsidR="00EC223A" w:rsidRPr="00EC223A" w:rsidRDefault="00EC223A" w:rsidP="00EC223A">
            <w:pPr>
              <w:jc w:val="center"/>
              <w:rPr>
                <w:rFonts w:ascii="Arial Narrow" w:hAnsi="Arial Narrow"/>
                <w:bCs/>
                <w:sz w:val="20"/>
                <w:szCs w:val="20"/>
              </w:rPr>
            </w:pPr>
            <w:r w:rsidRPr="00EC223A">
              <w:rPr>
                <w:rFonts w:ascii="Arial Narrow" w:hAnsi="Arial Narrow"/>
                <w:bCs/>
                <w:sz w:val="20"/>
                <w:szCs w:val="20"/>
              </w:rPr>
              <w:t>1580</w:t>
            </w:r>
          </w:p>
        </w:tc>
        <w:tc>
          <w:tcPr>
            <w:tcW w:w="993" w:type="dxa"/>
            <w:tcBorders>
              <w:top w:val="single" w:sz="4" w:space="0" w:color="auto"/>
              <w:left w:val="nil"/>
              <w:bottom w:val="nil"/>
              <w:right w:val="nil"/>
            </w:tcBorders>
          </w:tcPr>
          <w:p w14:paraId="52C591D5" w14:textId="351683DD" w:rsidR="00EC223A" w:rsidRPr="00EC223A" w:rsidRDefault="00EC223A" w:rsidP="00EC223A">
            <w:pPr>
              <w:jc w:val="center"/>
              <w:rPr>
                <w:rFonts w:ascii="Arial Narrow" w:hAnsi="Arial Narrow"/>
                <w:bCs/>
                <w:sz w:val="20"/>
                <w:szCs w:val="20"/>
              </w:rPr>
            </w:pPr>
            <w:r w:rsidRPr="00EC223A">
              <w:rPr>
                <w:rFonts w:ascii="Arial Narrow" w:hAnsi="Arial Narrow"/>
                <w:bCs/>
                <w:sz w:val="20"/>
                <w:szCs w:val="20"/>
              </w:rPr>
              <w:t>1611</w:t>
            </w:r>
          </w:p>
        </w:tc>
        <w:tc>
          <w:tcPr>
            <w:tcW w:w="1115" w:type="dxa"/>
            <w:tcBorders>
              <w:top w:val="single" w:sz="4" w:space="0" w:color="auto"/>
              <w:left w:val="nil"/>
              <w:bottom w:val="nil"/>
              <w:right w:val="nil"/>
            </w:tcBorders>
          </w:tcPr>
          <w:p w14:paraId="00786D3D" w14:textId="55C529A5" w:rsidR="00EC223A" w:rsidRPr="00EC223A" w:rsidRDefault="00EC223A" w:rsidP="00EC223A">
            <w:pPr>
              <w:jc w:val="center"/>
              <w:rPr>
                <w:rFonts w:ascii="Arial Narrow" w:hAnsi="Arial Narrow"/>
                <w:bCs/>
                <w:sz w:val="20"/>
                <w:szCs w:val="20"/>
              </w:rPr>
            </w:pPr>
            <w:r w:rsidRPr="00EC223A">
              <w:rPr>
                <w:rFonts w:ascii="Arial Narrow" w:hAnsi="Arial Narrow"/>
                <w:bCs/>
                <w:sz w:val="20"/>
                <w:szCs w:val="20"/>
              </w:rPr>
              <w:t>1643</w:t>
            </w:r>
          </w:p>
        </w:tc>
        <w:tc>
          <w:tcPr>
            <w:tcW w:w="1289" w:type="dxa"/>
            <w:tcBorders>
              <w:top w:val="single" w:sz="4" w:space="0" w:color="auto"/>
              <w:left w:val="nil"/>
              <w:bottom w:val="nil"/>
              <w:right w:val="nil"/>
            </w:tcBorders>
          </w:tcPr>
          <w:p w14:paraId="270378A8" w14:textId="09F49F7D" w:rsidR="00EC223A" w:rsidRPr="001C4FC1" w:rsidRDefault="00EC223A" w:rsidP="00EC223A">
            <w:pPr>
              <w:jc w:val="center"/>
              <w:rPr>
                <w:rFonts w:ascii="Arial Narrow" w:hAnsi="Arial Narrow"/>
                <w:b/>
                <w:sz w:val="20"/>
                <w:szCs w:val="20"/>
              </w:rPr>
            </w:pPr>
            <w:r w:rsidRPr="00EC223A">
              <w:rPr>
                <w:rFonts w:ascii="Arial Narrow" w:hAnsi="Arial Narrow"/>
                <w:b/>
                <w:sz w:val="20"/>
                <w:szCs w:val="20"/>
              </w:rPr>
              <w:t>1200</w:t>
            </w:r>
          </w:p>
        </w:tc>
      </w:tr>
      <w:tr w:rsidR="00EC223A" w:rsidRPr="001C4FC1" w14:paraId="1B7B4590" w14:textId="77777777" w:rsidTr="00ED54FC">
        <w:trPr>
          <w:trHeight w:val="255"/>
        </w:trPr>
        <w:tc>
          <w:tcPr>
            <w:tcW w:w="2972" w:type="dxa"/>
            <w:tcBorders>
              <w:top w:val="nil"/>
              <w:left w:val="nil"/>
              <w:bottom w:val="nil"/>
              <w:right w:val="nil"/>
            </w:tcBorders>
            <w:vAlign w:val="center"/>
          </w:tcPr>
          <w:p w14:paraId="51BBA1A8" w14:textId="77777777" w:rsidR="00EC223A" w:rsidRPr="001C4FC1" w:rsidRDefault="00EC223A" w:rsidP="00EC223A">
            <w:pPr>
              <w:rPr>
                <w:rFonts w:ascii="Arial Narrow" w:hAnsi="Arial Narrow"/>
                <w:bCs/>
                <w:sz w:val="20"/>
                <w:szCs w:val="20"/>
              </w:rPr>
            </w:pPr>
            <w:r w:rsidRPr="001C4FC1">
              <w:rPr>
                <w:rFonts w:ascii="Arial Narrow" w:hAnsi="Arial Narrow"/>
                <w:bCs/>
                <w:sz w:val="20"/>
                <w:szCs w:val="20"/>
              </w:rPr>
              <w:t>2. Konsolidačný balík</w:t>
            </w:r>
          </w:p>
        </w:tc>
        <w:tc>
          <w:tcPr>
            <w:tcW w:w="1418" w:type="dxa"/>
            <w:tcBorders>
              <w:top w:val="nil"/>
              <w:left w:val="nil"/>
              <w:bottom w:val="nil"/>
              <w:right w:val="nil"/>
            </w:tcBorders>
          </w:tcPr>
          <w:p w14:paraId="26358898" w14:textId="2939BBF8" w:rsidR="00EC223A" w:rsidRPr="00EC223A" w:rsidRDefault="00EC223A" w:rsidP="00EC223A">
            <w:pPr>
              <w:jc w:val="center"/>
              <w:rPr>
                <w:rFonts w:ascii="Arial Narrow" w:hAnsi="Arial Narrow"/>
                <w:bCs/>
                <w:sz w:val="20"/>
                <w:szCs w:val="20"/>
              </w:rPr>
            </w:pPr>
            <w:r w:rsidRPr="00EC223A">
              <w:rPr>
                <w:rFonts w:ascii="Arial Narrow" w:hAnsi="Arial Narrow"/>
                <w:bCs/>
                <w:sz w:val="20"/>
                <w:szCs w:val="20"/>
              </w:rPr>
              <w:t>0</w:t>
            </w:r>
          </w:p>
        </w:tc>
        <w:tc>
          <w:tcPr>
            <w:tcW w:w="1275" w:type="dxa"/>
            <w:tcBorders>
              <w:top w:val="nil"/>
              <w:left w:val="nil"/>
              <w:bottom w:val="nil"/>
              <w:right w:val="nil"/>
            </w:tcBorders>
          </w:tcPr>
          <w:p w14:paraId="6EC5EB89" w14:textId="68F7661A" w:rsidR="00EC223A" w:rsidRPr="00EC223A" w:rsidRDefault="00EC223A" w:rsidP="00EC223A">
            <w:pPr>
              <w:jc w:val="center"/>
              <w:rPr>
                <w:rFonts w:ascii="Arial Narrow" w:hAnsi="Arial Narrow"/>
                <w:bCs/>
                <w:sz w:val="20"/>
                <w:szCs w:val="20"/>
              </w:rPr>
            </w:pPr>
            <w:r w:rsidRPr="00EC223A">
              <w:rPr>
                <w:rFonts w:ascii="Arial Narrow" w:hAnsi="Arial Narrow"/>
                <w:bCs/>
                <w:sz w:val="20"/>
                <w:szCs w:val="20"/>
              </w:rPr>
              <w:t>2205</w:t>
            </w:r>
          </w:p>
        </w:tc>
        <w:tc>
          <w:tcPr>
            <w:tcW w:w="993" w:type="dxa"/>
            <w:tcBorders>
              <w:top w:val="nil"/>
              <w:left w:val="nil"/>
              <w:bottom w:val="nil"/>
              <w:right w:val="nil"/>
            </w:tcBorders>
          </w:tcPr>
          <w:p w14:paraId="39E9C913" w14:textId="188FAA20" w:rsidR="00EC223A" w:rsidRPr="00EC223A" w:rsidRDefault="00EC223A" w:rsidP="00EC223A">
            <w:pPr>
              <w:jc w:val="center"/>
              <w:rPr>
                <w:rFonts w:ascii="Arial Narrow" w:hAnsi="Arial Narrow"/>
                <w:bCs/>
                <w:sz w:val="20"/>
                <w:szCs w:val="20"/>
              </w:rPr>
            </w:pPr>
            <w:r w:rsidRPr="00EC223A">
              <w:rPr>
                <w:rFonts w:ascii="Arial Narrow" w:hAnsi="Arial Narrow"/>
                <w:bCs/>
                <w:sz w:val="20"/>
                <w:szCs w:val="20"/>
              </w:rPr>
              <w:t>2409</w:t>
            </w:r>
          </w:p>
        </w:tc>
        <w:tc>
          <w:tcPr>
            <w:tcW w:w="1115" w:type="dxa"/>
            <w:tcBorders>
              <w:top w:val="nil"/>
              <w:left w:val="nil"/>
              <w:bottom w:val="nil"/>
              <w:right w:val="nil"/>
            </w:tcBorders>
          </w:tcPr>
          <w:p w14:paraId="58D3C3BB" w14:textId="37806089" w:rsidR="00EC223A" w:rsidRPr="00EC223A" w:rsidRDefault="00EC223A" w:rsidP="00EC223A">
            <w:pPr>
              <w:jc w:val="center"/>
              <w:rPr>
                <w:rFonts w:ascii="Arial Narrow" w:hAnsi="Arial Narrow"/>
                <w:bCs/>
                <w:sz w:val="20"/>
                <w:szCs w:val="20"/>
              </w:rPr>
            </w:pPr>
            <w:r w:rsidRPr="00EC223A">
              <w:rPr>
                <w:rFonts w:ascii="Arial Narrow" w:hAnsi="Arial Narrow"/>
                <w:bCs/>
                <w:sz w:val="20"/>
                <w:szCs w:val="20"/>
              </w:rPr>
              <w:t>2498</w:t>
            </w:r>
          </w:p>
        </w:tc>
        <w:tc>
          <w:tcPr>
            <w:tcW w:w="1289" w:type="dxa"/>
            <w:tcBorders>
              <w:top w:val="nil"/>
              <w:left w:val="nil"/>
              <w:bottom w:val="nil"/>
              <w:right w:val="nil"/>
            </w:tcBorders>
          </w:tcPr>
          <w:p w14:paraId="4F08B101" w14:textId="6150BDA4" w:rsidR="00EC223A" w:rsidRPr="001C4FC1" w:rsidRDefault="00EC223A" w:rsidP="00EC223A">
            <w:pPr>
              <w:jc w:val="center"/>
              <w:rPr>
                <w:rFonts w:ascii="Arial Narrow" w:hAnsi="Arial Narrow"/>
                <w:b/>
                <w:sz w:val="20"/>
                <w:szCs w:val="20"/>
              </w:rPr>
            </w:pPr>
            <w:r w:rsidRPr="00EC223A">
              <w:rPr>
                <w:rFonts w:ascii="Arial Narrow" w:hAnsi="Arial Narrow"/>
                <w:b/>
                <w:sz w:val="20"/>
                <w:szCs w:val="20"/>
              </w:rPr>
              <w:t>2677</w:t>
            </w:r>
          </w:p>
        </w:tc>
      </w:tr>
      <w:tr w:rsidR="00EC223A" w:rsidRPr="001C4FC1" w14:paraId="1BE81268" w14:textId="77777777" w:rsidTr="00ED54FC">
        <w:trPr>
          <w:trHeight w:val="255"/>
        </w:trPr>
        <w:tc>
          <w:tcPr>
            <w:tcW w:w="2972" w:type="dxa"/>
            <w:tcBorders>
              <w:top w:val="nil"/>
              <w:left w:val="nil"/>
              <w:bottom w:val="single" w:sz="4" w:space="0" w:color="auto"/>
              <w:right w:val="nil"/>
            </w:tcBorders>
            <w:vAlign w:val="center"/>
          </w:tcPr>
          <w:p w14:paraId="632862C0" w14:textId="77777777" w:rsidR="00EC223A" w:rsidRPr="001C4FC1" w:rsidRDefault="00EC223A" w:rsidP="00EC223A">
            <w:pPr>
              <w:rPr>
                <w:rFonts w:ascii="Arial Narrow" w:hAnsi="Arial Narrow"/>
                <w:bCs/>
                <w:sz w:val="20"/>
                <w:szCs w:val="20"/>
              </w:rPr>
            </w:pPr>
            <w:r w:rsidRPr="001C4FC1">
              <w:rPr>
                <w:rFonts w:ascii="Arial Narrow" w:hAnsi="Arial Narrow"/>
                <w:bCs/>
                <w:sz w:val="20"/>
                <w:szCs w:val="20"/>
              </w:rPr>
              <w:t>3. Konsolidačný balík</w:t>
            </w:r>
          </w:p>
        </w:tc>
        <w:tc>
          <w:tcPr>
            <w:tcW w:w="1418" w:type="dxa"/>
            <w:tcBorders>
              <w:top w:val="nil"/>
              <w:left w:val="nil"/>
              <w:bottom w:val="single" w:sz="4" w:space="0" w:color="auto"/>
              <w:right w:val="nil"/>
            </w:tcBorders>
          </w:tcPr>
          <w:p w14:paraId="1F615DDB" w14:textId="0F603B0F" w:rsidR="00EC223A" w:rsidRPr="00EC223A" w:rsidRDefault="00EC223A" w:rsidP="00EC223A">
            <w:pPr>
              <w:jc w:val="center"/>
              <w:rPr>
                <w:rFonts w:ascii="Arial Narrow" w:hAnsi="Arial Narrow"/>
                <w:bCs/>
                <w:sz w:val="20"/>
                <w:szCs w:val="20"/>
              </w:rPr>
            </w:pPr>
            <w:r w:rsidRPr="00EC223A">
              <w:rPr>
                <w:rFonts w:ascii="Arial Narrow" w:hAnsi="Arial Narrow"/>
                <w:bCs/>
                <w:sz w:val="20"/>
                <w:szCs w:val="20"/>
              </w:rPr>
              <w:t>0</w:t>
            </w:r>
          </w:p>
        </w:tc>
        <w:tc>
          <w:tcPr>
            <w:tcW w:w="1275" w:type="dxa"/>
            <w:tcBorders>
              <w:top w:val="nil"/>
              <w:left w:val="nil"/>
              <w:bottom w:val="single" w:sz="4" w:space="0" w:color="auto"/>
              <w:right w:val="nil"/>
            </w:tcBorders>
          </w:tcPr>
          <w:p w14:paraId="755A68EE" w14:textId="4D8771A9" w:rsidR="00EC223A" w:rsidRPr="00EC223A" w:rsidRDefault="00EC223A" w:rsidP="00EC223A">
            <w:pPr>
              <w:jc w:val="center"/>
              <w:rPr>
                <w:rFonts w:ascii="Arial Narrow" w:hAnsi="Arial Narrow"/>
                <w:bCs/>
                <w:sz w:val="20"/>
                <w:szCs w:val="20"/>
              </w:rPr>
            </w:pPr>
            <w:r w:rsidRPr="00EC223A">
              <w:rPr>
                <w:rFonts w:ascii="Arial Narrow" w:hAnsi="Arial Narrow"/>
                <w:bCs/>
                <w:sz w:val="20"/>
                <w:szCs w:val="20"/>
              </w:rPr>
              <w:t>0</w:t>
            </w:r>
          </w:p>
        </w:tc>
        <w:tc>
          <w:tcPr>
            <w:tcW w:w="993" w:type="dxa"/>
            <w:tcBorders>
              <w:top w:val="nil"/>
              <w:left w:val="nil"/>
              <w:bottom w:val="single" w:sz="4" w:space="0" w:color="auto"/>
              <w:right w:val="nil"/>
            </w:tcBorders>
          </w:tcPr>
          <w:p w14:paraId="28787284" w14:textId="523B40E1" w:rsidR="00EC223A" w:rsidRPr="00EC223A" w:rsidRDefault="00EC223A" w:rsidP="00EC223A">
            <w:pPr>
              <w:jc w:val="center"/>
              <w:rPr>
                <w:rFonts w:ascii="Arial Narrow" w:hAnsi="Arial Narrow"/>
                <w:bCs/>
                <w:sz w:val="20"/>
                <w:szCs w:val="20"/>
              </w:rPr>
            </w:pPr>
            <w:r w:rsidRPr="00EC223A">
              <w:rPr>
                <w:rFonts w:ascii="Arial Narrow" w:hAnsi="Arial Narrow"/>
                <w:bCs/>
                <w:sz w:val="20"/>
                <w:szCs w:val="20"/>
              </w:rPr>
              <w:t>2304</w:t>
            </w:r>
          </w:p>
        </w:tc>
        <w:tc>
          <w:tcPr>
            <w:tcW w:w="1115" w:type="dxa"/>
            <w:tcBorders>
              <w:top w:val="nil"/>
              <w:left w:val="nil"/>
              <w:bottom w:val="single" w:sz="4" w:space="0" w:color="auto"/>
              <w:right w:val="nil"/>
            </w:tcBorders>
          </w:tcPr>
          <w:p w14:paraId="2FCDF5C4" w14:textId="72E031DE" w:rsidR="00EC223A" w:rsidRPr="00EC223A" w:rsidRDefault="00EC223A" w:rsidP="00EC223A">
            <w:pPr>
              <w:jc w:val="center"/>
              <w:rPr>
                <w:rFonts w:ascii="Arial Narrow" w:hAnsi="Arial Narrow"/>
                <w:bCs/>
                <w:sz w:val="20"/>
                <w:szCs w:val="20"/>
              </w:rPr>
            </w:pPr>
            <w:r w:rsidRPr="00EC223A">
              <w:rPr>
                <w:rFonts w:ascii="Arial Narrow" w:hAnsi="Arial Narrow"/>
                <w:bCs/>
                <w:sz w:val="20"/>
                <w:szCs w:val="20"/>
              </w:rPr>
              <w:t>2286</w:t>
            </w:r>
          </w:p>
        </w:tc>
        <w:tc>
          <w:tcPr>
            <w:tcW w:w="1289" w:type="dxa"/>
            <w:tcBorders>
              <w:top w:val="nil"/>
              <w:left w:val="nil"/>
              <w:bottom w:val="single" w:sz="4" w:space="0" w:color="auto"/>
              <w:right w:val="nil"/>
            </w:tcBorders>
          </w:tcPr>
          <w:p w14:paraId="0B5A2271" w14:textId="1B67CB0D" w:rsidR="00EC223A" w:rsidRPr="001C4FC1" w:rsidRDefault="00EC223A" w:rsidP="00EC223A">
            <w:pPr>
              <w:tabs>
                <w:tab w:val="left" w:pos="615"/>
                <w:tab w:val="left" w:pos="855"/>
              </w:tabs>
              <w:jc w:val="center"/>
              <w:rPr>
                <w:rFonts w:ascii="Arial Narrow" w:hAnsi="Arial Narrow"/>
                <w:b/>
                <w:sz w:val="20"/>
                <w:szCs w:val="20"/>
              </w:rPr>
            </w:pPr>
            <w:r w:rsidRPr="00EC223A">
              <w:rPr>
                <w:rFonts w:ascii="Arial Narrow" w:hAnsi="Arial Narrow"/>
                <w:b/>
                <w:sz w:val="20"/>
                <w:szCs w:val="20"/>
              </w:rPr>
              <w:t>2385</w:t>
            </w:r>
          </w:p>
        </w:tc>
      </w:tr>
      <w:tr w:rsidR="00EC223A" w:rsidRPr="001C4FC1" w14:paraId="68628AA3" w14:textId="77777777" w:rsidTr="00ED54FC">
        <w:trPr>
          <w:trHeight w:val="255"/>
        </w:trPr>
        <w:tc>
          <w:tcPr>
            <w:tcW w:w="2972" w:type="dxa"/>
            <w:tcBorders>
              <w:top w:val="single" w:sz="4" w:space="0" w:color="auto"/>
              <w:left w:val="nil"/>
              <w:bottom w:val="single" w:sz="4" w:space="0" w:color="auto"/>
              <w:right w:val="nil"/>
            </w:tcBorders>
            <w:vAlign w:val="center"/>
          </w:tcPr>
          <w:p w14:paraId="62EFB260" w14:textId="5F53BD93" w:rsidR="00EC223A" w:rsidRPr="00C40877" w:rsidRDefault="00EC223A" w:rsidP="00EC223A">
            <w:pPr>
              <w:rPr>
                <w:rFonts w:ascii="Arial Narrow" w:hAnsi="Arial Narrow"/>
                <w:b/>
                <w:sz w:val="20"/>
                <w:szCs w:val="20"/>
              </w:rPr>
            </w:pPr>
            <w:r w:rsidRPr="00C40877">
              <w:rPr>
                <w:rFonts w:ascii="Arial Narrow" w:hAnsi="Arial Narrow"/>
                <w:b/>
                <w:sz w:val="20"/>
                <w:szCs w:val="20"/>
              </w:rPr>
              <w:t>Spolu v % HDP</w:t>
            </w:r>
          </w:p>
        </w:tc>
        <w:tc>
          <w:tcPr>
            <w:tcW w:w="1418" w:type="dxa"/>
            <w:tcBorders>
              <w:top w:val="single" w:sz="4" w:space="0" w:color="auto"/>
              <w:left w:val="nil"/>
              <w:bottom w:val="single" w:sz="4" w:space="0" w:color="auto"/>
              <w:right w:val="nil"/>
            </w:tcBorders>
          </w:tcPr>
          <w:p w14:paraId="209AE5BE" w14:textId="77777777" w:rsidR="00EC223A" w:rsidRPr="00C40877" w:rsidRDefault="00EC223A" w:rsidP="00EC223A">
            <w:pPr>
              <w:jc w:val="center"/>
              <w:rPr>
                <w:rFonts w:ascii="Arial Narrow" w:hAnsi="Arial Narrow"/>
                <w:b/>
                <w:sz w:val="20"/>
                <w:szCs w:val="20"/>
              </w:rPr>
            </w:pPr>
          </w:p>
        </w:tc>
        <w:tc>
          <w:tcPr>
            <w:tcW w:w="1275" w:type="dxa"/>
            <w:tcBorders>
              <w:top w:val="single" w:sz="4" w:space="0" w:color="auto"/>
              <w:left w:val="nil"/>
              <w:bottom w:val="single" w:sz="4" w:space="0" w:color="auto"/>
              <w:right w:val="nil"/>
            </w:tcBorders>
          </w:tcPr>
          <w:p w14:paraId="716C6DD5" w14:textId="77777777" w:rsidR="00EC223A" w:rsidRPr="00C40877" w:rsidRDefault="00EC223A" w:rsidP="00EC223A">
            <w:pPr>
              <w:jc w:val="center"/>
              <w:rPr>
                <w:rFonts w:ascii="Arial Narrow" w:hAnsi="Arial Narrow"/>
                <w:b/>
                <w:sz w:val="20"/>
                <w:szCs w:val="20"/>
              </w:rPr>
            </w:pPr>
          </w:p>
        </w:tc>
        <w:tc>
          <w:tcPr>
            <w:tcW w:w="993" w:type="dxa"/>
            <w:tcBorders>
              <w:top w:val="single" w:sz="4" w:space="0" w:color="auto"/>
              <w:left w:val="nil"/>
              <w:bottom w:val="single" w:sz="4" w:space="0" w:color="auto"/>
              <w:right w:val="nil"/>
            </w:tcBorders>
          </w:tcPr>
          <w:p w14:paraId="67BE6CFA" w14:textId="77777777" w:rsidR="00EC223A" w:rsidRPr="00C40877" w:rsidRDefault="00EC223A" w:rsidP="00EC223A">
            <w:pPr>
              <w:jc w:val="center"/>
              <w:rPr>
                <w:rFonts w:ascii="Arial Narrow" w:hAnsi="Arial Narrow"/>
                <w:b/>
                <w:sz w:val="20"/>
                <w:szCs w:val="20"/>
              </w:rPr>
            </w:pPr>
          </w:p>
        </w:tc>
        <w:tc>
          <w:tcPr>
            <w:tcW w:w="1115" w:type="dxa"/>
            <w:tcBorders>
              <w:top w:val="single" w:sz="4" w:space="0" w:color="auto"/>
              <w:left w:val="nil"/>
              <w:bottom w:val="single" w:sz="4" w:space="0" w:color="auto"/>
              <w:right w:val="nil"/>
            </w:tcBorders>
          </w:tcPr>
          <w:p w14:paraId="0F67A28B" w14:textId="77777777" w:rsidR="00EC223A" w:rsidRPr="00C40877" w:rsidRDefault="00EC223A" w:rsidP="00EC223A">
            <w:pPr>
              <w:jc w:val="center"/>
              <w:rPr>
                <w:rFonts w:ascii="Arial Narrow" w:hAnsi="Arial Narrow"/>
                <w:b/>
                <w:sz w:val="20"/>
                <w:szCs w:val="20"/>
              </w:rPr>
            </w:pPr>
          </w:p>
        </w:tc>
        <w:tc>
          <w:tcPr>
            <w:tcW w:w="1289" w:type="dxa"/>
            <w:tcBorders>
              <w:top w:val="single" w:sz="4" w:space="0" w:color="auto"/>
              <w:left w:val="nil"/>
              <w:bottom w:val="single" w:sz="4" w:space="0" w:color="auto"/>
              <w:right w:val="nil"/>
            </w:tcBorders>
          </w:tcPr>
          <w:p w14:paraId="15D35B4E" w14:textId="22560F7C" w:rsidR="00EC223A" w:rsidRPr="00C40877" w:rsidRDefault="00EC223A" w:rsidP="00EC223A">
            <w:pPr>
              <w:tabs>
                <w:tab w:val="left" w:pos="615"/>
                <w:tab w:val="left" w:pos="855"/>
              </w:tabs>
              <w:jc w:val="center"/>
              <w:rPr>
                <w:rFonts w:ascii="Arial Narrow" w:hAnsi="Arial Narrow"/>
                <w:b/>
                <w:sz w:val="20"/>
                <w:szCs w:val="20"/>
              </w:rPr>
            </w:pPr>
            <w:r w:rsidRPr="00EC223A">
              <w:rPr>
                <w:rFonts w:ascii="Arial Narrow" w:hAnsi="Arial Narrow"/>
                <w:b/>
                <w:sz w:val="20"/>
                <w:szCs w:val="20"/>
              </w:rPr>
              <w:t>4,0</w:t>
            </w:r>
          </w:p>
        </w:tc>
      </w:tr>
    </w:tbl>
    <w:p w14:paraId="1C1EAAF6" w14:textId="77777777" w:rsidR="00EC223A" w:rsidRDefault="00CB362F" w:rsidP="00EC223A">
      <w:pPr>
        <w:spacing w:after="0" w:line="240" w:lineRule="auto"/>
        <w:rPr>
          <w:rFonts w:ascii="Arial Narrow" w:hAnsi="Arial Narrow"/>
          <w:bCs/>
          <w:i/>
          <w:iCs/>
          <w:sz w:val="16"/>
          <w:szCs w:val="16"/>
        </w:rPr>
      </w:pPr>
      <w:r w:rsidRPr="001C4FC1">
        <w:rPr>
          <w:rFonts w:ascii="Arial Narrow" w:hAnsi="Arial Narrow"/>
          <w:bCs/>
          <w:i/>
          <w:iCs/>
          <w:sz w:val="16"/>
          <w:szCs w:val="16"/>
        </w:rPr>
        <w:t>Detailnejší pohľad na jednotlivé opatrenia je k dispozícii v DEM a DRM tabuľkách v prílohe.</w:t>
      </w:r>
    </w:p>
    <w:p w14:paraId="3116F2F4" w14:textId="50DA800E" w:rsidR="00CB362F" w:rsidRPr="001C4FC1" w:rsidRDefault="00EC223A" w:rsidP="00EC223A">
      <w:pPr>
        <w:spacing w:after="0" w:line="240" w:lineRule="auto"/>
        <w:rPr>
          <w:rFonts w:ascii="Arial Narrow" w:hAnsi="Arial Narrow"/>
          <w:bCs/>
          <w:i/>
          <w:iCs/>
          <w:sz w:val="16"/>
          <w:szCs w:val="16"/>
        </w:rPr>
      </w:pPr>
      <w:r w:rsidRPr="00EC223A">
        <w:rPr>
          <w:rFonts w:ascii="Arial Narrow" w:hAnsi="Arial Narrow"/>
          <w:bCs/>
          <w:i/>
          <w:iCs/>
          <w:sz w:val="16"/>
          <w:szCs w:val="16"/>
        </w:rPr>
        <w:t>Konečné hodnoty sú spres</w:t>
      </w:r>
      <w:r>
        <w:rPr>
          <w:rFonts w:ascii="Arial Narrow" w:hAnsi="Arial Narrow"/>
          <w:bCs/>
          <w:i/>
          <w:iCs/>
          <w:sz w:val="16"/>
          <w:szCs w:val="16"/>
        </w:rPr>
        <w:t>ne</w:t>
      </w:r>
      <w:r w:rsidRPr="00EC223A">
        <w:rPr>
          <w:rFonts w:ascii="Arial Narrow" w:hAnsi="Arial Narrow"/>
          <w:bCs/>
          <w:i/>
          <w:iCs/>
          <w:sz w:val="16"/>
          <w:szCs w:val="16"/>
        </w:rPr>
        <w:t>né aj o neskoršie legislatívne prijímané úpravy niektorých príjmových opatrení.</w:t>
      </w:r>
      <w:r w:rsidR="00CB362F" w:rsidRPr="001C4FC1">
        <w:rPr>
          <w:rFonts w:ascii="Arial Narrow" w:hAnsi="Arial Narrow"/>
          <w:bCs/>
          <w:i/>
          <w:iCs/>
          <w:sz w:val="16"/>
          <w:szCs w:val="16"/>
        </w:rPr>
        <w:tab/>
      </w:r>
      <w:r w:rsidR="00CB362F" w:rsidRPr="001C4FC1">
        <w:rPr>
          <w:rFonts w:ascii="Arial Narrow" w:hAnsi="Arial Narrow"/>
          <w:bCs/>
          <w:i/>
          <w:iCs/>
          <w:sz w:val="16"/>
          <w:szCs w:val="16"/>
        </w:rPr>
        <w:tab/>
      </w:r>
      <w:r>
        <w:rPr>
          <w:rFonts w:ascii="Arial Narrow" w:hAnsi="Arial Narrow"/>
          <w:bCs/>
          <w:i/>
          <w:iCs/>
          <w:sz w:val="16"/>
          <w:szCs w:val="16"/>
        </w:rPr>
        <w:tab/>
        <w:t xml:space="preserve">            </w:t>
      </w:r>
      <w:r w:rsidR="00CB362F" w:rsidRPr="001C4FC1">
        <w:rPr>
          <w:rFonts w:ascii="Arial Narrow" w:hAnsi="Arial Narrow"/>
          <w:bCs/>
          <w:i/>
          <w:iCs/>
          <w:sz w:val="16"/>
          <w:szCs w:val="16"/>
        </w:rPr>
        <w:t>Zdroj: MF SR</w:t>
      </w:r>
    </w:p>
    <w:p w14:paraId="7DF2D4FB" w14:textId="67E18A4E" w:rsidR="00577C32" w:rsidRPr="001C4FC1" w:rsidRDefault="00D9527E" w:rsidP="00577C32">
      <w:r w:rsidRPr="001C4FC1">
        <w:br w:type="page"/>
      </w:r>
    </w:p>
    <w:p w14:paraId="5B92F966" w14:textId="77777777" w:rsidR="00D9527E" w:rsidRPr="001C4FC1" w:rsidRDefault="00D9527E" w:rsidP="00D9527E">
      <w:pPr>
        <w:pStyle w:val="ifphl1"/>
      </w:pPr>
      <w:bookmarkStart w:id="37" w:name="_Toc228177460"/>
      <w:r w:rsidRPr="001C4FC1">
        <w:rPr>
          <w:color w:val="2C9ADC"/>
        </w:rPr>
        <w:lastRenderedPageBreak/>
        <w:t>Fiškálny výhľad do ROKU 2028</w:t>
      </w:r>
      <w:bookmarkEnd w:id="37"/>
    </w:p>
    <w:p w14:paraId="3076A0E3" w14:textId="5B03F9CD" w:rsidR="00D9527E" w:rsidRPr="001C4FC1" w:rsidRDefault="00D9527E" w:rsidP="00D9527E">
      <w:pPr>
        <w:pStyle w:val="ifpperex"/>
        <w:rPr>
          <w:highlight w:val="yellow"/>
        </w:rPr>
      </w:pPr>
      <w:r w:rsidRPr="001C4FC1">
        <w:t xml:space="preserve">Vzhľadom na výrazné zväčšenie neistoty spojenej s externým prostredím, vláda reviduje nahor svoje ciele deficitu hospodárenia, avšak tak aby naďalej došlo k stabilizácii verejných financií. Na budúci rok sa cieli schodok na úrovni 4,2 % HDP, teda mierne nižšej úrovni oproti súčasnému roku. Na udržanie tohto cieľa však bude potrebné kompenzovať viaceré negatívne vplyvy zvyšujúce schodok, na ktoré vláda nemá úplne priamy vplyv. Ide najmä o zvyšujúce sa úrokové náklady, ako aj zvýšené obranné výdavky z dôvodu dodávky väčšieho množstva obrannej techniky. Rozpočet je pod tlakom aj kvôli starnutiu populácie, čo zvyšuje sociálne a zdravotné výdavky. Prípadné schválenie plánovaných pro-rastových opatrení rovnako zvýši potrebu konsolidačných opatrení. Revidované ciele aj naďalej plne rešpektujú európske rozpočtové </w:t>
      </w:r>
      <w:r w:rsidRPr="003E0341">
        <w:t>pravidlá</w:t>
      </w:r>
      <w:r w:rsidR="001E7206">
        <w:t>.</w:t>
      </w:r>
      <w:r w:rsidRPr="003E0341">
        <w:t xml:space="preserve"> Po naplnení cieľov by sa rast dlhu mohol v roku 2028 pohybovať výraznejšie pod hranicou 70 % HDP. Stabilizácia a následný</w:t>
      </w:r>
      <w:r w:rsidRPr="001C4FC1">
        <w:t xml:space="preserve"> pokles dlhu si tak vyžiada pokračovanie v konsolidácii aj v ďalšom volebnom období po roku 2028. </w:t>
      </w:r>
    </w:p>
    <w:p w14:paraId="5206EE58" w14:textId="77777777" w:rsidR="00D9527E" w:rsidRPr="001C4FC1" w:rsidRDefault="00D9527E" w:rsidP="00D9527E">
      <w:pPr>
        <w:pStyle w:val="ifpzhl2"/>
        <w:numPr>
          <w:ilvl w:val="1"/>
          <w:numId w:val="3"/>
        </w:numPr>
        <w:tabs>
          <w:tab w:val="num" w:pos="360"/>
        </w:tabs>
        <w:rPr>
          <w:color w:val="2C9ADC"/>
        </w:rPr>
      </w:pPr>
      <w:bookmarkStart w:id="38" w:name="_Toc228177461"/>
      <w:r w:rsidRPr="001C4FC1">
        <w:rPr>
          <w:color w:val="2C9ADC"/>
        </w:rPr>
        <w:t>Saldo hospodárenia verejnej správy a súlad s povoleným rastom čistých výdavkov</w:t>
      </w:r>
      <w:bookmarkEnd w:id="38"/>
    </w:p>
    <w:p w14:paraId="6EF2838D" w14:textId="333879DE" w:rsidR="00D9527E" w:rsidRPr="001C4FC1" w:rsidRDefault="00D9527E" w:rsidP="00D9527E">
      <w:pPr>
        <w:spacing w:before="240"/>
        <w:jc w:val="both"/>
        <w:rPr>
          <w:rFonts w:ascii="Arial Narrow" w:hAnsi="Arial Narrow"/>
        </w:rPr>
      </w:pPr>
      <w:r w:rsidRPr="001C4FC1">
        <w:rPr>
          <w:rFonts w:ascii="Arial Narrow" w:hAnsi="Arial Narrow"/>
          <w:b/>
          <w:bCs/>
        </w:rPr>
        <w:t>Vláda reviduje ciele ako reakciu na pomalší rast</w:t>
      </w:r>
      <w:r w:rsidR="00C24D1A">
        <w:rPr>
          <w:rFonts w:ascii="Arial Narrow" w:hAnsi="Arial Narrow"/>
          <w:b/>
          <w:bCs/>
        </w:rPr>
        <w:t xml:space="preserve"> z titulu externého prostredia</w:t>
      </w:r>
      <w:r w:rsidRPr="001C4FC1">
        <w:rPr>
          <w:rFonts w:ascii="Arial Narrow" w:hAnsi="Arial Narrow"/>
          <w:b/>
          <w:bCs/>
        </w:rPr>
        <w:t>, geopolitickú neistotu</w:t>
      </w:r>
      <w:r w:rsidR="00C24D1A">
        <w:rPr>
          <w:rFonts w:ascii="Arial Narrow" w:hAnsi="Arial Narrow"/>
          <w:b/>
          <w:bCs/>
        </w:rPr>
        <w:t>, tlak na konkurencieschopnosť EÚ</w:t>
      </w:r>
      <w:r w:rsidRPr="001C4FC1">
        <w:rPr>
          <w:rFonts w:ascii="Arial Narrow" w:hAnsi="Arial Narrow"/>
          <w:b/>
          <w:bCs/>
        </w:rPr>
        <w:t xml:space="preserve"> a politický cykl</w:t>
      </w:r>
      <w:r w:rsidRPr="00754984">
        <w:rPr>
          <w:rFonts w:ascii="Arial Narrow" w:hAnsi="Arial Narrow"/>
          <w:b/>
          <w:bCs/>
        </w:rPr>
        <w:t>us</w:t>
      </w:r>
      <w:r w:rsidRPr="00754984">
        <w:rPr>
          <w:rFonts w:ascii="Arial Narrow" w:hAnsi="Arial Narrow"/>
        </w:rPr>
        <w:t xml:space="preserve">. </w:t>
      </w:r>
      <w:r w:rsidRPr="001C4FC1">
        <w:rPr>
          <w:rFonts w:ascii="Arial Narrow" w:hAnsi="Arial Narrow"/>
        </w:rPr>
        <w:t>V strednodobom pláne sa očakával postupný pokles deficitu k 3 % HDP do roku 2027, vedúci k</w:t>
      </w:r>
      <w:r w:rsidR="003612B3">
        <w:rPr>
          <w:rFonts w:ascii="Arial Narrow" w:hAnsi="Arial Narrow"/>
        </w:rPr>
        <w:t xml:space="preserve"> plánu </w:t>
      </w:r>
      <w:r w:rsidR="00EC62E2">
        <w:rPr>
          <w:rFonts w:ascii="Arial Narrow" w:hAnsi="Arial Narrow"/>
        </w:rPr>
        <w:t>zastaviť</w:t>
      </w:r>
      <w:r w:rsidR="003612B3">
        <w:rPr>
          <w:rFonts w:ascii="Arial Narrow" w:hAnsi="Arial Narrow"/>
        </w:rPr>
        <w:t xml:space="preserve"> rast dlhu</w:t>
      </w:r>
      <w:r w:rsidRPr="001C4FC1">
        <w:rPr>
          <w:rFonts w:ascii="Arial Narrow" w:hAnsi="Arial Narrow"/>
        </w:rPr>
        <w:t>. Takto stanovené ciele boli ambicióznejšie ako deficity zodpovedajúce stanovenej trajektórii rastu čistých výdavkov. Makroekonomické prostredie sa od jesene 2024, kedy bol strednodobý plán publikovaný</w:t>
      </w:r>
      <w:r w:rsidR="00EC62E2">
        <w:rPr>
          <w:rFonts w:ascii="Arial Narrow" w:hAnsi="Arial Narrow"/>
        </w:rPr>
        <w:t>,</w:t>
      </w:r>
      <w:r w:rsidRPr="001C4FC1">
        <w:rPr>
          <w:rFonts w:ascii="Arial Narrow" w:hAnsi="Arial Narrow"/>
        </w:rPr>
        <w:t xml:space="preserve"> značne zhoršilo, čo viedlo k výrazným výpadkom v daňových príjmoch. Preto boli ciele</w:t>
      </w:r>
      <w:r w:rsidR="009F5FF5">
        <w:rPr>
          <w:rFonts w:ascii="Arial Narrow" w:hAnsi="Arial Narrow"/>
        </w:rPr>
        <w:t xml:space="preserve"> deficitov</w:t>
      </w:r>
      <w:r w:rsidRPr="001C4FC1">
        <w:rPr>
          <w:rFonts w:ascii="Arial Narrow" w:hAnsi="Arial Narrow"/>
        </w:rPr>
        <w:t xml:space="preserve"> </w:t>
      </w:r>
      <w:r w:rsidR="00756E7B">
        <w:rPr>
          <w:rFonts w:ascii="Arial Narrow" w:hAnsi="Arial Narrow"/>
        </w:rPr>
        <w:t>postupne revidované</w:t>
      </w:r>
      <w:r w:rsidR="009F5FF5">
        <w:rPr>
          <w:rFonts w:ascii="Arial Narrow" w:hAnsi="Arial Narrow"/>
        </w:rPr>
        <w:t xml:space="preserve"> nahor</w:t>
      </w:r>
      <w:r w:rsidR="00F721C7">
        <w:rPr>
          <w:rFonts w:ascii="Arial Narrow" w:hAnsi="Arial Narrow"/>
        </w:rPr>
        <w:t xml:space="preserve"> v záujme </w:t>
      </w:r>
      <w:r w:rsidR="00581EBB">
        <w:rPr>
          <w:rFonts w:ascii="Arial Narrow" w:hAnsi="Arial Narrow"/>
        </w:rPr>
        <w:t>cielenia proti</w:t>
      </w:r>
      <w:r w:rsidR="009F5FF5">
        <w:rPr>
          <w:rFonts w:ascii="Arial Narrow" w:hAnsi="Arial Narrow"/>
        </w:rPr>
        <w:t>-</w:t>
      </w:r>
      <w:r w:rsidR="00581EBB">
        <w:rPr>
          <w:rFonts w:ascii="Arial Narrow" w:hAnsi="Arial Narrow"/>
        </w:rPr>
        <w:t>cyklickej rozpočtovej politiky</w:t>
      </w:r>
      <w:r w:rsidRPr="001C4FC1">
        <w:rPr>
          <w:rFonts w:ascii="Arial Narrow" w:hAnsi="Arial Narrow"/>
        </w:rPr>
        <w:t xml:space="preserve">. Makroekonomickú neistotu </w:t>
      </w:r>
      <w:r w:rsidR="001530D9">
        <w:rPr>
          <w:rFonts w:ascii="Arial Narrow" w:hAnsi="Arial Narrow"/>
        </w:rPr>
        <w:t>aktuálne</w:t>
      </w:r>
      <w:r w:rsidRPr="001C4FC1">
        <w:rPr>
          <w:rFonts w:ascii="Arial Narrow" w:hAnsi="Arial Narrow"/>
        </w:rPr>
        <w:t xml:space="preserve"> </w:t>
      </w:r>
      <w:r w:rsidR="00581EBB">
        <w:rPr>
          <w:rFonts w:ascii="Arial Narrow" w:hAnsi="Arial Narrow"/>
        </w:rPr>
        <w:t xml:space="preserve">dodatočne </w:t>
      </w:r>
      <w:r w:rsidRPr="001C4FC1">
        <w:rPr>
          <w:rFonts w:ascii="Arial Narrow" w:hAnsi="Arial Narrow"/>
        </w:rPr>
        <w:t>zvyšuje</w:t>
      </w:r>
      <w:r w:rsidR="009F5FF5">
        <w:rPr>
          <w:rFonts w:ascii="Arial Narrow" w:hAnsi="Arial Narrow"/>
        </w:rPr>
        <w:t xml:space="preserve"> aj</w:t>
      </w:r>
      <w:r w:rsidRPr="001C4FC1">
        <w:rPr>
          <w:rFonts w:ascii="Arial Narrow" w:hAnsi="Arial Narrow"/>
        </w:rPr>
        <w:t xml:space="preserve"> odohrávajúci sa konflikt v Iráne a blokáda Hormuzského prielivu, </w:t>
      </w:r>
      <w:r w:rsidR="001530D9">
        <w:rPr>
          <w:rFonts w:ascii="Arial Narrow" w:hAnsi="Arial Narrow"/>
        </w:rPr>
        <w:t>čo</w:t>
      </w:r>
      <w:r w:rsidRPr="001C4FC1">
        <w:rPr>
          <w:rFonts w:ascii="Arial Narrow" w:hAnsi="Arial Narrow"/>
        </w:rPr>
        <w:t xml:space="preserve"> môže zvýšiť </w:t>
      </w:r>
      <w:r w:rsidR="00C92214">
        <w:rPr>
          <w:rFonts w:ascii="Arial Narrow" w:hAnsi="Arial Narrow"/>
        </w:rPr>
        <w:t xml:space="preserve">odhad </w:t>
      </w:r>
      <w:r w:rsidRPr="001C4FC1">
        <w:rPr>
          <w:rFonts w:ascii="Arial Narrow" w:hAnsi="Arial Narrow"/>
        </w:rPr>
        <w:t>deficit</w:t>
      </w:r>
      <w:r w:rsidR="00C92214">
        <w:rPr>
          <w:rFonts w:ascii="Arial Narrow" w:hAnsi="Arial Narrow"/>
        </w:rPr>
        <w:t xml:space="preserve">u </w:t>
      </w:r>
      <w:r w:rsidR="00C92214" w:rsidRPr="001C4FC1">
        <w:rPr>
          <w:rFonts w:ascii="Arial Narrow" w:hAnsi="Arial Narrow"/>
        </w:rPr>
        <w:t>na rok 2027</w:t>
      </w:r>
      <w:r w:rsidR="00C92214">
        <w:rPr>
          <w:rFonts w:ascii="Arial Narrow" w:hAnsi="Arial Narrow"/>
        </w:rPr>
        <w:t xml:space="preserve"> bez reakcie vlády </w:t>
      </w:r>
      <w:r w:rsidRPr="001C4FC1">
        <w:rPr>
          <w:rFonts w:ascii="Arial Narrow" w:hAnsi="Arial Narrow"/>
        </w:rPr>
        <w:t xml:space="preserve"> </w:t>
      </w:r>
      <w:r w:rsidR="000610AC">
        <w:rPr>
          <w:rFonts w:ascii="Arial Narrow" w:hAnsi="Arial Narrow"/>
        </w:rPr>
        <w:t>až o 0,7 % HDP</w:t>
      </w:r>
      <w:r w:rsidRPr="001C4FC1">
        <w:rPr>
          <w:rStyle w:val="Odkaznapoznmkupodiarou"/>
          <w:rFonts w:ascii="Arial Narrow" w:hAnsi="Arial Narrow"/>
        </w:rPr>
        <w:footnoteReference w:id="14"/>
      </w:r>
      <w:r w:rsidRPr="001C4FC1">
        <w:rPr>
          <w:rFonts w:ascii="Arial Narrow" w:hAnsi="Arial Narrow"/>
        </w:rPr>
        <w:t>. Situáciu v</w:t>
      </w:r>
      <w:r w:rsidR="00C92214">
        <w:rPr>
          <w:rFonts w:ascii="Arial Narrow" w:hAnsi="Arial Narrow"/>
        </w:rPr>
        <w:t xml:space="preserve"> budúcom roku </w:t>
      </w:r>
      <w:r w:rsidR="00C24D1A">
        <w:rPr>
          <w:rFonts w:ascii="Arial Narrow" w:hAnsi="Arial Narrow"/>
        </w:rPr>
        <w:t>môže</w:t>
      </w:r>
      <w:r w:rsidR="00C24D1A" w:rsidRPr="001C4FC1">
        <w:rPr>
          <w:rFonts w:ascii="Arial Narrow" w:hAnsi="Arial Narrow"/>
        </w:rPr>
        <w:t xml:space="preserve"> ovplyvň</w:t>
      </w:r>
      <w:r w:rsidR="00C24D1A">
        <w:rPr>
          <w:rFonts w:ascii="Arial Narrow" w:hAnsi="Arial Narrow"/>
        </w:rPr>
        <w:t>ovať</w:t>
      </w:r>
      <w:r w:rsidR="00C24D1A" w:rsidRPr="001C4FC1">
        <w:rPr>
          <w:rFonts w:ascii="Arial Narrow" w:hAnsi="Arial Narrow"/>
        </w:rPr>
        <w:t xml:space="preserve"> </w:t>
      </w:r>
      <w:r w:rsidRPr="001C4FC1">
        <w:rPr>
          <w:rFonts w:ascii="Arial Narrow" w:hAnsi="Arial Narrow"/>
        </w:rPr>
        <w:t>aj politick</w:t>
      </w:r>
      <w:r w:rsidR="00C92214">
        <w:rPr>
          <w:rFonts w:ascii="Arial Narrow" w:hAnsi="Arial Narrow"/>
        </w:rPr>
        <w:t>ý</w:t>
      </w:r>
      <w:r w:rsidRPr="001C4FC1">
        <w:rPr>
          <w:rFonts w:ascii="Arial Narrow" w:hAnsi="Arial Narrow"/>
        </w:rPr>
        <w:t xml:space="preserve"> cyklus. Vláda už avizovala opatrenia na podporu ekonomického rastu, zatiaľ v neurčenom objeme. Deficity hospodárenia sa preto na ďalšie roky revidujú</w:t>
      </w:r>
      <w:r w:rsidR="004B6246">
        <w:rPr>
          <w:rFonts w:ascii="Arial Narrow" w:hAnsi="Arial Narrow"/>
        </w:rPr>
        <w:t xml:space="preserve"> nahor, avšak </w:t>
      </w:r>
      <w:r w:rsidRPr="001C4FC1">
        <w:rPr>
          <w:rFonts w:ascii="Arial Narrow" w:hAnsi="Arial Narrow"/>
        </w:rPr>
        <w:t xml:space="preserve">tak, aby </w:t>
      </w:r>
      <w:r w:rsidR="001530D9">
        <w:rPr>
          <w:rFonts w:ascii="Arial Narrow" w:hAnsi="Arial Narrow"/>
        </w:rPr>
        <w:t>deficit rozpočtu medziročne naďalej klesal</w:t>
      </w:r>
      <w:r w:rsidRPr="001C4FC1">
        <w:rPr>
          <w:rFonts w:ascii="Arial Narrow" w:hAnsi="Arial Narrow"/>
        </w:rPr>
        <w:t xml:space="preserve">. </w:t>
      </w:r>
      <w:r w:rsidR="00D9219F">
        <w:rPr>
          <w:rFonts w:ascii="Arial Narrow" w:hAnsi="Arial Narrow"/>
        </w:rPr>
        <w:t xml:space="preserve">Pre </w:t>
      </w:r>
      <w:r w:rsidR="003F45B1">
        <w:rPr>
          <w:rFonts w:ascii="Arial Narrow" w:hAnsi="Arial Narrow"/>
        </w:rPr>
        <w:t>roky</w:t>
      </w:r>
      <w:r w:rsidR="00D9219F">
        <w:rPr>
          <w:rFonts w:ascii="Arial Narrow" w:hAnsi="Arial Narrow"/>
        </w:rPr>
        <w:t xml:space="preserve"> </w:t>
      </w:r>
      <w:r w:rsidR="003F45B1">
        <w:rPr>
          <w:rFonts w:ascii="Arial Narrow" w:hAnsi="Arial Narrow"/>
        </w:rPr>
        <w:t>2027 a 2028</w:t>
      </w:r>
      <w:r w:rsidR="00D9219F">
        <w:rPr>
          <w:rFonts w:ascii="Arial Narrow" w:hAnsi="Arial Narrow"/>
        </w:rPr>
        <w:t xml:space="preserve"> sa preto </w:t>
      </w:r>
      <w:r w:rsidR="003F45B1">
        <w:rPr>
          <w:rFonts w:ascii="Arial Narrow" w:hAnsi="Arial Narrow"/>
        </w:rPr>
        <w:t>plánuje</w:t>
      </w:r>
      <w:r w:rsidR="00D9219F">
        <w:rPr>
          <w:rFonts w:ascii="Arial Narrow" w:hAnsi="Arial Narrow"/>
        </w:rPr>
        <w:t xml:space="preserve"> pokles schodku o 0,1 p.b. </w:t>
      </w:r>
      <w:r w:rsidRPr="001C4FC1">
        <w:rPr>
          <w:rFonts w:ascii="Arial Narrow" w:hAnsi="Arial Narrow"/>
        </w:rPr>
        <w:t xml:space="preserve">Takto upravené ciele </w:t>
      </w:r>
      <w:r w:rsidR="00D9219F">
        <w:rPr>
          <w:rFonts w:ascii="Arial Narrow" w:hAnsi="Arial Narrow"/>
        </w:rPr>
        <w:t>naďalej plne</w:t>
      </w:r>
      <w:r w:rsidRPr="001C4FC1">
        <w:rPr>
          <w:rFonts w:ascii="Arial Narrow" w:hAnsi="Arial Narrow"/>
        </w:rPr>
        <w:t xml:space="preserve"> rešpektujú európske rozpočtové pravidlá (</w:t>
      </w:r>
      <w:r w:rsidRPr="001C4FC1">
        <w:rPr>
          <w:rFonts w:ascii="Arial Narrow" w:hAnsi="Arial Narrow"/>
          <w:b/>
          <w:bCs/>
          <w:color w:val="2C9ADC"/>
        </w:rPr>
        <w:t>GRAF 10 a 11</w:t>
      </w:r>
      <w:r w:rsidRPr="001C4FC1">
        <w:rPr>
          <w:rFonts w:ascii="Arial Narrow" w:hAnsi="Arial Narrow"/>
        </w:rPr>
        <w:t>)</w:t>
      </w:r>
      <w:r w:rsidRPr="001C4FC1">
        <w:rPr>
          <w:rStyle w:val="Odkaznapoznmkupodiarou"/>
          <w:rFonts w:ascii="Arial Narrow" w:hAnsi="Arial Narrow"/>
        </w:rPr>
        <w:footnoteReference w:id="15"/>
      </w:r>
      <w:r w:rsidRPr="001C4FC1">
        <w:rPr>
          <w:rFonts w:ascii="Arial Narrow" w:hAnsi="Arial Narrow"/>
        </w:rPr>
        <w:t>.</w:t>
      </w:r>
    </w:p>
    <w:tbl>
      <w:tblPr>
        <w:tblpPr w:leftFromText="141" w:rightFromText="141" w:vertAnchor="text" w:horzAnchor="margin" w:tblpY="61"/>
        <w:tblOverlap w:val="neve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1E0" w:firstRow="1" w:lastRow="1" w:firstColumn="1" w:lastColumn="1" w:noHBand="0" w:noVBand="0"/>
      </w:tblPr>
      <w:tblGrid>
        <w:gridCol w:w="4452"/>
        <w:gridCol w:w="146"/>
        <w:gridCol w:w="4474"/>
      </w:tblGrid>
      <w:tr w:rsidR="00D9527E" w:rsidRPr="001C4FC1" w14:paraId="5A85004B" w14:textId="77777777" w:rsidTr="000161BC">
        <w:trPr>
          <w:trHeight w:val="339"/>
        </w:trPr>
        <w:tc>
          <w:tcPr>
            <w:tcW w:w="2664" w:type="pct"/>
            <w:tcBorders>
              <w:top w:val="nil"/>
              <w:left w:val="nil"/>
              <w:bottom w:val="single" w:sz="4" w:space="0" w:color="auto"/>
              <w:right w:val="nil"/>
            </w:tcBorders>
          </w:tcPr>
          <w:p w14:paraId="68ADB367" w14:textId="27897BB3" w:rsidR="00D9527E" w:rsidRPr="001C4FC1" w:rsidRDefault="00D9527E" w:rsidP="000161BC">
            <w:pPr>
              <w:widowControl w:val="0"/>
              <w:spacing w:before="40" w:after="40"/>
              <w:jc w:val="both"/>
              <w:rPr>
                <w:rFonts w:ascii="Arial Narrow" w:eastAsia="NeueHaasGroteskText W02" w:hAnsi="Arial Narrow" w:cs="Arial"/>
                <w:b/>
                <w:bCs/>
                <w:color w:val="2C9ADC"/>
                <w:sz w:val="20"/>
                <w:szCs w:val="20"/>
                <w:highlight w:val="yellow"/>
                <w:u w:color="2C9ADC"/>
              </w:rPr>
            </w:pPr>
            <w:bookmarkStart w:id="39" w:name="_Toc179301627"/>
            <w:bookmarkStart w:id="40" w:name="_Toc196311756"/>
            <w:bookmarkStart w:id="41" w:name="_Toc228283013"/>
            <w:r w:rsidRPr="001C4FC1">
              <w:rPr>
                <w:rFonts w:ascii="Arial Narrow" w:hAnsi="Arial Narrow" w:cs="Arial Narrow"/>
                <w:b/>
                <w:bCs/>
                <w:color w:val="2C9ADC"/>
                <w:sz w:val="20"/>
                <w:szCs w:val="20"/>
              </w:rPr>
              <w:t xml:space="preserve">GRAF </w:t>
            </w:r>
            <w:r w:rsidRPr="001C4FC1">
              <w:rPr>
                <w:rFonts w:ascii="Arial Narrow" w:hAnsi="Arial Narrow"/>
                <w:b/>
                <w:bCs/>
                <w:color w:val="2C9ADC"/>
                <w:sz w:val="20"/>
                <w:szCs w:val="20"/>
              </w:rPr>
              <w:fldChar w:fldCharType="begin"/>
            </w:r>
            <w:r w:rsidRPr="001C4FC1">
              <w:rPr>
                <w:rFonts w:ascii="Arial Narrow" w:hAnsi="Arial Narrow"/>
                <w:b/>
                <w:bCs/>
                <w:color w:val="2C9ADC"/>
                <w:sz w:val="20"/>
                <w:szCs w:val="20"/>
              </w:rPr>
              <w:instrText xml:space="preserve"> SEQ GRAF \* ARABIC </w:instrText>
            </w:r>
            <w:r w:rsidRPr="001C4FC1">
              <w:rPr>
                <w:rFonts w:ascii="Arial Narrow" w:hAnsi="Arial Narrow"/>
                <w:b/>
                <w:bCs/>
                <w:color w:val="2C9ADC"/>
                <w:sz w:val="20"/>
                <w:szCs w:val="20"/>
              </w:rPr>
              <w:fldChar w:fldCharType="separate"/>
            </w:r>
            <w:r w:rsidR="008765E2">
              <w:rPr>
                <w:rFonts w:ascii="Arial Narrow" w:hAnsi="Arial Narrow"/>
                <w:b/>
                <w:bCs/>
                <w:noProof/>
                <w:color w:val="2C9ADC"/>
                <w:sz w:val="20"/>
                <w:szCs w:val="20"/>
              </w:rPr>
              <w:t>10</w:t>
            </w:r>
            <w:r w:rsidRPr="001C4FC1">
              <w:rPr>
                <w:rFonts w:ascii="Arial Narrow" w:hAnsi="Arial Narrow"/>
                <w:b/>
                <w:bCs/>
                <w:color w:val="2C9ADC"/>
                <w:sz w:val="20"/>
                <w:szCs w:val="20"/>
              </w:rPr>
              <w:fldChar w:fldCharType="end"/>
            </w:r>
            <w:r w:rsidRPr="001C4FC1">
              <w:rPr>
                <w:rFonts w:ascii="Arial Narrow" w:hAnsi="Arial Narrow"/>
                <w:b/>
                <w:bCs/>
                <w:color w:val="2C9ADC"/>
                <w:sz w:val="20"/>
                <w:szCs w:val="20"/>
              </w:rPr>
              <w:t xml:space="preserve"> –</w:t>
            </w:r>
            <w:r w:rsidRPr="001C4FC1">
              <w:rPr>
                <w:rFonts w:ascii="Arial Narrow" w:eastAsia="NeueHaasGroteskText W02" w:hAnsi="Arial Narrow" w:cs="Arial"/>
                <w:b/>
                <w:bCs/>
                <w:color w:val="2C9ADC"/>
                <w:sz w:val="20"/>
                <w:szCs w:val="20"/>
                <w:u w:color="2C9ADC"/>
              </w:rPr>
              <w:t> Deficit verejnej správy (% HDP)</w:t>
            </w:r>
            <w:bookmarkEnd w:id="39"/>
            <w:bookmarkEnd w:id="40"/>
            <w:bookmarkEnd w:id="41"/>
          </w:p>
        </w:tc>
        <w:tc>
          <w:tcPr>
            <w:tcW w:w="80" w:type="pct"/>
            <w:tcBorders>
              <w:top w:val="nil"/>
              <w:left w:val="nil"/>
              <w:bottom w:val="nil"/>
              <w:right w:val="nil"/>
            </w:tcBorders>
          </w:tcPr>
          <w:p w14:paraId="6AC867EF" w14:textId="77777777" w:rsidR="00D9527E" w:rsidRPr="001C4FC1" w:rsidRDefault="00D9527E" w:rsidP="000161BC">
            <w:pPr>
              <w:widowControl w:val="0"/>
              <w:spacing w:before="60" w:after="60"/>
              <w:rPr>
                <w:rFonts w:ascii="Arial Narrow" w:hAnsi="Arial Narrow" w:cs="Arial"/>
                <w:b/>
                <w:bCs/>
                <w:color w:val="2C9ADC"/>
                <w:sz w:val="20"/>
                <w:szCs w:val="20"/>
                <w:highlight w:val="yellow"/>
              </w:rPr>
            </w:pPr>
          </w:p>
        </w:tc>
        <w:tc>
          <w:tcPr>
            <w:tcW w:w="2255" w:type="pct"/>
            <w:tcBorders>
              <w:top w:val="nil"/>
              <w:left w:val="nil"/>
              <w:bottom w:val="single" w:sz="4" w:space="0" w:color="auto"/>
              <w:right w:val="nil"/>
            </w:tcBorders>
          </w:tcPr>
          <w:p w14:paraId="25481CC9" w14:textId="0EEC69DD" w:rsidR="00D9527E" w:rsidRPr="001C4FC1" w:rsidRDefault="00D9527E" w:rsidP="000161BC">
            <w:pPr>
              <w:widowControl w:val="0"/>
              <w:spacing w:before="40" w:after="0"/>
              <w:jc w:val="both"/>
              <w:rPr>
                <w:rFonts w:ascii="Arial Narrow" w:hAnsi="Arial Narrow"/>
                <w:b/>
                <w:bCs/>
                <w:color w:val="2C9ADC"/>
                <w:sz w:val="20"/>
                <w:szCs w:val="20"/>
              </w:rPr>
            </w:pPr>
            <w:bookmarkStart w:id="42" w:name="_Toc179301628"/>
            <w:bookmarkStart w:id="43" w:name="_Toc196311757"/>
            <w:bookmarkStart w:id="44" w:name="_Toc228283014"/>
            <w:r w:rsidRPr="001C4FC1">
              <w:rPr>
                <w:rFonts w:ascii="Arial Narrow" w:hAnsi="Arial Narrow"/>
                <w:b/>
                <w:bCs/>
                <w:color w:val="2C9ADC"/>
                <w:sz w:val="20"/>
                <w:szCs w:val="20"/>
              </w:rPr>
              <w:t xml:space="preserve">GRAF </w:t>
            </w:r>
            <w:r w:rsidRPr="001C4FC1">
              <w:rPr>
                <w:rFonts w:ascii="Arial Narrow" w:hAnsi="Arial Narrow"/>
                <w:b/>
                <w:bCs/>
                <w:color w:val="2C9ADC"/>
                <w:sz w:val="20"/>
                <w:szCs w:val="20"/>
              </w:rPr>
              <w:fldChar w:fldCharType="begin"/>
            </w:r>
            <w:r w:rsidRPr="001C4FC1">
              <w:rPr>
                <w:rFonts w:ascii="Arial Narrow" w:hAnsi="Arial Narrow"/>
                <w:b/>
                <w:bCs/>
                <w:color w:val="2C9ADC"/>
                <w:sz w:val="20"/>
                <w:szCs w:val="20"/>
              </w:rPr>
              <w:instrText xml:space="preserve"> SEQ GRAF \* ARABIC </w:instrText>
            </w:r>
            <w:r w:rsidRPr="001C4FC1">
              <w:rPr>
                <w:rFonts w:ascii="Arial Narrow" w:hAnsi="Arial Narrow"/>
                <w:b/>
                <w:bCs/>
                <w:color w:val="2C9ADC"/>
                <w:sz w:val="20"/>
                <w:szCs w:val="20"/>
              </w:rPr>
              <w:fldChar w:fldCharType="separate"/>
            </w:r>
            <w:r w:rsidR="008765E2">
              <w:rPr>
                <w:rFonts w:ascii="Arial Narrow" w:hAnsi="Arial Narrow"/>
                <w:b/>
                <w:bCs/>
                <w:noProof/>
                <w:color w:val="2C9ADC"/>
                <w:sz w:val="20"/>
                <w:szCs w:val="20"/>
              </w:rPr>
              <w:t>11</w:t>
            </w:r>
            <w:r w:rsidRPr="001C4FC1">
              <w:rPr>
                <w:rFonts w:ascii="Arial Narrow" w:hAnsi="Arial Narrow"/>
                <w:b/>
                <w:bCs/>
                <w:color w:val="2C9ADC"/>
                <w:sz w:val="20"/>
                <w:szCs w:val="20"/>
              </w:rPr>
              <w:fldChar w:fldCharType="end"/>
            </w:r>
            <w:r w:rsidRPr="001C4FC1">
              <w:rPr>
                <w:rFonts w:ascii="Arial Narrow" w:hAnsi="Arial Narrow"/>
                <w:b/>
                <w:bCs/>
                <w:color w:val="2C9ADC"/>
                <w:sz w:val="20"/>
                <w:szCs w:val="20"/>
              </w:rPr>
              <w:t xml:space="preserve"> – Kumulatívny rast čistých výdavkov verejnej správy 2025-2028 pri splnení cieľov</w:t>
            </w:r>
            <w:bookmarkEnd w:id="42"/>
            <w:bookmarkEnd w:id="43"/>
            <w:r w:rsidRPr="001C4FC1">
              <w:rPr>
                <w:rFonts w:ascii="Arial Narrow" w:hAnsi="Arial Narrow"/>
                <w:b/>
                <w:bCs/>
                <w:color w:val="2C9ADC"/>
                <w:sz w:val="20"/>
                <w:szCs w:val="20"/>
              </w:rPr>
              <w:t xml:space="preserve"> (%)</w:t>
            </w:r>
            <w:bookmarkEnd w:id="44"/>
          </w:p>
        </w:tc>
      </w:tr>
      <w:tr w:rsidR="00D9527E" w:rsidRPr="001C4FC1" w14:paraId="1FC15E3D" w14:textId="77777777" w:rsidTr="000161BC">
        <w:trPr>
          <w:trHeight w:val="866"/>
        </w:trPr>
        <w:tc>
          <w:tcPr>
            <w:tcW w:w="2664" w:type="pct"/>
            <w:tcBorders>
              <w:top w:val="single" w:sz="4" w:space="0" w:color="auto"/>
              <w:left w:val="nil"/>
              <w:bottom w:val="single" w:sz="4" w:space="0" w:color="auto"/>
              <w:right w:val="nil"/>
            </w:tcBorders>
            <w:vAlign w:val="center"/>
          </w:tcPr>
          <w:p w14:paraId="3B691CB5" w14:textId="77777777" w:rsidR="00D9527E" w:rsidRPr="001C4FC1" w:rsidRDefault="00D9527E" w:rsidP="000161BC">
            <w:pPr>
              <w:widowControl w:val="0"/>
              <w:spacing w:before="40" w:after="40"/>
              <w:jc w:val="center"/>
              <w:rPr>
                <w:rFonts w:ascii="Arial Narrow" w:hAnsi="Arial Narrow" w:cs="Arial"/>
                <w:sz w:val="20"/>
                <w:szCs w:val="20"/>
                <w:highlight w:val="yellow"/>
              </w:rPr>
            </w:pPr>
            <w:r w:rsidRPr="001C4FC1">
              <w:rPr>
                <w:noProof/>
              </w:rPr>
              <w:drawing>
                <wp:inline distT="0" distB="0" distL="0" distR="0" wp14:anchorId="55092236" wp14:editId="160034BE">
                  <wp:extent cx="2881630" cy="2486228"/>
                  <wp:effectExtent l="0" t="0" r="0" b="0"/>
                  <wp:docPr id="1905753299" name="Graf 1">
                    <a:extLst xmlns:a="http://schemas.openxmlformats.org/drawingml/2006/main">
                      <a:ext uri="{FF2B5EF4-FFF2-40B4-BE49-F238E27FC236}">
                        <a16:creationId xmlns:a16="http://schemas.microsoft.com/office/drawing/2014/main" id="{52D0A895-0823-4829-9E03-B0C16D52D1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80" w:type="pct"/>
            <w:tcBorders>
              <w:top w:val="nil"/>
              <w:left w:val="nil"/>
              <w:bottom w:val="nil"/>
              <w:right w:val="nil"/>
            </w:tcBorders>
            <w:vAlign w:val="center"/>
          </w:tcPr>
          <w:p w14:paraId="4A7F0EF7" w14:textId="77777777" w:rsidR="00D9527E" w:rsidRPr="001C4FC1" w:rsidRDefault="00D9527E" w:rsidP="000161BC">
            <w:pPr>
              <w:widowControl w:val="0"/>
              <w:spacing w:before="40" w:after="40"/>
              <w:jc w:val="center"/>
              <w:rPr>
                <w:rFonts w:ascii="Arial Narrow" w:hAnsi="Arial Narrow" w:cs="Arial"/>
                <w:b/>
                <w:sz w:val="20"/>
                <w:szCs w:val="20"/>
                <w:highlight w:val="yellow"/>
              </w:rPr>
            </w:pPr>
          </w:p>
        </w:tc>
        <w:tc>
          <w:tcPr>
            <w:tcW w:w="2255" w:type="pct"/>
            <w:tcBorders>
              <w:top w:val="single" w:sz="4" w:space="0" w:color="auto"/>
              <w:left w:val="nil"/>
              <w:bottom w:val="single" w:sz="4" w:space="0" w:color="auto"/>
              <w:right w:val="nil"/>
            </w:tcBorders>
            <w:vAlign w:val="bottom"/>
          </w:tcPr>
          <w:p w14:paraId="076DF0F3" w14:textId="434CFC44" w:rsidR="00D9527E" w:rsidRPr="00F008F5" w:rsidRDefault="00056DEE" w:rsidP="000161BC">
            <w:pPr>
              <w:widowControl w:val="0"/>
              <w:spacing w:after="40"/>
              <w:rPr>
                <w:rFonts w:ascii="Arial Narrow" w:hAnsi="Arial Narrow" w:cs="Arial"/>
                <w:color w:val="FF0000"/>
                <w:sz w:val="20"/>
                <w:szCs w:val="20"/>
                <w:highlight w:val="yellow"/>
              </w:rPr>
            </w:pPr>
            <w:r>
              <w:rPr>
                <w:noProof/>
              </w:rPr>
              <w:drawing>
                <wp:inline distT="0" distB="0" distL="0" distR="0" wp14:anchorId="7B768E26" wp14:editId="478C7DEB">
                  <wp:extent cx="2893326" cy="2477068"/>
                  <wp:effectExtent l="0" t="0" r="2540" b="0"/>
                  <wp:docPr id="376138085" name="Graf 1">
                    <a:extLst xmlns:a="http://schemas.openxmlformats.org/drawingml/2006/main">
                      <a:ext uri="{FF2B5EF4-FFF2-40B4-BE49-F238E27FC236}">
                        <a16:creationId xmlns:a16="http://schemas.microsoft.com/office/drawing/2014/main" id="{E330F0DA-9266-4AA8-87AC-1DE8A8A1CA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D9527E" w:rsidRPr="001C4FC1" w14:paraId="0784165C" w14:textId="77777777" w:rsidTr="000161BC">
        <w:trPr>
          <w:trHeight w:val="108"/>
        </w:trPr>
        <w:tc>
          <w:tcPr>
            <w:tcW w:w="5000" w:type="pct"/>
            <w:gridSpan w:val="3"/>
            <w:tcBorders>
              <w:top w:val="single" w:sz="4" w:space="0" w:color="auto"/>
              <w:left w:val="nil"/>
              <w:bottom w:val="nil"/>
              <w:right w:val="nil"/>
            </w:tcBorders>
          </w:tcPr>
          <w:p w14:paraId="58491A55" w14:textId="77777777" w:rsidR="00D9527E" w:rsidRPr="001C4FC1" w:rsidRDefault="00D9527E" w:rsidP="000161BC">
            <w:pPr>
              <w:widowControl w:val="0"/>
              <w:spacing w:before="40" w:after="40"/>
              <w:jc w:val="right"/>
              <w:rPr>
                <w:rFonts w:ascii="Arial Narrow" w:hAnsi="Arial Narrow"/>
                <w:b/>
                <w:iCs/>
                <w:color w:val="000000"/>
                <w:sz w:val="16"/>
                <w:szCs w:val="16"/>
                <w:highlight w:val="yellow"/>
              </w:rPr>
            </w:pPr>
            <w:r w:rsidRPr="001C4FC1">
              <w:rPr>
                <w:rFonts w:ascii="Arial Narrow" w:hAnsi="Arial Narrow"/>
                <w:i/>
                <w:sz w:val="16"/>
                <w:szCs w:val="16"/>
              </w:rPr>
              <w:t>.                                                                                                                        Zdroj: MF SR</w:t>
            </w:r>
          </w:p>
        </w:tc>
      </w:tr>
    </w:tbl>
    <w:p w14:paraId="715A74FA" w14:textId="77777777" w:rsidR="00D9527E" w:rsidRPr="001C4FC1" w:rsidRDefault="00D9527E" w:rsidP="00D9527E">
      <w:pPr>
        <w:jc w:val="both"/>
        <w:rPr>
          <w:rFonts w:ascii="Arial Narrow" w:hAnsi="Arial Narrow"/>
          <w:highlight w:val="yellow"/>
        </w:rPr>
      </w:pPr>
    </w:p>
    <w:p w14:paraId="36468572" w14:textId="47270532" w:rsidR="00D9527E" w:rsidRPr="001C4FC1" w:rsidRDefault="00154FE6" w:rsidP="00D9527E">
      <w:pPr>
        <w:jc w:val="both"/>
        <w:rPr>
          <w:rFonts w:ascii="Arial Narrow" w:hAnsi="Arial Narrow"/>
        </w:rPr>
      </w:pPr>
      <w:r>
        <w:rPr>
          <w:rFonts w:ascii="Arial Narrow" w:hAnsi="Arial Narrow"/>
          <w:b/>
          <w:bCs/>
        </w:rPr>
        <w:t>Aj d</w:t>
      </w:r>
      <w:r w:rsidR="00D9527E" w:rsidRPr="001C4FC1">
        <w:rPr>
          <w:rFonts w:ascii="Arial Narrow" w:hAnsi="Arial Narrow"/>
          <w:b/>
          <w:bCs/>
        </w:rPr>
        <w:t xml:space="preserve">osiahnutie </w:t>
      </w:r>
      <w:r>
        <w:rPr>
          <w:rFonts w:ascii="Arial Narrow" w:hAnsi="Arial Narrow"/>
          <w:b/>
          <w:bCs/>
        </w:rPr>
        <w:t xml:space="preserve">revidovaných </w:t>
      </w:r>
      <w:r w:rsidR="00D9527E" w:rsidRPr="001C4FC1">
        <w:rPr>
          <w:rFonts w:ascii="Arial Narrow" w:hAnsi="Arial Narrow"/>
          <w:b/>
          <w:bCs/>
        </w:rPr>
        <w:t xml:space="preserve">cieľov </w:t>
      </w:r>
      <w:r w:rsidR="00D9219F">
        <w:rPr>
          <w:rFonts w:ascii="Arial Narrow" w:hAnsi="Arial Narrow"/>
          <w:b/>
          <w:bCs/>
        </w:rPr>
        <w:t xml:space="preserve">si </w:t>
      </w:r>
      <w:r w:rsidR="00D9527E" w:rsidRPr="001C4FC1">
        <w:rPr>
          <w:rFonts w:ascii="Arial Narrow" w:hAnsi="Arial Narrow"/>
          <w:b/>
          <w:bCs/>
        </w:rPr>
        <w:t xml:space="preserve">bude vyžadovať kompenzáciu </w:t>
      </w:r>
      <w:r w:rsidR="00AA532B">
        <w:rPr>
          <w:rFonts w:ascii="Arial Narrow" w:hAnsi="Arial Narrow"/>
          <w:b/>
          <w:bCs/>
        </w:rPr>
        <w:t xml:space="preserve">negatívnych </w:t>
      </w:r>
      <w:r w:rsidR="00D9527E" w:rsidRPr="001C4FC1">
        <w:rPr>
          <w:rFonts w:ascii="Arial Narrow" w:hAnsi="Arial Narrow"/>
          <w:b/>
          <w:bCs/>
        </w:rPr>
        <w:t xml:space="preserve">vplyvov vyvíjajúcich tlak na verejné financie. </w:t>
      </w:r>
      <w:r w:rsidR="00D9527E" w:rsidRPr="001C4FC1">
        <w:rPr>
          <w:rFonts w:ascii="Arial Narrow" w:hAnsi="Arial Narrow"/>
        </w:rPr>
        <w:t xml:space="preserve">Na deficit budú tlačiť aj očakávané zvýšené dodávky obranných mechanizmov v najbližších </w:t>
      </w:r>
      <w:r w:rsidR="00D9527E" w:rsidRPr="001C4FC1">
        <w:rPr>
          <w:rFonts w:ascii="Arial Narrow" w:hAnsi="Arial Narrow"/>
        </w:rPr>
        <w:lastRenderedPageBreak/>
        <w:t xml:space="preserve">rokoch. V budúcom roku sa </w:t>
      </w:r>
      <w:r w:rsidR="00D9527E" w:rsidRPr="003E0341">
        <w:rPr>
          <w:rFonts w:ascii="Arial Narrow" w:hAnsi="Arial Narrow"/>
        </w:rPr>
        <w:t>očakáva dodanie posledných 4 stíhačiek ako aj veľké dodávky bojových vozidiel. Aktualizované obranné výdavky sa medziročne očakávajú vyššie o 0,</w:t>
      </w:r>
      <w:r w:rsidR="00AC1F6E" w:rsidRPr="003E0341">
        <w:rPr>
          <w:rFonts w:ascii="Arial Narrow" w:hAnsi="Arial Narrow"/>
        </w:rPr>
        <w:t>3</w:t>
      </w:r>
      <w:r w:rsidR="00D9527E" w:rsidRPr="003E0341">
        <w:rPr>
          <w:rFonts w:ascii="Arial Narrow" w:hAnsi="Arial Narrow"/>
        </w:rPr>
        <w:t xml:space="preserve"> % HDP. Vyššie úrokové sadzby a postupné refinancovanie štátnych dlhopisov navyšuje náklady na obsluhu dlhu. To každoročne navyšuje úrokové náklady o 0,2 % HDP. </w:t>
      </w:r>
      <w:r w:rsidR="00E57F97" w:rsidRPr="003E0341">
        <w:rPr>
          <w:rFonts w:ascii="Arial Narrow" w:hAnsi="Arial Narrow"/>
        </w:rPr>
        <w:t xml:space="preserve">Aj </w:t>
      </w:r>
      <w:r w:rsidR="00D9527E" w:rsidRPr="003E0341">
        <w:rPr>
          <w:rFonts w:ascii="Arial Narrow" w:hAnsi="Arial Narrow"/>
        </w:rPr>
        <w:t>starnutie populácie vytvára</w:t>
      </w:r>
      <w:r w:rsidR="00E57F97" w:rsidRPr="003E0341">
        <w:rPr>
          <w:rFonts w:ascii="Arial Narrow" w:hAnsi="Arial Narrow"/>
        </w:rPr>
        <w:t xml:space="preserve"> čoraz viac</w:t>
      </w:r>
      <w:r w:rsidR="00D9527E" w:rsidRPr="003E0341">
        <w:rPr>
          <w:rFonts w:ascii="Arial Narrow" w:hAnsi="Arial Narrow"/>
        </w:rPr>
        <w:t xml:space="preserve"> tlak na dôchodky ale aj na iné výdavky citlivé na starnutie. Medziročný nárast počtu starobných </w:t>
      </w:r>
      <w:r w:rsidR="00D9527E" w:rsidRPr="00DC7FA8">
        <w:rPr>
          <w:rFonts w:ascii="Arial Narrow" w:hAnsi="Arial Narrow"/>
        </w:rPr>
        <w:t xml:space="preserve">dôchodcov sa v budúcom roku očakáva na úrovni vyše 1 % (vyše 13 tisíc ľudí). Popritom, dodatočným rizikom je negatívny dosah vojny v Iráne a jej vplyv na verejné financie. Otvorenou otázkou ostáva aj prípadná forma a veľkosť energo-pomoci, náklady na ňu priamo súvisia s vývojom vojny v Iráne a cenami energií na svetových trhoch. </w:t>
      </w:r>
      <w:r w:rsidR="00CE5BAB" w:rsidRPr="00DC7FA8">
        <w:rPr>
          <w:rFonts w:ascii="Arial Narrow" w:hAnsi="Arial Narrow"/>
        </w:rPr>
        <w:t xml:space="preserve">Zároveň, vláda už naznačila, že v budúcom roku chce prijať opatrenia na podporu ekonomiky. </w:t>
      </w:r>
      <w:r w:rsidR="00F37BFF">
        <w:rPr>
          <w:rFonts w:ascii="Arial Narrow" w:hAnsi="Arial Narrow"/>
        </w:rPr>
        <w:t>Politiky vlády</w:t>
      </w:r>
      <w:r w:rsidR="00D0649D" w:rsidRPr="00DC7FA8">
        <w:rPr>
          <w:rFonts w:ascii="Arial Narrow" w:hAnsi="Arial Narrow"/>
        </w:rPr>
        <w:t xml:space="preserve">, ktoré by najmenej zaťažili verejné financie </w:t>
      </w:r>
      <w:r w:rsidR="00924988" w:rsidRPr="00DC7FA8">
        <w:rPr>
          <w:rFonts w:ascii="Arial Narrow" w:hAnsi="Arial Narrow"/>
        </w:rPr>
        <w:t>sú deregulácia podnikateľského sektora a</w:t>
      </w:r>
      <w:r w:rsidR="00F37BFF">
        <w:rPr>
          <w:rFonts w:ascii="Arial Narrow" w:hAnsi="Arial Narrow"/>
        </w:rPr>
        <w:t xml:space="preserve"> prípadné iné </w:t>
      </w:r>
      <w:r w:rsidR="00924988" w:rsidRPr="00DC7FA8">
        <w:rPr>
          <w:rFonts w:ascii="Arial Narrow" w:hAnsi="Arial Narrow"/>
        </w:rPr>
        <w:t xml:space="preserve">cielené </w:t>
      </w:r>
      <w:r w:rsidR="00F37BFF">
        <w:rPr>
          <w:rFonts w:ascii="Arial Narrow" w:hAnsi="Arial Narrow"/>
        </w:rPr>
        <w:t>prorastové opatrenia</w:t>
      </w:r>
      <w:r w:rsidR="00924988" w:rsidRPr="00DC7FA8">
        <w:rPr>
          <w:rFonts w:ascii="Arial Narrow" w:hAnsi="Arial Narrow"/>
        </w:rPr>
        <w:t xml:space="preserve">. </w:t>
      </w:r>
      <w:r w:rsidR="00D0649D" w:rsidRPr="00DC7FA8">
        <w:rPr>
          <w:rFonts w:ascii="Arial Narrow" w:hAnsi="Arial Narrow"/>
        </w:rPr>
        <w:t>Každopádne, v</w:t>
      </w:r>
      <w:r w:rsidR="00D9527E" w:rsidRPr="00DC7FA8">
        <w:rPr>
          <w:rFonts w:ascii="Arial Narrow" w:hAnsi="Arial Narrow"/>
        </w:rPr>
        <w:t xml:space="preserve">šetky negatívne vplyvy potrebuje vláda kompenzovať na udržanie </w:t>
      </w:r>
      <w:r w:rsidR="00270A85" w:rsidRPr="00DC7FA8">
        <w:rPr>
          <w:rFonts w:ascii="Arial Narrow" w:hAnsi="Arial Narrow"/>
        </w:rPr>
        <w:t>deficitu</w:t>
      </w:r>
      <w:r w:rsidR="00D9527E" w:rsidRPr="00DC7FA8">
        <w:rPr>
          <w:rFonts w:ascii="Arial Narrow" w:hAnsi="Arial Narrow"/>
        </w:rPr>
        <w:t xml:space="preserve"> pod 4,5 % HDP. Vláda sa </w:t>
      </w:r>
      <w:r w:rsidR="00880EB2" w:rsidRPr="00DC7FA8">
        <w:rPr>
          <w:rFonts w:ascii="Arial Narrow" w:hAnsi="Arial Narrow"/>
        </w:rPr>
        <w:t xml:space="preserve">bude </w:t>
      </w:r>
      <w:r w:rsidR="00D9527E" w:rsidRPr="00DC7FA8">
        <w:rPr>
          <w:rFonts w:ascii="Arial Narrow" w:hAnsi="Arial Narrow"/>
        </w:rPr>
        <w:t>zameriava</w:t>
      </w:r>
      <w:r w:rsidR="00880EB2" w:rsidRPr="00DC7FA8">
        <w:rPr>
          <w:rFonts w:ascii="Arial Narrow" w:hAnsi="Arial Narrow"/>
        </w:rPr>
        <w:t>ť</w:t>
      </w:r>
      <w:r w:rsidR="00D9527E" w:rsidRPr="001C4FC1">
        <w:rPr>
          <w:rFonts w:ascii="Arial Narrow" w:hAnsi="Arial Narrow"/>
        </w:rPr>
        <w:t xml:space="preserve"> na </w:t>
      </w:r>
      <w:r w:rsidR="00924988">
        <w:rPr>
          <w:rFonts w:ascii="Arial Narrow" w:hAnsi="Arial Narrow"/>
        </w:rPr>
        <w:t xml:space="preserve">konsolidačné </w:t>
      </w:r>
      <w:r w:rsidR="00D9527E" w:rsidRPr="001C4FC1">
        <w:rPr>
          <w:rFonts w:ascii="Arial Narrow" w:hAnsi="Arial Narrow"/>
        </w:rPr>
        <w:t>opatrenia vedúce k zníženiu daňových únikov a zefektívňovani</w:t>
      </w:r>
      <w:r w:rsidR="0073017C">
        <w:rPr>
          <w:rFonts w:ascii="Arial Narrow" w:hAnsi="Arial Narrow"/>
        </w:rPr>
        <w:t>e</w:t>
      </w:r>
      <w:r w:rsidR="00D9527E" w:rsidRPr="001C4FC1">
        <w:rPr>
          <w:rFonts w:ascii="Arial Narrow" w:hAnsi="Arial Narrow"/>
        </w:rPr>
        <w:t xml:space="preserve"> výdavkovej strany rozpočtu.</w:t>
      </w:r>
    </w:p>
    <w:p w14:paraId="7540272D" w14:textId="77777777" w:rsidR="00D9527E" w:rsidRPr="001C4FC1" w:rsidRDefault="00D9527E" w:rsidP="00D9527E">
      <w:pPr>
        <w:pStyle w:val="ifpzhl2"/>
        <w:numPr>
          <w:ilvl w:val="1"/>
          <w:numId w:val="3"/>
        </w:numPr>
        <w:tabs>
          <w:tab w:val="num" w:pos="360"/>
        </w:tabs>
        <w:rPr>
          <w:b w:val="0"/>
          <w:bCs/>
          <w:color w:val="2C9ADC"/>
        </w:rPr>
      </w:pPr>
      <w:bookmarkStart w:id="45" w:name="_Toc228177462"/>
      <w:r w:rsidRPr="001C4FC1">
        <w:rPr>
          <w:bCs/>
          <w:color w:val="2C9ADC"/>
        </w:rPr>
        <w:t>Dlh verejnej správy</w:t>
      </w:r>
      <w:bookmarkEnd w:id="45"/>
    </w:p>
    <w:p w14:paraId="392BE79A" w14:textId="30F30613" w:rsidR="00D9527E" w:rsidRDefault="00D9527E" w:rsidP="00D9527E">
      <w:pPr>
        <w:jc w:val="both"/>
        <w:rPr>
          <w:rFonts w:ascii="Arial Narrow" w:hAnsi="Arial Narrow"/>
        </w:rPr>
      </w:pPr>
      <w:r w:rsidRPr="001C4FC1">
        <w:rPr>
          <w:rFonts w:ascii="Arial Narrow" w:hAnsi="Arial Narrow"/>
          <w:b/>
          <w:bCs/>
        </w:rPr>
        <w:t>Dosiahnutie stabilizácie a následného poklesu dlhu si vzhľadom na vysoký počiatočný schodok a nepriaznivé hospodárske prostredie vyžiada konsolidáciu naprieč dv</w:t>
      </w:r>
      <w:r w:rsidR="007E538B">
        <w:rPr>
          <w:rFonts w:ascii="Arial Narrow" w:hAnsi="Arial Narrow"/>
          <w:b/>
          <w:bCs/>
        </w:rPr>
        <w:t>omi</w:t>
      </w:r>
      <w:r w:rsidRPr="001C4FC1">
        <w:rPr>
          <w:rFonts w:ascii="Arial Narrow" w:hAnsi="Arial Narrow"/>
          <w:b/>
          <w:bCs/>
        </w:rPr>
        <w:t xml:space="preserve"> volebn</w:t>
      </w:r>
      <w:r w:rsidR="007E538B">
        <w:rPr>
          <w:rFonts w:ascii="Arial Narrow" w:hAnsi="Arial Narrow"/>
          <w:b/>
          <w:bCs/>
        </w:rPr>
        <w:t>ými</w:t>
      </w:r>
      <w:r w:rsidRPr="001C4FC1">
        <w:rPr>
          <w:rFonts w:ascii="Arial Narrow" w:hAnsi="Arial Narrow"/>
          <w:b/>
          <w:bCs/>
        </w:rPr>
        <w:t xml:space="preserve"> obdobia</w:t>
      </w:r>
      <w:r w:rsidR="007E538B">
        <w:rPr>
          <w:rFonts w:ascii="Arial Narrow" w:hAnsi="Arial Narrow"/>
          <w:b/>
          <w:bCs/>
        </w:rPr>
        <w:t>mi</w:t>
      </w:r>
      <w:r w:rsidRPr="001C4FC1">
        <w:rPr>
          <w:rFonts w:ascii="Arial Narrow" w:hAnsi="Arial Narrow"/>
          <w:b/>
          <w:bCs/>
        </w:rPr>
        <w:t xml:space="preserve">. </w:t>
      </w:r>
      <w:r w:rsidRPr="001C4FC1">
        <w:rPr>
          <w:rFonts w:ascii="Arial Narrow" w:hAnsi="Arial Narrow"/>
        </w:rPr>
        <w:t>V najbližších rokoch nárast dlhu v pomere k HDP potiahne najmä pretrvávajúci vyšší deficit</w:t>
      </w:r>
      <w:r w:rsidR="00C84DC7">
        <w:rPr>
          <w:rFonts w:ascii="Arial Narrow" w:hAnsi="Arial Narrow"/>
        </w:rPr>
        <w:t xml:space="preserve">, ktorý narástol najmä </w:t>
      </w:r>
      <w:r w:rsidR="00C84DC7" w:rsidRPr="00955B88">
        <w:rPr>
          <w:rFonts w:ascii="Arial Narrow" w:hAnsi="Arial Narrow"/>
        </w:rPr>
        <w:t>od roku 2023</w:t>
      </w:r>
      <w:r w:rsidRPr="00955B88">
        <w:rPr>
          <w:rFonts w:ascii="Arial Narrow" w:hAnsi="Arial Narrow"/>
        </w:rPr>
        <w:t xml:space="preserve">. Dočasne ho ešte stlmí vyššia inflácia cez efekt menovateľa, avšak </w:t>
      </w:r>
      <w:r w:rsidR="003D2420" w:rsidRPr="00955B88">
        <w:rPr>
          <w:rFonts w:ascii="Arial Narrow" w:hAnsi="Arial Narrow"/>
        </w:rPr>
        <w:t xml:space="preserve">v  </w:t>
      </w:r>
      <w:r w:rsidRPr="00955B88">
        <w:rPr>
          <w:rFonts w:ascii="Arial Narrow" w:hAnsi="Arial Narrow"/>
        </w:rPr>
        <w:t>oveľa menšej miere ako v </w:t>
      </w:r>
      <w:r w:rsidR="00C24D1A" w:rsidRPr="00955B88">
        <w:rPr>
          <w:rFonts w:ascii="Arial Narrow" w:hAnsi="Arial Narrow"/>
        </w:rPr>
        <w:t>rokoch 2022 a 2023</w:t>
      </w:r>
      <w:r w:rsidRPr="00955B88">
        <w:rPr>
          <w:rFonts w:ascii="Arial Narrow" w:hAnsi="Arial Narrow"/>
        </w:rPr>
        <w:t xml:space="preserve">. Zároveň, reálny rast ekonomiky sa najmä kvôli externým faktorom očakáva výrazne pod svojím potenciálom, čo dodatočne komplikuje snahu stabilizovať dlh v pomere k výkonu ekonomiky. Ku koncu sledovaného horizontu </w:t>
      </w:r>
      <w:r w:rsidR="00065C3E" w:rsidRPr="00955B88">
        <w:rPr>
          <w:rFonts w:ascii="Arial Narrow" w:hAnsi="Arial Narrow"/>
        </w:rPr>
        <w:t xml:space="preserve">v roku 2028 </w:t>
      </w:r>
      <w:r w:rsidRPr="00955B88">
        <w:rPr>
          <w:rFonts w:ascii="Arial Narrow" w:hAnsi="Arial Narrow"/>
        </w:rPr>
        <w:t xml:space="preserve">by sa hrubý dlh mal </w:t>
      </w:r>
      <w:r w:rsidR="00E94F25" w:rsidRPr="00955B88">
        <w:rPr>
          <w:rFonts w:ascii="Arial Narrow" w:hAnsi="Arial Narrow"/>
        </w:rPr>
        <w:t xml:space="preserve">v prípade splnenia rozpočtových cieľov </w:t>
      </w:r>
      <w:r w:rsidRPr="00955B88">
        <w:rPr>
          <w:rFonts w:ascii="Arial Narrow" w:hAnsi="Arial Narrow"/>
        </w:rPr>
        <w:t xml:space="preserve">pohybovať okolo </w:t>
      </w:r>
      <w:r w:rsidR="00C84DC7" w:rsidRPr="00955B88">
        <w:rPr>
          <w:rFonts w:ascii="Arial Narrow" w:hAnsi="Arial Narrow"/>
        </w:rPr>
        <w:t>6</w:t>
      </w:r>
      <w:r w:rsidR="00D55F6F" w:rsidRPr="00955B88">
        <w:rPr>
          <w:rFonts w:ascii="Arial Narrow" w:hAnsi="Arial Narrow"/>
        </w:rPr>
        <w:t>6</w:t>
      </w:r>
      <w:r w:rsidRPr="00955B88">
        <w:rPr>
          <w:rFonts w:ascii="Arial Narrow" w:hAnsi="Arial Narrow"/>
        </w:rPr>
        <w:t xml:space="preserve"> % HDP</w:t>
      </w:r>
      <w:r w:rsidR="00880EB2" w:rsidRPr="00955B88">
        <w:rPr>
          <w:rFonts w:ascii="Arial Narrow" w:hAnsi="Arial Narrow"/>
        </w:rPr>
        <w:t>, čo je aj výrazne menej v porovnaní so situáciou nezmenených politík od nástupu novej vlády</w:t>
      </w:r>
      <w:r w:rsidR="00955B88" w:rsidRPr="00955B88">
        <w:rPr>
          <w:rFonts w:ascii="Arial Narrow" w:hAnsi="Arial Narrow"/>
        </w:rPr>
        <w:t>.</w:t>
      </w:r>
      <w:r w:rsidR="00754984" w:rsidRPr="00955B88">
        <w:rPr>
          <w:rFonts w:ascii="Arial Narrow" w:hAnsi="Arial Narrow"/>
        </w:rPr>
        <w:t xml:space="preserve"> Bez zásahov vlády mohol deficit dosiahnuť už v tomto roku až 7 % HDP, </w:t>
      </w:r>
      <w:r w:rsidR="008965D6">
        <w:rPr>
          <w:rFonts w:ascii="Arial Narrow" w:hAnsi="Arial Narrow"/>
        </w:rPr>
        <w:t xml:space="preserve">pričom by </w:t>
      </w:r>
      <w:r w:rsidR="008965D6" w:rsidRPr="002C3C7F">
        <w:rPr>
          <w:rFonts w:ascii="Arial Narrow" w:hAnsi="Arial Narrow"/>
        </w:rPr>
        <w:t xml:space="preserve">dlh </w:t>
      </w:r>
      <w:r w:rsidR="008965D6">
        <w:rPr>
          <w:rFonts w:ascii="Arial Narrow" w:hAnsi="Arial Narrow"/>
        </w:rPr>
        <w:t xml:space="preserve">už v </w:t>
      </w:r>
      <w:r w:rsidR="008965D6" w:rsidRPr="002C3C7F">
        <w:rPr>
          <w:rFonts w:ascii="Arial Narrow" w:hAnsi="Arial Narrow"/>
        </w:rPr>
        <w:t xml:space="preserve">priebehu </w:t>
      </w:r>
      <w:r w:rsidR="008965D6">
        <w:rPr>
          <w:rFonts w:ascii="Arial Narrow" w:hAnsi="Arial Narrow"/>
        </w:rPr>
        <w:t>nasledujúcej</w:t>
      </w:r>
      <w:r w:rsidR="008965D6" w:rsidRPr="002C3C7F">
        <w:rPr>
          <w:rFonts w:ascii="Arial Narrow" w:hAnsi="Arial Narrow"/>
        </w:rPr>
        <w:t xml:space="preserve"> dekád</w:t>
      </w:r>
      <w:r w:rsidR="008965D6">
        <w:rPr>
          <w:rFonts w:ascii="Arial Narrow" w:hAnsi="Arial Narrow"/>
        </w:rPr>
        <w:t>y</w:t>
      </w:r>
      <w:r w:rsidR="008965D6" w:rsidRPr="002C3C7F">
        <w:rPr>
          <w:rFonts w:ascii="Arial Narrow" w:hAnsi="Arial Narrow"/>
        </w:rPr>
        <w:t xml:space="preserve"> </w:t>
      </w:r>
      <w:r w:rsidR="008965D6">
        <w:rPr>
          <w:rFonts w:ascii="Arial Narrow" w:hAnsi="Arial Narrow"/>
        </w:rPr>
        <w:t>narastal</w:t>
      </w:r>
      <w:r w:rsidR="008965D6" w:rsidRPr="002C3C7F">
        <w:rPr>
          <w:rFonts w:ascii="Arial Narrow" w:hAnsi="Arial Narrow"/>
        </w:rPr>
        <w:t xml:space="preserve"> </w:t>
      </w:r>
      <w:r w:rsidR="008965D6">
        <w:rPr>
          <w:rFonts w:ascii="Arial Narrow" w:hAnsi="Arial Narrow"/>
        </w:rPr>
        <w:t>k</w:t>
      </w:r>
      <w:r w:rsidR="008965D6" w:rsidRPr="002C3C7F">
        <w:rPr>
          <w:rFonts w:ascii="Arial Narrow" w:hAnsi="Arial Narrow"/>
        </w:rPr>
        <w:t xml:space="preserve"> 100 % HDP</w:t>
      </w:r>
      <w:r w:rsidR="00754984" w:rsidRPr="00955B88">
        <w:rPr>
          <w:rFonts w:ascii="Arial Narrow" w:hAnsi="Arial Narrow"/>
        </w:rPr>
        <w:t>.</w:t>
      </w:r>
      <w:r w:rsidRPr="00955B88">
        <w:rPr>
          <w:rFonts w:ascii="Arial Narrow" w:hAnsi="Arial Narrow"/>
        </w:rPr>
        <w:t xml:space="preserve"> Neistotou v aktuálnom volebnom období </w:t>
      </w:r>
      <w:r w:rsidR="003D4DBC" w:rsidRPr="00955B88">
        <w:rPr>
          <w:rFonts w:ascii="Arial Narrow" w:hAnsi="Arial Narrow"/>
        </w:rPr>
        <w:t xml:space="preserve">v tomto kontexte </w:t>
      </w:r>
      <w:r w:rsidR="003D2420" w:rsidRPr="00955B88">
        <w:rPr>
          <w:rFonts w:ascii="Arial Narrow" w:hAnsi="Arial Narrow"/>
        </w:rPr>
        <w:t xml:space="preserve">zároveň </w:t>
      </w:r>
      <w:r w:rsidR="003D4DBC" w:rsidRPr="00955B88">
        <w:rPr>
          <w:rFonts w:ascii="Arial Narrow" w:hAnsi="Arial Narrow"/>
        </w:rPr>
        <w:t>zohráva</w:t>
      </w:r>
      <w:r w:rsidRPr="00955B88">
        <w:rPr>
          <w:rFonts w:ascii="Arial Narrow" w:hAnsi="Arial Narrow"/>
        </w:rPr>
        <w:t xml:space="preserve"> situácia okolo reformy dlhovej brzdy. V prípade absencie zhody na reforme </w:t>
      </w:r>
      <w:r w:rsidR="003D2420" w:rsidRPr="00955B88">
        <w:rPr>
          <w:rFonts w:ascii="Arial Narrow" w:hAnsi="Arial Narrow"/>
        </w:rPr>
        <w:t>by</w:t>
      </w:r>
      <w:r w:rsidRPr="001C4FC1">
        <w:rPr>
          <w:rFonts w:ascii="Arial Narrow" w:hAnsi="Arial Narrow"/>
        </w:rPr>
        <w:t xml:space="preserve"> vláda </w:t>
      </w:r>
      <w:r w:rsidR="00C84DC7" w:rsidRPr="001C4FC1">
        <w:rPr>
          <w:rFonts w:ascii="Arial Narrow" w:hAnsi="Arial Narrow"/>
        </w:rPr>
        <w:t>čeli</w:t>
      </w:r>
      <w:r w:rsidR="00C84DC7">
        <w:rPr>
          <w:rFonts w:ascii="Arial Narrow" w:hAnsi="Arial Narrow"/>
        </w:rPr>
        <w:t>la</w:t>
      </w:r>
      <w:r w:rsidRPr="001C4FC1">
        <w:rPr>
          <w:rFonts w:ascii="Arial Narrow" w:hAnsi="Arial Narrow"/>
        </w:rPr>
        <w:t xml:space="preserve"> potrebe uplatniť aj najprísnejšiu sankciu dlhovej brzdy - predloženie </w:t>
      </w:r>
      <w:r w:rsidRPr="00807C08">
        <w:rPr>
          <w:rFonts w:ascii="Arial Narrow" w:hAnsi="Arial Narrow"/>
        </w:rPr>
        <w:t>vyrovnaného rozpočtu</w:t>
      </w:r>
      <w:r w:rsidR="00C84DC7" w:rsidRPr="00807C08">
        <w:rPr>
          <w:rFonts w:ascii="Arial Narrow" w:hAnsi="Arial Narrow"/>
        </w:rPr>
        <w:t xml:space="preserve"> už pre rok 2027</w:t>
      </w:r>
      <w:r w:rsidRPr="00807C08">
        <w:rPr>
          <w:rFonts w:ascii="Arial Narrow" w:hAnsi="Arial Narrow"/>
        </w:rPr>
        <w:t xml:space="preserve"> (viac </w:t>
      </w:r>
      <w:r w:rsidRPr="00807C08">
        <w:rPr>
          <w:rFonts w:ascii="Arial Narrow" w:hAnsi="Arial Narrow"/>
          <w:b/>
          <w:bCs/>
          <w:color w:val="2C9ADC"/>
        </w:rPr>
        <w:t>BOX 3</w:t>
      </w:r>
      <w:r w:rsidRPr="00807C08">
        <w:rPr>
          <w:rFonts w:ascii="Arial Narrow" w:hAnsi="Arial Narrow"/>
        </w:rPr>
        <w:t>).</w:t>
      </w:r>
    </w:p>
    <w:tbl>
      <w:tblPr>
        <w:tblpPr w:leftFromText="141" w:rightFromText="141" w:vertAnchor="text" w:horzAnchor="margin" w:tblpY="61"/>
        <w:tblOverlap w:val="neve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1E0" w:firstRow="1" w:lastRow="1" w:firstColumn="1" w:lastColumn="1" w:noHBand="0" w:noVBand="0"/>
      </w:tblPr>
      <w:tblGrid>
        <w:gridCol w:w="9072"/>
      </w:tblGrid>
      <w:tr w:rsidR="007969C5" w:rsidRPr="001C4FC1" w14:paraId="3EDC4D0B" w14:textId="77777777" w:rsidTr="007969C5">
        <w:trPr>
          <w:trHeight w:val="339"/>
        </w:trPr>
        <w:tc>
          <w:tcPr>
            <w:tcW w:w="5000" w:type="pct"/>
            <w:tcBorders>
              <w:top w:val="nil"/>
              <w:left w:val="nil"/>
              <w:bottom w:val="single" w:sz="4" w:space="0" w:color="auto"/>
              <w:right w:val="nil"/>
            </w:tcBorders>
          </w:tcPr>
          <w:p w14:paraId="7E7A8F67" w14:textId="689ACA3A" w:rsidR="007969C5" w:rsidRPr="007969C5" w:rsidRDefault="007969C5" w:rsidP="007969C5">
            <w:pPr>
              <w:jc w:val="both"/>
              <w:rPr>
                <w:rFonts w:ascii="Arial Narrow" w:eastAsia="NeueHaasGroteskText W02" w:hAnsi="Arial Narrow" w:cs="Arial"/>
                <w:b/>
                <w:bCs/>
                <w:color w:val="2C9ADC"/>
                <w:sz w:val="20"/>
                <w:szCs w:val="20"/>
                <w:u w:color="2C9ADC"/>
              </w:rPr>
            </w:pPr>
            <w:bookmarkStart w:id="46" w:name="_Toc228283015"/>
            <w:r w:rsidRPr="00807C08">
              <w:rPr>
                <w:rFonts w:ascii="Arial Narrow" w:hAnsi="Arial Narrow" w:cs="Arial Narrow"/>
                <w:b/>
                <w:bCs/>
                <w:color w:val="2C9ADC"/>
                <w:sz w:val="20"/>
                <w:szCs w:val="20"/>
              </w:rPr>
              <w:t xml:space="preserve">GRAF </w:t>
            </w:r>
            <w:r w:rsidRPr="00807C08">
              <w:rPr>
                <w:rFonts w:ascii="Arial Narrow" w:hAnsi="Arial Narrow"/>
                <w:b/>
                <w:bCs/>
                <w:color w:val="2C9ADC"/>
                <w:sz w:val="20"/>
                <w:szCs w:val="20"/>
              </w:rPr>
              <w:fldChar w:fldCharType="begin"/>
            </w:r>
            <w:r w:rsidRPr="00807C08">
              <w:rPr>
                <w:rFonts w:ascii="Arial Narrow" w:hAnsi="Arial Narrow"/>
                <w:b/>
                <w:bCs/>
                <w:color w:val="2C9ADC"/>
                <w:sz w:val="20"/>
                <w:szCs w:val="20"/>
              </w:rPr>
              <w:instrText xml:space="preserve"> SEQ GRAF \* ARABIC </w:instrText>
            </w:r>
            <w:r w:rsidRPr="00807C08">
              <w:rPr>
                <w:rFonts w:ascii="Arial Narrow" w:hAnsi="Arial Narrow"/>
                <w:b/>
                <w:bCs/>
                <w:color w:val="2C9ADC"/>
                <w:sz w:val="20"/>
                <w:szCs w:val="20"/>
              </w:rPr>
              <w:fldChar w:fldCharType="separate"/>
            </w:r>
            <w:r w:rsidR="008765E2">
              <w:rPr>
                <w:rFonts w:ascii="Arial Narrow" w:hAnsi="Arial Narrow"/>
                <w:b/>
                <w:bCs/>
                <w:noProof/>
                <w:color w:val="2C9ADC"/>
                <w:sz w:val="20"/>
                <w:szCs w:val="20"/>
              </w:rPr>
              <w:t>12</w:t>
            </w:r>
            <w:r w:rsidRPr="00807C08">
              <w:rPr>
                <w:rFonts w:ascii="Arial Narrow" w:hAnsi="Arial Narrow"/>
                <w:b/>
                <w:bCs/>
                <w:color w:val="2C9ADC"/>
                <w:sz w:val="20"/>
                <w:szCs w:val="20"/>
              </w:rPr>
              <w:fldChar w:fldCharType="end"/>
            </w:r>
            <w:r w:rsidRPr="00807C08">
              <w:rPr>
                <w:rFonts w:ascii="Arial Narrow" w:hAnsi="Arial Narrow"/>
                <w:b/>
                <w:bCs/>
                <w:color w:val="2C9ADC"/>
                <w:sz w:val="20"/>
                <w:szCs w:val="20"/>
              </w:rPr>
              <w:t xml:space="preserve"> –</w:t>
            </w:r>
            <w:r w:rsidRPr="00807C08">
              <w:rPr>
                <w:rFonts w:ascii="Arial Narrow" w:eastAsia="NeueHaasGroteskText W02" w:hAnsi="Arial Narrow" w:cs="Arial"/>
                <w:b/>
                <w:bCs/>
                <w:color w:val="2C9ADC"/>
                <w:sz w:val="20"/>
                <w:szCs w:val="20"/>
                <w:u w:color="2C9ADC"/>
              </w:rPr>
              <w:t> Hrubý dlh pri splnení rozpočtových cieľov (% HDP)</w:t>
            </w:r>
            <w:bookmarkEnd w:id="46"/>
          </w:p>
        </w:tc>
      </w:tr>
      <w:tr w:rsidR="007969C5" w:rsidRPr="001C4FC1" w14:paraId="37A8D170" w14:textId="77777777" w:rsidTr="007969C5">
        <w:trPr>
          <w:trHeight w:val="866"/>
        </w:trPr>
        <w:tc>
          <w:tcPr>
            <w:tcW w:w="5000" w:type="pct"/>
            <w:tcBorders>
              <w:top w:val="single" w:sz="4" w:space="0" w:color="auto"/>
              <w:left w:val="nil"/>
              <w:bottom w:val="single" w:sz="4" w:space="0" w:color="auto"/>
              <w:right w:val="nil"/>
            </w:tcBorders>
            <w:vAlign w:val="center"/>
          </w:tcPr>
          <w:p w14:paraId="33009033" w14:textId="0E85DBCB" w:rsidR="007969C5" w:rsidRPr="00F008F5" w:rsidRDefault="007969C5" w:rsidP="00AF0DC3">
            <w:pPr>
              <w:widowControl w:val="0"/>
              <w:spacing w:after="40"/>
              <w:rPr>
                <w:rFonts w:ascii="Arial Narrow" w:hAnsi="Arial Narrow" w:cs="Arial"/>
                <w:color w:val="FF0000"/>
                <w:sz w:val="20"/>
                <w:szCs w:val="20"/>
                <w:highlight w:val="yellow"/>
              </w:rPr>
            </w:pPr>
            <w:r>
              <w:rPr>
                <w:noProof/>
              </w:rPr>
              <w:drawing>
                <wp:inline distT="0" distB="0" distL="0" distR="0" wp14:anchorId="404DA634" wp14:editId="7DEE0037">
                  <wp:extent cx="5760720" cy="2869565"/>
                  <wp:effectExtent l="0" t="0" r="0" b="0"/>
                  <wp:docPr id="1966725247" name="Graf 1">
                    <a:extLst xmlns:a="http://schemas.openxmlformats.org/drawingml/2006/main">
                      <a:ext uri="{FF2B5EF4-FFF2-40B4-BE49-F238E27FC236}">
                        <a16:creationId xmlns:a16="http://schemas.microsoft.com/office/drawing/2014/main" id="{DD629754-629B-B878-B3FB-ED64F9792B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7969C5" w:rsidRPr="001C4FC1" w14:paraId="2122F033" w14:textId="77777777" w:rsidTr="00AF0DC3">
        <w:trPr>
          <w:trHeight w:val="108"/>
        </w:trPr>
        <w:tc>
          <w:tcPr>
            <w:tcW w:w="5000" w:type="pct"/>
            <w:tcBorders>
              <w:top w:val="single" w:sz="4" w:space="0" w:color="auto"/>
              <w:left w:val="nil"/>
              <w:bottom w:val="nil"/>
              <w:right w:val="nil"/>
            </w:tcBorders>
          </w:tcPr>
          <w:p w14:paraId="62779884" w14:textId="77777777" w:rsidR="007969C5" w:rsidRPr="001C4FC1" w:rsidRDefault="007969C5" w:rsidP="00AF0DC3">
            <w:pPr>
              <w:widowControl w:val="0"/>
              <w:spacing w:before="40" w:after="40"/>
              <w:jc w:val="right"/>
              <w:rPr>
                <w:rFonts w:ascii="Arial Narrow" w:hAnsi="Arial Narrow"/>
                <w:b/>
                <w:iCs/>
                <w:color w:val="000000"/>
                <w:sz w:val="16"/>
                <w:szCs w:val="16"/>
                <w:highlight w:val="yellow"/>
              </w:rPr>
            </w:pPr>
            <w:r w:rsidRPr="001C4FC1">
              <w:rPr>
                <w:rFonts w:ascii="Arial Narrow" w:hAnsi="Arial Narrow"/>
                <w:i/>
                <w:sz w:val="16"/>
                <w:szCs w:val="16"/>
              </w:rPr>
              <w:t>.                                                                                                                        Zdroj: MF SR</w:t>
            </w:r>
          </w:p>
        </w:tc>
      </w:tr>
    </w:tbl>
    <w:p w14:paraId="7563C0B0" w14:textId="77777777" w:rsidR="007969C5" w:rsidRPr="00807C08" w:rsidRDefault="007969C5" w:rsidP="00D9527E">
      <w:pPr>
        <w:jc w:val="both"/>
        <w:rPr>
          <w:rFonts w:ascii="Arial Narrow" w:hAnsi="Arial Narrow"/>
        </w:rPr>
      </w:pPr>
    </w:p>
    <w:p w14:paraId="39126FA8" w14:textId="1727FBD5" w:rsidR="00AD57FE" w:rsidRDefault="00AD57FE">
      <w:pPr>
        <w:rPr>
          <w:rFonts w:ascii="Arial Narrow" w:eastAsia="NeueHaasGroteskText W02" w:hAnsi="Arial Narrow" w:cs="Arial"/>
          <w:i/>
          <w:iCs/>
          <w:sz w:val="16"/>
          <w:szCs w:val="16"/>
          <w:u w:color="2C9ADC"/>
        </w:rPr>
      </w:pPr>
      <w:r w:rsidRPr="001C4FC1">
        <w:rPr>
          <w:rFonts w:ascii="Arial Narrow" w:hAnsi="Arial Narrow"/>
          <w:i/>
          <w:sz w:val="16"/>
          <w:szCs w:val="16"/>
        </w:rPr>
        <w:t xml:space="preserve">.                                                                                                                      </w:t>
      </w:r>
      <w:r>
        <w:rPr>
          <w:rFonts w:ascii="Arial Narrow" w:hAnsi="Arial Narrow"/>
          <w:i/>
          <w:sz w:val="16"/>
          <w:szCs w:val="16"/>
        </w:rPr>
        <w:tab/>
      </w:r>
      <w:r>
        <w:rPr>
          <w:rFonts w:ascii="Arial Narrow" w:hAnsi="Arial Narrow"/>
          <w:i/>
          <w:sz w:val="16"/>
          <w:szCs w:val="16"/>
        </w:rPr>
        <w:tab/>
      </w:r>
      <w:r>
        <w:rPr>
          <w:rFonts w:ascii="Arial Narrow" w:hAnsi="Arial Narrow"/>
          <w:i/>
          <w:sz w:val="16"/>
          <w:szCs w:val="16"/>
        </w:rPr>
        <w:tab/>
      </w:r>
      <w:r>
        <w:rPr>
          <w:rFonts w:ascii="Arial Narrow" w:hAnsi="Arial Narrow"/>
          <w:i/>
          <w:sz w:val="16"/>
          <w:szCs w:val="16"/>
        </w:rPr>
        <w:tab/>
      </w:r>
      <w:r>
        <w:rPr>
          <w:rFonts w:ascii="Arial Narrow" w:hAnsi="Arial Narrow"/>
          <w:i/>
          <w:sz w:val="16"/>
          <w:szCs w:val="16"/>
        </w:rPr>
        <w:tab/>
      </w:r>
    </w:p>
    <w:p w14:paraId="6AFFAF84" w14:textId="5FCF919F" w:rsidR="00BF69BE" w:rsidRDefault="00BF69BE">
      <w:pPr>
        <w:rPr>
          <w:rFonts w:ascii="Arial Narrow" w:eastAsia="NeueHaasGroteskText W02" w:hAnsi="Arial Narrow" w:cs="Arial"/>
          <w:i/>
          <w:iCs/>
          <w:sz w:val="16"/>
          <w:szCs w:val="16"/>
          <w:u w:color="2C9ADC"/>
        </w:rPr>
      </w:pPr>
      <w:r>
        <w:rPr>
          <w:rFonts w:ascii="Arial Narrow" w:eastAsia="NeueHaasGroteskText W02" w:hAnsi="Arial Narrow" w:cs="Arial"/>
          <w:i/>
          <w:iCs/>
          <w:sz w:val="16"/>
          <w:szCs w:val="16"/>
          <w:u w:color="2C9ADC"/>
        </w:rPr>
        <w:br w:type="page"/>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3CAEB" w:themeFill="accent1" w:themeFillTint="66"/>
        <w:tblLook w:val="04A0" w:firstRow="1" w:lastRow="0" w:firstColumn="1" w:lastColumn="0" w:noHBand="0" w:noVBand="1"/>
      </w:tblPr>
      <w:tblGrid>
        <w:gridCol w:w="9062"/>
      </w:tblGrid>
      <w:tr w:rsidR="00D9527E" w:rsidRPr="001C4FC1" w14:paraId="2B995044" w14:textId="77777777" w:rsidTr="000161BC">
        <w:trPr>
          <w:trHeight w:val="284"/>
        </w:trPr>
        <w:tc>
          <w:tcPr>
            <w:tcW w:w="9062" w:type="dxa"/>
            <w:shd w:val="clear" w:color="auto" w:fill="83CAEB" w:themeFill="accent1" w:themeFillTint="66"/>
          </w:tcPr>
          <w:p w14:paraId="29B52311" w14:textId="6976EE07" w:rsidR="00D9527E" w:rsidRPr="001C4FC1" w:rsidRDefault="00D9527E" w:rsidP="000161BC">
            <w:pPr>
              <w:pStyle w:val="Box"/>
              <w:spacing w:after="120" w:line="276" w:lineRule="auto"/>
              <w:rPr>
                <w:color w:val="2C9ADC"/>
              </w:rPr>
            </w:pPr>
            <w:bookmarkStart w:id="47" w:name="_Toc228177438"/>
            <w:r w:rsidRPr="001C4FC1">
              <w:rPr>
                <w:color w:val="2C9ADC"/>
                <w:sz w:val="22"/>
                <w:szCs w:val="22"/>
              </w:rPr>
              <w:lastRenderedPageBreak/>
              <w:t xml:space="preserve">BOX </w:t>
            </w:r>
            <w:r w:rsidRPr="001C4FC1">
              <w:rPr>
                <w:color w:val="2C9ADC"/>
                <w:sz w:val="22"/>
                <w:szCs w:val="22"/>
              </w:rPr>
              <w:fldChar w:fldCharType="begin"/>
            </w:r>
            <w:r w:rsidRPr="001C4FC1">
              <w:rPr>
                <w:color w:val="2C9ADC"/>
                <w:sz w:val="22"/>
                <w:szCs w:val="22"/>
              </w:rPr>
              <w:instrText xml:space="preserve"> SEQ BOX \* ARABIC </w:instrText>
            </w:r>
            <w:r w:rsidRPr="001C4FC1">
              <w:rPr>
                <w:color w:val="2C9ADC"/>
                <w:sz w:val="22"/>
                <w:szCs w:val="22"/>
              </w:rPr>
              <w:fldChar w:fldCharType="separate"/>
            </w:r>
            <w:r w:rsidR="008765E2">
              <w:rPr>
                <w:noProof/>
                <w:color w:val="2C9ADC"/>
                <w:sz w:val="22"/>
                <w:szCs w:val="22"/>
              </w:rPr>
              <w:t>3</w:t>
            </w:r>
            <w:r w:rsidRPr="001C4FC1">
              <w:rPr>
                <w:color w:val="2C9ADC"/>
                <w:sz w:val="22"/>
                <w:szCs w:val="22"/>
              </w:rPr>
              <w:fldChar w:fldCharType="end"/>
            </w:r>
            <w:r w:rsidRPr="001C4FC1">
              <w:rPr>
                <w:color w:val="2C9ADC"/>
                <w:sz w:val="22"/>
                <w:szCs w:val="22"/>
              </w:rPr>
              <w:t xml:space="preserve"> – Aktivácia dlhovej brzdy v roku 2025</w:t>
            </w:r>
            <w:bookmarkEnd w:id="47"/>
          </w:p>
          <w:p w14:paraId="250F051D" w14:textId="34BC562B" w:rsidR="00D9527E" w:rsidRPr="001C4FC1" w:rsidRDefault="00D9527E" w:rsidP="000161BC">
            <w:pPr>
              <w:widowControl w:val="0"/>
              <w:spacing w:before="120" w:after="240"/>
              <w:jc w:val="both"/>
              <w:rPr>
                <w:rStyle w:val="Vrazn"/>
                <w:rFonts w:ascii="Arial Narrow" w:hAnsi="Arial Narrow"/>
                <w:b w:val="0"/>
                <w:bCs w:val="0"/>
              </w:rPr>
            </w:pPr>
            <w:r w:rsidRPr="001C4FC1">
              <w:rPr>
                <w:rStyle w:val="Vrazn"/>
                <w:rFonts w:ascii="Arial Narrow" w:hAnsi="Arial Narrow"/>
              </w:rPr>
              <w:t>V novembri 2025 u</w:t>
            </w:r>
            <w:r w:rsidRPr="001C4FC1">
              <w:rPr>
                <w:rStyle w:val="Vrazn"/>
              </w:rPr>
              <w:t>plynula</w:t>
            </w:r>
            <w:r w:rsidRPr="001C4FC1">
              <w:rPr>
                <w:rStyle w:val="Vrazn"/>
                <w:rFonts w:ascii="Arial Narrow" w:hAnsi="Arial Narrow"/>
              </w:rPr>
              <w:t xml:space="preserve"> dvojročná úniková klauzula pre novú vládu týkajúca sa najprísnejších sankcií dlhovej brzdy</w:t>
            </w:r>
            <w:r w:rsidRPr="00231E8A">
              <w:rPr>
                <w:rStyle w:val="Vrazn"/>
                <w:rFonts w:ascii="Arial Narrow" w:hAnsi="Arial Narrow"/>
                <w:b w:val="0"/>
                <w:bCs w:val="0"/>
              </w:rPr>
              <w:t xml:space="preserve">. </w:t>
            </w:r>
            <w:r w:rsidR="006C0532" w:rsidRPr="00231E8A">
              <w:rPr>
                <w:rStyle w:val="Vrazn"/>
                <w:rFonts w:ascii="Arial Narrow" w:hAnsi="Arial Narrow"/>
                <w:b w:val="0"/>
                <w:bCs w:val="0"/>
              </w:rPr>
              <w:t xml:space="preserve">Kým pred nástupom pandémie sa hrubý </w:t>
            </w:r>
            <w:r w:rsidRPr="00231E8A">
              <w:rPr>
                <w:rStyle w:val="Vrazn"/>
                <w:rFonts w:ascii="Arial Narrow" w:hAnsi="Arial Narrow"/>
                <w:b w:val="0"/>
                <w:bCs w:val="0"/>
              </w:rPr>
              <w:t xml:space="preserve">dlh verejnej správy </w:t>
            </w:r>
            <w:r w:rsidR="006C0532" w:rsidRPr="00231E8A">
              <w:rPr>
                <w:rStyle w:val="Vrazn"/>
                <w:rFonts w:ascii="Arial Narrow" w:hAnsi="Arial Narrow"/>
                <w:b w:val="0"/>
                <w:bCs w:val="0"/>
              </w:rPr>
              <w:t xml:space="preserve">v roku 2019 ešte nachádzal pod sankčnými pásmami, </w:t>
            </w:r>
            <w:r w:rsidRPr="00231E8A">
              <w:rPr>
                <w:rStyle w:val="Vrazn"/>
                <w:rFonts w:ascii="Arial Narrow" w:hAnsi="Arial Narrow"/>
                <w:b w:val="0"/>
                <w:bCs w:val="0"/>
              </w:rPr>
              <w:t xml:space="preserve">od roku 2020 </w:t>
            </w:r>
            <w:r w:rsidR="003E5C54">
              <w:rPr>
                <w:rStyle w:val="Vrazn"/>
                <w:rFonts w:ascii="Arial Narrow" w:hAnsi="Arial Narrow"/>
                <w:b w:val="0"/>
                <w:bCs w:val="0"/>
              </w:rPr>
              <w:t>s</w:t>
            </w:r>
            <w:r w:rsidR="003E5C54">
              <w:rPr>
                <w:rStyle w:val="Vrazn"/>
                <w:rFonts w:ascii="Arial Narrow" w:hAnsi="Arial Narrow"/>
              </w:rPr>
              <w:t xml:space="preserve">a </w:t>
            </w:r>
            <w:r w:rsidRPr="00231E8A">
              <w:rPr>
                <w:rStyle w:val="Vrazn"/>
                <w:rFonts w:ascii="Arial Narrow" w:hAnsi="Arial Narrow"/>
                <w:b w:val="0"/>
                <w:bCs w:val="0"/>
              </w:rPr>
              <w:t>drží v najvyššom sankčnom pásme ústavného zákona o rozpočtovej zodpovednosti</w:t>
            </w:r>
            <w:r w:rsidRPr="003E5C54">
              <w:rPr>
                <w:rStyle w:val="Odkaznapoznmkupodiarou"/>
                <w:rFonts w:ascii="Arial Narrow" w:hAnsi="Arial Narrow"/>
                <w:b/>
              </w:rPr>
              <w:footnoteReference w:id="16"/>
            </w:r>
            <w:r w:rsidRPr="00231E8A">
              <w:rPr>
                <w:rStyle w:val="Vrazn"/>
                <w:rFonts w:ascii="Arial Narrow" w:hAnsi="Arial Narrow"/>
                <w:b w:val="0"/>
                <w:bCs w:val="0"/>
              </w:rPr>
              <w:t>. Po nástupe novej vlády koncom roka 2023 sa na 24 mesiacov aktivovala úniková klauzula z troch najvyšších sankčných pásiem</w:t>
            </w:r>
            <w:r w:rsidR="00F37BFF">
              <w:rPr>
                <w:rStyle w:val="Vrazn"/>
                <w:rFonts w:ascii="Arial Narrow" w:hAnsi="Arial Narrow"/>
                <w:b w:val="0"/>
                <w:bCs w:val="0"/>
              </w:rPr>
              <w:t>.</w:t>
            </w:r>
          </w:p>
          <w:p w14:paraId="7618AC5D" w14:textId="4B3F813C" w:rsidR="00D9527E" w:rsidRPr="001C4FC1" w:rsidRDefault="00D9527E" w:rsidP="000161BC">
            <w:pPr>
              <w:widowControl w:val="0"/>
              <w:spacing w:before="120" w:after="240"/>
              <w:jc w:val="both"/>
              <w:rPr>
                <w:rFonts w:ascii="Arial Narrow" w:hAnsi="Arial Narrow"/>
                <w:b/>
                <w:bCs/>
              </w:rPr>
            </w:pPr>
            <w:r w:rsidRPr="001C4FC1">
              <w:rPr>
                <w:rStyle w:val="Vrazn"/>
                <w:rFonts w:ascii="Arial Narrow" w:hAnsi="Arial Narrow"/>
              </w:rPr>
              <w:t xml:space="preserve">Novelizácia dlhovej brzdy by mohla ústavný zákon posilniť, ale aj odvrátiť sankciu skokovo vyrovnaného rozpočtu. </w:t>
            </w:r>
            <w:r w:rsidRPr="001C4FC1">
              <w:rPr>
                <w:rStyle w:val="Vrazn"/>
                <w:rFonts w:ascii="Arial Narrow" w:hAnsi="Arial Narrow"/>
                <w:b w:val="0"/>
                <w:bCs w:val="0"/>
              </w:rPr>
              <w:t>Vyše desať rokov skúseností s fungovaním dlhovej brzdy preukázalo jej asymetrickosť v prípade sankcií</w:t>
            </w:r>
            <w:r w:rsidR="00F37BFF">
              <w:rPr>
                <w:rStyle w:val="Vrazn"/>
                <w:rFonts w:ascii="Arial Narrow" w:hAnsi="Arial Narrow"/>
                <w:b w:val="0"/>
                <w:bCs w:val="0"/>
              </w:rPr>
              <w:t>, či neadekvátnosť uplatňovaných výnimiek.</w:t>
            </w:r>
            <w:r w:rsidRPr="001C4FC1">
              <w:rPr>
                <w:rStyle w:val="Vrazn"/>
                <w:rFonts w:ascii="Arial Narrow" w:hAnsi="Arial Narrow"/>
                <w:b w:val="0"/>
                <w:bCs w:val="0"/>
              </w:rPr>
              <w:t xml:space="preserve"> V dolných sankčných pásmach sú sankcie viac formálne a naopak, v najvyššom sankčnom pásme dlhová brzda žiada skokovo vyrovnať rozpočet. To môže viesť k extrémnemu vplyvu na ekonomiku a fungovanie verejných služieb. </w:t>
            </w:r>
            <w:r w:rsidR="006C0532">
              <w:rPr>
                <w:rStyle w:val="Vrazn"/>
                <w:rFonts w:ascii="Arial Narrow" w:hAnsi="Arial Narrow"/>
                <w:b w:val="0"/>
                <w:bCs w:val="0"/>
              </w:rPr>
              <w:t>Zároveň niektoré sankcie sa stretli s nejednoznačným výkladom v</w:t>
            </w:r>
            <w:r w:rsidR="001371BB">
              <w:rPr>
                <w:rStyle w:val="Vrazn"/>
                <w:rFonts w:ascii="Arial Narrow" w:hAnsi="Arial Narrow"/>
                <w:b w:val="0"/>
                <w:bCs w:val="0"/>
              </w:rPr>
              <w:t> </w:t>
            </w:r>
            <w:r w:rsidR="006C0532">
              <w:rPr>
                <w:rStyle w:val="Vrazn"/>
                <w:rFonts w:ascii="Arial Narrow" w:hAnsi="Arial Narrow"/>
                <w:b w:val="0"/>
                <w:bCs w:val="0"/>
              </w:rPr>
              <w:t>praxi</w:t>
            </w:r>
            <w:r w:rsidR="001371BB">
              <w:rPr>
                <w:rStyle w:val="Vrazn"/>
                <w:rFonts w:ascii="Arial Narrow" w:hAnsi="Arial Narrow"/>
                <w:b w:val="0"/>
                <w:bCs w:val="0"/>
              </w:rPr>
              <w:t>, napríklad</w:t>
            </w:r>
            <w:r w:rsidR="006C0532">
              <w:rPr>
                <w:rStyle w:val="Vrazn"/>
                <w:rFonts w:ascii="Arial Narrow" w:hAnsi="Arial Narrow"/>
                <w:b w:val="0"/>
                <w:bCs w:val="0"/>
              </w:rPr>
              <w:t xml:space="preserve"> s ohľadom na termíny plnenia sankcií. </w:t>
            </w:r>
            <w:r w:rsidRPr="001C4FC1">
              <w:rPr>
                <w:rStyle w:val="Vrazn"/>
                <w:rFonts w:ascii="Arial Narrow" w:hAnsi="Arial Narrow"/>
                <w:b w:val="0"/>
                <w:bCs w:val="0"/>
              </w:rPr>
              <w:t>Programové vyhlásenie vlády obsahuje ambíciu novelizovať ústavný zákon s cieľom reflektovať na identifikované nedostatky</w:t>
            </w:r>
            <w:r w:rsidR="00D7293D">
              <w:rPr>
                <w:rStyle w:val="Vrazn"/>
                <w:rFonts w:ascii="Arial Narrow" w:hAnsi="Arial Narrow"/>
                <w:b w:val="0"/>
                <w:bCs w:val="0"/>
              </w:rPr>
              <w:t xml:space="preserve">. </w:t>
            </w:r>
            <w:r w:rsidRPr="001C4FC1">
              <w:rPr>
                <w:rStyle w:val="Vrazn"/>
                <w:rFonts w:ascii="Arial Narrow" w:hAnsi="Arial Narrow"/>
                <w:b w:val="0"/>
                <w:bCs w:val="0"/>
              </w:rPr>
              <w:t>Aktuálne sa hľadá politická zhoda na novele zákona</w:t>
            </w:r>
            <w:r w:rsidR="00F37BFF">
              <w:rPr>
                <w:rStyle w:val="Vrazn"/>
                <w:rFonts w:ascii="Arial Narrow" w:hAnsi="Arial Narrow"/>
                <w:b w:val="0"/>
                <w:bCs w:val="0"/>
              </w:rPr>
              <w:t>,</w:t>
            </w:r>
            <w:r w:rsidR="00503DD0">
              <w:rPr>
                <w:rStyle w:val="Vrazn"/>
                <w:rFonts w:ascii="Arial Narrow" w:hAnsi="Arial Narrow"/>
                <w:b w:val="0"/>
                <w:bCs w:val="0"/>
              </w:rPr>
              <w:t xml:space="preserve"> </w:t>
            </w:r>
            <w:r w:rsidR="00F37BFF">
              <w:rPr>
                <w:rStyle w:val="Vrazn"/>
                <w:rFonts w:ascii="Arial Narrow" w:hAnsi="Arial Narrow"/>
                <w:b w:val="0"/>
                <w:bCs w:val="0"/>
              </w:rPr>
              <w:t xml:space="preserve">najmä s ohľadom na </w:t>
            </w:r>
            <w:r w:rsidR="00503DD0">
              <w:rPr>
                <w:rStyle w:val="Vrazn"/>
                <w:rFonts w:ascii="Arial Narrow" w:hAnsi="Arial Narrow"/>
                <w:b w:val="0"/>
                <w:bCs w:val="0"/>
              </w:rPr>
              <w:t>schopnosť</w:t>
            </w:r>
            <w:r w:rsidR="00F37BFF">
              <w:rPr>
                <w:rStyle w:val="Vrazn"/>
                <w:rFonts w:ascii="Arial Narrow" w:hAnsi="Arial Narrow"/>
                <w:b w:val="0"/>
                <w:bCs w:val="0"/>
              </w:rPr>
              <w:t xml:space="preserve"> samospráv pripraviť rozpočet na rok 2027.</w:t>
            </w:r>
          </w:p>
        </w:tc>
      </w:tr>
    </w:tbl>
    <w:p w14:paraId="33A90A82" w14:textId="77777777" w:rsidR="00D9527E" w:rsidRPr="001C4FC1" w:rsidRDefault="00D9527E" w:rsidP="00D9527E"/>
    <w:p w14:paraId="31ED3CBF" w14:textId="62A631FD" w:rsidR="00AA20CF" w:rsidRDefault="00AA20CF">
      <w:pPr>
        <w:rPr>
          <w:i/>
        </w:rPr>
      </w:pPr>
      <w:r>
        <w:rPr>
          <w:i/>
        </w:rPr>
        <w:br w:type="page"/>
      </w:r>
    </w:p>
    <w:p w14:paraId="3EA85FB8" w14:textId="77777777" w:rsidR="00AA20CF" w:rsidRDefault="00AA20CF" w:rsidP="00AA20CF">
      <w:pPr>
        <w:pStyle w:val="ifphl1"/>
      </w:pPr>
      <w:bookmarkStart w:id="48" w:name="_Toc228177463"/>
      <w:bookmarkStart w:id="49" w:name="_Toc179301612"/>
      <w:bookmarkStart w:id="50" w:name="_Hlk193875662"/>
      <w:r w:rsidRPr="009775AE">
        <w:lastRenderedPageBreak/>
        <w:t>POKROK v reformách a</w:t>
      </w:r>
      <w:r>
        <w:t> </w:t>
      </w:r>
      <w:r w:rsidRPr="009775AE">
        <w:t>investíciách</w:t>
      </w:r>
      <w:bookmarkEnd w:id="48"/>
      <w:r w:rsidRPr="00151545">
        <w:t xml:space="preserve"> </w:t>
      </w:r>
    </w:p>
    <w:p w14:paraId="5C6CF00E" w14:textId="0D1CBBCA" w:rsidR="00AA20CF" w:rsidRPr="0091083A" w:rsidRDefault="00924988" w:rsidP="00AA20CF">
      <w:pPr>
        <w:pStyle w:val="ifpperex"/>
      </w:pPr>
      <w:r w:rsidRPr="00924988">
        <w:t>Pokračuje sa aj v realizácii dôležitých štrukturálnych reforiem a investícií. Najväčší pokrok sa dosiahol v školstve a energetike, pričom aj ďalšie oblasti, ako napríklad doprava, postupujú podľa plánu. Približne tretina všetkých opatrení je už dokončená. Pri niektorých opatreniach došlo k úpravám ich nastavenia, napríklad pri dobudovaní kapacít materských škôl sa zmenil spôsob merania cieľa a pri obnoviteľných zdrojoch energie sa navýšil cieľ inštalovaného výkonu. Úpravy sa dotkli aj vybraných úsekov modernizácie železničnej infraštruktúry.  Okrem Plánu obnovy sa pripravujú aj ďalšie reformy, pričom vláda schválila viacero opatrení zameraných na boj proti daňovým únikom.</w:t>
      </w:r>
    </w:p>
    <w:p w14:paraId="5A423D99" w14:textId="77777777" w:rsidR="00AA20CF" w:rsidRPr="00144313" w:rsidRDefault="00AA20CF" w:rsidP="00AA20CF">
      <w:pPr>
        <w:jc w:val="both"/>
        <w:rPr>
          <w:rFonts w:ascii="Arial Narrow" w:hAnsi="Arial Narrow"/>
          <w:b/>
          <w:bCs/>
        </w:rPr>
      </w:pPr>
      <w:bookmarkStart w:id="51" w:name="_Hlk225346981"/>
      <w:r w:rsidRPr="00144313">
        <w:rPr>
          <w:rFonts w:ascii="Arial Narrow" w:hAnsi="Arial Narrow"/>
          <w:b/>
          <w:bCs/>
        </w:rPr>
        <w:t xml:space="preserve">Výročná správa o pokroku predstavuje nový nástroj v európskom semestri na sledovanie realizácie reforiem a investícií. </w:t>
      </w:r>
      <w:r w:rsidRPr="007F2E0E">
        <w:rPr>
          <w:rFonts w:ascii="Arial Narrow" w:hAnsi="Arial Narrow"/>
        </w:rPr>
        <w:t>Zameriava sa na reformy a investície, ktoré sú predmetom kolektívneho monitorovania a mnohostrannej diskusie o politických výzvach a možnostiach ich riešenia. Správa nadväzuje na záväzky uvedené v strednodobom fiškálno-štrukturálnom pláne a umožňuje priebežne vyhodnocovať ich plnenie, ako aj dopĺňať nové opatrenia v reakcii na aktuálne štrukturálne výzvy</w:t>
      </w:r>
      <w:r w:rsidRPr="00144313">
        <w:rPr>
          <w:rFonts w:ascii="Arial Narrow" w:hAnsi="Arial Narrow"/>
          <w:b/>
          <w:bCs/>
        </w:rPr>
        <w:t>.</w:t>
      </w:r>
    </w:p>
    <w:p w14:paraId="3A4201BB" w14:textId="0F59BFB6" w:rsidR="00AA20CF" w:rsidRPr="00144313" w:rsidRDefault="00AA20CF" w:rsidP="00AA20CF">
      <w:pPr>
        <w:jc w:val="both"/>
        <w:rPr>
          <w:rFonts w:ascii="Arial Narrow" w:hAnsi="Arial Narrow"/>
        </w:rPr>
      </w:pPr>
      <w:r w:rsidRPr="00144313">
        <w:rPr>
          <w:rFonts w:ascii="Arial Narrow" w:hAnsi="Arial Narrow"/>
          <w:b/>
          <w:bCs/>
        </w:rPr>
        <w:t>V súlade s požiadavkami</w:t>
      </w:r>
      <w:r w:rsidRPr="00144313">
        <w:rPr>
          <w:rStyle w:val="Odkaznapoznmkupodiarou"/>
          <w:rFonts w:ascii="Arial Narrow" w:hAnsi="Arial Narrow"/>
          <w:b/>
          <w:bCs/>
        </w:rPr>
        <w:footnoteReference w:id="17"/>
      </w:r>
      <w:r w:rsidRPr="00144313">
        <w:rPr>
          <w:rFonts w:ascii="Arial Narrow" w:hAnsi="Arial Narrow"/>
          <w:b/>
          <w:bCs/>
        </w:rPr>
        <w:t xml:space="preserve"> správa poskytuje informácie o stave implementácie reforiem a investícií, ku ktorým sa SR zaviazala v strednodobom pláne (</w:t>
      </w:r>
      <w:r w:rsidRPr="00144313">
        <w:rPr>
          <w:rFonts w:ascii="Arial Narrow" w:hAnsi="Arial Narrow"/>
          <w:b/>
          <w:bCs/>
          <w:color w:val="2C9ADC"/>
        </w:rPr>
        <w:t>TABUĽKA 5</w:t>
      </w:r>
      <w:r w:rsidRPr="00144313">
        <w:rPr>
          <w:rFonts w:ascii="Arial Narrow" w:hAnsi="Arial Narrow"/>
          <w:b/>
          <w:bCs/>
        </w:rPr>
        <w:t>).</w:t>
      </w:r>
      <w:r>
        <w:rPr>
          <w:rFonts w:ascii="Arial Narrow" w:hAnsi="Arial Narrow"/>
        </w:rPr>
        <w:t xml:space="preserve"> </w:t>
      </w:r>
      <w:r w:rsidRPr="00144313">
        <w:rPr>
          <w:rFonts w:ascii="Arial Narrow" w:hAnsi="Arial Narrow"/>
        </w:rPr>
        <w:t xml:space="preserve">Väčšina z 18 reforiem a 11 investícií </w:t>
      </w:r>
      <w:r>
        <w:rPr>
          <w:rFonts w:ascii="Arial Narrow" w:hAnsi="Arial Narrow"/>
        </w:rPr>
        <w:t>sa realizuje podľa plánu</w:t>
      </w:r>
      <w:r w:rsidRPr="00144313">
        <w:rPr>
          <w:rFonts w:ascii="Arial Narrow" w:hAnsi="Arial Narrow"/>
        </w:rPr>
        <w:t xml:space="preserve">. K dátumu predloženia Výročnej správy o pokroku bolo </w:t>
      </w:r>
      <w:r>
        <w:rPr>
          <w:rFonts w:ascii="Arial Narrow" w:hAnsi="Arial Narrow"/>
        </w:rPr>
        <w:t xml:space="preserve">v plnom rozsahu </w:t>
      </w:r>
      <w:r w:rsidRPr="00144313">
        <w:rPr>
          <w:rFonts w:ascii="Arial Narrow" w:hAnsi="Arial Narrow"/>
        </w:rPr>
        <w:t xml:space="preserve">dokončených </w:t>
      </w:r>
      <w:r w:rsidR="0025448A">
        <w:rPr>
          <w:rFonts w:ascii="Arial Narrow" w:hAnsi="Arial Narrow"/>
        </w:rPr>
        <w:t>12</w:t>
      </w:r>
      <w:r w:rsidRPr="00144313">
        <w:rPr>
          <w:rFonts w:ascii="Arial Narrow" w:hAnsi="Arial Narrow"/>
        </w:rPr>
        <w:t xml:space="preserve"> opatrení</w:t>
      </w:r>
      <w:r w:rsidRPr="00144313">
        <w:rPr>
          <w:rStyle w:val="Odkaznapoznmkupodiarou"/>
          <w:rFonts w:ascii="Arial Narrow" w:hAnsi="Arial Narrow"/>
        </w:rPr>
        <w:footnoteReference w:id="18"/>
      </w:r>
      <w:r w:rsidRPr="00144313">
        <w:rPr>
          <w:rFonts w:ascii="Arial Narrow" w:hAnsi="Arial Narrow"/>
        </w:rPr>
        <w:t xml:space="preserve">. </w:t>
      </w:r>
      <w:r w:rsidRPr="00370D43">
        <w:rPr>
          <w:rFonts w:ascii="Arial Narrow" w:hAnsi="Arial Narrow"/>
        </w:rPr>
        <w:t>Pri niektorých opatreniach zároveň došlo k zmene implementačného rámca</w:t>
      </w:r>
      <w:r w:rsidRPr="00144313">
        <w:rPr>
          <w:rFonts w:ascii="Arial Narrow" w:hAnsi="Arial Narrow"/>
        </w:rPr>
        <w:t xml:space="preserve">, ktorú </w:t>
      </w:r>
      <w:r>
        <w:rPr>
          <w:rFonts w:ascii="Arial Narrow" w:hAnsi="Arial Narrow"/>
        </w:rPr>
        <w:t xml:space="preserve">čiastočne </w:t>
      </w:r>
      <w:r w:rsidRPr="00144313">
        <w:rPr>
          <w:rFonts w:ascii="Arial Narrow" w:hAnsi="Arial Narrow"/>
        </w:rPr>
        <w:t xml:space="preserve">zohľadňuje aj revízia Plánu obnovy a odolnosti SR (POO). V prípade </w:t>
      </w:r>
      <w:r w:rsidRPr="00C54DDD">
        <w:rPr>
          <w:rFonts w:ascii="Arial Narrow" w:hAnsi="Arial Narrow"/>
        </w:rPr>
        <w:t>dobudovan</w:t>
      </w:r>
      <w:r>
        <w:rPr>
          <w:rFonts w:ascii="Arial Narrow" w:hAnsi="Arial Narrow"/>
        </w:rPr>
        <w:t>ia</w:t>
      </w:r>
      <w:r w:rsidRPr="00C54DDD">
        <w:rPr>
          <w:rFonts w:ascii="Arial Narrow" w:hAnsi="Arial Narrow"/>
        </w:rPr>
        <w:t xml:space="preserve"> kapacít materských škôl sa zmenil spôsob merania cieľa a pri obnoviteľných zdrojoch energie sa navýšil cieľ inštalovaného výkonu</w:t>
      </w:r>
      <w:r w:rsidRPr="00144313">
        <w:rPr>
          <w:rFonts w:ascii="Arial Narrow" w:hAnsi="Arial Narrow"/>
        </w:rPr>
        <w:t>. Tabuľka zároveň informuje o prepojení jednotlivých opatrení na spoločné priority Únie (CP)</w:t>
      </w:r>
      <w:r w:rsidRPr="00144313">
        <w:rPr>
          <w:rStyle w:val="Odkaznapoznmkupodiarou"/>
          <w:rFonts w:ascii="Arial Narrow" w:hAnsi="Arial Narrow"/>
        </w:rPr>
        <w:footnoteReference w:id="19"/>
      </w:r>
      <w:r w:rsidRPr="00144313">
        <w:rPr>
          <w:rFonts w:ascii="Arial Narrow" w:hAnsi="Arial Narrow"/>
        </w:rPr>
        <w:t>, odporúčania Rady EÚ pre Slovensko (CSR)</w:t>
      </w:r>
      <w:r w:rsidRPr="00144313">
        <w:rPr>
          <w:rStyle w:val="Odkaznapoznmkupodiarou"/>
          <w:rFonts w:ascii="Arial Narrow" w:hAnsi="Arial Narrow"/>
        </w:rPr>
        <w:footnoteReference w:id="20"/>
      </w:r>
      <w:r w:rsidRPr="00144313">
        <w:rPr>
          <w:rFonts w:ascii="Arial Narrow" w:hAnsi="Arial Narrow"/>
        </w:rPr>
        <w:t>, ciele udržateľného rozvoja (SDG)</w:t>
      </w:r>
      <w:r w:rsidRPr="00144313">
        <w:rPr>
          <w:rStyle w:val="Odkaznapoznmkupodiarou"/>
          <w:rFonts w:ascii="Arial Narrow" w:hAnsi="Arial Narrow"/>
        </w:rPr>
        <w:footnoteReference w:id="21"/>
      </w:r>
      <w:r w:rsidRPr="00144313">
        <w:rPr>
          <w:rFonts w:ascii="Arial Narrow" w:hAnsi="Arial Narrow"/>
        </w:rPr>
        <w:t xml:space="preserve"> a zásady Európskeho piliera sociálnych práv (EPSP)</w:t>
      </w:r>
      <w:r w:rsidRPr="00144313">
        <w:rPr>
          <w:rStyle w:val="Odkaznapoznmkupodiarou"/>
          <w:rFonts w:ascii="Arial Narrow" w:hAnsi="Arial Narrow"/>
        </w:rPr>
        <w:footnoteReference w:id="22"/>
      </w:r>
      <w:r w:rsidRPr="00144313">
        <w:rPr>
          <w:rFonts w:ascii="Arial Narrow" w:hAnsi="Arial Narrow"/>
        </w:rPr>
        <w:t>. Tieto väzby odrážajú nadväznosť opatrení na strategické smerovanie EÚ a zároveň uľahčujú ich hodnotenie v rámci európskeho semestra</w:t>
      </w:r>
      <w:r w:rsidRPr="00144313">
        <w:rPr>
          <w:rStyle w:val="Odkaznapoznmkupodiarou"/>
          <w:rFonts w:ascii="Arial Narrow" w:hAnsi="Arial Narrow"/>
        </w:rPr>
        <w:footnoteReference w:id="23"/>
      </w:r>
      <w:r w:rsidRPr="00144313">
        <w:rPr>
          <w:rFonts w:ascii="Arial Narrow" w:hAnsi="Arial Narrow"/>
        </w:rPr>
        <w:t>.</w:t>
      </w:r>
    </w:p>
    <w:p w14:paraId="11493309" w14:textId="77777777" w:rsidR="00AA20CF" w:rsidRPr="00144313" w:rsidRDefault="00AA20CF" w:rsidP="00AA20CF">
      <w:pPr>
        <w:jc w:val="both"/>
        <w:rPr>
          <w:rFonts w:ascii="Arial Narrow" w:hAnsi="Arial Narrow"/>
          <w:b/>
          <w:bCs/>
        </w:rPr>
      </w:pPr>
      <w:r>
        <w:rPr>
          <w:rFonts w:ascii="Arial Narrow" w:hAnsi="Arial Narrow"/>
          <w:b/>
          <w:bCs/>
        </w:rPr>
        <w:t>Správa z</w:t>
      </w:r>
      <w:r w:rsidRPr="00144313">
        <w:rPr>
          <w:rFonts w:ascii="Arial Narrow" w:hAnsi="Arial Narrow"/>
          <w:b/>
          <w:bCs/>
        </w:rPr>
        <w:t>ároveň predstav</w:t>
      </w:r>
      <w:r>
        <w:rPr>
          <w:rFonts w:ascii="Arial Narrow" w:hAnsi="Arial Narrow"/>
          <w:b/>
          <w:bCs/>
        </w:rPr>
        <w:t>uje</w:t>
      </w:r>
      <w:r w:rsidRPr="00144313">
        <w:rPr>
          <w:rFonts w:ascii="Arial Narrow" w:hAnsi="Arial Narrow"/>
          <w:b/>
          <w:bCs/>
        </w:rPr>
        <w:t xml:space="preserve"> aj nové iniciatívy, ktoré rozširujú reformný a investičný rámec v</w:t>
      </w:r>
      <w:r>
        <w:rPr>
          <w:rFonts w:ascii="Arial Narrow" w:hAnsi="Arial Narrow"/>
          <w:b/>
          <w:bCs/>
        </w:rPr>
        <w:t> </w:t>
      </w:r>
      <w:r w:rsidRPr="00144313">
        <w:rPr>
          <w:rFonts w:ascii="Arial Narrow" w:hAnsi="Arial Narrow"/>
          <w:b/>
          <w:bCs/>
        </w:rPr>
        <w:t>MTP</w:t>
      </w:r>
      <w:r>
        <w:rPr>
          <w:rFonts w:ascii="Arial Narrow" w:hAnsi="Arial Narrow"/>
          <w:b/>
          <w:bCs/>
        </w:rPr>
        <w:t xml:space="preserve"> </w:t>
      </w:r>
      <w:r w:rsidRPr="00144313">
        <w:rPr>
          <w:rFonts w:ascii="Arial Narrow" w:hAnsi="Arial Narrow"/>
          <w:b/>
          <w:bCs/>
        </w:rPr>
        <w:t>o aktuálne priority vlády SR, ktoré majú potenciál prispieť k plneniu CSR a CP (</w:t>
      </w:r>
      <w:r w:rsidRPr="00144313">
        <w:rPr>
          <w:rFonts w:ascii="Arial Narrow" w:hAnsi="Arial Narrow"/>
          <w:b/>
          <w:bCs/>
          <w:color w:val="2C9ADC"/>
        </w:rPr>
        <w:t>TABUĽKA 6</w:t>
      </w:r>
      <w:r w:rsidRPr="00144313">
        <w:rPr>
          <w:rFonts w:ascii="Arial Narrow" w:hAnsi="Arial Narrow"/>
          <w:b/>
          <w:bCs/>
        </w:rPr>
        <w:t xml:space="preserve">). </w:t>
      </w:r>
      <w:r w:rsidRPr="00144313">
        <w:rPr>
          <w:rFonts w:ascii="Arial Narrow" w:hAnsi="Arial Narrow"/>
        </w:rPr>
        <w:t xml:space="preserve">Ide o </w:t>
      </w:r>
      <w:r>
        <w:rPr>
          <w:rFonts w:ascii="Arial Narrow" w:hAnsi="Arial Narrow"/>
        </w:rPr>
        <w:t>7</w:t>
      </w:r>
      <w:r w:rsidRPr="00144313">
        <w:rPr>
          <w:rFonts w:ascii="Arial Narrow" w:hAnsi="Arial Narrow"/>
        </w:rPr>
        <w:t xml:space="preserve"> opatrení, najmä v oblasti sociálnej politiky</w:t>
      </w:r>
      <w:r>
        <w:rPr>
          <w:rFonts w:ascii="Arial Narrow" w:hAnsi="Arial Narrow"/>
        </w:rPr>
        <w:t>,</w:t>
      </w:r>
      <w:r w:rsidRPr="00144313">
        <w:rPr>
          <w:rFonts w:ascii="Arial Narrow" w:hAnsi="Arial Narrow"/>
        </w:rPr>
        <w:t xml:space="preserve"> zelenej a digitálnej transformácie. Zaradenie tejto tabuľky do Výročnej správy o pokroku je v súlade s usmernením informovať aj o novoprijatých opatreniach</w:t>
      </w:r>
      <w:r w:rsidRPr="00370D43">
        <w:t xml:space="preserve"> </w:t>
      </w:r>
      <w:r w:rsidRPr="00370D43">
        <w:rPr>
          <w:rFonts w:ascii="Arial Narrow" w:hAnsi="Arial Narrow"/>
        </w:rPr>
        <w:t>oznámených po predložení MTP.</w:t>
      </w:r>
    </w:p>
    <w:p w14:paraId="40379A6A" w14:textId="5FAE4024" w:rsidR="00AA20CF" w:rsidRPr="00144313" w:rsidRDefault="00AA20CF" w:rsidP="00AA20CF">
      <w:pPr>
        <w:jc w:val="both"/>
        <w:rPr>
          <w:rFonts w:ascii="Arial Narrow" w:hAnsi="Arial Narrow"/>
        </w:rPr>
        <w:sectPr w:rsidR="00AA20CF" w:rsidRPr="00144313" w:rsidSect="00A37D3D">
          <w:headerReference w:type="default" r:id="rId28"/>
          <w:footerReference w:type="default" r:id="rId29"/>
          <w:pgSz w:w="11906" w:h="16838"/>
          <w:pgMar w:top="1417" w:right="1417" w:bottom="1417" w:left="1417" w:header="708" w:footer="397" w:gutter="0"/>
          <w:cols w:space="708"/>
          <w:titlePg/>
          <w:docGrid w:linePitch="360"/>
        </w:sectPr>
      </w:pPr>
      <w:r w:rsidRPr="00144313">
        <w:rPr>
          <w:rFonts w:ascii="Arial Narrow" w:hAnsi="Arial Narrow"/>
          <w:b/>
          <w:bCs/>
        </w:rPr>
        <w:t xml:space="preserve">V rámci hodnotenia pokroku v reformách a investíciách je sumarizované aj plnenie </w:t>
      </w:r>
      <w:r>
        <w:rPr>
          <w:rFonts w:ascii="Arial Narrow" w:hAnsi="Arial Narrow"/>
          <w:b/>
          <w:bCs/>
        </w:rPr>
        <w:t xml:space="preserve">ostatných </w:t>
      </w:r>
      <w:r w:rsidRPr="00144313">
        <w:rPr>
          <w:rFonts w:ascii="Arial Narrow" w:hAnsi="Arial Narrow"/>
          <w:b/>
          <w:bCs/>
        </w:rPr>
        <w:t xml:space="preserve">reformných </w:t>
      </w:r>
      <w:r>
        <w:rPr>
          <w:rFonts w:ascii="Arial Narrow" w:hAnsi="Arial Narrow"/>
          <w:b/>
          <w:bCs/>
        </w:rPr>
        <w:t xml:space="preserve">a investičných </w:t>
      </w:r>
      <w:r w:rsidRPr="00144313">
        <w:rPr>
          <w:rFonts w:ascii="Arial Narrow" w:hAnsi="Arial Narrow"/>
          <w:b/>
          <w:bCs/>
        </w:rPr>
        <w:t xml:space="preserve">opatrení </w:t>
      </w:r>
      <w:r>
        <w:rPr>
          <w:rFonts w:ascii="Arial Narrow" w:hAnsi="Arial Narrow"/>
          <w:b/>
          <w:bCs/>
        </w:rPr>
        <w:t>uvedených v APR 2025</w:t>
      </w:r>
      <w:r w:rsidRPr="00144313">
        <w:rPr>
          <w:rFonts w:ascii="Arial Narrow" w:hAnsi="Arial Narrow"/>
          <w:b/>
          <w:bCs/>
        </w:rPr>
        <w:t xml:space="preserve"> (</w:t>
      </w:r>
      <w:r w:rsidRPr="00144313">
        <w:rPr>
          <w:rFonts w:ascii="Arial Narrow" w:hAnsi="Arial Narrow"/>
          <w:b/>
          <w:bCs/>
          <w:color w:val="2C9ADC"/>
        </w:rPr>
        <w:t>TABUĽKA 7</w:t>
      </w:r>
      <w:r w:rsidRPr="00144313">
        <w:rPr>
          <w:rFonts w:ascii="Arial Narrow" w:hAnsi="Arial Narrow"/>
          <w:b/>
          <w:bCs/>
        </w:rPr>
        <w:t>).</w:t>
      </w:r>
      <w:r w:rsidRPr="00144313">
        <w:rPr>
          <w:rFonts w:ascii="Arial Narrow" w:hAnsi="Arial Narrow"/>
        </w:rPr>
        <w:t xml:space="preserve"> Ich zaradenie do správy reflektuje</w:t>
      </w:r>
      <w:r>
        <w:rPr>
          <w:rFonts w:ascii="Arial Narrow" w:hAnsi="Arial Narrow"/>
        </w:rPr>
        <w:t xml:space="preserve"> snahu</w:t>
      </w:r>
      <w:r w:rsidRPr="00144313">
        <w:rPr>
          <w:rFonts w:ascii="Arial Narrow" w:hAnsi="Arial Narrow"/>
        </w:rPr>
        <w:t xml:space="preserve"> zachovať kontinuitu a transparentnosť v oblasti reportovania reformných záväzkov SR. Tabuľka obsahuje celkovo </w:t>
      </w:r>
      <w:r>
        <w:rPr>
          <w:rFonts w:ascii="Arial Narrow" w:hAnsi="Arial Narrow"/>
        </w:rPr>
        <w:t>37</w:t>
      </w:r>
      <w:r w:rsidRPr="00144313">
        <w:rPr>
          <w:rFonts w:ascii="Arial Narrow" w:hAnsi="Arial Narrow"/>
        </w:rPr>
        <w:t xml:space="preserve"> opatrení, ktoré neboli súčasťou pôvodného MTP ani POO</w:t>
      </w:r>
      <w:r w:rsidRPr="00144313">
        <w:rPr>
          <w:rFonts w:ascii="Arial Narrow" w:hAnsi="Arial Narrow"/>
          <w:b/>
          <w:bCs/>
        </w:rPr>
        <w:t xml:space="preserve">, </w:t>
      </w:r>
      <w:r w:rsidRPr="00144313">
        <w:rPr>
          <w:rFonts w:ascii="Arial Narrow" w:hAnsi="Arial Narrow"/>
        </w:rPr>
        <w:t xml:space="preserve">pričom </w:t>
      </w:r>
      <w:r w:rsidR="00D0150F">
        <w:rPr>
          <w:rFonts w:ascii="Arial Narrow" w:hAnsi="Arial Narrow"/>
        </w:rPr>
        <w:t>5</w:t>
      </w:r>
      <w:r w:rsidRPr="00144313">
        <w:rPr>
          <w:rFonts w:ascii="Arial Narrow" w:hAnsi="Arial Narrow"/>
        </w:rPr>
        <w:t xml:space="preserve"> </w:t>
      </w:r>
      <w:r w:rsidR="00D0150F">
        <w:rPr>
          <w:rFonts w:ascii="Arial Narrow" w:hAnsi="Arial Narrow"/>
        </w:rPr>
        <w:t>je</w:t>
      </w:r>
      <w:r w:rsidRPr="00144313">
        <w:rPr>
          <w:rFonts w:ascii="Arial Narrow" w:hAnsi="Arial Narrow"/>
        </w:rPr>
        <w:t xml:space="preserve"> už ukončen</w:t>
      </w:r>
      <w:r w:rsidR="00D0150F">
        <w:rPr>
          <w:rFonts w:ascii="Arial Narrow" w:hAnsi="Arial Narrow"/>
        </w:rPr>
        <w:t>ých</w:t>
      </w:r>
      <w:r w:rsidRPr="00144313">
        <w:rPr>
          <w:rFonts w:ascii="Arial Narrow" w:hAnsi="Arial Narrow"/>
        </w:rPr>
        <w:t xml:space="preserve"> a </w:t>
      </w:r>
      <w:r w:rsidR="00D0150F">
        <w:rPr>
          <w:rFonts w:ascii="Arial Narrow" w:hAnsi="Arial Narrow"/>
        </w:rPr>
        <w:t>8</w:t>
      </w:r>
      <w:r w:rsidRPr="00144313">
        <w:rPr>
          <w:rFonts w:ascii="Arial Narrow" w:hAnsi="Arial Narrow"/>
        </w:rPr>
        <w:t xml:space="preserve"> prebieha s oneskorením. </w:t>
      </w:r>
    </w:p>
    <w:bookmarkEnd w:id="51"/>
    <w:p w14:paraId="302BAC8D" w14:textId="798BE179" w:rsidR="00AA20CF" w:rsidRPr="00A46BD9" w:rsidRDefault="00AA20CF" w:rsidP="00AA20CF">
      <w:pPr>
        <w:jc w:val="both"/>
        <w:rPr>
          <w:rFonts w:ascii="Arial Narrow" w:eastAsia="Calibri" w:hAnsi="Arial Narrow"/>
          <w:b/>
          <w:color w:val="2C9ADC"/>
        </w:rPr>
      </w:pPr>
      <w:r w:rsidRPr="00144313">
        <w:rPr>
          <w:rFonts w:ascii="Arial Narrow" w:hAnsi="Arial Narrow"/>
        </w:rPr>
        <w:lastRenderedPageBreak/>
        <w:t xml:space="preserve"> </w:t>
      </w:r>
      <w:bookmarkStart w:id="52" w:name="_Toc228177378"/>
      <w:r w:rsidRPr="00A46BD9">
        <w:rPr>
          <w:rFonts w:ascii="Arial Narrow" w:eastAsia="Arial Narrow" w:hAnsi="Arial Narrow" w:cs="Arial Narrow"/>
          <w:b/>
          <w:color w:val="2C9ADC"/>
          <w:bdr w:val="nil"/>
          <w:lang w:eastAsia="sk-SK"/>
        </w:rPr>
        <w:t xml:space="preserve">TABUĽKA </w:t>
      </w:r>
      <w:r w:rsidRPr="00A46BD9">
        <w:rPr>
          <w:rFonts w:ascii="Arial Narrow" w:eastAsia="Arial Narrow" w:hAnsi="Arial Narrow" w:cs="Arial Narrow"/>
          <w:b/>
          <w:color w:val="2C9ADC"/>
          <w:bdr w:val="nil"/>
          <w:lang w:eastAsia="sk-SK"/>
        </w:rPr>
        <w:fldChar w:fldCharType="begin"/>
      </w:r>
      <w:r w:rsidRPr="00A46BD9">
        <w:rPr>
          <w:rFonts w:ascii="Arial Narrow" w:eastAsia="Arial Narrow" w:hAnsi="Arial Narrow" w:cs="Arial Narrow"/>
          <w:b/>
          <w:color w:val="2C9ADC"/>
          <w:bdr w:val="nil"/>
          <w:lang w:eastAsia="sk-SK"/>
        </w:rPr>
        <w:instrText xml:space="preserve"> SEQ TABUĽKA \* ARABIC </w:instrText>
      </w:r>
      <w:r w:rsidRPr="00A46BD9">
        <w:rPr>
          <w:rFonts w:ascii="Arial Narrow" w:eastAsia="Arial Narrow" w:hAnsi="Arial Narrow" w:cs="Arial Narrow"/>
          <w:b/>
          <w:color w:val="2C9ADC"/>
          <w:bdr w:val="nil"/>
          <w:lang w:eastAsia="sk-SK"/>
        </w:rPr>
        <w:fldChar w:fldCharType="separate"/>
      </w:r>
      <w:r w:rsidR="008765E2">
        <w:rPr>
          <w:rFonts w:ascii="Arial Narrow" w:eastAsia="Arial Narrow" w:hAnsi="Arial Narrow" w:cs="Arial Narrow"/>
          <w:b/>
          <w:noProof/>
          <w:color w:val="2C9ADC"/>
          <w:bdr w:val="nil"/>
          <w:lang w:eastAsia="sk-SK"/>
        </w:rPr>
        <w:t>5</w:t>
      </w:r>
      <w:r w:rsidRPr="00A46BD9">
        <w:rPr>
          <w:rFonts w:ascii="Arial Narrow" w:eastAsia="Arial Narrow" w:hAnsi="Arial Narrow" w:cs="Arial Narrow"/>
          <w:b/>
          <w:color w:val="2C9ADC"/>
          <w:bdr w:val="nil"/>
          <w:lang w:eastAsia="sk-SK"/>
        </w:rPr>
        <w:fldChar w:fldCharType="end"/>
      </w:r>
      <w:r w:rsidRPr="00A46BD9">
        <w:rPr>
          <w:rFonts w:ascii="Arial Narrow" w:eastAsia="Calibri" w:hAnsi="Arial Narrow"/>
          <w:b/>
          <w:color w:val="2C9ADC"/>
        </w:rPr>
        <w:t xml:space="preserve"> – Pokrok pri reformách a investíciách v MTP</w:t>
      </w:r>
      <w:bookmarkEnd w:id="49"/>
      <w:r w:rsidRPr="00A46BD9">
        <w:rPr>
          <w:rStyle w:val="Odkaznapoznmkupodiarou"/>
          <w:rFonts w:ascii="Arial Narrow" w:eastAsia="Calibri" w:hAnsi="Arial Narrow"/>
          <w:b/>
          <w:color w:val="2C9ADC"/>
        </w:rPr>
        <w:footnoteReference w:id="24"/>
      </w:r>
      <w:bookmarkEnd w:id="52"/>
      <w:r w:rsidRPr="00A46BD9">
        <w:rPr>
          <w:rFonts w:ascii="Arial Narrow" w:eastAsia="Calibri" w:hAnsi="Arial Narrow"/>
          <w:b/>
          <w:color w:val="2C9ADC"/>
        </w:rPr>
        <w:t xml:space="preserve"> </w:t>
      </w:r>
    </w:p>
    <w:bookmarkEnd w:id="50"/>
    <w:tbl>
      <w:tblPr>
        <w:tblStyle w:val="Mriekatabuky"/>
        <w:tblW w:w="9072" w:type="dxa"/>
        <w:tblInd w:w="-5" w:type="dxa"/>
        <w:tblBorders>
          <w:top w:val="single" w:sz="4" w:space="0" w:color="2EAAE1"/>
          <w:left w:val="single" w:sz="4" w:space="0" w:color="2EAAE1"/>
          <w:bottom w:val="single" w:sz="4" w:space="0" w:color="2EAAE1"/>
          <w:right w:val="single" w:sz="4" w:space="0" w:color="2EAAE1"/>
          <w:insideH w:val="single" w:sz="4" w:space="0" w:color="2EAAE1"/>
          <w:insideV w:val="single" w:sz="4" w:space="0" w:color="2EAAE1"/>
        </w:tblBorders>
        <w:tblLayout w:type="fixed"/>
        <w:tblLook w:val="04A0" w:firstRow="1" w:lastRow="0" w:firstColumn="1" w:lastColumn="0" w:noHBand="0" w:noVBand="1"/>
      </w:tblPr>
      <w:tblGrid>
        <w:gridCol w:w="283"/>
        <w:gridCol w:w="1247"/>
        <w:gridCol w:w="2693"/>
        <w:gridCol w:w="739"/>
        <w:gridCol w:w="992"/>
        <w:gridCol w:w="850"/>
        <w:gridCol w:w="567"/>
        <w:gridCol w:w="709"/>
        <w:gridCol w:w="992"/>
      </w:tblGrid>
      <w:tr w:rsidR="00AA20CF" w:rsidRPr="00A46BD9" w14:paraId="020C93A1" w14:textId="77777777" w:rsidTr="00CF3F52">
        <w:trPr>
          <w:trHeight w:val="748"/>
        </w:trPr>
        <w:tc>
          <w:tcPr>
            <w:tcW w:w="283" w:type="dxa"/>
            <w:shd w:val="clear" w:color="auto" w:fill="2EAAE1"/>
          </w:tcPr>
          <w:p w14:paraId="1687611C" w14:textId="77777777" w:rsidR="00AA20CF" w:rsidRPr="00A46BD9" w:rsidRDefault="00AA20CF" w:rsidP="00CF3F52">
            <w:pPr>
              <w:spacing w:line="140" w:lineRule="exact"/>
              <w:jc w:val="center"/>
              <w:rPr>
                <w:rFonts w:ascii="Arial Narrow" w:hAnsi="Arial Narrow"/>
                <w:b/>
                <w:color w:val="FFFFFF" w:themeColor="background1"/>
                <w:sz w:val="16"/>
                <w:szCs w:val="16"/>
              </w:rPr>
            </w:pPr>
          </w:p>
        </w:tc>
        <w:tc>
          <w:tcPr>
            <w:tcW w:w="1247" w:type="dxa"/>
            <w:shd w:val="clear" w:color="auto" w:fill="2EAAE1"/>
            <w:vAlign w:val="center"/>
          </w:tcPr>
          <w:p w14:paraId="62A53860" w14:textId="77777777" w:rsidR="00AA20CF" w:rsidRPr="00A46BD9" w:rsidRDefault="00AA20CF" w:rsidP="00CF3F52">
            <w:pPr>
              <w:jc w:val="center"/>
              <w:rPr>
                <w:rFonts w:ascii="Arial Narrow" w:hAnsi="Arial Narrow"/>
                <w:b/>
                <w:color w:val="FFFFFF" w:themeColor="background1"/>
                <w:sz w:val="18"/>
                <w:szCs w:val="18"/>
              </w:rPr>
            </w:pPr>
            <w:bookmarkStart w:id="53" w:name="_Hlk195104942"/>
            <w:r w:rsidRPr="00A46BD9">
              <w:rPr>
                <w:rFonts w:ascii="Arial Narrow" w:hAnsi="Arial Narrow"/>
                <w:b/>
                <w:color w:val="FFFFFF" w:themeColor="background1"/>
                <w:sz w:val="18"/>
                <w:szCs w:val="18"/>
              </w:rPr>
              <w:t>Reforma/</w:t>
            </w:r>
          </w:p>
          <w:p w14:paraId="7770A678"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Investícia</w:t>
            </w:r>
          </w:p>
        </w:tc>
        <w:tc>
          <w:tcPr>
            <w:tcW w:w="2693" w:type="dxa"/>
            <w:shd w:val="clear" w:color="auto" w:fill="2EAAE1"/>
            <w:vAlign w:val="center"/>
          </w:tcPr>
          <w:p w14:paraId="37AF4381"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Popis opatrenia a stavu implementácie</w:t>
            </w:r>
          </w:p>
        </w:tc>
        <w:tc>
          <w:tcPr>
            <w:tcW w:w="739" w:type="dxa"/>
            <w:shd w:val="clear" w:color="auto" w:fill="2EAAE1"/>
            <w:vAlign w:val="center"/>
          </w:tcPr>
          <w:p w14:paraId="59BD73B8"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POO/</w:t>
            </w:r>
          </w:p>
          <w:p w14:paraId="540D3B1A"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PSK</w:t>
            </w:r>
          </w:p>
        </w:tc>
        <w:tc>
          <w:tcPr>
            <w:tcW w:w="992" w:type="dxa"/>
            <w:tcBorders>
              <w:bottom w:val="single" w:sz="4" w:space="0" w:color="2EAAE1"/>
            </w:tcBorders>
            <w:shd w:val="clear" w:color="auto" w:fill="2EAAE1"/>
            <w:vAlign w:val="center"/>
          </w:tcPr>
          <w:p w14:paraId="1AA12572"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CSR</w:t>
            </w:r>
          </w:p>
        </w:tc>
        <w:tc>
          <w:tcPr>
            <w:tcW w:w="850" w:type="dxa"/>
            <w:shd w:val="clear" w:color="auto" w:fill="2EAAE1"/>
            <w:vAlign w:val="center"/>
          </w:tcPr>
          <w:p w14:paraId="33264774"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CP</w:t>
            </w:r>
          </w:p>
        </w:tc>
        <w:tc>
          <w:tcPr>
            <w:tcW w:w="567" w:type="dxa"/>
            <w:shd w:val="clear" w:color="auto" w:fill="2EAAE1"/>
            <w:vAlign w:val="center"/>
          </w:tcPr>
          <w:p w14:paraId="5E8FFA17"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SDG</w:t>
            </w:r>
          </w:p>
        </w:tc>
        <w:tc>
          <w:tcPr>
            <w:tcW w:w="709" w:type="dxa"/>
            <w:shd w:val="clear" w:color="auto" w:fill="2EAAE1"/>
            <w:vAlign w:val="center"/>
          </w:tcPr>
          <w:p w14:paraId="547A3319"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EPSP</w:t>
            </w:r>
          </w:p>
        </w:tc>
        <w:tc>
          <w:tcPr>
            <w:tcW w:w="992" w:type="dxa"/>
            <w:shd w:val="clear" w:color="auto" w:fill="2EAAE1"/>
            <w:vAlign w:val="center"/>
          </w:tcPr>
          <w:p w14:paraId="6F0731C0"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Status</w:t>
            </w:r>
          </w:p>
        </w:tc>
      </w:tr>
      <w:bookmarkEnd w:id="53"/>
      <w:tr w:rsidR="00AA20CF" w:rsidRPr="00A46BD9" w14:paraId="6780305C" w14:textId="77777777" w:rsidTr="00CF3F52">
        <w:trPr>
          <w:trHeight w:val="1207"/>
        </w:trPr>
        <w:tc>
          <w:tcPr>
            <w:tcW w:w="283" w:type="dxa"/>
            <w:vMerge w:val="restart"/>
            <w:shd w:val="clear" w:color="auto" w:fill="686767"/>
            <w:textDirection w:val="btLr"/>
          </w:tcPr>
          <w:p w14:paraId="37884B26" w14:textId="77777777" w:rsidR="00AA20CF" w:rsidRPr="00A46BD9" w:rsidRDefault="00AA20CF" w:rsidP="00CF3F52">
            <w:pPr>
              <w:spacing w:line="140" w:lineRule="exact"/>
              <w:ind w:left="113" w:right="113"/>
              <w:jc w:val="center"/>
              <w:rPr>
                <w:rFonts w:ascii="Arial Narrow" w:hAnsi="Arial Narrow"/>
                <w:b/>
                <w:sz w:val="16"/>
                <w:szCs w:val="16"/>
              </w:rPr>
            </w:pPr>
            <w:r w:rsidRPr="00A46BD9">
              <w:rPr>
                <w:rFonts w:ascii="Arial Narrow" w:hAnsi="Arial Narrow"/>
                <w:b/>
                <w:color w:val="FFFFFF" w:themeColor="background1"/>
                <w:sz w:val="16"/>
                <w:szCs w:val="16"/>
              </w:rPr>
              <w:t>Verejné financie</w:t>
            </w:r>
          </w:p>
        </w:tc>
        <w:tc>
          <w:tcPr>
            <w:tcW w:w="1247" w:type="dxa"/>
            <w:tcBorders>
              <w:bottom w:val="single" w:sz="4" w:space="0" w:color="00B0F0"/>
            </w:tcBorders>
            <w:vAlign w:val="center"/>
          </w:tcPr>
          <w:p w14:paraId="02B7CB79" w14:textId="77777777" w:rsidR="00AA20CF" w:rsidRPr="00A46BD9" w:rsidRDefault="00AA20CF" w:rsidP="00CF3F52">
            <w:pPr>
              <w:jc w:val="center"/>
              <w:rPr>
                <w:rFonts w:ascii="Arial Narrow" w:hAnsi="Arial Narrow"/>
                <w:sz w:val="15"/>
                <w:szCs w:val="15"/>
              </w:rPr>
            </w:pPr>
            <w:r w:rsidRPr="00A46BD9">
              <w:rPr>
                <w:rFonts w:ascii="Arial Narrow" w:hAnsi="Arial Narrow"/>
                <w:b/>
                <w:sz w:val="15"/>
                <w:szCs w:val="15"/>
              </w:rPr>
              <w:t>Reforma 1:</w:t>
            </w:r>
          </w:p>
          <w:p w14:paraId="6005A331" w14:textId="77777777" w:rsidR="00AA20CF" w:rsidRPr="00A46BD9" w:rsidRDefault="00AA20CF" w:rsidP="00CF3F52">
            <w:pPr>
              <w:jc w:val="center"/>
              <w:rPr>
                <w:rFonts w:ascii="Arial Narrow" w:hAnsi="Arial Narrow"/>
                <w:sz w:val="15"/>
                <w:szCs w:val="15"/>
              </w:rPr>
            </w:pPr>
            <w:r w:rsidRPr="00A46BD9">
              <w:rPr>
                <w:rFonts w:ascii="Arial Narrow" w:hAnsi="Arial Narrow"/>
                <w:sz w:val="15"/>
                <w:szCs w:val="15"/>
              </w:rPr>
              <w:t>Nahradenie rodičovského dôchodku daňovou asignáciou rodičom</w:t>
            </w:r>
          </w:p>
        </w:tc>
        <w:tc>
          <w:tcPr>
            <w:tcW w:w="2693" w:type="dxa"/>
          </w:tcPr>
          <w:p w14:paraId="53527E85" w14:textId="77777777" w:rsidR="00AA20CF" w:rsidRPr="00A46BD9" w:rsidRDefault="00AA20CF" w:rsidP="00CF3F52">
            <w:pPr>
              <w:tabs>
                <w:tab w:val="left" w:pos="1306"/>
              </w:tabs>
              <w:jc w:val="both"/>
              <w:rPr>
                <w:rFonts w:ascii="Arial Narrow" w:hAnsi="Arial Narrow"/>
                <w:sz w:val="15"/>
                <w:szCs w:val="15"/>
              </w:rPr>
            </w:pPr>
            <w:r w:rsidRPr="00A46BD9">
              <w:rPr>
                <w:rFonts w:ascii="Arial Narrow" w:hAnsi="Arial Narrow"/>
                <w:sz w:val="15"/>
                <w:szCs w:val="15"/>
              </w:rPr>
              <w:t>Opatrenie nahrádza rodičovský dôchodok mechanizmom daňového asignátu, ktorý umožňuje daňovníkom poukázať dodatočné 2 % zaplatenej dane z príjmu svojim rodičom, čím sa znížia verejné výdavky a zlepší dlhodobá udržateľnosť dôchodkového systému.</w:t>
            </w:r>
          </w:p>
          <w:p w14:paraId="1ECC9E7E" w14:textId="77777777" w:rsidR="00AA20CF" w:rsidRPr="00A46BD9" w:rsidRDefault="00AA20CF" w:rsidP="00CF3F52">
            <w:pPr>
              <w:tabs>
                <w:tab w:val="left" w:pos="1306"/>
              </w:tabs>
              <w:jc w:val="both"/>
              <w:rPr>
                <w:rFonts w:ascii="Arial Narrow" w:hAnsi="Arial Narrow"/>
                <w:sz w:val="15"/>
                <w:szCs w:val="15"/>
              </w:rPr>
            </w:pPr>
          </w:p>
          <w:p w14:paraId="2AE90A03" w14:textId="77777777" w:rsidR="00AA20CF" w:rsidRPr="00A46BD9" w:rsidRDefault="00AA20CF" w:rsidP="00CF3F52">
            <w:pPr>
              <w:tabs>
                <w:tab w:val="left" w:pos="1306"/>
              </w:tabs>
              <w:jc w:val="both"/>
              <w:rPr>
                <w:rFonts w:ascii="Arial Narrow" w:hAnsi="Arial Narrow"/>
                <w:sz w:val="15"/>
                <w:szCs w:val="15"/>
              </w:rPr>
            </w:pPr>
            <w:hyperlink r:id="rId30" w:history="1">
              <w:r w:rsidRPr="00A46BD9">
                <w:rPr>
                  <w:rStyle w:val="Hypertextovprepojenie"/>
                  <w:rFonts w:ascii="Arial Narrow" w:hAnsi="Arial Narrow"/>
                  <w:sz w:val="15"/>
                  <w:szCs w:val="15"/>
                </w:rPr>
                <w:t>Zákon</w:t>
              </w:r>
            </w:hyperlink>
            <w:r w:rsidRPr="00A46BD9">
              <w:rPr>
                <w:rFonts w:ascii="Arial Narrow" w:hAnsi="Arial Narrow"/>
                <w:sz w:val="15"/>
                <w:szCs w:val="15"/>
              </w:rPr>
              <w:t xml:space="preserve"> bol schválený a účinnosť nadobudol 1. januára 2025. V roku 2026 sa nový mechanizmus asignácie podielu zaplatenej dane prvýkrát uplatní za zdaňovacie obdobie roku 2025. Sociálna poisťovňa na základe údajov poskytnutých Finančnou správou SR</w:t>
            </w:r>
            <w:r w:rsidRPr="00BE5DF7">
              <w:rPr>
                <w:rFonts w:ascii="Arial Narrow" w:hAnsi="Arial Narrow"/>
                <w:sz w:val="15"/>
                <w:szCs w:val="15"/>
              </w:rPr>
              <w:t xml:space="preserve"> (FS SR)</w:t>
            </w:r>
            <w:r w:rsidRPr="00043686">
              <w:rPr>
                <w:rFonts w:ascii="Arial Narrow" w:hAnsi="Arial Narrow"/>
                <w:sz w:val="15"/>
                <w:szCs w:val="15"/>
              </w:rPr>
              <w:t xml:space="preserve"> </w:t>
            </w:r>
            <w:r w:rsidRPr="00A46BD9">
              <w:rPr>
                <w:rFonts w:ascii="Arial Narrow" w:hAnsi="Arial Narrow"/>
                <w:sz w:val="15"/>
                <w:szCs w:val="15"/>
              </w:rPr>
              <w:t>zabezpečí prvú výplatu týchto prostriedkov oprávneným poberateľom v priebehu roka 2026.</w:t>
            </w:r>
          </w:p>
        </w:tc>
        <w:tc>
          <w:tcPr>
            <w:tcW w:w="739" w:type="dxa"/>
            <w:vAlign w:val="center"/>
          </w:tcPr>
          <w:p w14:paraId="4931DE72" w14:textId="77777777" w:rsidR="00AA20CF" w:rsidRPr="00624FD5" w:rsidRDefault="00AA20CF" w:rsidP="00CF3F52">
            <w:pPr>
              <w:tabs>
                <w:tab w:val="left" w:pos="1306"/>
              </w:tabs>
              <w:jc w:val="center"/>
              <w:rPr>
                <w:rFonts w:ascii="Arial Narrow" w:hAnsi="Arial Narrow"/>
                <w:sz w:val="14"/>
                <w:szCs w:val="14"/>
              </w:rPr>
            </w:pPr>
            <w:r w:rsidRPr="00624FD5">
              <w:rPr>
                <w:rFonts w:ascii="Arial Narrow" w:hAnsi="Arial Narrow"/>
                <w:sz w:val="14"/>
                <w:szCs w:val="14"/>
              </w:rPr>
              <w:t>-</w:t>
            </w:r>
          </w:p>
        </w:tc>
        <w:tc>
          <w:tcPr>
            <w:tcW w:w="992" w:type="dxa"/>
            <w:vAlign w:val="center"/>
          </w:tcPr>
          <w:p w14:paraId="192F8E9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CSR.2025.1.2</w:t>
            </w:r>
            <w:r w:rsidRPr="00EF7276">
              <w:rPr>
                <w:rFonts w:ascii="Arial Narrow" w:hAnsi="Arial Narrow"/>
                <w:sz w:val="12"/>
                <w:szCs w:val="12"/>
              </w:rPr>
              <w:br/>
              <w:t>CSR.2025.1.4</w:t>
            </w:r>
          </w:p>
        </w:tc>
        <w:tc>
          <w:tcPr>
            <w:tcW w:w="850" w:type="dxa"/>
            <w:tcBorders>
              <w:bottom w:val="single" w:sz="4" w:space="0" w:color="00B0F0"/>
            </w:tcBorders>
            <w:vAlign w:val="center"/>
          </w:tcPr>
          <w:p w14:paraId="507DDBCB"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567" w:type="dxa"/>
            <w:vAlign w:val="center"/>
          </w:tcPr>
          <w:p w14:paraId="0765E9A5"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16</w:t>
            </w:r>
          </w:p>
        </w:tc>
        <w:tc>
          <w:tcPr>
            <w:tcW w:w="709" w:type="dxa"/>
            <w:tcBorders>
              <w:bottom w:val="single" w:sz="4" w:space="0" w:color="00B0F0"/>
            </w:tcBorders>
            <w:vAlign w:val="center"/>
          </w:tcPr>
          <w:p w14:paraId="6BC10BD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12</w:t>
            </w:r>
          </w:p>
          <w:p w14:paraId="67EF6FEC"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14</w:t>
            </w:r>
          </w:p>
          <w:p w14:paraId="67A59BA8"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15</w:t>
            </w:r>
          </w:p>
        </w:tc>
        <w:tc>
          <w:tcPr>
            <w:tcW w:w="992" w:type="dxa"/>
            <w:vAlign w:val="center"/>
          </w:tcPr>
          <w:p w14:paraId="57515D9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Dokončené</w:t>
            </w:r>
          </w:p>
        </w:tc>
      </w:tr>
      <w:tr w:rsidR="00AA20CF" w:rsidRPr="00A46BD9" w14:paraId="08217181" w14:textId="77777777" w:rsidTr="00807C08">
        <w:trPr>
          <w:trHeight w:val="1106"/>
        </w:trPr>
        <w:tc>
          <w:tcPr>
            <w:tcW w:w="283" w:type="dxa"/>
            <w:vMerge/>
            <w:shd w:val="clear" w:color="auto" w:fill="686767"/>
          </w:tcPr>
          <w:p w14:paraId="3BCC36B4" w14:textId="77777777" w:rsidR="00AA20CF" w:rsidRPr="00A46BD9" w:rsidRDefault="00AA20CF" w:rsidP="00CF3F52">
            <w:pPr>
              <w:spacing w:line="140" w:lineRule="exact"/>
              <w:jc w:val="center"/>
              <w:rPr>
                <w:rFonts w:ascii="Arial Narrow" w:hAnsi="Arial Narrow"/>
                <w:b/>
                <w:sz w:val="16"/>
                <w:szCs w:val="16"/>
              </w:rPr>
            </w:pPr>
          </w:p>
        </w:tc>
        <w:tc>
          <w:tcPr>
            <w:tcW w:w="1247" w:type="dxa"/>
            <w:tcBorders>
              <w:top w:val="single" w:sz="4" w:space="0" w:color="00B0F0"/>
              <w:bottom w:val="single" w:sz="4" w:space="0" w:color="00B0F0"/>
              <w:right w:val="single" w:sz="4" w:space="0" w:color="00B0F0"/>
            </w:tcBorders>
            <w:shd w:val="clear" w:color="auto" w:fill="FFFFFF" w:themeFill="background1"/>
            <w:vAlign w:val="center"/>
          </w:tcPr>
          <w:p w14:paraId="245B65D8" w14:textId="77777777" w:rsidR="00AA20CF" w:rsidRPr="00A46BD9" w:rsidRDefault="00AA20CF" w:rsidP="00CF3F52">
            <w:pPr>
              <w:jc w:val="center"/>
              <w:rPr>
                <w:rFonts w:ascii="Arial Narrow" w:hAnsi="Arial Narrow"/>
                <w:sz w:val="15"/>
                <w:szCs w:val="15"/>
              </w:rPr>
            </w:pPr>
            <w:r w:rsidRPr="00A46BD9">
              <w:rPr>
                <w:rFonts w:ascii="Arial Narrow" w:hAnsi="Arial Narrow"/>
                <w:b/>
                <w:sz w:val="15"/>
                <w:szCs w:val="15"/>
              </w:rPr>
              <w:t>Reforma 2:</w:t>
            </w:r>
            <w:r w:rsidRPr="00A46BD9">
              <w:rPr>
                <w:rFonts w:ascii="Arial Narrow" w:hAnsi="Arial Narrow"/>
                <w:sz w:val="15"/>
                <w:szCs w:val="15"/>
              </w:rPr>
              <w:t xml:space="preserve">  </w:t>
            </w:r>
            <w:r w:rsidRPr="00A46BD9">
              <w:rPr>
                <w:rFonts w:ascii="Arial Narrow" w:hAnsi="Arial Narrow"/>
                <w:sz w:val="15"/>
                <w:szCs w:val="15"/>
              </w:rPr>
              <w:br/>
              <w:t>Adresnejší daňový bonus</w:t>
            </w:r>
          </w:p>
        </w:tc>
        <w:tc>
          <w:tcPr>
            <w:tcW w:w="2693" w:type="dxa"/>
            <w:tcBorders>
              <w:left w:val="single" w:sz="4" w:space="0" w:color="00B0F0"/>
            </w:tcBorders>
          </w:tcPr>
          <w:p w14:paraId="615EC9C3" w14:textId="77777777" w:rsidR="00AA20CF" w:rsidRPr="00A46BD9" w:rsidRDefault="00AA20CF" w:rsidP="00CF3F52">
            <w:pPr>
              <w:tabs>
                <w:tab w:val="left" w:pos="1306"/>
              </w:tabs>
              <w:jc w:val="both"/>
              <w:rPr>
                <w:rFonts w:ascii="Arial Narrow" w:hAnsi="Arial Narrow"/>
                <w:sz w:val="15"/>
                <w:szCs w:val="15"/>
              </w:rPr>
            </w:pPr>
            <w:r w:rsidRPr="00A46BD9">
              <w:rPr>
                <w:rFonts w:ascii="Arial Narrow" w:hAnsi="Arial Narrow"/>
                <w:sz w:val="15"/>
                <w:szCs w:val="15"/>
              </w:rPr>
              <w:t>Cieľom reformy daňového bonusu na dieťa je zlepšiť stav verejných financií prostredníctvom cielenejšej podpory rodín, najmä nízkopríjmových domácností.</w:t>
            </w:r>
          </w:p>
          <w:p w14:paraId="0C6F23D2" w14:textId="77777777" w:rsidR="00AA20CF" w:rsidRPr="00A46BD9" w:rsidRDefault="00AA20CF" w:rsidP="00CF3F52">
            <w:pPr>
              <w:tabs>
                <w:tab w:val="left" w:pos="1306"/>
              </w:tabs>
              <w:jc w:val="both"/>
              <w:rPr>
                <w:rFonts w:ascii="Arial Narrow" w:hAnsi="Arial Narrow"/>
                <w:sz w:val="15"/>
                <w:szCs w:val="15"/>
              </w:rPr>
            </w:pPr>
          </w:p>
          <w:p w14:paraId="1EBDEAEF" w14:textId="77777777" w:rsidR="00AA20CF" w:rsidRPr="00A46BD9" w:rsidRDefault="00AA20CF" w:rsidP="00CF3F52">
            <w:pPr>
              <w:tabs>
                <w:tab w:val="left" w:pos="1306"/>
              </w:tabs>
              <w:jc w:val="both"/>
              <w:rPr>
                <w:sz w:val="15"/>
                <w:szCs w:val="15"/>
              </w:rPr>
            </w:pPr>
            <w:hyperlink r:id="rId31" w:history="1">
              <w:r w:rsidRPr="00A46BD9">
                <w:rPr>
                  <w:rStyle w:val="Hypertextovprepojenie"/>
                  <w:rFonts w:ascii="Arial Narrow" w:hAnsi="Arial Narrow"/>
                  <w:sz w:val="15"/>
                  <w:szCs w:val="15"/>
                </w:rPr>
                <w:t>Zákon</w:t>
              </w:r>
            </w:hyperlink>
            <w:r w:rsidRPr="00A46BD9">
              <w:rPr>
                <w:rFonts w:ascii="Arial Narrow" w:hAnsi="Arial Narrow"/>
                <w:sz w:val="15"/>
                <w:szCs w:val="15"/>
              </w:rPr>
              <w:t xml:space="preserve"> bol schválený a účinnosť nadobudol 1. januára 2025.</w:t>
            </w:r>
          </w:p>
        </w:tc>
        <w:tc>
          <w:tcPr>
            <w:tcW w:w="739" w:type="dxa"/>
            <w:tcBorders>
              <w:right w:val="single" w:sz="4" w:space="0" w:color="2EAAE1"/>
            </w:tcBorders>
            <w:vAlign w:val="center"/>
          </w:tcPr>
          <w:p w14:paraId="76EA9CC7" w14:textId="77777777" w:rsidR="00AA20CF" w:rsidRPr="00F230A1" w:rsidRDefault="00AA20CF" w:rsidP="00CF3F52">
            <w:pPr>
              <w:jc w:val="center"/>
              <w:rPr>
                <w:rFonts w:ascii="Arial Narrow" w:hAnsi="Arial Narrow"/>
                <w:sz w:val="14"/>
                <w:szCs w:val="14"/>
              </w:rPr>
            </w:pPr>
            <w:r w:rsidRPr="00624FD5">
              <w:rPr>
                <w:rFonts w:ascii="Arial Narrow" w:hAnsi="Arial Narrow"/>
                <w:sz w:val="14"/>
                <w:szCs w:val="14"/>
              </w:rPr>
              <w:t>-</w:t>
            </w:r>
          </w:p>
        </w:tc>
        <w:tc>
          <w:tcPr>
            <w:tcW w:w="992" w:type="dxa"/>
            <w:tcBorders>
              <w:top w:val="single" w:sz="4" w:space="0" w:color="2EAAE1"/>
              <w:left w:val="single" w:sz="4" w:space="0" w:color="2EAAE1"/>
              <w:bottom w:val="single" w:sz="4" w:space="0" w:color="2EAAE1"/>
              <w:right w:val="single" w:sz="4" w:space="0" w:color="00B0F0"/>
            </w:tcBorders>
            <w:vAlign w:val="center"/>
          </w:tcPr>
          <w:p w14:paraId="218D62D9" w14:textId="77777777" w:rsidR="00AA20CF" w:rsidRPr="00EF7276" w:rsidRDefault="00AA20CF" w:rsidP="00CF3F52">
            <w:pPr>
              <w:jc w:val="center"/>
              <w:rPr>
                <w:sz w:val="12"/>
                <w:szCs w:val="12"/>
              </w:rPr>
            </w:pPr>
            <w:r w:rsidRPr="00EF7276">
              <w:rPr>
                <w:rFonts w:ascii="Arial Narrow" w:hAnsi="Arial Narrow" w:cs="Calibri"/>
                <w:color w:val="000000"/>
                <w:sz w:val="12"/>
                <w:szCs w:val="12"/>
              </w:rPr>
              <w:t>CSR.2025.1.2</w:t>
            </w:r>
            <w:r w:rsidRPr="00EF7276">
              <w:rPr>
                <w:rFonts w:ascii="Arial Narrow" w:hAnsi="Arial Narrow" w:cs="Calibri"/>
                <w:color w:val="000000"/>
                <w:sz w:val="12"/>
                <w:szCs w:val="12"/>
              </w:rPr>
              <w:br/>
              <w:t>CSR.2025.1.</w:t>
            </w:r>
            <w:r w:rsidRPr="00EF7276">
              <w:rPr>
                <w:rFonts w:ascii="Arial Narrow" w:hAnsi="Arial Narrow" w:cs="Calibri"/>
                <w:bCs/>
                <w:color w:val="000000"/>
                <w:sz w:val="12"/>
                <w:szCs w:val="12"/>
              </w:rPr>
              <w:t>4</w:t>
            </w:r>
          </w:p>
        </w:tc>
        <w:tc>
          <w:tcPr>
            <w:tcW w:w="850" w:type="dxa"/>
            <w:tcBorders>
              <w:top w:val="single" w:sz="4" w:space="0" w:color="00B0F0"/>
              <w:left w:val="single" w:sz="4" w:space="0" w:color="00B0F0"/>
              <w:bottom w:val="single" w:sz="4" w:space="0" w:color="00B0F0"/>
              <w:right w:val="single" w:sz="4" w:space="0" w:color="00B0F0"/>
            </w:tcBorders>
            <w:vAlign w:val="center"/>
          </w:tcPr>
          <w:p w14:paraId="4815EFAE" w14:textId="77777777" w:rsidR="00AA20CF" w:rsidRPr="00EF7276" w:rsidRDefault="00AA20CF" w:rsidP="00CF3F52">
            <w:pPr>
              <w:jc w:val="center"/>
              <w:rPr>
                <w:sz w:val="12"/>
                <w:szCs w:val="12"/>
              </w:rPr>
            </w:pPr>
            <w:r w:rsidRPr="00EF7276">
              <w:rPr>
                <w:rFonts w:ascii="Arial Narrow" w:hAnsi="Arial Narrow" w:cs="Calibri"/>
                <w:color w:val="000000"/>
                <w:sz w:val="12"/>
                <w:szCs w:val="12"/>
              </w:rPr>
              <w:t>Posilnenie sociálnej a hospodárskej odolnosti</w:t>
            </w:r>
          </w:p>
        </w:tc>
        <w:tc>
          <w:tcPr>
            <w:tcW w:w="567" w:type="dxa"/>
            <w:tcBorders>
              <w:left w:val="single" w:sz="4" w:space="0" w:color="00B0F0"/>
              <w:right w:val="single" w:sz="4" w:space="0" w:color="00B0F0"/>
            </w:tcBorders>
            <w:vAlign w:val="center"/>
          </w:tcPr>
          <w:p w14:paraId="0C98BFAE" w14:textId="77777777" w:rsidR="00AA20CF" w:rsidRPr="00807C08" w:rsidRDefault="00AA20CF" w:rsidP="00CF3F52">
            <w:pPr>
              <w:jc w:val="center"/>
              <w:rPr>
                <w:rFonts w:ascii="Arial Narrow" w:hAnsi="Arial Narrow"/>
                <w:sz w:val="12"/>
                <w:szCs w:val="12"/>
              </w:rPr>
            </w:pPr>
            <w:r w:rsidRPr="00807C08">
              <w:rPr>
                <w:rFonts w:ascii="Arial Narrow" w:hAnsi="Arial Narrow"/>
                <w:sz w:val="12"/>
                <w:szCs w:val="12"/>
              </w:rPr>
              <w:t>Cieľ 1</w:t>
            </w:r>
          </w:p>
          <w:p w14:paraId="5AFE250A" w14:textId="77777777" w:rsidR="00AA20CF" w:rsidRPr="00807C08" w:rsidRDefault="00AA20CF" w:rsidP="00CF3F52">
            <w:pPr>
              <w:jc w:val="center"/>
              <w:rPr>
                <w:rFonts w:ascii="Arial Narrow" w:hAnsi="Arial Narrow"/>
                <w:sz w:val="12"/>
                <w:szCs w:val="12"/>
              </w:rPr>
            </w:pPr>
            <w:r w:rsidRPr="00807C08">
              <w:rPr>
                <w:rFonts w:ascii="Arial Narrow" w:hAnsi="Arial Narrow"/>
                <w:sz w:val="12"/>
                <w:szCs w:val="12"/>
              </w:rPr>
              <w:t>Cieľ 2</w:t>
            </w:r>
          </w:p>
          <w:p w14:paraId="62DFDEA0" w14:textId="77777777" w:rsidR="00AA20CF" w:rsidRPr="00807C08" w:rsidRDefault="00AA20CF" w:rsidP="00CF3F52">
            <w:pPr>
              <w:jc w:val="center"/>
              <w:rPr>
                <w:rFonts w:ascii="Arial Narrow" w:hAnsi="Arial Narrow"/>
                <w:sz w:val="12"/>
                <w:szCs w:val="12"/>
              </w:rPr>
            </w:pPr>
            <w:r w:rsidRPr="00807C08">
              <w:rPr>
                <w:rFonts w:ascii="Arial Narrow" w:hAnsi="Arial Narrow"/>
                <w:sz w:val="12"/>
                <w:szCs w:val="12"/>
              </w:rPr>
              <w:t>Cieľ 10</w:t>
            </w:r>
          </w:p>
          <w:p w14:paraId="416C92D7" w14:textId="77777777" w:rsidR="00AA20CF" w:rsidRPr="00807C08" w:rsidRDefault="00AA20CF" w:rsidP="00CF3F52">
            <w:pPr>
              <w:jc w:val="center"/>
              <w:rPr>
                <w:rFonts w:ascii="Arial Narrow" w:hAnsi="Arial Narrow"/>
                <w:sz w:val="12"/>
                <w:szCs w:val="12"/>
              </w:rPr>
            </w:pPr>
            <w:r w:rsidRPr="00807C08">
              <w:rPr>
                <w:rFonts w:ascii="Arial Narrow" w:hAnsi="Arial Narrow"/>
                <w:sz w:val="12"/>
                <w:szCs w:val="12"/>
              </w:rPr>
              <w:t>Cieľ 16</w:t>
            </w:r>
          </w:p>
        </w:tc>
        <w:tc>
          <w:tcPr>
            <w:tcW w:w="709" w:type="dxa"/>
            <w:tcBorders>
              <w:top w:val="single" w:sz="4" w:space="0" w:color="00B0F0"/>
              <w:left w:val="single" w:sz="4" w:space="0" w:color="00B0F0"/>
              <w:bottom w:val="single" w:sz="4" w:space="0" w:color="00B0F0"/>
              <w:right w:val="single" w:sz="4" w:space="0" w:color="00B0F0"/>
            </w:tcBorders>
            <w:vAlign w:val="center"/>
          </w:tcPr>
          <w:p w14:paraId="7D4A1F76" w14:textId="77777777" w:rsidR="00AA20CF" w:rsidRPr="00807C08" w:rsidRDefault="00AA20CF" w:rsidP="00CF3F52">
            <w:pPr>
              <w:jc w:val="center"/>
              <w:rPr>
                <w:rFonts w:ascii="Arial Narrow" w:hAnsi="Arial Narrow" w:cs="Calibri"/>
                <w:color w:val="000000"/>
                <w:sz w:val="12"/>
                <w:szCs w:val="12"/>
              </w:rPr>
            </w:pPr>
            <w:r w:rsidRPr="00807C08">
              <w:rPr>
                <w:rFonts w:ascii="Arial Narrow" w:hAnsi="Arial Narrow" w:cs="Calibri"/>
                <w:color w:val="000000"/>
                <w:sz w:val="12"/>
                <w:szCs w:val="12"/>
              </w:rPr>
              <w:t>Zásada 12</w:t>
            </w:r>
          </w:p>
          <w:p w14:paraId="1FA5FE83" w14:textId="77777777" w:rsidR="00AA20CF" w:rsidRPr="00807C08" w:rsidRDefault="00AA20CF" w:rsidP="00CF3F52">
            <w:pPr>
              <w:jc w:val="center"/>
              <w:rPr>
                <w:rFonts w:ascii="Arial Narrow" w:hAnsi="Arial Narrow" w:cs="Calibri"/>
                <w:color w:val="000000"/>
                <w:sz w:val="12"/>
                <w:szCs w:val="12"/>
              </w:rPr>
            </w:pPr>
            <w:r w:rsidRPr="00807C08">
              <w:rPr>
                <w:rFonts w:ascii="Arial Narrow" w:hAnsi="Arial Narrow" w:cs="Calibri"/>
                <w:color w:val="000000"/>
                <w:sz w:val="12"/>
                <w:szCs w:val="12"/>
              </w:rPr>
              <w:t>Zásada 11</w:t>
            </w:r>
          </w:p>
          <w:p w14:paraId="3E2198D1" w14:textId="77777777" w:rsidR="00AA20CF" w:rsidRPr="00807C08" w:rsidRDefault="00AA20CF" w:rsidP="00CF3F52">
            <w:pPr>
              <w:jc w:val="center"/>
              <w:rPr>
                <w:sz w:val="12"/>
                <w:szCs w:val="12"/>
              </w:rPr>
            </w:pPr>
            <w:r w:rsidRPr="00807C08">
              <w:rPr>
                <w:rFonts w:ascii="Arial Narrow" w:hAnsi="Arial Narrow" w:cs="Calibri"/>
                <w:color w:val="000000"/>
                <w:sz w:val="12"/>
                <w:szCs w:val="12"/>
              </w:rPr>
              <w:t xml:space="preserve">Zásada 14 </w:t>
            </w:r>
          </w:p>
        </w:tc>
        <w:tc>
          <w:tcPr>
            <w:tcW w:w="992" w:type="dxa"/>
            <w:tcBorders>
              <w:left w:val="single" w:sz="4" w:space="0" w:color="00B0F0"/>
            </w:tcBorders>
            <w:vAlign w:val="center"/>
          </w:tcPr>
          <w:p w14:paraId="29F070BB" w14:textId="77777777" w:rsidR="00AA20CF" w:rsidRPr="00807C08" w:rsidRDefault="00AA20CF" w:rsidP="00CF3F52">
            <w:pPr>
              <w:jc w:val="center"/>
              <w:rPr>
                <w:rFonts w:ascii="Arial Narrow" w:hAnsi="Arial Narrow"/>
                <w:sz w:val="12"/>
                <w:szCs w:val="12"/>
              </w:rPr>
            </w:pPr>
            <w:r w:rsidRPr="00807C08">
              <w:rPr>
                <w:rFonts w:ascii="Arial Narrow" w:hAnsi="Arial Narrow"/>
                <w:sz w:val="12"/>
                <w:szCs w:val="12"/>
              </w:rPr>
              <w:t>Dokončené</w:t>
            </w:r>
          </w:p>
        </w:tc>
      </w:tr>
      <w:tr w:rsidR="00AA20CF" w:rsidRPr="00A46BD9" w14:paraId="463FCF07" w14:textId="77777777" w:rsidTr="00807C08">
        <w:trPr>
          <w:trHeight w:val="279"/>
        </w:trPr>
        <w:tc>
          <w:tcPr>
            <w:tcW w:w="283" w:type="dxa"/>
            <w:vMerge/>
            <w:shd w:val="clear" w:color="auto" w:fill="686767"/>
          </w:tcPr>
          <w:p w14:paraId="060C24DA" w14:textId="77777777" w:rsidR="00AA20CF" w:rsidRPr="00A46BD9" w:rsidRDefault="00AA20CF" w:rsidP="00CF3F52">
            <w:pPr>
              <w:spacing w:line="140" w:lineRule="exact"/>
              <w:jc w:val="center"/>
              <w:rPr>
                <w:rFonts w:ascii="Arial Narrow" w:hAnsi="Arial Narrow"/>
                <w:b/>
                <w:sz w:val="16"/>
                <w:szCs w:val="16"/>
              </w:rPr>
            </w:pPr>
          </w:p>
        </w:tc>
        <w:tc>
          <w:tcPr>
            <w:tcW w:w="1247" w:type="dxa"/>
            <w:tcBorders>
              <w:top w:val="single" w:sz="4" w:space="0" w:color="00B0F0"/>
              <w:bottom w:val="single" w:sz="4" w:space="0" w:color="00B0F0"/>
              <w:right w:val="single" w:sz="4" w:space="0" w:color="00B0F0"/>
            </w:tcBorders>
            <w:shd w:val="clear" w:color="auto" w:fill="FFFFFF" w:themeFill="background1"/>
            <w:vAlign w:val="center"/>
          </w:tcPr>
          <w:p w14:paraId="1AEE8182" w14:textId="77777777" w:rsidR="00AA20CF" w:rsidRPr="00A46BD9" w:rsidRDefault="00AA20CF" w:rsidP="00CF3F52">
            <w:pPr>
              <w:jc w:val="center"/>
              <w:rPr>
                <w:rFonts w:ascii="Arial Narrow" w:hAnsi="Arial Narrow"/>
                <w:sz w:val="15"/>
                <w:szCs w:val="15"/>
              </w:rPr>
            </w:pPr>
            <w:r w:rsidRPr="00A46BD9">
              <w:rPr>
                <w:rFonts w:ascii="Arial Narrow" w:hAnsi="Arial Narrow"/>
                <w:b/>
                <w:sz w:val="15"/>
                <w:szCs w:val="15"/>
              </w:rPr>
              <w:t>Reforma 3:</w:t>
            </w:r>
            <w:r w:rsidRPr="00A46BD9">
              <w:rPr>
                <w:rFonts w:ascii="Arial Narrow" w:hAnsi="Arial Narrow"/>
                <w:sz w:val="15"/>
                <w:szCs w:val="15"/>
              </w:rPr>
              <w:br/>
              <w:t>Zníženie mzdových výdavkov vo verejnom sektore</w:t>
            </w:r>
          </w:p>
        </w:tc>
        <w:tc>
          <w:tcPr>
            <w:tcW w:w="2693" w:type="dxa"/>
            <w:tcBorders>
              <w:left w:val="single" w:sz="4" w:space="0" w:color="00B0F0"/>
            </w:tcBorders>
          </w:tcPr>
          <w:p w14:paraId="4AEB288D" w14:textId="77777777" w:rsidR="00AA20CF" w:rsidRPr="00C70729" w:rsidRDefault="00AA20CF" w:rsidP="00CF3F52">
            <w:pPr>
              <w:tabs>
                <w:tab w:val="left" w:pos="1306"/>
              </w:tabs>
              <w:jc w:val="both"/>
              <w:rPr>
                <w:rFonts w:ascii="Arial Narrow" w:hAnsi="Arial Narrow"/>
                <w:sz w:val="15"/>
                <w:szCs w:val="15"/>
              </w:rPr>
            </w:pPr>
            <w:r w:rsidRPr="00C70729">
              <w:rPr>
                <w:rFonts w:ascii="Arial Narrow" w:hAnsi="Arial Narrow"/>
                <w:sz w:val="15"/>
                <w:szCs w:val="15"/>
              </w:rPr>
              <w:t>Konsolidačným opatrením sa znížia osobné výdavky a limity pre vybraných štátnych zamestnancov a zamestnancov vo verejnom záujme.</w:t>
            </w:r>
          </w:p>
          <w:p w14:paraId="3A7F7846" w14:textId="77777777" w:rsidR="00AA20CF" w:rsidRPr="00C70729" w:rsidRDefault="00AA20CF" w:rsidP="00CF3F52">
            <w:pPr>
              <w:tabs>
                <w:tab w:val="left" w:pos="1306"/>
              </w:tabs>
              <w:jc w:val="both"/>
              <w:rPr>
                <w:rFonts w:ascii="Arial Narrow" w:hAnsi="Arial Narrow"/>
                <w:sz w:val="15"/>
                <w:szCs w:val="15"/>
              </w:rPr>
            </w:pPr>
          </w:p>
          <w:p w14:paraId="4735E11B" w14:textId="77777777" w:rsidR="00AA20CF" w:rsidRPr="00A46BD9" w:rsidRDefault="00AA20CF" w:rsidP="00CF3F52">
            <w:pPr>
              <w:tabs>
                <w:tab w:val="left" w:pos="1306"/>
              </w:tabs>
              <w:jc w:val="both"/>
              <w:rPr>
                <w:sz w:val="15"/>
                <w:szCs w:val="15"/>
              </w:rPr>
            </w:pPr>
            <w:r w:rsidRPr="00C70729">
              <w:rPr>
                <w:rFonts w:ascii="Arial Narrow" w:hAnsi="Arial Narrow"/>
                <w:sz w:val="15"/>
                <w:szCs w:val="15"/>
              </w:rPr>
              <w:t>Konsolidačným opatrením bol v schválenom rozpočte na roky 2025 až 2027 znížený limit počtu zamestnancov o 4465 osôb, z toho 3887 v rozpočtových organizáciách štátneho rozpočtu. Osobné výdavky sa zároveň znížili o 124 mil. eur (10 % mzdovej obálky štátu). Rezorty využili pri konsolidácii hlavne existujúce neobsadené miesta. Počet obsadených miest v štátnych rozpočtových organizáciách napriek tomu medziročne mierne vzrástol o 227 osôb, čo súviselo najmä s implementáciou novely školského zákona a so zvýšením obranyschopnosti. Platy neboli valorizované, zamestnancom však bola vyplatená jednorazová odmena 800 eur, čo sa premietlo do medziročného rastu miezd o približne 5,3 %. K poklesu miezd by tak mohlo dôjsť až v roku 2026 po odznení niektorých týchto vplyvov, čo bude monitorované v  ďalšej správe o pokroku.</w:t>
            </w:r>
          </w:p>
        </w:tc>
        <w:tc>
          <w:tcPr>
            <w:tcW w:w="739" w:type="dxa"/>
            <w:tcBorders>
              <w:right w:val="single" w:sz="4" w:space="0" w:color="2EAAE1"/>
            </w:tcBorders>
            <w:vAlign w:val="center"/>
          </w:tcPr>
          <w:p w14:paraId="7909B42D" w14:textId="77777777" w:rsidR="00AA20CF" w:rsidRPr="00F230A1" w:rsidRDefault="00AA20CF" w:rsidP="00CF3F52">
            <w:pPr>
              <w:jc w:val="center"/>
              <w:rPr>
                <w:rFonts w:ascii="Arial Narrow" w:hAnsi="Arial Narrow"/>
                <w:sz w:val="14"/>
                <w:szCs w:val="14"/>
              </w:rPr>
            </w:pPr>
            <w:r w:rsidRPr="00624FD5">
              <w:rPr>
                <w:rFonts w:ascii="Arial Narrow" w:hAnsi="Arial Narrow"/>
                <w:sz w:val="14"/>
                <w:szCs w:val="14"/>
              </w:rPr>
              <w:t>-</w:t>
            </w:r>
          </w:p>
        </w:tc>
        <w:tc>
          <w:tcPr>
            <w:tcW w:w="992" w:type="dxa"/>
            <w:tcBorders>
              <w:top w:val="single" w:sz="4" w:space="0" w:color="2EAAE1"/>
              <w:left w:val="single" w:sz="4" w:space="0" w:color="2EAAE1"/>
              <w:bottom w:val="single" w:sz="4" w:space="0" w:color="2EAAE1"/>
              <w:right w:val="single" w:sz="4" w:space="0" w:color="00B0F0"/>
            </w:tcBorders>
            <w:vAlign w:val="center"/>
          </w:tcPr>
          <w:p w14:paraId="04522DB8"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CSR.2025.1.2</w:t>
            </w:r>
          </w:p>
          <w:p w14:paraId="5FB099A0" w14:textId="77777777" w:rsidR="00AA20CF" w:rsidRPr="00EF7276" w:rsidRDefault="00AA20CF" w:rsidP="00CF3F52">
            <w:pPr>
              <w:jc w:val="center"/>
              <w:rPr>
                <w:sz w:val="12"/>
                <w:szCs w:val="12"/>
              </w:rPr>
            </w:pPr>
            <w:r w:rsidRPr="00EF7276">
              <w:rPr>
                <w:rFonts w:ascii="Arial Narrow" w:hAnsi="Arial Narrow" w:cs="Calibri"/>
                <w:color w:val="000000"/>
                <w:sz w:val="12"/>
                <w:szCs w:val="12"/>
              </w:rPr>
              <w:t>CSR.2025.1.4</w:t>
            </w:r>
          </w:p>
        </w:tc>
        <w:tc>
          <w:tcPr>
            <w:tcW w:w="850" w:type="dxa"/>
            <w:tcBorders>
              <w:top w:val="single" w:sz="4" w:space="0" w:color="00B0F0"/>
              <w:left w:val="single" w:sz="4" w:space="0" w:color="00B0F0"/>
              <w:bottom w:val="single" w:sz="4" w:space="0" w:color="00B0F0"/>
              <w:right w:val="single" w:sz="4" w:space="0" w:color="00B0F0"/>
            </w:tcBorders>
            <w:vAlign w:val="center"/>
          </w:tcPr>
          <w:p w14:paraId="1502684B" w14:textId="77777777" w:rsidR="00AA20CF" w:rsidRPr="00EF7276" w:rsidRDefault="00AA20CF" w:rsidP="00CF3F52">
            <w:pPr>
              <w:jc w:val="center"/>
              <w:rPr>
                <w:sz w:val="12"/>
                <w:szCs w:val="12"/>
              </w:rPr>
            </w:pPr>
            <w:r w:rsidRPr="00EF7276">
              <w:rPr>
                <w:rFonts w:ascii="Arial Narrow" w:hAnsi="Arial Narrow" w:cs="Calibri"/>
                <w:color w:val="000000"/>
                <w:sz w:val="12"/>
                <w:szCs w:val="12"/>
              </w:rPr>
              <w:t>-</w:t>
            </w:r>
          </w:p>
        </w:tc>
        <w:tc>
          <w:tcPr>
            <w:tcW w:w="567" w:type="dxa"/>
            <w:tcBorders>
              <w:left w:val="single" w:sz="4" w:space="0" w:color="00B0F0"/>
              <w:right w:val="single" w:sz="4" w:space="0" w:color="00B0F0"/>
            </w:tcBorders>
            <w:vAlign w:val="center"/>
          </w:tcPr>
          <w:p w14:paraId="1867BE92" w14:textId="77777777" w:rsidR="00AA20CF" w:rsidRPr="00807C08" w:rsidRDefault="00AA20CF" w:rsidP="00CF3F52">
            <w:pPr>
              <w:jc w:val="center"/>
              <w:rPr>
                <w:rFonts w:ascii="Arial Narrow" w:hAnsi="Arial Narrow"/>
                <w:sz w:val="12"/>
                <w:szCs w:val="12"/>
              </w:rPr>
            </w:pPr>
            <w:r w:rsidRPr="00807C08">
              <w:rPr>
                <w:rFonts w:ascii="Arial Narrow" w:hAnsi="Arial Narrow"/>
                <w:sz w:val="12"/>
                <w:szCs w:val="12"/>
              </w:rPr>
              <w:t>Cieľ 16</w:t>
            </w:r>
          </w:p>
        </w:tc>
        <w:tc>
          <w:tcPr>
            <w:tcW w:w="709" w:type="dxa"/>
            <w:tcBorders>
              <w:top w:val="single" w:sz="4" w:space="0" w:color="00B0F0"/>
              <w:left w:val="single" w:sz="4" w:space="0" w:color="00B0F0"/>
              <w:bottom w:val="single" w:sz="4" w:space="0" w:color="00B0F0"/>
              <w:right w:val="single" w:sz="4" w:space="0" w:color="00B0F0"/>
            </w:tcBorders>
            <w:vAlign w:val="center"/>
          </w:tcPr>
          <w:p w14:paraId="5F0698CA" w14:textId="77777777" w:rsidR="00AA20CF" w:rsidRPr="00807C08" w:rsidRDefault="00AA20CF" w:rsidP="00CF3F52">
            <w:pPr>
              <w:jc w:val="center"/>
              <w:rPr>
                <w:sz w:val="12"/>
                <w:szCs w:val="12"/>
              </w:rPr>
            </w:pPr>
            <w:r w:rsidRPr="00807C08">
              <w:rPr>
                <w:rFonts w:ascii="Arial Narrow" w:hAnsi="Arial Narrow" w:cs="Calibri"/>
                <w:color w:val="000000"/>
                <w:sz w:val="12"/>
                <w:szCs w:val="12"/>
              </w:rPr>
              <w:t>Zásada 8</w:t>
            </w:r>
          </w:p>
        </w:tc>
        <w:tc>
          <w:tcPr>
            <w:tcW w:w="992" w:type="dxa"/>
            <w:tcBorders>
              <w:left w:val="single" w:sz="4" w:space="0" w:color="00B0F0"/>
            </w:tcBorders>
            <w:vAlign w:val="center"/>
          </w:tcPr>
          <w:p w14:paraId="1B206E9A" w14:textId="2A63384B" w:rsidR="00AA20CF" w:rsidRPr="00807C08" w:rsidRDefault="00AA20CF" w:rsidP="00CF3F52">
            <w:pPr>
              <w:jc w:val="center"/>
              <w:rPr>
                <w:rFonts w:ascii="Arial Narrow" w:hAnsi="Arial Narrow"/>
                <w:sz w:val="12"/>
                <w:szCs w:val="12"/>
              </w:rPr>
            </w:pPr>
            <w:r w:rsidRPr="00807C08">
              <w:rPr>
                <w:rFonts w:ascii="Arial Narrow" w:hAnsi="Arial Narrow"/>
                <w:sz w:val="12"/>
                <w:szCs w:val="12"/>
              </w:rPr>
              <w:t xml:space="preserve">. Dokončené </w:t>
            </w:r>
          </w:p>
        </w:tc>
      </w:tr>
      <w:tr w:rsidR="00AA20CF" w:rsidRPr="00A46BD9" w14:paraId="2ABB3521" w14:textId="77777777" w:rsidTr="00807C08">
        <w:trPr>
          <w:trHeight w:val="279"/>
        </w:trPr>
        <w:tc>
          <w:tcPr>
            <w:tcW w:w="283" w:type="dxa"/>
            <w:vMerge/>
            <w:shd w:val="clear" w:color="auto" w:fill="686767"/>
          </w:tcPr>
          <w:p w14:paraId="18F62B84" w14:textId="77777777" w:rsidR="00AA20CF" w:rsidRPr="00A46BD9" w:rsidRDefault="00AA20CF" w:rsidP="00CF3F52">
            <w:pPr>
              <w:spacing w:line="140" w:lineRule="exact"/>
              <w:jc w:val="center"/>
              <w:rPr>
                <w:rFonts w:ascii="Arial Narrow" w:hAnsi="Arial Narrow"/>
                <w:b/>
                <w:sz w:val="16"/>
                <w:szCs w:val="16"/>
              </w:rPr>
            </w:pPr>
          </w:p>
        </w:tc>
        <w:tc>
          <w:tcPr>
            <w:tcW w:w="1247" w:type="dxa"/>
            <w:tcBorders>
              <w:top w:val="single" w:sz="4" w:space="0" w:color="00B0F0"/>
              <w:bottom w:val="single" w:sz="4" w:space="0" w:color="00B0F0"/>
              <w:right w:val="single" w:sz="4" w:space="0" w:color="00B0F0"/>
            </w:tcBorders>
            <w:vAlign w:val="center"/>
          </w:tcPr>
          <w:p w14:paraId="36F036FA"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4:</w:t>
            </w:r>
            <w:r w:rsidRPr="00A46BD9">
              <w:rPr>
                <w:rFonts w:ascii="Arial Narrow" w:hAnsi="Arial Narrow"/>
                <w:sz w:val="15"/>
                <w:szCs w:val="15"/>
              </w:rPr>
              <w:t xml:space="preserve"> </w:t>
            </w:r>
            <w:r w:rsidRPr="00A46BD9">
              <w:rPr>
                <w:rFonts w:ascii="Arial Narrow" w:hAnsi="Arial Narrow"/>
                <w:sz w:val="15"/>
                <w:szCs w:val="15"/>
              </w:rPr>
              <w:br/>
              <w:t>Zasielanie údajov z faktúr daňových subjektov (eFaktúra)</w:t>
            </w:r>
          </w:p>
        </w:tc>
        <w:tc>
          <w:tcPr>
            <w:tcW w:w="2693" w:type="dxa"/>
            <w:tcBorders>
              <w:left w:val="single" w:sz="4" w:space="0" w:color="00B0F0"/>
            </w:tcBorders>
          </w:tcPr>
          <w:p w14:paraId="3879EE5C" w14:textId="77777777" w:rsidR="00AA20CF" w:rsidRPr="00A46BD9" w:rsidRDefault="00AA20CF" w:rsidP="00CF3F52">
            <w:pPr>
              <w:jc w:val="both"/>
              <w:rPr>
                <w:sz w:val="15"/>
                <w:szCs w:val="15"/>
              </w:rPr>
            </w:pPr>
            <w:r w:rsidRPr="00A46BD9">
              <w:rPr>
                <w:rFonts w:ascii="Arial Narrow" w:hAnsi="Arial Narrow"/>
                <w:sz w:val="15"/>
                <w:szCs w:val="15"/>
              </w:rPr>
              <w:t>Zavedenie elektronickej fakturácie a zasielania údajov z faktúr v reálnom čase má za cieľ boj proti daňovým únikom, znižovanie daňovej medzery a efektívnejší výber daní, pričom zároveň znižuje administratívnu záťaž podnikov.</w:t>
            </w:r>
          </w:p>
          <w:p w14:paraId="38BA1B96" w14:textId="77777777" w:rsidR="00AA20CF" w:rsidRPr="00A46BD9" w:rsidRDefault="00AA20CF" w:rsidP="00CF3F52">
            <w:pPr>
              <w:rPr>
                <w:sz w:val="15"/>
                <w:szCs w:val="15"/>
              </w:rPr>
            </w:pPr>
          </w:p>
          <w:p w14:paraId="56C10D00" w14:textId="77777777" w:rsidR="00AA20CF" w:rsidRPr="00A46BD9" w:rsidRDefault="00AA20CF" w:rsidP="00CF3F52">
            <w:pPr>
              <w:tabs>
                <w:tab w:val="left" w:pos="1306"/>
              </w:tabs>
              <w:jc w:val="both"/>
              <w:rPr>
                <w:rFonts w:ascii="Arial Narrow" w:hAnsi="Arial Narrow"/>
                <w:sz w:val="15"/>
                <w:szCs w:val="15"/>
              </w:rPr>
            </w:pPr>
            <w:r w:rsidRPr="00A46BD9">
              <w:rPr>
                <w:rFonts w:ascii="Arial Narrow" w:hAnsi="Arial Narrow"/>
                <w:sz w:val="15"/>
                <w:szCs w:val="15"/>
              </w:rPr>
              <w:t xml:space="preserve">MF SR v roku 2025 pripravila legislatívu, ktorá prispôsobuje pravidlá európskemu štandardu. Súčasne sa obstarávajú komponenty </w:t>
            </w:r>
            <w:hyperlink r:id="rId32" w:history="1">
              <w:r w:rsidRPr="00A46BD9">
                <w:rPr>
                  <w:rStyle w:val="Hypertextovprepojenie"/>
                  <w:rFonts w:ascii="Arial Narrow" w:hAnsi="Arial Narrow"/>
                  <w:sz w:val="15"/>
                  <w:szCs w:val="15"/>
                </w:rPr>
                <w:t>infraštruktúry</w:t>
              </w:r>
            </w:hyperlink>
            <w:r w:rsidRPr="00A46BD9">
              <w:rPr>
                <w:rFonts w:ascii="Arial Narrow" w:hAnsi="Arial Narrow"/>
                <w:sz w:val="15"/>
                <w:szCs w:val="15"/>
              </w:rPr>
              <w:t xml:space="preserve"> na zavedenie elektronických faktúr. Legislatíva na povinnej báze nadobudne účinnosť 1.1.2027, aby mali dotknuté osoby aj </w:t>
            </w:r>
            <w:r w:rsidRPr="00043686">
              <w:rPr>
                <w:rFonts w:ascii="Arial Narrow" w:hAnsi="Arial Narrow"/>
                <w:sz w:val="15"/>
                <w:szCs w:val="15"/>
              </w:rPr>
              <w:t>F</w:t>
            </w:r>
            <w:r w:rsidRPr="00BE5DF7">
              <w:rPr>
                <w:rFonts w:ascii="Arial Narrow" w:hAnsi="Arial Narrow"/>
                <w:sz w:val="15"/>
                <w:szCs w:val="15"/>
              </w:rPr>
              <w:t>S</w:t>
            </w:r>
            <w:r w:rsidRPr="00A46BD9">
              <w:rPr>
                <w:rFonts w:ascii="Arial Narrow" w:hAnsi="Arial Narrow"/>
                <w:sz w:val="15"/>
                <w:szCs w:val="15"/>
              </w:rPr>
              <w:t xml:space="preserve"> SR  dostatok času na vypracovanie nových informačných systémov alebo na zapracovanie zmien do existujúcich systémov.</w:t>
            </w:r>
            <w:r>
              <w:rPr>
                <w:rFonts w:ascii="Arial Narrow" w:hAnsi="Arial Narrow"/>
                <w:sz w:val="15"/>
                <w:szCs w:val="15"/>
              </w:rPr>
              <w:t xml:space="preserve"> V roku 2025 organizovala FS SR taktiež </w:t>
            </w:r>
            <w:r w:rsidRPr="00E74401">
              <w:rPr>
                <w:rFonts w:ascii="Arial Narrow" w:hAnsi="Arial Narrow"/>
                <w:sz w:val="15"/>
                <w:szCs w:val="15"/>
              </w:rPr>
              <w:t>aktivity na podporu zavedenia elektronických faktúr (webináre, prezentácie, bilaterálne stretnutia)</w:t>
            </w:r>
            <w:r>
              <w:rPr>
                <w:rFonts w:ascii="Arial Narrow" w:hAnsi="Arial Narrow"/>
                <w:sz w:val="15"/>
                <w:szCs w:val="15"/>
              </w:rPr>
              <w:t>, v ktorých</w:t>
            </w:r>
            <w:r w:rsidRPr="00E74401">
              <w:rPr>
                <w:rFonts w:ascii="Arial Narrow" w:hAnsi="Arial Narrow"/>
                <w:sz w:val="15"/>
                <w:szCs w:val="15"/>
              </w:rPr>
              <w:t xml:space="preserve"> bude pokračovať aj v roku 2026.</w:t>
            </w:r>
          </w:p>
        </w:tc>
        <w:tc>
          <w:tcPr>
            <w:tcW w:w="739" w:type="dxa"/>
            <w:tcBorders>
              <w:right w:val="single" w:sz="4" w:space="0" w:color="2EAAE1"/>
            </w:tcBorders>
            <w:vAlign w:val="center"/>
          </w:tcPr>
          <w:p w14:paraId="471CAC17" w14:textId="77777777" w:rsidR="00AA20CF" w:rsidRPr="00624FD5" w:rsidRDefault="00AA20CF" w:rsidP="00CF3F52">
            <w:pPr>
              <w:jc w:val="center"/>
              <w:rPr>
                <w:rFonts w:ascii="Arial Narrow" w:hAnsi="Arial Narrow"/>
                <w:sz w:val="14"/>
                <w:szCs w:val="14"/>
              </w:rPr>
            </w:pPr>
            <w:r w:rsidRPr="00624FD5">
              <w:rPr>
                <w:rFonts w:ascii="Arial Narrow" w:hAnsi="Arial Narrow"/>
                <w:sz w:val="14"/>
                <w:szCs w:val="14"/>
              </w:rPr>
              <w:t>-</w:t>
            </w:r>
          </w:p>
        </w:tc>
        <w:tc>
          <w:tcPr>
            <w:tcW w:w="992" w:type="dxa"/>
            <w:tcBorders>
              <w:top w:val="single" w:sz="4" w:space="0" w:color="2EAAE1"/>
              <w:left w:val="single" w:sz="4" w:space="0" w:color="2EAAE1"/>
              <w:bottom w:val="single" w:sz="4" w:space="0" w:color="2EAAE1"/>
              <w:right w:val="single" w:sz="4" w:space="0" w:color="00B0F0"/>
            </w:tcBorders>
            <w:vAlign w:val="center"/>
          </w:tcPr>
          <w:p w14:paraId="3202C832"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sz w:val="12"/>
                <w:szCs w:val="12"/>
              </w:rPr>
              <w:t>CSR.2025.1.5</w:t>
            </w:r>
          </w:p>
        </w:tc>
        <w:tc>
          <w:tcPr>
            <w:tcW w:w="850" w:type="dxa"/>
            <w:tcBorders>
              <w:top w:val="single" w:sz="4" w:space="0" w:color="00B0F0"/>
              <w:left w:val="single" w:sz="4" w:space="0" w:color="00B0F0"/>
              <w:bottom w:val="single" w:sz="4" w:space="0" w:color="00B0F0"/>
              <w:right w:val="single" w:sz="4" w:space="0" w:color="00B0F0"/>
            </w:tcBorders>
            <w:vAlign w:val="center"/>
          </w:tcPr>
          <w:p w14:paraId="2FC6F7D6"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sz w:val="12"/>
                <w:szCs w:val="12"/>
              </w:rPr>
              <w:t>Spravodlivá digitálna transformácia</w:t>
            </w:r>
          </w:p>
        </w:tc>
        <w:tc>
          <w:tcPr>
            <w:tcW w:w="567" w:type="dxa"/>
            <w:tcBorders>
              <w:left w:val="single" w:sz="4" w:space="0" w:color="00B0F0"/>
              <w:right w:val="single" w:sz="4" w:space="0" w:color="00B0F0"/>
            </w:tcBorders>
            <w:vAlign w:val="center"/>
          </w:tcPr>
          <w:p w14:paraId="7F1EA62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16</w:t>
            </w:r>
          </w:p>
          <w:p w14:paraId="55D8349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17</w:t>
            </w:r>
          </w:p>
        </w:tc>
        <w:tc>
          <w:tcPr>
            <w:tcW w:w="709" w:type="dxa"/>
            <w:tcBorders>
              <w:top w:val="single" w:sz="4" w:space="0" w:color="00B0F0"/>
              <w:left w:val="single" w:sz="4" w:space="0" w:color="00B0F0"/>
              <w:bottom w:val="single" w:sz="4" w:space="0" w:color="00B0F0"/>
              <w:right w:val="single" w:sz="4" w:space="0" w:color="00B0F0"/>
            </w:tcBorders>
            <w:vAlign w:val="center"/>
          </w:tcPr>
          <w:p w14:paraId="6265DD84"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w:t>
            </w:r>
          </w:p>
        </w:tc>
        <w:tc>
          <w:tcPr>
            <w:tcW w:w="992" w:type="dxa"/>
            <w:tcBorders>
              <w:left w:val="single" w:sz="4" w:space="0" w:color="00B0F0"/>
            </w:tcBorders>
            <w:vAlign w:val="center"/>
          </w:tcPr>
          <w:p w14:paraId="78F0034A"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52D37815" w14:textId="77777777" w:rsidTr="00CF3F52">
        <w:trPr>
          <w:trHeight w:val="279"/>
        </w:trPr>
        <w:tc>
          <w:tcPr>
            <w:tcW w:w="283" w:type="dxa"/>
            <w:vMerge/>
            <w:shd w:val="clear" w:color="auto" w:fill="686767"/>
          </w:tcPr>
          <w:p w14:paraId="6AF20794" w14:textId="77777777" w:rsidR="00AA20CF" w:rsidRPr="00A46BD9" w:rsidRDefault="00AA20CF" w:rsidP="00CF3F52">
            <w:pPr>
              <w:spacing w:line="140" w:lineRule="exact"/>
              <w:jc w:val="center"/>
              <w:rPr>
                <w:rFonts w:ascii="Arial Narrow" w:hAnsi="Arial Narrow"/>
                <w:b/>
                <w:sz w:val="16"/>
                <w:szCs w:val="16"/>
              </w:rPr>
            </w:pPr>
          </w:p>
        </w:tc>
        <w:tc>
          <w:tcPr>
            <w:tcW w:w="1247" w:type="dxa"/>
            <w:vMerge w:val="restart"/>
            <w:tcBorders>
              <w:top w:val="single" w:sz="4" w:space="0" w:color="00B0F0"/>
              <w:right w:val="single" w:sz="4" w:space="0" w:color="00B0F0"/>
            </w:tcBorders>
            <w:vAlign w:val="center"/>
          </w:tcPr>
          <w:p w14:paraId="6219BBBD"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5:</w:t>
            </w:r>
            <w:r w:rsidRPr="00A46BD9">
              <w:rPr>
                <w:rFonts w:ascii="Arial Narrow" w:hAnsi="Arial Narrow"/>
                <w:sz w:val="15"/>
                <w:szCs w:val="15"/>
              </w:rPr>
              <w:t xml:space="preserve">  </w:t>
            </w:r>
            <w:r w:rsidRPr="00A46BD9">
              <w:rPr>
                <w:rFonts w:ascii="Arial Narrow" w:hAnsi="Arial Narrow"/>
                <w:sz w:val="15"/>
                <w:szCs w:val="15"/>
              </w:rPr>
              <w:br/>
              <w:t>Skvalitnenie elektronických služieb finančnej správy a podpora proklientského prístupu</w:t>
            </w:r>
          </w:p>
        </w:tc>
        <w:tc>
          <w:tcPr>
            <w:tcW w:w="2693" w:type="dxa"/>
            <w:tcBorders>
              <w:left w:val="single" w:sz="4" w:space="0" w:color="00B0F0"/>
            </w:tcBorders>
          </w:tcPr>
          <w:p w14:paraId="10442EFC" w14:textId="77777777" w:rsidR="00AA20CF" w:rsidRPr="00A46BD9" w:rsidRDefault="00AA20CF" w:rsidP="00CF3F52">
            <w:pPr>
              <w:jc w:val="both"/>
              <w:rPr>
                <w:rFonts w:ascii="Arial Narrow" w:hAnsi="Arial Narrow"/>
                <w:sz w:val="15"/>
                <w:szCs w:val="15"/>
              </w:rPr>
            </w:pPr>
            <w:r>
              <w:rPr>
                <w:rFonts w:ascii="Arial Narrow" w:hAnsi="Arial Narrow"/>
                <w:sz w:val="15"/>
                <w:szCs w:val="15"/>
              </w:rPr>
              <w:t xml:space="preserve">a) </w:t>
            </w:r>
            <w:r w:rsidRPr="00A46BD9">
              <w:rPr>
                <w:rFonts w:ascii="Arial Narrow" w:hAnsi="Arial Narrow"/>
                <w:sz w:val="15"/>
                <w:szCs w:val="15"/>
              </w:rPr>
              <w:t>Zavedenie QR kódov v dokumentoch štátnych inštitúcií má za cieľ zjednodušiť platby, eliminovať manuálne zadávanie údajov, znížiť chybovosť a zvýšiť spokojnosť používateľov vďaka efektívnejšiemu procesu.</w:t>
            </w:r>
          </w:p>
          <w:p w14:paraId="22CB2D8D" w14:textId="77777777" w:rsidR="00AA20CF" w:rsidRPr="00A46BD9" w:rsidRDefault="00AA20CF" w:rsidP="00CF3F52">
            <w:pPr>
              <w:jc w:val="both"/>
              <w:rPr>
                <w:rFonts w:ascii="Arial Narrow" w:hAnsi="Arial Narrow"/>
                <w:sz w:val="15"/>
                <w:szCs w:val="15"/>
              </w:rPr>
            </w:pPr>
          </w:p>
          <w:p w14:paraId="679F2FF2"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V júni 2024 boli spustené všetky tri fázy zavádzania </w:t>
            </w:r>
            <w:hyperlink r:id="rId33" w:history="1">
              <w:r w:rsidRPr="00A46BD9">
                <w:rPr>
                  <w:rStyle w:val="Hypertextovprepojenie"/>
                  <w:rFonts w:ascii="Arial Narrow" w:hAnsi="Arial Narrow"/>
                  <w:sz w:val="15"/>
                  <w:szCs w:val="15"/>
                </w:rPr>
                <w:t>QR kódov</w:t>
              </w:r>
            </w:hyperlink>
            <w:r w:rsidRPr="00A46BD9">
              <w:rPr>
                <w:rFonts w:ascii="Arial Narrow" w:hAnsi="Arial Narrow"/>
                <w:sz w:val="15"/>
                <w:szCs w:val="15"/>
              </w:rPr>
              <w:t xml:space="preserve"> do dokumentov exekútorov, kontrolórov a správcov. V oblasti spotrebných daní boli QR kódy skompletizované v apríli 2025.</w:t>
            </w:r>
            <w:r>
              <w:rPr>
                <w:rFonts w:ascii="Arial Narrow" w:hAnsi="Arial Narrow"/>
                <w:sz w:val="15"/>
                <w:szCs w:val="15"/>
              </w:rPr>
              <w:t xml:space="preserve"> </w:t>
            </w:r>
            <w:r w:rsidRPr="00390598">
              <w:rPr>
                <w:rFonts w:ascii="Arial Narrow" w:hAnsi="Arial Narrow"/>
                <w:sz w:val="15"/>
                <w:szCs w:val="15"/>
              </w:rPr>
              <w:t xml:space="preserve">QR kódy boli </w:t>
            </w:r>
            <w:r>
              <w:rPr>
                <w:rFonts w:ascii="Arial Narrow" w:hAnsi="Arial Narrow"/>
                <w:sz w:val="15"/>
                <w:szCs w:val="15"/>
              </w:rPr>
              <w:t>zároveň i</w:t>
            </w:r>
            <w:r w:rsidRPr="00390598">
              <w:rPr>
                <w:rFonts w:ascii="Arial Narrow" w:hAnsi="Arial Narrow"/>
                <w:sz w:val="15"/>
                <w:szCs w:val="15"/>
              </w:rPr>
              <w:t xml:space="preserve">mplementované </w:t>
            </w:r>
            <w:r>
              <w:rPr>
                <w:rFonts w:ascii="Arial Narrow" w:hAnsi="Arial Narrow"/>
                <w:sz w:val="15"/>
                <w:szCs w:val="15"/>
              </w:rPr>
              <w:t>aj do</w:t>
            </w:r>
            <w:r w:rsidRPr="00390598">
              <w:rPr>
                <w:rFonts w:ascii="Arial Narrow" w:hAnsi="Arial Narrow"/>
                <w:sz w:val="15"/>
                <w:szCs w:val="15"/>
              </w:rPr>
              <w:t xml:space="preserve"> kontroln</w:t>
            </w:r>
            <w:r>
              <w:rPr>
                <w:rFonts w:ascii="Arial Narrow" w:hAnsi="Arial Narrow"/>
                <w:sz w:val="15"/>
                <w:szCs w:val="15"/>
              </w:rPr>
              <w:t>ých</w:t>
            </w:r>
            <w:r w:rsidRPr="00390598">
              <w:rPr>
                <w:rFonts w:ascii="Arial Narrow" w:hAnsi="Arial Narrow"/>
                <w:sz w:val="15"/>
                <w:szCs w:val="15"/>
              </w:rPr>
              <w:t xml:space="preserve"> šabló</w:t>
            </w:r>
            <w:r>
              <w:rPr>
                <w:rFonts w:ascii="Arial Narrow" w:hAnsi="Arial Narrow"/>
                <w:sz w:val="15"/>
                <w:szCs w:val="15"/>
              </w:rPr>
              <w:t>n</w:t>
            </w:r>
            <w:r w:rsidRPr="00390598">
              <w:rPr>
                <w:rFonts w:ascii="Arial Narrow" w:hAnsi="Arial Narrow"/>
                <w:sz w:val="15"/>
                <w:szCs w:val="15"/>
              </w:rPr>
              <w:t xml:space="preserve"> FR SR</w:t>
            </w:r>
            <w:r>
              <w:rPr>
                <w:rFonts w:ascii="Arial Narrow" w:hAnsi="Arial Narrow"/>
                <w:sz w:val="15"/>
                <w:szCs w:val="15"/>
              </w:rPr>
              <w:t xml:space="preserve">. Doplnenie </w:t>
            </w:r>
            <w:r w:rsidRPr="00A46BD9">
              <w:rPr>
                <w:rFonts w:ascii="Arial Narrow" w:hAnsi="Arial Narrow"/>
                <w:sz w:val="15"/>
                <w:szCs w:val="15"/>
              </w:rPr>
              <w:t>QR kód</w:t>
            </w:r>
            <w:r>
              <w:rPr>
                <w:rFonts w:ascii="Arial Narrow" w:hAnsi="Arial Narrow"/>
                <w:sz w:val="15"/>
                <w:szCs w:val="15"/>
              </w:rPr>
              <w:t>ov</w:t>
            </w:r>
            <w:r w:rsidRPr="00A46BD9">
              <w:rPr>
                <w:rFonts w:ascii="Arial Narrow" w:hAnsi="Arial Narrow"/>
                <w:sz w:val="15"/>
                <w:szCs w:val="15"/>
              </w:rPr>
              <w:t xml:space="preserve"> pre dovozné platby do systémov e-Dovoz, e-Commerce </w:t>
            </w:r>
            <w:r>
              <w:rPr>
                <w:rFonts w:ascii="Arial Narrow" w:hAnsi="Arial Narrow"/>
                <w:sz w:val="15"/>
                <w:szCs w:val="15"/>
              </w:rPr>
              <w:t>a Elektronickej platobnej platformy</w:t>
            </w:r>
            <w:r w:rsidRPr="00A46BD9">
              <w:rPr>
                <w:rFonts w:ascii="Arial Narrow" w:hAnsi="Arial Narrow"/>
                <w:sz w:val="15"/>
                <w:szCs w:val="15"/>
              </w:rPr>
              <w:t xml:space="preserve"> s</w:t>
            </w:r>
            <w:r>
              <w:rPr>
                <w:rFonts w:ascii="Arial Narrow" w:hAnsi="Arial Narrow"/>
                <w:sz w:val="15"/>
                <w:szCs w:val="15"/>
              </w:rPr>
              <w:t>a plánuje</w:t>
            </w:r>
            <w:r w:rsidRPr="00A46BD9">
              <w:rPr>
                <w:rFonts w:ascii="Arial Narrow" w:hAnsi="Arial Narrow"/>
                <w:sz w:val="15"/>
                <w:szCs w:val="15"/>
              </w:rPr>
              <w:t xml:space="preserve"> do 30. júna 2026.</w:t>
            </w:r>
            <w:r>
              <w:rPr>
                <w:rFonts w:ascii="Arial Narrow" w:hAnsi="Arial Narrow"/>
                <w:sz w:val="15"/>
                <w:szCs w:val="15"/>
              </w:rPr>
              <w:t xml:space="preserve"> </w:t>
            </w:r>
          </w:p>
        </w:tc>
        <w:tc>
          <w:tcPr>
            <w:tcW w:w="739" w:type="dxa"/>
            <w:vMerge w:val="restart"/>
            <w:tcBorders>
              <w:right w:val="single" w:sz="4" w:space="0" w:color="2EAAE1"/>
            </w:tcBorders>
            <w:vAlign w:val="center"/>
          </w:tcPr>
          <w:p w14:paraId="60FF39D1" w14:textId="77777777" w:rsidR="00AA20CF" w:rsidRPr="00624FD5" w:rsidRDefault="00AA20CF" w:rsidP="00CF3F52">
            <w:pPr>
              <w:jc w:val="center"/>
              <w:rPr>
                <w:rFonts w:ascii="Arial Narrow" w:hAnsi="Arial Narrow"/>
                <w:sz w:val="14"/>
                <w:szCs w:val="14"/>
              </w:rPr>
            </w:pPr>
            <w:r w:rsidRPr="00F230A1">
              <w:rPr>
                <w:rFonts w:ascii="Arial Narrow" w:hAnsi="Arial Narrow"/>
                <w:sz w:val="14"/>
                <w:szCs w:val="14"/>
              </w:rPr>
              <w:t>-</w:t>
            </w:r>
          </w:p>
        </w:tc>
        <w:tc>
          <w:tcPr>
            <w:tcW w:w="992" w:type="dxa"/>
            <w:vMerge w:val="restart"/>
            <w:tcBorders>
              <w:top w:val="single" w:sz="4" w:space="0" w:color="2EAAE1"/>
              <w:left w:val="single" w:sz="4" w:space="0" w:color="2EAAE1"/>
              <w:right w:val="single" w:sz="4" w:space="0" w:color="00B0F0"/>
            </w:tcBorders>
            <w:vAlign w:val="center"/>
          </w:tcPr>
          <w:p w14:paraId="3A59FE23"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sz w:val="12"/>
                <w:szCs w:val="12"/>
              </w:rPr>
              <w:t>CSR.2025.1.5</w:t>
            </w:r>
          </w:p>
        </w:tc>
        <w:tc>
          <w:tcPr>
            <w:tcW w:w="850" w:type="dxa"/>
            <w:vMerge w:val="restart"/>
            <w:tcBorders>
              <w:top w:val="single" w:sz="4" w:space="0" w:color="00B0F0"/>
              <w:left w:val="single" w:sz="4" w:space="0" w:color="00B0F0"/>
              <w:right w:val="single" w:sz="4" w:space="0" w:color="00B0F0"/>
            </w:tcBorders>
            <w:vAlign w:val="center"/>
          </w:tcPr>
          <w:p w14:paraId="29775E2E"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sz w:val="12"/>
                <w:szCs w:val="12"/>
              </w:rPr>
              <w:t>Spravodlivá digitálna transformácia</w:t>
            </w:r>
          </w:p>
        </w:tc>
        <w:tc>
          <w:tcPr>
            <w:tcW w:w="567" w:type="dxa"/>
            <w:vMerge w:val="restart"/>
            <w:tcBorders>
              <w:left w:val="single" w:sz="4" w:space="0" w:color="00B0F0"/>
              <w:right w:val="single" w:sz="4" w:space="0" w:color="00B0F0"/>
            </w:tcBorders>
            <w:vAlign w:val="center"/>
          </w:tcPr>
          <w:p w14:paraId="6364DFE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16</w:t>
            </w:r>
          </w:p>
          <w:p w14:paraId="2FEE8EEA"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17</w:t>
            </w:r>
          </w:p>
        </w:tc>
        <w:tc>
          <w:tcPr>
            <w:tcW w:w="709" w:type="dxa"/>
            <w:vMerge w:val="restart"/>
            <w:tcBorders>
              <w:top w:val="single" w:sz="4" w:space="0" w:color="00B0F0"/>
              <w:left w:val="single" w:sz="4" w:space="0" w:color="00B0F0"/>
              <w:right w:val="single" w:sz="4" w:space="0" w:color="00B0F0"/>
            </w:tcBorders>
            <w:vAlign w:val="center"/>
          </w:tcPr>
          <w:p w14:paraId="6DED735B"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w:t>
            </w:r>
          </w:p>
        </w:tc>
        <w:tc>
          <w:tcPr>
            <w:tcW w:w="992" w:type="dxa"/>
            <w:tcBorders>
              <w:left w:val="single" w:sz="4" w:space="0" w:color="00B0F0"/>
            </w:tcBorders>
            <w:vAlign w:val="center"/>
          </w:tcPr>
          <w:p w14:paraId="496F6DC8"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7206751A" w14:textId="77777777" w:rsidTr="00CF3F52">
        <w:trPr>
          <w:trHeight w:val="279"/>
        </w:trPr>
        <w:tc>
          <w:tcPr>
            <w:tcW w:w="283" w:type="dxa"/>
            <w:vMerge/>
            <w:tcBorders>
              <w:bottom w:val="single" w:sz="4" w:space="0" w:color="00B0F0"/>
            </w:tcBorders>
            <w:shd w:val="clear" w:color="auto" w:fill="686767"/>
          </w:tcPr>
          <w:p w14:paraId="15B2A316" w14:textId="77777777" w:rsidR="00AA20CF" w:rsidRPr="00A46BD9" w:rsidRDefault="00AA20CF" w:rsidP="00CF3F52">
            <w:pPr>
              <w:spacing w:line="140" w:lineRule="exact"/>
              <w:jc w:val="center"/>
              <w:rPr>
                <w:rFonts w:ascii="Arial Narrow" w:hAnsi="Arial Narrow"/>
                <w:b/>
                <w:sz w:val="16"/>
                <w:szCs w:val="16"/>
              </w:rPr>
            </w:pPr>
          </w:p>
        </w:tc>
        <w:tc>
          <w:tcPr>
            <w:tcW w:w="1247" w:type="dxa"/>
            <w:vMerge/>
            <w:tcBorders>
              <w:bottom w:val="single" w:sz="4" w:space="0" w:color="00B0F0"/>
              <w:right w:val="single" w:sz="4" w:space="0" w:color="00B0F0"/>
            </w:tcBorders>
            <w:vAlign w:val="center"/>
          </w:tcPr>
          <w:p w14:paraId="01273439" w14:textId="77777777" w:rsidR="00AA20CF" w:rsidRPr="00A46BD9" w:rsidRDefault="00AA20CF" w:rsidP="00CF3F52">
            <w:pPr>
              <w:jc w:val="center"/>
              <w:rPr>
                <w:rFonts w:ascii="Arial Narrow" w:hAnsi="Arial Narrow"/>
                <w:b/>
                <w:sz w:val="15"/>
                <w:szCs w:val="15"/>
              </w:rPr>
            </w:pPr>
          </w:p>
        </w:tc>
        <w:tc>
          <w:tcPr>
            <w:tcW w:w="2693" w:type="dxa"/>
            <w:tcBorders>
              <w:left w:val="single" w:sz="4" w:space="0" w:color="00B0F0"/>
            </w:tcBorders>
          </w:tcPr>
          <w:p w14:paraId="580B2F25" w14:textId="77777777" w:rsidR="00AA20CF" w:rsidRPr="00A46BD9" w:rsidRDefault="00AA20CF" w:rsidP="00CF3F52">
            <w:pPr>
              <w:jc w:val="both"/>
              <w:rPr>
                <w:rFonts w:ascii="Arial Narrow" w:hAnsi="Arial Narrow"/>
                <w:sz w:val="15"/>
                <w:szCs w:val="15"/>
              </w:rPr>
            </w:pPr>
            <w:r>
              <w:rPr>
                <w:rFonts w:ascii="Arial Narrow" w:hAnsi="Arial Narrow"/>
                <w:sz w:val="15"/>
                <w:szCs w:val="15"/>
              </w:rPr>
              <w:t xml:space="preserve">b) </w:t>
            </w:r>
            <w:r w:rsidRPr="00A46BD9">
              <w:rPr>
                <w:rFonts w:ascii="Arial Narrow" w:hAnsi="Arial Narrow"/>
                <w:sz w:val="15"/>
                <w:szCs w:val="15"/>
              </w:rPr>
              <w:t xml:space="preserve">Predvyplnenie daňových priznaní bude realizované pomocou asistenta na základe spracovania údajov z potvrdenia o zdaniteľných príjmoch. </w:t>
            </w:r>
          </w:p>
          <w:p w14:paraId="401C8060" w14:textId="77777777" w:rsidR="00AA20CF" w:rsidRPr="00A46BD9" w:rsidRDefault="00AA20CF" w:rsidP="00CF3F52">
            <w:pPr>
              <w:jc w:val="both"/>
              <w:rPr>
                <w:rFonts w:ascii="Arial Narrow" w:hAnsi="Arial Narrow"/>
                <w:sz w:val="15"/>
                <w:szCs w:val="15"/>
              </w:rPr>
            </w:pPr>
          </w:p>
          <w:p w14:paraId="2075B154"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Plánované vykonanie analýzy predvyplnenia daňových priznaní pomocou AI asistenta v priebehu roka 2025 bolo zrušené z dôvodu ochrany citlivých údajov. FS SR v roku 2026 vykoná analýzu predvyplnenia daňových priznaní pomocou </w:t>
            </w:r>
            <w:r>
              <w:rPr>
                <w:rFonts w:ascii="Arial Narrow" w:hAnsi="Arial Narrow"/>
                <w:sz w:val="15"/>
                <w:szCs w:val="15"/>
              </w:rPr>
              <w:t>optického rozoznávania znakov</w:t>
            </w:r>
            <w:r w:rsidRPr="00A46BD9">
              <w:rPr>
                <w:rFonts w:ascii="Arial Narrow" w:hAnsi="Arial Narrow"/>
                <w:sz w:val="15"/>
                <w:szCs w:val="15"/>
              </w:rPr>
              <w:t>. Z toho dôvodu sa implementácia opatrenia predpokladá až v priebehu roka 2027.</w:t>
            </w:r>
          </w:p>
        </w:tc>
        <w:tc>
          <w:tcPr>
            <w:tcW w:w="739" w:type="dxa"/>
            <w:vMerge/>
            <w:tcBorders>
              <w:right w:val="single" w:sz="4" w:space="0" w:color="2EAAE1"/>
            </w:tcBorders>
            <w:vAlign w:val="center"/>
          </w:tcPr>
          <w:p w14:paraId="5E209DCF" w14:textId="77777777" w:rsidR="00AA20CF" w:rsidRPr="00624FD5" w:rsidRDefault="00AA20CF" w:rsidP="00CF3F52">
            <w:pPr>
              <w:jc w:val="center"/>
              <w:rPr>
                <w:rFonts w:ascii="Arial Narrow" w:hAnsi="Arial Narrow"/>
                <w:sz w:val="14"/>
                <w:szCs w:val="14"/>
              </w:rPr>
            </w:pPr>
          </w:p>
        </w:tc>
        <w:tc>
          <w:tcPr>
            <w:tcW w:w="992" w:type="dxa"/>
            <w:vMerge/>
            <w:tcBorders>
              <w:left w:val="single" w:sz="4" w:space="0" w:color="2EAAE1"/>
              <w:bottom w:val="single" w:sz="4" w:space="0" w:color="2EAAE1"/>
              <w:right w:val="single" w:sz="4" w:space="0" w:color="00B0F0"/>
            </w:tcBorders>
            <w:vAlign w:val="center"/>
          </w:tcPr>
          <w:p w14:paraId="2452F42E" w14:textId="77777777" w:rsidR="00AA20CF" w:rsidRPr="00EF7276" w:rsidRDefault="00AA20CF" w:rsidP="00CF3F52">
            <w:pPr>
              <w:jc w:val="center"/>
              <w:rPr>
                <w:rFonts w:ascii="Arial Narrow" w:hAnsi="Arial Narrow" w:cs="Calibri"/>
                <w:sz w:val="12"/>
                <w:szCs w:val="12"/>
              </w:rPr>
            </w:pPr>
          </w:p>
        </w:tc>
        <w:tc>
          <w:tcPr>
            <w:tcW w:w="850" w:type="dxa"/>
            <w:vMerge/>
            <w:tcBorders>
              <w:left w:val="single" w:sz="4" w:space="0" w:color="00B0F0"/>
              <w:bottom w:val="single" w:sz="4" w:space="0" w:color="00B0F0"/>
              <w:right w:val="single" w:sz="4" w:space="0" w:color="00B0F0"/>
            </w:tcBorders>
            <w:vAlign w:val="center"/>
          </w:tcPr>
          <w:p w14:paraId="1D6E445B" w14:textId="77777777" w:rsidR="00AA20CF" w:rsidRPr="00EF7276" w:rsidRDefault="00AA20CF" w:rsidP="00CF3F52">
            <w:pPr>
              <w:jc w:val="center"/>
              <w:rPr>
                <w:rFonts w:ascii="Arial Narrow" w:hAnsi="Arial Narrow" w:cs="Calibri"/>
                <w:sz w:val="12"/>
                <w:szCs w:val="12"/>
              </w:rPr>
            </w:pPr>
          </w:p>
        </w:tc>
        <w:tc>
          <w:tcPr>
            <w:tcW w:w="567" w:type="dxa"/>
            <w:vMerge/>
            <w:tcBorders>
              <w:left w:val="single" w:sz="4" w:space="0" w:color="00B0F0"/>
              <w:right w:val="single" w:sz="4" w:space="0" w:color="00B0F0"/>
            </w:tcBorders>
            <w:vAlign w:val="center"/>
          </w:tcPr>
          <w:p w14:paraId="2A412104" w14:textId="77777777" w:rsidR="00AA20CF" w:rsidRPr="00EF7276" w:rsidRDefault="00AA20CF" w:rsidP="00CF3F52">
            <w:pPr>
              <w:jc w:val="center"/>
              <w:rPr>
                <w:rFonts w:ascii="Arial Narrow" w:hAnsi="Arial Narrow"/>
                <w:sz w:val="12"/>
                <w:szCs w:val="12"/>
              </w:rPr>
            </w:pPr>
          </w:p>
        </w:tc>
        <w:tc>
          <w:tcPr>
            <w:tcW w:w="709" w:type="dxa"/>
            <w:vMerge/>
            <w:tcBorders>
              <w:left w:val="single" w:sz="4" w:space="0" w:color="00B0F0"/>
              <w:bottom w:val="single" w:sz="4" w:space="0" w:color="00B0F0"/>
              <w:right w:val="single" w:sz="4" w:space="0" w:color="00B0F0"/>
            </w:tcBorders>
            <w:vAlign w:val="center"/>
          </w:tcPr>
          <w:p w14:paraId="1F9C54A5" w14:textId="77777777" w:rsidR="00AA20CF" w:rsidRPr="00EF7276" w:rsidRDefault="00AA20CF" w:rsidP="00CF3F52">
            <w:pPr>
              <w:jc w:val="center"/>
              <w:rPr>
                <w:rFonts w:ascii="Arial Narrow" w:hAnsi="Arial Narrow" w:cs="Calibri"/>
                <w:color w:val="000000"/>
                <w:sz w:val="12"/>
                <w:szCs w:val="12"/>
              </w:rPr>
            </w:pPr>
          </w:p>
        </w:tc>
        <w:tc>
          <w:tcPr>
            <w:tcW w:w="992" w:type="dxa"/>
            <w:tcBorders>
              <w:left w:val="single" w:sz="4" w:space="0" w:color="00B0F0"/>
            </w:tcBorders>
            <w:vAlign w:val="center"/>
          </w:tcPr>
          <w:p w14:paraId="4B680EA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Oneskorené</w:t>
            </w:r>
          </w:p>
        </w:tc>
      </w:tr>
      <w:tr w:rsidR="00AA20CF" w:rsidRPr="00A46BD9" w14:paraId="64C17654" w14:textId="77777777" w:rsidTr="00CF3F52">
        <w:trPr>
          <w:trHeight w:val="279"/>
        </w:trPr>
        <w:tc>
          <w:tcPr>
            <w:tcW w:w="283" w:type="dxa"/>
            <w:vMerge w:val="restart"/>
            <w:tcBorders>
              <w:top w:val="single" w:sz="4" w:space="0" w:color="00B0F0"/>
              <w:left w:val="single" w:sz="4" w:space="0" w:color="00B0F0"/>
              <w:right w:val="single" w:sz="4" w:space="0" w:color="00B0F0"/>
            </w:tcBorders>
            <w:shd w:val="clear" w:color="auto" w:fill="1AA380"/>
            <w:textDirection w:val="btLr"/>
          </w:tcPr>
          <w:p w14:paraId="7CC76A3E" w14:textId="77777777" w:rsidR="00AA20CF" w:rsidRPr="00A46BD9" w:rsidRDefault="00AA20CF" w:rsidP="00CF3F52">
            <w:pPr>
              <w:spacing w:line="140" w:lineRule="exact"/>
              <w:ind w:left="113" w:right="113"/>
              <w:jc w:val="center"/>
              <w:rPr>
                <w:rFonts w:ascii="Arial Narrow" w:hAnsi="Arial Narrow"/>
                <w:b/>
                <w:sz w:val="16"/>
                <w:szCs w:val="16"/>
              </w:rPr>
            </w:pPr>
            <w:r w:rsidRPr="00A46BD9">
              <w:rPr>
                <w:rFonts w:ascii="Arial Narrow" w:hAnsi="Arial Narrow"/>
                <w:b/>
                <w:color w:val="FFFFFF" w:themeColor="background1"/>
                <w:sz w:val="16"/>
                <w:szCs w:val="16"/>
              </w:rPr>
              <w:t>Zelená transformácia</w:t>
            </w:r>
            <w:r w:rsidRPr="00A46BD9">
              <w:rPr>
                <w:rFonts w:ascii="Arial Narrow" w:hAnsi="Arial Narrow"/>
                <w:b/>
                <w:sz w:val="16"/>
                <w:szCs w:val="16"/>
              </w:rPr>
              <w:t xml:space="preserve"> </w:t>
            </w:r>
          </w:p>
        </w:tc>
        <w:tc>
          <w:tcPr>
            <w:tcW w:w="1247" w:type="dxa"/>
            <w:tcBorders>
              <w:top w:val="single" w:sz="4" w:space="0" w:color="00B0F0"/>
              <w:left w:val="single" w:sz="4" w:space="0" w:color="00B0F0"/>
              <w:bottom w:val="single" w:sz="4" w:space="0" w:color="00B0F0"/>
              <w:right w:val="single" w:sz="4" w:space="0" w:color="00B0F0"/>
            </w:tcBorders>
            <w:vAlign w:val="center"/>
          </w:tcPr>
          <w:p w14:paraId="0943B9D9"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9:</w:t>
            </w:r>
            <w:r w:rsidRPr="00A46BD9">
              <w:rPr>
                <w:rFonts w:ascii="Arial Narrow" w:hAnsi="Arial Narrow"/>
                <w:sz w:val="15"/>
                <w:szCs w:val="15"/>
              </w:rPr>
              <w:t xml:space="preserve"> </w:t>
            </w:r>
            <w:r w:rsidRPr="00A46BD9">
              <w:rPr>
                <w:rFonts w:ascii="Arial Narrow" w:hAnsi="Arial Narrow"/>
                <w:sz w:val="15"/>
                <w:szCs w:val="15"/>
              </w:rPr>
              <w:br/>
              <w:t>Vodíkový ekosystém</w:t>
            </w:r>
          </w:p>
        </w:tc>
        <w:tc>
          <w:tcPr>
            <w:tcW w:w="2693" w:type="dxa"/>
            <w:tcBorders>
              <w:left w:val="single" w:sz="4" w:space="0" w:color="00B0F0"/>
            </w:tcBorders>
          </w:tcPr>
          <w:p w14:paraId="063D6DE9"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Opatrením sa posilní energetická bezpečnosť Slovenska a urýchli prechod na nízkouhlíkové hospodárstvo integrovaným využívaním vodíka, pričom prioritou bude legislatívna úprava a harmonizácia technických noriem v súlade s požiadavkami EÚ a národnými prioritami.</w:t>
            </w:r>
          </w:p>
          <w:p w14:paraId="7DAE4055" w14:textId="77777777" w:rsidR="00AA20CF" w:rsidRPr="00A46BD9" w:rsidRDefault="00AA20CF" w:rsidP="00CF3F52">
            <w:pPr>
              <w:jc w:val="both"/>
              <w:rPr>
                <w:rFonts w:ascii="Arial Narrow" w:hAnsi="Arial Narrow"/>
                <w:sz w:val="15"/>
                <w:szCs w:val="15"/>
              </w:rPr>
            </w:pPr>
          </w:p>
          <w:p w14:paraId="20E70207"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MH SR pripravilo </w:t>
            </w:r>
            <w:r w:rsidDel="004925E5">
              <w:rPr>
                <w:rFonts w:ascii="Arial Narrow" w:hAnsi="Arial Narrow"/>
                <w:sz w:val="15"/>
                <w:szCs w:val="15"/>
              </w:rPr>
              <w:t>legislatívny rámec</w:t>
            </w:r>
            <w:r w:rsidRPr="00A46BD9">
              <w:rPr>
                <w:rFonts w:ascii="Arial Narrow" w:hAnsi="Arial Narrow"/>
                <w:sz w:val="15"/>
                <w:szCs w:val="15"/>
              </w:rPr>
              <w:t xml:space="preserve"> na podporu vodíkového ekosystému, spolu s identifikáciou príslušnej legislatívy a technických noriem. Prvý </w:t>
            </w:r>
            <w:hyperlink r:id="rId34" w:history="1">
              <w:r w:rsidRPr="00A262E4">
                <w:rPr>
                  <w:rStyle w:val="Hypertextovprepojenie"/>
                  <w:rFonts w:ascii="Arial Narrow" w:hAnsi="Arial Narrow"/>
                  <w:sz w:val="15"/>
                  <w:szCs w:val="15"/>
                </w:rPr>
                <w:t>balík legislatívnych a normových úprav</w:t>
              </w:r>
            </w:hyperlink>
            <w:r w:rsidRPr="00A46BD9">
              <w:rPr>
                <w:rFonts w:ascii="Arial Narrow" w:hAnsi="Arial Narrow"/>
                <w:sz w:val="15"/>
                <w:szCs w:val="15"/>
              </w:rPr>
              <w:t xml:space="preserve"> nadobudol </w:t>
            </w:r>
            <w:r>
              <w:rPr>
                <w:rFonts w:ascii="Arial Narrow" w:hAnsi="Arial Narrow"/>
                <w:sz w:val="15"/>
                <w:szCs w:val="15"/>
              </w:rPr>
              <w:t>účinnosť 1. januára</w:t>
            </w:r>
            <w:r w:rsidRPr="00A46BD9">
              <w:rPr>
                <w:rFonts w:ascii="Arial Narrow" w:hAnsi="Arial Narrow"/>
                <w:sz w:val="15"/>
                <w:szCs w:val="15"/>
              </w:rPr>
              <w:t xml:space="preserve"> 202</w:t>
            </w:r>
            <w:r>
              <w:rPr>
                <w:rFonts w:ascii="Arial Narrow" w:hAnsi="Arial Narrow"/>
                <w:sz w:val="15"/>
                <w:szCs w:val="15"/>
              </w:rPr>
              <w:t>6</w:t>
            </w:r>
            <w:r w:rsidRPr="00A46BD9">
              <w:rPr>
                <w:rFonts w:ascii="Arial Narrow" w:hAnsi="Arial Narrow"/>
                <w:sz w:val="15"/>
                <w:szCs w:val="15"/>
              </w:rPr>
              <w:t>. Vypracovanie Akčného plánu pre rozvoj vodíkového ekosystému sa predpokladá do konca septembra 2026 a </w:t>
            </w:r>
            <w:r w:rsidRPr="00043686">
              <w:rPr>
                <w:rFonts w:ascii="Arial Narrow" w:hAnsi="Arial Narrow"/>
                <w:sz w:val="15"/>
                <w:szCs w:val="15"/>
              </w:rPr>
              <w:t>aktualizáci</w:t>
            </w:r>
            <w:r>
              <w:rPr>
                <w:rFonts w:ascii="Arial Narrow" w:hAnsi="Arial Narrow"/>
                <w:sz w:val="15"/>
                <w:szCs w:val="15"/>
              </w:rPr>
              <w:t>a</w:t>
            </w:r>
            <w:r w:rsidRPr="00A46BD9">
              <w:rPr>
                <w:rFonts w:ascii="Arial Narrow" w:hAnsi="Arial Narrow"/>
                <w:sz w:val="15"/>
                <w:szCs w:val="15"/>
              </w:rPr>
              <w:t xml:space="preserve"> Národnej vodíkovej stratégie</w:t>
            </w:r>
            <w:r>
              <w:rPr>
                <w:rFonts w:ascii="Arial Narrow" w:hAnsi="Arial Narrow"/>
                <w:sz w:val="15"/>
                <w:szCs w:val="15"/>
              </w:rPr>
              <w:t xml:space="preserve"> </w:t>
            </w:r>
            <w:r w:rsidRPr="00043686">
              <w:rPr>
                <w:rFonts w:ascii="Arial Narrow" w:hAnsi="Arial Narrow"/>
                <w:sz w:val="15"/>
                <w:szCs w:val="15"/>
              </w:rPr>
              <w:t>d</w:t>
            </w:r>
            <w:r>
              <w:rPr>
                <w:rFonts w:ascii="Arial Narrow" w:hAnsi="Arial Narrow"/>
                <w:sz w:val="15"/>
                <w:szCs w:val="15"/>
              </w:rPr>
              <w:t>o</w:t>
            </w:r>
            <w:r w:rsidRPr="00A46BD9">
              <w:rPr>
                <w:rFonts w:ascii="Arial Narrow" w:hAnsi="Arial Narrow"/>
                <w:sz w:val="15"/>
                <w:szCs w:val="15"/>
              </w:rPr>
              <w:t xml:space="preserve"> konca roka 2026. </w:t>
            </w:r>
          </w:p>
        </w:tc>
        <w:tc>
          <w:tcPr>
            <w:tcW w:w="739" w:type="dxa"/>
            <w:tcBorders>
              <w:right w:val="single" w:sz="4" w:space="0" w:color="2EAAE1"/>
            </w:tcBorders>
            <w:vAlign w:val="center"/>
          </w:tcPr>
          <w:p w14:paraId="594597D7" w14:textId="77777777" w:rsidR="00AA20CF" w:rsidRPr="00624FD5" w:rsidRDefault="00AA20CF" w:rsidP="00CF3F52">
            <w:pPr>
              <w:jc w:val="center"/>
              <w:rPr>
                <w:rFonts w:ascii="Arial Narrow" w:hAnsi="Arial Narrow"/>
                <w:sz w:val="14"/>
                <w:szCs w:val="14"/>
              </w:rPr>
            </w:pPr>
            <w:r w:rsidRPr="00624FD5">
              <w:rPr>
                <w:rFonts w:ascii="Arial Narrow" w:hAnsi="Arial Narrow"/>
                <w:sz w:val="14"/>
                <w:szCs w:val="14"/>
              </w:rPr>
              <w:t>-</w:t>
            </w:r>
          </w:p>
        </w:tc>
        <w:tc>
          <w:tcPr>
            <w:tcW w:w="992" w:type="dxa"/>
            <w:tcBorders>
              <w:top w:val="single" w:sz="4" w:space="0" w:color="2EAAE1"/>
              <w:left w:val="single" w:sz="4" w:space="0" w:color="2EAAE1"/>
              <w:bottom w:val="single" w:sz="4" w:space="0" w:color="2EAAE1"/>
              <w:right w:val="single" w:sz="4" w:space="0" w:color="00B0F0"/>
            </w:tcBorders>
            <w:vAlign w:val="center"/>
          </w:tcPr>
          <w:p w14:paraId="5DDEF004" w14:textId="77777777" w:rsidR="00AA20CF" w:rsidRPr="00EF7276" w:rsidRDefault="00AA20CF" w:rsidP="00CF3F52">
            <w:pPr>
              <w:jc w:val="center"/>
              <w:rPr>
                <w:rFonts w:ascii="Arial Narrow" w:hAnsi="Arial Narrow" w:cs="Calibri"/>
                <w:bCs/>
                <w:color w:val="000000"/>
                <w:sz w:val="12"/>
                <w:szCs w:val="12"/>
              </w:rPr>
            </w:pPr>
            <w:r w:rsidRPr="00EF7276">
              <w:rPr>
                <w:rFonts w:ascii="Arial Narrow" w:hAnsi="Arial Narrow" w:cs="Calibri"/>
                <w:color w:val="000000"/>
                <w:sz w:val="12"/>
                <w:szCs w:val="12"/>
              </w:rPr>
              <w:t>CSR.2025.5.1</w:t>
            </w:r>
            <w:r w:rsidRPr="00EF7276">
              <w:rPr>
                <w:rFonts w:ascii="Arial Narrow" w:hAnsi="Arial Narrow" w:cs="Calibri"/>
                <w:color w:val="000000"/>
                <w:sz w:val="12"/>
                <w:szCs w:val="12"/>
              </w:rPr>
              <w:br/>
              <w:t>CSR.2025.5.2</w:t>
            </w:r>
          </w:p>
          <w:p w14:paraId="4CAAAC48"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bCs/>
                <w:color w:val="000000"/>
                <w:sz w:val="12"/>
                <w:szCs w:val="12"/>
              </w:rPr>
              <w:t>CSR.2025.5.3</w:t>
            </w:r>
            <w:r w:rsidRPr="00EF7276">
              <w:rPr>
                <w:rFonts w:ascii="Arial Narrow" w:hAnsi="Arial Narrow" w:cs="Calibri"/>
                <w:color w:val="000000"/>
                <w:sz w:val="12"/>
                <w:szCs w:val="12"/>
              </w:rPr>
              <w:br/>
              <w:t>CSR.2025.5.8</w:t>
            </w:r>
          </w:p>
        </w:tc>
        <w:tc>
          <w:tcPr>
            <w:tcW w:w="850" w:type="dxa"/>
            <w:tcBorders>
              <w:top w:val="single" w:sz="4" w:space="0" w:color="00B0F0"/>
              <w:left w:val="single" w:sz="4" w:space="0" w:color="00B0F0"/>
              <w:bottom w:val="single" w:sz="4" w:space="0" w:color="00B0F0"/>
              <w:right w:val="single" w:sz="4" w:space="0" w:color="00B0F0"/>
            </w:tcBorders>
            <w:vAlign w:val="center"/>
          </w:tcPr>
          <w:p w14:paraId="4AA03666"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color w:val="000000"/>
                <w:sz w:val="12"/>
                <w:szCs w:val="12"/>
              </w:rPr>
              <w:t>Spravodlivá zelená</w:t>
            </w:r>
            <w:r w:rsidRPr="00EF7276">
              <w:rPr>
                <w:rFonts w:ascii="Arial Narrow" w:hAnsi="Arial Narrow" w:cs="Calibri"/>
                <w:color w:val="000000"/>
                <w:sz w:val="12"/>
                <w:szCs w:val="12"/>
              </w:rPr>
              <w:br/>
              <w:t>transformácia;</w:t>
            </w:r>
            <w:r w:rsidRPr="00EF7276">
              <w:rPr>
                <w:rFonts w:ascii="Arial Narrow" w:hAnsi="Arial Narrow" w:cs="Calibri"/>
                <w:color w:val="000000"/>
                <w:sz w:val="12"/>
                <w:szCs w:val="12"/>
              </w:rPr>
              <w:br/>
              <w:t>Zabezpečenie energetickej</w:t>
            </w:r>
            <w:r w:rsidRPr="00EF7276">
              <w:rPr>
                <w:rFonts w:ascii="Arial Narrow" w:hAnsi="Arial Narrow" w:cs="Calibri"/>
                <w:color w:val="000000"/>
                <w:sz w:val="12"/>
                <w:szCs w:val="12"/>
              </w:rPr>
              <w:br/>
              <w:t>bezpečnosť</w:t>
            </w:r>
          </w:p>
        </w:tc>
        <w:tc>
          <w:tcPr>
            <w:tcW w:w="567" w:type="dxa"/>
            <w:tcBorders>
              <w:left w:val="single" w:sz="4" w:space="0" w:color="00B0F0"/>
              <w:right w:val="single" w:sz="4" w:space="0" w:color="00B0F0"/>
            </w:tcBorders>
            <w:vAlign w:val="center"/>
          </w:tcPr>
          <w:p w14:paraId="7F53C4A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7</w:t>
            </w:r>
          </w:p>
          <w:p w14:paraId="4BAB9C6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p w14:paraId="119BC03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11</w:t>
            </w:r>
          </w:p>
          <w:p w14:paraId="1F29923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13</w:t>
            </w:r>
          </w:p>
        </w:tc>
        <w:tc>
          <w:tcPr>
            <w:tcW w:w="709" w:type="dxa"/>
            <w:tcBorders>
              <w:top w:val="single" w:sz="4" w:space="0" w:color="00B0F0"/>
              <w:left w:val="single" w:sz="4" w:space="0" w:color="00B0F0"/>
              <w:bottom w:val="single" w:sz="4" w:space="0" w:color="00B0F0"/>
              <w:right w:val="single" w:sz="4" w:space="0" w:color="00B0F0"/>
            </w:tcBorders>
            <w:vAlign w:val="center"/>
          </w:tcPr>
          <w:p w14:paraId="18DAFD1B"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w:t>
            </w:r>
          </w:p>
        </w:tc>
        <w:tc>
          <w:tcPr>
            <w:tcW w:w="992" w:type="dxa"/>
            <w:tcBorders>
              <w:left w:val="single" w:sz="4" w:space="0" w:color="00B0F0"/>
            </w:tcBorders>
            <w:vAlign w:val="center"/>
          </w:tcPr>
          <w:p w14:paraId="242CC655"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289B2AF9" w14:textId="77777777" w:rsidTr="00CF3F52">
        <w:trPr>
          <w:trHeight w:val="279"/>
        </w:trPr>
        <w:tc>
          <w:tcPr>
            <w:tcW w:w="283" w:type="dxa"/>
            <w:vMerge/>
            <w:tcBorders>
              <w:left w:val="single" w:sz="4" w:space="0" w:color="00B0F0"/>
              <w:right w:val="single" w:sz="4" w:space="0" w:color="00B0F0"/>
            </w:tcBorders>
            <w:shd w:val="clear" w:color="auto" w:fill="1AA380"/>
          </w:tcPr>
          <w:p w14:paraId="6CE57158" w14:textId="77777777" w:rsidR="00AA20CF" w:rsidRPr="00A46BD9" w:rsidRDefault="00AA20CF" w:rsidP="00CF3F52">
            <w:pPr>
              <w:spacing w:line="140" w:lineRule="exact"/>
              <w:jc w:val="center"/>
              <w:rPr>
                <w:rFonts w:ascii="Arial Narrow" w:hAnsi="Arial Narrow"/>
                <w:b/>
                <w:sz w:val="16"/>
                <w:szCs w:val="16"/>
              </w:rPr>
            </w:pPr>
          </w:p>
        </w:tc>
        <w:tc>
          <w:tcPr>
            <w:tcW w:w="1247" w:type="dxa"/>
            <w:tcBorders>
              <w:top w:val="single" w:sz="4" w:space="0" w:color="00B0F0"/>
              <w:left w:val="single" w:sz="4" w:space="0" w:color="00B0F0"/>
              <w:bottom w:val="single" w:sz="4" w:space="0" w:color="00B0F0"/>
              <w:right w:val="single" w:sz="4" w:space="0" w:color="00B0F0"/>
            </w:tcBorders>
            <w:vAlign w:val="center"/>
          </w:tcPr>
          <w:p w14:paraId="393A2E56"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10</w:t>
            </w:r>
            <w:r w:rsidRPr="00A46BD9">
              <w:rPr>
                <w:rFonts w:ascii="Arial Narrow" w:hAnsi="Arial Narrow"/>
                <w:sz w:val="15"/>
                <w:szCs w:val="15"/>
              </w:rPr>
              <w:t xml:space="preserve">: </w:t>
            </w:r>
            <w:r w:rsidRPr="00A46BD9">
              <w:rPr>
                <w:rFonts w:ascii="Arial Narrow" w:hAnsi="Arial Narrow"/>
                <w:sz w:val="15"/>
                <w:szCs w:val="15"/>
              </w:rPr>
              <w:br/>
              <w:t>Reforma trhu s elektrickou energiou</w:t>
            </w:r>
          </w:p>
        </w:tc>
        <w:tc>
          <w:tcPr>
            <w:tcW w:w="2693" w:type="dxa"/>
            <w:tcBorders>
              <w:left w:val="single" w:sz="4" w:space="0" w:color="00B0F0"/>
            </w:tcBorders>
          </w:tcPr>
          <w:p w14:paraId="08106C57"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Opatrenie modernizuje právny rámec trhu s elektrinou, umožňuje vstup nových účastníkov a zvyšuje flexibilitu elektrizačnej sústavy na podporu integrácie obnoviteľných zdrojov energie a energetickej transformácie.</w:t>
            </w:r>
          </w:p>
          <w:p w14:paraId="791909F0" w14:textId="77777777" w:rsidR="00AA20CF" w:rsidRPr="00A46BD9" w:rsidRDefault="00AA20CF" w:rsidP="00CF3F52">
            <w:pPr>
              <w:jc w:val="both"/>
              <w:rPr>
                <w:rFonts w:ascii="Arial Narrow" w:hAnsi="Arial Narrow"/>
                <w:sz w:val="15"/>
                <w:szCs w:val="15"/>
              </w:rPr>
            </w:pPr>
          </w:p>
          <w:p w14:paraId="509F2F34" w14:textId="77777777" w:rsidR="00AA20CF" w:rsidRPr="00A46BD9" w:rsidRDefault="00AA20CF" w:rsidP="00CF3F52">
            <w:pPr>
              <w:jc w:val="both"/>
              <w:rPr>
                <w:rFonts w:ascii="Arial Narrow" w:hAnsi="Arial Narrow"/>
                <w:sz w:val="15"/>
                <w:szCs w:val="15"/>
              </w:rPr>
            </w:pPr>
            <w:hyperlink r:id="rId35" w:history="1">
              <w:r w:rsidRPr="00A46BD9">
                <w:rPr>
                  <w:rStyle w:val="Hypertextovprepojenie"/>
                  <w:rFonts w:ascii="Arial Narrow" w:hAnsi="Arial Narrow"/>
                  <w:sz w:val="15"/>
                  <w:szCs w:val="15"/>
                </w:rPr>
                <w:t>Zákon</w:t>
              </w:r>
            </w:hyperlink>
            <w:r w:rsidRPr="00A46BD9">
              <w:rPr>
                <w:rFonts w:ascii="Arial Narrow" w:hAnsi="Arial Narrow"/>
                <w:sz w:val="15"/>
                <w:szCs w:val="15"/>
              </w:rPr>
              <w:t xml:space="preserve"> bol schválený a  účinnosť nadobudol v 1. októbra 2022.</w:t>
            </w:r>
          </w:p>
        </w:tc>
        <w:tc>
          <w:tcPr>
            <w:tcW w:w="739" w:type="dxa"/>
            <w:tcBorders>
              <w:right w:val="single" w:sz="4" w:space="0" w:color="2EAAE1"/>
            </w:tcBorders>
            <w:vAlign w:val="center"/>
          </w:tcPr>
          <w:p w14:paraId="05E2B0D7" w14:textId="77777777" w:rsidR="00AA20CF" w:rsidRPr="00F230A1" w:rsidRDefault="00AA20CF" w:rsidP="00CF3F52">
            <w:pPr>
              <w:jc w:val="center"/>
              <w:rPr>
                <w:rFonts w:ascii="Arial Narrow" w:hAnsi="Arial Narrow"/>
                <w:sz w:val="14"/>
                <w:szCs w:val="14"/>
              </w:rPr>
            </w:pPr>
            <w:r w:rsidRPr="00F230A1">
              <w:rPr>
                <w:rFonts w:ascii="Arial Narrow" w:hAnsi="Arial Narrow"/>
                <w:sz w:val="14"/>
                <w:szCs w:val="14"/>
              </w:rPr>
              <w:t>POO</w:t>
            </w:r>
          </w:p>
          <w:p w14:paraId="64A6DE80" w14:textId="77777777" w:rsidR="00AA20CF" w:rsidRPr="00624FD5" w:rsidRDefault="00AA20CF" w:rsidP="00CF3F52">
            <w:pPr>
              <w:jc w:val="center"/>
              <w:rPr>
                <w:rFonts w:ascii="Arial Narrow" w:hAnsi="Arial Narrow"/>
                <w:sz w:val="14"/>
                <w:szCs w:val="14"/>
              </w:rPr>
            </w:pPr>
            <w:r w:rsidRPr="00F230A1">
              <w:rPr>
                <w:rFonts w:ascii="Arial Narrow" w:hAnsi="Arial Narrow"/>
                <w:sz w:val="12"/>
                <w:szCs w:val="12"/>
              </w:rPr>
              <w:t>SK-C[C1]-R[R1]</w:t>
            </w:r>
          </w:p>
        </w:tc>
        <w:tc>
          <w:tcPr>
            <w:tcW w:w="992" w:type="dxa"/>
            <w:tcBorders>
              <w:top w:val="single" w:sz="4" w:space="0" w:color="2EAAE1"/>
              <w:left w:val="single" w:sz="4" w:space="0" w:color="2EAAE1"/>
              <w:bottom w:val="single" w:sz="4" w:space="0" w:color="2EAAE1"/>
              <w:right w:val="single" w:sz="4" w:space="0" w:color="00B0F0"/>
            </w:tcBorders>
            <w:vAlign w:val="center"/>
          </w:tcPr>
          <w:p w14:paraId="70B2CFC1"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sz w:val="12"/>
                <w:szCs w:val="12"/>
              </w:rPr>
              <w:t>CSR.2025.5.2</w:t>
            </w:r>
          </w:p>
          <w:p w14:paraId="16D9179A"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sz w:val="12"/>
                <w:szCs w:val="12"/>
              </w:rPr>
              <w:t>CSR.2025.5.5</w:t>
            </w:r>
          </w:p>
        </w:tc>
        <w:tc>
          <w:tcPr>
            <w:tcW w:w="850" w:type="dxa"/>
            <w:tcBorders>
              <w:top w:val="single" w:sz="4" w:space="0" w:color="00B0F0"/>
              <w:left w:val="single" w:sz="4" w:space="0" w:color="00B0F0"/>
              <w:bottom w:val="single" w:sz="4" w:space="0" w:color="00B0F0"/>
              <w:right w:val="single" w:sz="4" w:space="0" w:color="00B0F0"/>
            </w:tcBorders>
            <w:vAlign w:val="center"/>
          </w:tcPr>
          <w:p w14:paraId="216B256C"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sz w:val="12"/>
                <w:szCs w:val="12"/>
              </w:rPr>
              <w:t>Spravodlivá zelená transformácia</w:t>
            </w:r>
          </w:p>
        </w:tc>
        <w:tc>
          <w:tcPr>
            <w:tcW w:w="567" w:type="dxa"/>
            <w:tcBorders>
              <w:left w:val="single" w:sz="4" w:space="0" w:color="00B0F0"/>
              <w:right w:val="single" w:sz="4" w:space="0" w:color="00B0F0"/>
            </w:tcBorders>
            <w:vAlign w:val="center"/>
          </w:tcPr>
          <w:p w14:paraId="268755BC"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7</w:t>
            </w:r>
          </w:p>
          <w:p w14:paraId="30F0DB4C"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p w14:paraId="2319CFD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13</w:t>
            </w:r>
          </w:p>
        </w:tc>
        <w:tc>
          <w:tcPr>
            <w:tcW w:w="709" w:type="dxa"/>
            <w:tcBorders>
              <w:top w:val="single" w:sz="4" w:space="0" w:color="00B0F0"/>
              <w:left w:val="single" w:sz="4" w:space="0" w:color="00B0F0"/>
              <w:bottom w:val="single" w:sz="4" w:space="0" w:color="00B0F0"/>
              <w:right w:val="single" w:sz="4" w:space="0" w:color="00B0F0"/>
            </w:tcBorders>
            <w:vAlign w:val="center"/>
          </w:tcPr>
          <w:p w14:paraId="304683A1"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w:t>
            </w:r>
          </w:p>
        </w:tc>
        <w:tc>
          <w:tcPr>
            <w:tcW w:w="992" w:type="dxa"/>
            <w:tcBorders>
              <w:left w:val="single" w:sz="4" w:space="0" w:color="00B0F0"/>
            </w:tcBorders>
            <w:vAlign w:val="center"/>
          </w:tcPr>
          <w:p w14:paraId="1C34974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Dokončené</w:t>
            </w:r>
          </w:p>
        </w:tc>
      </w:tr>
      <w:tr w:rsidR="00AA20CF" w:rsidRPr="00A46BD9" w14:paraId="1FA36A10" w14:textId="77777777" w:rsidTr="00CF3F52">
        <w:trPr>
          <w:trHeight w:val="279"/>
        </w:trPr>
        <w:tc>
          <w:tcPr>
            <w:tcW w:w="283" w:type="dxa"/>
            <w:vMerge/>
            <w:tcBorders>
              <w:left w:val="single" w:sz="4" w:space="0" w:color="00B0F0"/>
              <w:right w:val="single" w:sz="4" w:space="0" w:color="00B0F0"/>
            </w:tcBorders>
            <w:shd w:val="clear" w:color="auto" w:fill="1AA380"/>
          </w:tcPr>
          <w:p w14:paraId="63CC5930" w14:textId="77777777" w:rsidR="00AA20CF" w:rsidRPr="00A46BD9" w:rsidRDefault="00AA20CF" w:rsidP="00CF3F52">
            <w:pPr>
              <w:spacing w:line="140" w:lineRule="exact"/>
              <w:jc w:val="center"/>
              <w:rPr>
                <w:rFonts w:ascii="Arial Narrow" w:hAnsi="Arial Narrow"/>
                <w:b/>
                <w:sz w:val="16"/>
                <w:szCs w:val="16"/>
              </w:rPr>
            </w:pPr>
          </w:p>
        </w:tc>
        <w:tc>
          <w:tcPr>
            <w:tcW w:w="1247" w:type="dxa"/>
            <w:tcBorders>
              <w:top w:val="single" w:sz="4" w:space="0" w:color="00B0F0"/>
              <w:left w:val="single" w:sz="4" w:space="0" w:color="00B0F0"/>
              <w:bottom w:val="single" w:sz="4" w:space="0" w:color="00B0F0"/>
              <w:right w:val="single" w:sz="4" w:space="0" w:color="00B0F0"/>
            </w:tcBorders>
            <w:vAlign w:val="center"/>
          </w:tcPr>
          <w:p w14:paraId="31867243"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11:</w:t>
            </w:r>
            <w:r w:rsidRPr="00A46BD9">
              <w:rPr>
                <w:rFonts w:ascii="Arial Narrow" w:hAnsi="Arial Narrow"/>
                <w:sz w:val="15"/>
                <w:szCs w:val="15"/>
              </w:rPr>
              <w:br/>
              <w:t>Novela zákona o odpadoch</w:t>
            </w:r>
          </w:p>
        </w:tc>
        <w:tc>
          <w:tcPr>
            <w:tcW w:w="2693" w:type="dxa"/>
            <w:tcBorders>
              <w:left w:val="single" w:sz="4" w:space="0" w:color="00B0F0"/>
            </w:tcBorders>
          </w:tcPr>
          <w:p w14:paraId="0DDA366E"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Cieľom reformy schválenej v roku 2022 je zvýšiť recykláciu a opätovné využitie aspoň 70 % stavebného odpadu v rámci obehového hospodárstva. Kľúčové opatrenia zahŕňajú povinné zelené verejné obstarávanie, vyššie poplatky za skládkovanie nerecyklovaného odpadu a zjednodušenie predpisov na jeho ďalšie využitie.</w:t>
            </w:r>
          </w:p>
          <w:p w14:paraId="0766D562" w14:textId="77777777" w:rsidR="00AA20CF" w:rsidRPr="00A46BD9" w:rsidRDefault="00AA20CF" w:rsidP="00CF3F52">
            <w:pPr>
              <w:jc w:val="both"/>
              <w:rPr>
                <w:sz w:val="15"/>
                <w:szCs w:val="15"/>
              </w:rPr>
            </w:pPr>
          </w:p>
          <w:p w14:paraId="0F14C5A7" w14:textId="77777777" w:rsidR="00AA20CF" w:rsidRPr="00A46BD9" w:rsidRDefault="00AA20CF" w:rsidP="00CF3F52">
            <w:pPr>
              <w:jc w:val="both"/>
              <w:rPr>
                <w:rFonts w:ascii="Arial Narrow" w:hAnsi="Arial Narrow"/>
                <w:sz w:val="15"/>
                <w:szCs w:val="15"/>
              </w:rPr>
            </w:pPr>
            <w:hyperlink r:id="rId36" w:history="1">
              <w:r w:rsidRPr="00A46BD9">
                <w:rPr>
                  <w:rStyle w:val="Hypertextovprepojenie"/>
                  <w:rFonts w:ascii="Arial Narrow" w:hAnsi="Arial Narrow"/>
                  <w:sz w:val="15"/>
                  <w:szCs w:val="15"/>
                </w:rPr>
                <w:t>Novela zákona</w:t>
              </w:r>
            </w:hyperlink>
            <w:r w:rsidRPr="00A46BD9">
              <w:rPr>
                <w:rFonts w:ascii="Arial Narrow" w:hAnsi="Arial Narrow"/>
                <w:sz w:val="15"/>
                <w:szCs w:val="15"/>
              </w:rPr>
              <w:t xml:space="preserve"> nadobudla účinnosť 30. júna 2022. </w:t>
            </w:r>
          </w:p>
        </w:tc>
        <w:tc>
          <w:tcPr>
            <w:tcW w:w="739" w:type="dxa"/>
            <w:tcBorders>
              <w:right w:val="single" w:sz="4" w:space="0" w:color="2EAAE1"/>
            </w:tcBorders>
            <w:vAlign w:val="center"/>
          </w:tcPr>
          <w:p w14:paraId="2AEF6239" w14:textId="77777777" w:rsidR="00AA20CF" w:rsidRPr="00F230A1" w:rsidRDefault="00AA20CF" w:rsidP="00CF3F52">
            <w:pPr>
              <w:jc w:val="center"/>
              <w:rPr>
                <w:rFonts w:ascii="Arial Narrow" w:hAnsi="Arial Narrow"/>
                <w:sz w:val="14"/>
                <w:szCs w:val="14"/>
              </w:rPr>
            </w:pPr>
            <w:r w:rsidRPr="00F230A1">
              <w:rPr>
                <w:rFonts w:ascii="Arial Narrow" w:hAnsi="Arial Narrow"/>
                <w:sz w:val="14"/>
                <w:szCs w:val="14"/>
              </w:rPr>
              <w:t>POO</w:t>
            </w:r>
          </w:p>
          <w:p w14:paraId="3C97F448" w14:textId="77777777" w:rsidR="00AA20CF" w:rsidRPr="00624FD5" w:rsidRDefault="00AA20CF" w:rsidP="00CF3F52">
            <w:pPr>
              <w:jc w:val="center"/>
              <w:rPr>
                <w:rFonts w:ascii="Arial Narrow" w:hAnsi="Arial Narrow"/>
                <w:sz w:val="14"/>
                <w:szCs w:val="14"/>
              </w:rPr>
            </w:pPr>
            <w:r w:rsidRPr="00F230A1">
              <w:rPr>
                <w:rFonts w:ascii="Arial Narrow" w:hAnsi="Arial Narrow"/>
                <w:sz w:val="12"/>
                <w:szCs w:val="12"/>
              </w:rPr>
              <w:t>SK-C[C2]-R[R3]</w:t>
            </w:r>
          </w:p>
        </w:tc>
        <w:tc>
          <w:tcPr>
            <w:tcW w:w="992" w:type="dxa"/>
            <w:tcBorders>
              <w:top w:val="single" w:sz="4" w:space="0" w:color="2EAAE1"/>
              <w:left w:val="single" w:sz="4" w:space="0" w:color="2EAAE1"/>
              <w:bottom w:val="single" w:sz="4" w:space="0" w:color="2EAAE1"/>
              <w:right w:val="single" w:sz="4" w:space="0" w:color="00B0F0"/>
            </w:tcBorders>
            <w:vAlign w:val="center"/>
          </w:tcPr>
          <w:p w14:paraId="2C834440" w14:textId="77777777" w:rsidR="00AA20CF" w:rsidRPr="00EF7276" w:rsidRDefault="00AA20CF" w:rsidP="00CF3F52">
            <w:pPr>
              <w:rPr>
                <w:rFonts w:ascii="Arial Narrow" w:hAnsi="Arial Narrow" w:cs="Calibri"/>
                <w:sz w:val="12"/>
                <w:szCs w:val="12"/>
              </w:rPr>
            </w:pPr>
            <w:r w:rsidRPr="00EF7276">
              <w:rPr>
                <w:rFonts w:ascii="Arial Narrow" w:hAnsi="Arial Narrow" w:cs="Calibri"/>
                <w:sz w:val="12"/>
                <w:szCs w:val="12"/>
              </w:rPr>
              <w:t>CSR.2025.5.10</w:t>
            </w:r>
          </w:p>
        </w:tc>
        <w:tc>
          <w:tcPr>
            <w:tcW w:w="850" w:type="dxa"/>
            <w:tcBorders>
              <w:top w:val="single" w:sz="4" w:space="0" w:color="00B0F0"/>
              <w:left w:val="single" w:sz="4" w:space="0" w:color="00B0F0"/>
              <w:bottom w:val="single" w:sz="4" w:space="0" w:color="00B0F0"/>
              <w:right w:val="single" w:sz="4" w:space="0" w:color="00B0F0"/>
            </w:tcBorders>
            <w:vAlign w:val="center"/>
          </w:tcPr>
          <w:p w14:paraId="42DE19C6"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sz w:val="12"/>
                <w:szCs w:val="12"/>
              </w:rPr>
              <w:t>Spravodlivá zelená transformácia</w:t>
            </w:r>
          </w:p>
        </w:tc>
        <w:tc>
          <w:tcPr>
            <w:tcW w:w="567" w:type="dxa"/>
            <w:tcBorders>
              <w:left w:val="single" w:sz="4" w:space="0" w:color="00B0F0"/>
              <w:right w:val="single" w:sz="4" w:space="0" w:color="00B0F0"/>
            </w:tcBorders>
            <w:vAlign w:val="center"/>
          </w:tcPr>
          <w:p w14:paraId="5D8FA88E"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11</w:t>
            </w:r>
          </w:p>
          <w:p w14:paraId="6B42317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12</w:t>
            </w:r>
          </w:p>
          <w:p w14:paraId="656F9E6E"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15</w:t>
            </w:r>
          </w:p>
        </w:tc>
        <w:tc>
          <w:tcPr>
            <w:tcW w:w="709" w:type="dxa"/>
            <w:tcBorders>
              <w:top w:val="single" w:sz="4" w:space="0" w:color="00B0F0"/>
              <w:left w:val="single" w:sz="4" w:space="0" w:color="00B0F0"/>
              <w:bottom w:val="single" w:sz="4" w:space="0" w:color="00B0F0"/>
              <w:right w:val="single" w:sz="4" w:space="0" w:color="00B0F0"/>
            </w:tcBorders>
            <w:vAlign w:val="center"/>
          </w:tcPr>
          <w:p w14:paraId="061DCED6"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w:t>
            </w:r>
          </w:p>
        </w:tc>
        <w:tc>
          <w:tcPr>
            <w:tcW w:w="992" w:type="dxa"/>
            <w:tcBorders>
              <w:left w:val="single" w:sz="4" w:space="0" w:color="00B0F0"/>
            </w:tcBorders>
            <w:vAlign w:val="center"/>
          </w:tcPr>
          <w:p w14:paraId="4094984C"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Dokončené</w:t>
            </w:r>
          </w:p>
        </w:tc>
      </w:tr>
      <w:tr w:rsidR="00AA20CF" w:rsidRPr="00A46BD9" w14:paraId="31E12BCA" w14:textId="77777777" w:rsidTr="00807C08">
        <w:trPr>
          <w:trHeight w:val="279"/>
        </w:trPr>
        <w:tc>
          <w:tcPr>
            <w:tcW w:w="283" w:type="dxa"/>
            <w:vMerge/>
            <w:tcBorders>
              <w:left w:val="single" w:sz="4" w:space="0" w:color="00B0F0"/>
              <w:right w:val="single" w:sz="4" w:space="0" w:color="00B0F0"/>
            </w:tcBorders>
            <w:shd w:val="clear" w:color="auto" w:fill="1AA380"/>
          </w:tcPr>
          <w:p w14:paraId="5B28A21B" w14:textId="77777777" w:rsidR="00AA20CF" w:rsidRPr="00A46BD9" w:rsidRDefault="00AA20CF" w:rsidP="00CF3F52">
            <w:pPr>
              <w:spacing w:line="140" w:lineRule="exact"/>
              <w:jc w:val="center"/>
              <w:rPr>
                <w:rFonts w:ascii="Arial Narrow" w:hAnsi="Arial Narrow"/>
                <w:b/>
                <w:sz w:val="16"/>
                <w:szCs w:val="16"/>
              </w:rPr>
            </w:pPr>
          </w:p>
        </w:tc>
        <w:tc>
          <w:tcPr>
            <w:tcW w:w="1247" w:type="dxa"/>
            <w:tcBorders>
              <w:top w:val="single" w:sz="4" w:space="0" w:color="00B0F0"/>
              <w:left w:val="single" w:sz="4" w:space="0" w:color="00B0F0"/>
              <w:bottom w:val="single" w:sz="4" w:space="0" w:color="00B0F0"/>
              <w:right w:val="single" w:sz="4" w:space="0" w:color="00B0F0"/>
            </w:tcBorders>
            <w:vAlign w:val="center"/>
          </w:tcPr>
          <w:p w14:paraId="40DFCBC9"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12:</w:t>
            </w:r>
            <w:r w:rsidRPr="00A46BD9">
              <w:rPr>
                <w:rFonts w:ascii="Arial Narrow" w:hAnsi="Arial Narrow"/>
                <w:sz w:val="15"/>
                <w:szCs w:val="15"/>
              </w:rPr>
              <w:br/>
              <w:t>Ochrana prírody a zákon o vodách</w:t>
            </w:r>
          </w:p>
        </w:tc>
        <w:tc>
          <w:tcPr>
            <w:tcW w:w="2693" w:type="dxa"/>
            <w:tcBorders>
              <w:left w:val="single" w:sz="4" w:space="0" w:color="00B0F0"/>
            </w:tcBorders>
          </w:tcPr>
          <w:p w14:paraId="6499C006" w14:textId="77777777" w:rsidR="00AA20CF" w:rsidRDefault="00AA20CF" w:rsidP="00CF3F52">
            <w:pPr>
              <w:jc w:val="both"/>
              <w:rPr>
                <w:rFonts w:ascii="Arial Narrow" w:hAnsi="Arial Narrow"/>
                <w:sz w:val="15"/>
                <w:szCs w:val="15"/>
              </w:rPr>
            </w:pPr>
            <w:r w:rsidRPr="00A46BD9">
              <w:rPr>
                <w:rFonts w:ascii="Arial Narrow" w:hAnsi="Arial Narrow"/>
                <w:sz w:val="15"/>
                <w:szCs w:val="15"/>
              </w:rPr>
              <w:t xml:space="preserve">Cieľom opatrenia bolo prijatie </w:t>
            </w:r>
            <w:hyperlink r:id="rId37" w:history="1">
              <w:r w:rsidRPr="004F4BFD">
                <w:rPr>
                  <w:rStyle w:val="Hypertextovprepojenie"/>
                  <w:rFonts w:ascii="Arial Narrow" w:hAnsi="Arial Narrow"/>
                  <w:sz w:val="15"/>
                  <w:szCs w:val="15"/>
                </w:rPr>
                <w:t>nového zákona o ochrane prírody</w:t>
              </w:r>
            </w:hyperlink>
            <w:r w:rsidRPr="00A46BD9">
              <w:rPr>
                <w:rFonts w:ascii="Arial Narrow" w:hAnsi="Arial Narrow"/>
                <w:sz w:val="15"/>
                <w:szCs w:val="15"/>
              </w:rPr>
              <w:t xml:space="preserve"> (2022) a vypracovanie modelu chránených území na posilnenie ochrany prírody a zonáciu národných parkov. Zároveň reforma vodného hospodárstva položila základy pre revitalizáciu vodných tokov a protipovodňovú ochranu prostredníctvom </w:t>
            </w:r>
            <w:hyperlink r:id="rId38" w:history="1">
              <w:r w:rsidRPr="00A46BD9">
                <w:rPr>
                  <w:rStyle w:val="Hypertextovprepojenie"/>
                  <w:rFonts w:ascii="Arial Narrow" w:hAnsi="Arial Narrow"/>
                  <w:sz w:val="15"/>
                  <w:szCs w:val="15"/>
                </w:rPr>
                <w:t>Koncepcie vodnej politiky</w:t>
              </w:r>
            </w:hyperlink>
            <w:r w:rsidRPr="00A46BD9">
              <w:rPr>
                <w:rFonts w:ascii="Arial Narrow" w:hAnsi="Arial Narrow"/>
                <w:sz w:val="15"/>
                <w:szCs w:val="15"/>
              </w:rPr>
              <w:t xml:space="preserve"> (2022)</w:t>
            </w:r>
            <w:r>
              <w:rPr>
                <w:rFonts w:ascii="Arial Narrow" w:hAnsi="Arial Narrow"/>
                <w:sz w:val="15"/>
                <w:szCs w:val="15"/>
              </w:rPr>
              <w:t>,</w:t>
            </w:r>
            <w:r w:rsidRPr="00A46BD9">
              <w:rPr>
                <w:rFonts w:ascii="Arial Narrow" w:hAnsi="Arial Narrow"/>
                <w:sz w:val="15"/>
                <w:szCs w:val="15"/>
              </w:rPr>
              <w:t xml:space="preserve"> novelizácie </w:t>
            </w:r>
            <w:hyperlink r:id="rId39" w:history="1">
              <w:r w:rsidRPr="004C32C9">
                <w:rPr>
                  <w:rStyle w:val="Hypertextovprepojenie"/>
                  <w:rFonts w:ascii="Arial Narrow" w:hAnsi="Arial Narrow"/>
                  <w:sz w:val="15"/>
                  <w:szCs w:val="15"/>
                </w:rPr>
                <w:t>zákona o vodách</w:t>
              </w:r>
            </w:hyperlink>
            <w:r w:rsidRPr="00A46BD9">
              <w:rPr>
                <w:rFonts w:ascii="Arial Narrow" w:hAnsi="Arial Narrow"/>
                <w:sz w:val="15"/>
                <w:szCs w:val="15"/>
              </w:rPr>
              <w:t xml:space="preserve"> (2023)</w:t>
            </w:r>
            <w:r>
              <w:rPr>
                <w:rFonts w:ascii="Arial Narrow" w:hAnsi="Arial Narrow"/>
                <w:sz w:val="15"/>
                <w:szCs w:val="15"/>
              </w:rPr>
              <w:t xml:space="preserve"> </w:t>
            </w:r>
            <w:r w:rsidRPr="00A46BD9">
              <w:rPr>
                <w:rFonts w:ascii="Arial Narrow" w:hAnsi="Arial Narrow"/>
                <w:sz w:val="15"/>
                <w:szCs w:val="15"/>
              </w:rPr>
              <w:t xml:space="preserve">a </w:t>
            </w:r>
            <w:hyperlink r:id="rId40" w:history="1">
              <w:r>
                <w:rPr>
                  <w:rStyle w:val="Hypertextovprepojenie"/>
                  <w:rFonts w:ascii="Arial Narrow" w:hAnsi="Arial Narrow"/>
                  <w:sz w:val="15"/>
                  <w:szCs w:val="15"/>
                </w:rPr>
                <w:t>metodickej príručky pre revitalizáciu vodných tokov</w:t>
              </w:r>
            </w:hyperlink>
            <w:r>
              <w:rPr>
                <w:rFonts w:ascii="Arial Narrow" w:hAnsi="Arial Narrow"/>
                <w:sz w:val="15"/>
                <w:szCs w:val="15"/>
              </w:rPr>
              <w:t xml:space="preserve"> (</w:t>
            </w:r>
            <w:r w:rsidRPr="00A46BD9">
              <w:rPr>
                <w:rFonts w:ascii="Arial Narrow" w:hAnsi="Arial Narrow"/>
                <w:sz w:val="15"/>
                <w:szCs w:val="15"/>
              </w:rPr>
              <w:t>2023</w:t>
            </w:r>
            <w:r>
              <w:rPr>
                <w:rFonts w:ascii="Arial Narrow" w:hAnsi="Arial Narrow"/>
                <w:sz w:val="15"/>
                <w:szCs w:val="15"/>
              </w:rPr>
              <w:t>)</w:t>
            </w:r>
            <w:r w:rsidRPr="00A46BD9">
              <w:rPr>
                <w:rFonts w:ascii="Arial Narrow" w:hAnsi="Arial Narrow"/>
                <w:sz w:val="15"/>
                <w:szCs w:val="15"/>
              </w:rPr>
              <w:t xml:space="preserve">. </w:t>
            </w:r>
          </w:p>
          <w:p w14:paraId="7968967E" w14:textId="77777777" w:rsidR="00AA20CF" w:rsidRDefault="00AA20CF" w:rsidP="00CF3F52">
            <w:pPr>
              <w:jc w:val="both"/>
              <w:rPr>
                <w:rFonts w:ascii="Arial Narrow" w:hAnsi="Arial Narrow"/>
                <w:sz w:val="15"/>
                <w:szCs w:val="15"/>
              </w:rPr>
            </w:pPr>
          </w:p>
          <w:p w14:paraId="3C626AB1" w14:textId="011C618B" w:rsidR="00AA20CF" w:rsidRPr="00A46BD9" w:rsidRDefault="00AA20CF" w:rsidP="00CF3F52">
            <w:pPr>
              <w:jc w:val="both"/>
              <w:rPr>
                <w:rFonts w:ascii="Arial Narrow" w:hAnsi="Arial Narrow"/>
                <w:sz w:val="15"/>
                <w:szCs w:val="15"/>
              </w:rPr>
            </w:pPr>
            <w:r w:rsidRPr="00807C08">
              <w:rPr>
                <w:rFonts w:ascii="Arial Narrow" w:hAnsi="Arial Narrow"/>
                <w:sz w:val="15"/>
                <w:szCs w:val="15"/>
              </w:rPr>
              <w:lastRenderedPageBreak/>
              <w:t>V piatich z deviatich národných parkov už bola schválená zonácia aj prevod správy štátnych</w:t>
            </w:r>
            <w:r w:rsidRPr="00A46BD9">
              <w:rPr>
                <w:rFonts w:ascii="Arial Narrow" w:hAnsi="Arial Narrow"/>
                <w:sz w:val="15"/>
                <w:szCs w:val="15"/>
              </w:rPr>
              <w:t xml:space="preserve"> pozemkov. </w:t>
            </w:r>
            <w:r w:rsidRPr="00807C08">
              <w:rPr>
                <w:rFonts w:ascii="Arial Narrow" w:hAnsi="Arial Narrow"/>
                <w:sz w:val="15"/>
                <w:szCs w:val="15"/>
              </w:rPr>
              <w:t>Návrhy zonácií pre Národný park Poloniny, Národný park Malá Fatra, Tatranský národný park a Národný park Nízke Tatry sú pred schválením vládou SR a aktuálne sa dolaďujú posledné úpravy.</w:t>
            </w:r>
          </w:p>
        </w:tc>
        <w:tc>
          <w:tcPr>
            <w:tcW w:w="739" w:type="dxa"/>
            <w:tcBorders>
              <w:right w:val="single" w:sz="4" w:space="0" w:color="2EAAE1"/>
            </w:tcBorders>
            <w:vAlign w:val="center"/>
          </w:tcPr>
          <w:p w14:paraId="26A3D926" w14:textId="77777777" w:rsidR="00AA20CF" w:rsidRPr="00F230A1" w:rsidRDefault="00AA20CF" w:rsidP="00CF3F52">
            <w:pPr>
              <w:jc w:val="center"/>
              <w:rPr>
                <w:rFonts w:ascii="Arial Narrow" w:hAnsi="Arial Narrow"/>
                <w:sz w:val="14"/>
                <w:szCs w:val="14"/>
              </w:rPr>
            </w:pPr>
            <w:r w:rsidRPr="00F230A1">
              <w:rPr>
                <w:rFonts w:ascii="Arial Narrow" w:hAnsi="Arial Narrow"/>
                <w:sz w:val="14"/>
                <w:szCs w:val="14"/>
              </w:rPr>
              <w:lastRenderedPageBreak/>
              <w:t>POO</w:t>
            </w:r>
          </w:p>
          <w:p w14:paraId="76CE6044" w14:textId="77777777" w:rsidR="00AA20CF" w:rsidRPr="00624FD5" w:rsidRDefault="00AA20CF" w:rsidP="00CF3F52">
            <w:pPr>
              <w:jc w:val="center"/>
              <w:rPr>
                <w:rFonts w:ascii="Arial Narrow" w:hAnsi="Arial Narrow"/>
                <w:sz w:val="14"/>
                <w:szCs w:val="14"/>
              </w:rPr>
            </w:pPr>
            <w:r w:rsidRPr="00F230A1">
              <w:rPr>
                <w:rFonts w:ascii="Arial Narrow" w:hAnsi="Arial Narrow"/>
                <w:sz w:val="12"/>
                <w:szCs w:val="12"/>
              </w:rPr>
              <w:t>SK-C[C5]-R[R2]</w:t>
            </w:r>
          </w:p>
        </w:tc>
        <w:tc>
          <w:tcPr>
            <w:tcW w:w="992" w:type="dxa"/>
            <w:tcBorders>
              <w:top w:val="single" w:sz="4" w:space="0" w:color="2EAAE1"/>
              <w:left w:val="single" w:sz="4" w:space="0" w:color="2EAAE1"/>
              <w:bottom w:val="single" w:sz="4" w:space="0" w:color="2EAAE1"/>
              <w:right w:val="single" w:sz="4" w:space="0" w:color="00B0F0"/>
            </w:tcBorders>
            <w:vAlign w:val="center"/>
          </w:tcPr>
          <w:p w14:paraId="66500C42"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color w:val="000000"/>
                <w:sz w:val="12"/>
                <w:szCs w:val="12"/>
              </w:rPr>
              <w:t>CSR.2025.5.11</w:t>
            </w:r>
          </w:p>
        </w:tc>
        <w:tc>
          <w:tcPr>
            <w:tcW w:w="850" w:type="dxa"/>
            <w:tcBorders>
              <w:top w:val="single" w:sz="4" w:space="0" w:color="00B0F0"/>
              <w:left w:val="single" w:sz="4" w:space="0" w:color="00B0F0"/>
              <w:bottom w:val="single" w:sz="4" w:space="0" w:color="00B0F0"/>
              <w:right w:val="single" w:sz="4" w:space="0" w:color="00B0F0"/>
            </w:tcBorders>
            <w:vAlign w:val="center"/>
          </w:tcPr>
          <w:p w14:paraId="27F32E0C"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color w:val="000000"/>
                <w:sz w:val="12"/>
                <w:szCs w:val="12"/>
              </w:rPr>
              <w:t>Spravodlivá zelená transformácia</w:t>
            </w:r>
          </w:p>
        </w:tc>
        <w:tc>
          <w:tcPr>
            <w:tcW w:w="567" w:type="dxa"/>
            <w:tcBorders>
              <w:left w:val="single" w:sz="4" w:space="0" w:color="00B0F0"/>
              <w:right w:val="single" w:sz="4" w:space="0" w:color="00B0F0"/>
            </w:tcBorders>
            <w:vAlign w:val="center"/>
          </w:tcPr>
          <w:p w14:paraId="373A55AE"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6</w:t>
            </w:r>
          </w:p>
          <w:p w14:paraId="53F5CD7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13</w:t>
            </w:r>
          </w:p>
          <w:p w14:paraId="17D79B6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14</w:t>
            </w:r>
          </w:p>
          <w:p w14:paraId="45729EF5"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15</w:t>
            </w:r>
          </w:p>
        </w:tc>
        <w:tc>
          <w:tcPr>
            <w:tcW w:w="709" w:type="dxa"/>
            <w:tcBorders>
              <w:top w:val="single" w:sz="4" w:space="0" w:color="00B0F0"/>
              <w:left w:val="single" w:sz="4" w:space="0" w:color="00B0F0"/>
              <w:bottom w:val="single" w:sz="4" w:space="0" w:color="00B0F0"/>
              <w:right w:val="single" w:sz="4" w:space="0" w:color="00B0F0"/>
            </w:tcBorders>
            <w:vAlign w:val="center"/>
          </w:tcPr>
          <w:p w14:paraId="5948E83B"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w:t>
            </w:r>
          </w:p>
        </w:tc>
        <w:tc>
          <w:tcPr>
            <w:tcW w:w="992" w:type="dxa"/>
            <w:tcBorders>
              <w:left w:val="single" w:sz="4" w:space="0" w:color="00B0F0"/>
            </w:tcBorders>
            <w:vAlign w:val="center"/>
          </w:tcPr>
          <w:p w14:paraId="5D02075C" w14:textId="6FFECB53" w:rsidR="00AA20CF" w:rsidRPr="00EF7276" w:rsidRDefault="0025448A" w:rsidP="00CF3F52">
            <w:pPr>
              <w:jc w:val="center"/>
              <w:rPr>
                <w:rFonts w:ascii="Arial Narrow" w:hAnsi="Arial Narrow"/>
                <w:sz w:val="12"/>
                <w:szCs w:val="12"/>
              </w:rPr>
            </w:pPr>
            <w:r>
              <w:rPr>
                <w:rFonts w:ascii="Arial Narrow" w:hAnsi="Arial Narrow"/>
                <w:sz w:val="12"/>
                <w:szCs w:val="12"/>
              </w:rPr>
              <w:t>Oneskorené</w:t>
            </w:r>
          </w:p>
        </w:tc>
      </w:tr>
      <w:tr w:rsidR="00AA20CF" w:rsidRPr="00A46BD9" w14:paraId="67E56727" w14:textId="77777777" w:rsidTr="00807C08">
        <w:trPr>
          <w:trHeight w:val="279"/>
        </w:trPr>
        <w:tc>
          <w:tcPr>
            <w:tcW w:w="283" w:type="dxa"/>
            <w:vMerge/>
            <w:tcBorders>
              <w:left w:val="single" w:sz="4" w:space="0" w:color="00B0F0"/>
              <w:right w:val="single" w:sz="4" w:space="0" w:color="00B0F0"/>
            </w:tcBorders>
            <w:shd w:val="clear" w:color="auto" w:fill="1AA380"/>
          </w:tcPr>
          <w:p w14:paraId="2659B648" w14:textId="77777777" w:rsidR="00AA20CF" w:rsidRPr="00A46BD9" w:rsidRDefault="00AA20CF" w:rsidP="00CF3F52">
            <w:pPr>
              <w:spacing w:line="140" w:lineRule="exact"/>
              <w:jc w:val="center"/>
              <w:rPr>
                <w:rFonts w:ascii="Arial Narrow" w:hAnsi="Arial Narrow"/>
                <w:b/>
                <w:sz w:val="16"/>
                <w:szCs w:val="16"/>
              </w:rPr>
            </w:pPr>
          </w:p>
        </w:tc>
        <w:tc>
          <w:tcPr>
            <w:tcW w:w="1247" w:type="dxa"/>
            <w:tcBorders>
              <w:top w:val="single" w:sz="4" w:space="0" w:color="00B0F0"/>
              <w:left w:val="single" w:sz="4" w:space="0" w:color="00B0F0"/>
              <w:bottom w:val="single" w:sz="4" w:space="0" w:color="00B0F0"/>
              <w:right w:val="single" w:sz="4" w:space="0" w:color="00B0F0"/>
            </w:tcBorders>
            <w:vAlign w:val="center"/>
          </w:tcPr>
          <w:p w14:paraId="5AB2B016"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Investícia 3:</w:t>
            </w:r>
            <w:r w:rsidRPr="00A46BD9">
              <w:rPr>
                <w:rFonts w:ascii="Arial Narrow" w:hAnsi="Arial Narrow"/>
                <w:sz w:val="15"/>
                <w:szCs w:val="15"/>
                <w:shd w:val="clear" w:color="auto" w:fill="FFFF00"/>
              </w:rPr>
              <w:t xml:space="preserve"> </w:t>
            </w:r>
            <w:r w:rsidRPr="00A46BD9">
              <w:rPr>
                <w:rFonts w:ascii="Arial Narrow" w:hAnsi="Arial Narrow"/>
                <w:sz w:val="15"/>
                <w:szCs w:val="15"/>
                <w:shd w:val="clear" w:color="auto" w:fill="FFFF00"/>
              </w:rPr>
              <w:br/>
            </w:r>
            <w:r w:rsidRPr="00A46BD9">
              <w:rPr>
                <w:rFonts w:ascii="Arial Narrow" w:hAnsi="Arial Narrow"/>
                <w:sz w:val="15"/>
                <w:szCs w:val="15"/>
              </w:rPr>
              <w:t>Výstavba nových obnoviteľných zdrojov elektrickej energie</w:t>
            </w:r>
          </w:p>
        </w:tc>
        <w:tc>
          <w:tcPr>
            <w:tcW w:w="2693" w:type="dxa"/>
            <w:tcBorders>
              <w:left w:val="single" w:sz="4" w:space="0" w:color="00B0F0"/>
            </w:tcBorders>
          </w:tcPr>
          <w:p w14:paraId="141A2438"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Opatrenie má za cieľ vytvoriť minimálne 120 MW nových</w:t>
            </w:r>
            <w:r w:rsidRPr="00A46BD9" w:rsidDel="00D525A2">
              <w:rPr>
                <w:rFonts w:ascii="Arial Narrow" w:hAnsi="Arial Narrow"/>
                <w:sz w:val="15"/>
                <w:szCs w:val="15"/>
              </w:rPr>
              <w:t xml:space="preserve"> </w:t>
            </w:r>
            <w:r w:rsidRPr="00A46BD9">
              <w:rPr>
                <w:rFonts w:ascii="Arial Narrow" w:hAnsi="Arial Narrow"/>
                <w:sz w:val="15"/>
                <w:szCs w:val="15"/>
              </w:rPr>
              <w:t xml:space="preserve"> kapacít na výrobu elektriny z obnoviteľných zdrojov energie v rámci určenej schémy podpory.</w:t>
            </w:r>
          </w:p>
          <w:p w14:paraId="49EC4538" w14:textId="77777777" w:rsidR="00AA20CF" w:rsidRPr="00A46BD9" w:rsidRDefault="00AA20CF" w:rsidP="00CF3F52">
            <w:pPr>
              <w:jc w:val="both"/>
              <w:rPr>
                <w:rFonts w:ascii="Arial Narrow" w:hAnsi="Arial Narrow"/>
                <w:sz w:val="15"/>
                <w:szCs w:val="15"/>
              </w:rPr>
            </w:pPr>
          </w:p>
          <w:p w14:paraId="08285D20"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Do februára 2025 boli uzavreté dve </w:t>
            </w:r>
            <w:hyperlink r:id="rId41" w:history="1">
              <w:r w:rsidRPr="00A46BD9">
                <w:rPr>
                  <w:rStyle w:val="Hypertextovprepojenie"/>
                  <w:rFonts w:ascii="Arial Narrow" w:hAnsi="Arial Narrow"/>
                  <w:sz w:val="15"/>
                  <w:szCs w:val="15"/>
                </w:rPr>
                <w:t>výzvy</w:t>
              </w:r>
            </w:hyperlink>
            <w:r w:rsidRPr="00A46BD9">
              <w:rPr>
                <w:rFonts w:ascii="Arial Narrow" w:hAnsi="Arial Narrow"/>
                <w:sz w:val="15"/>
                <w:szCs w:val="15"/>
              </w:rPr>
              <w:t xml:space="preserve"> na podporu obnoviteľných zdrojov energie (OZE).</w:t>
            </w:r>
            <w:r w:rsidRPr="00A46BD9" w:rsidDel="0063176F">
              <w:rPr>
                <w:rFonts w:ascii="Arial Narrow" w:hAnsi="Arial Narrow"/>
                <w:sz w:val="15"/>
                <w:szCs w:val="15"/>
              </w:rPr>
              <w:t xml:space="preserve"> </w:t>
            </w:r>
            <w:r w:rsidRPr="00A46BD9">
              <w:rPr>
                <w:rFonts w:ascii="Arial Narrow" w:hAnsi="Arial Narrow"/>
                <w:sz w:val="15"/>
                <w:szCs w:val="15"/>
              </w:rPr>
              <w:t xml:space="preserve">Cieľ zazmluvniť projekty v objeme 120 MW do konca 1. štvrťroka 2025 bol splnený, keďže ku koncu roka 2025 bolo zazmluvnených približne 132 MW. Vzhľadom na možné  riziko odstúpenia niektorých prijímateľov, MH SR vyhlásilo aj tretiu </w:t>
            </w:r>
            <w:hyperlink r:id="rId42" w:history="1">
              <w:r w:rsidRPr="005548F4">
                <w:rPr>
                  <w:rStyle w:val="Hypertextovprepojenie"/>
                  <w:rFonts w:ascii="Arial Narrow" w:hAnsi="Arial Narrow"/>
                  <w:sz w:val="15"/>
                  <w:szCs w:val="15"/>
                </w:rPr>
                <w:t>výzvu</w:t>
              </w:r>
            </w:hyperlink>
            <w:r w:rsidRPr="00A46BD9">
              <w:rPr>
                <w:rFonts w:ascii="Arial Narrow" w:hAnsi="Arial Narrow"/>
                <w:sz w:val="15"/>
                <w:szCs w:val="15"/>
              </w:rPr>
              <w:t xml:space="preserve"> na výstavbu nových OZE, pričom s úspešnými žiadateľmi už boli podpísané zmluvy.</w:t>
            </w:r>
          </w:p>
        </w:tc>
        <w:tc>
          <w:tcPr>
            <w:tcW w:w="739" w:type="dxa"/>
            <w:tcBorders>
              <w:right w:val="single" w:sz="4" w:space="0" w:color="2EAAE1"/>
            </w:tcBorders>
            <w:vAlign w:val="center"/>
          </w:tcPr>
          <w:p w14:paraId="0F8937B2" w14:textId="77777777" w:rsidR="00AA20CF" w:rsidRPr="00F230A1" w:rsidRDefault="00AA20CF" w:rsidP="00CF3F52">
            <w:pPr>
              <w:jc w:val="center"/>
              <w:rPr>
                <w:rFonts w:ascii="Arial Narrow" w:hAnsi="Arial Narrow"/>
                <w:sz w:val="14"/>
                <w:szCs w:val="14"/>
              </w:rPr>
            </w:pPr>
            <w:r w:rsidRPr="00F230A1">
              <w:rPr>
                <w:rFonts w:ascii="Arial Narrow" w:hAnsi="Arial Narrow"/>
                <w:sz w:val="14"/>
                <w:szCs w:val="14"/>
              </w:rPr>
              <w:t>POO</w:t>
            </w:r>
          </w:p>
          <w:p w14:paraId="1E2A5B71" w14:textId="77777777" w:rsidR="00AA20CF" w:rsidRPr="00624FD5" w:rsidRDefault="00AA20CF" w:rsidP="00CF3F52">
            <w:pPr>
              <w:jc w:val="center"/>
              <w:rPr>
                <w:rFonts w:ascii="Arial Narrow" w:hAnsi="Arial Narrow"/>
                <w:sz w:val="14"/>
                <w:szCs w:val="14"/>
              </w:rPr>
            </w:pPr>
            <w:r w:rsidRPr="00F230A1">
              <w:rPr>
                <w:rFonts w:ascii="Arial Narrow" w:hAnsi="Arial Narrow"/>
                <w:sz w:val="12"/>
                <w:szCs w:val="12"/>
              </w:rPr>
              <w:t>SK-C[C1]-I[I1]</w:t>
            </w:r>
          </w:p>
        </w:tc>
        <w:tc>
          <w:tcPr>
            <w:tcW w:w="992" w:type="dxa"/>
            <w:tcBorders>
              <w:top w:val="single" w:sz="4" w:space="0" w:color="2EAAE1"/>
              <w:left w:val="single" w:sz="4" w:space="0" w:color="2EAAE1"/>
              <w:bottom w:val="single" w:sz="4" w:space="0" w:color="2EAAE1"/>
              <w:right w:val="single" w:sz="4" w:space="0" w:color="00B0F0"/>
            </w:tcBorders>
            <w:vAlign w:val="center"/>
          </w:tcPr>
          <w:p w14:paraId="5A02C53B"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color w:val="000000"/>
                <w:sz w:val="12"/>
                <w:szCs w:val="12"/>
              </w:rPr>
              <w:t>CSR.2025.5.1</w:t>
            </w:r>
            <w:r w:rsidRPr="00EF7276">
              <w:rPr>
                <w:rFonts w:ascii="Arial Narrow" w:hAnsi="Arial Narrow" w:cs="Calibri"/>
                <w:color w:val="000000"/>
                <w:sz w:val="12"/>
                <w:szCs w:val="12"/>
              </w:rPr>
              <w:br/>
              <w:t>CSR.2025.5.5</w:t>
            </w:r>
          </w:p>
        </w:tc>
        <w:tc>
          <w:tcPr>
            <w:tcW w:w="850" w:type="dxa"/>
            <w:tcBorders>
              <w:top w:val="single" w:sz="4" w:space="0" w:color="00B0F0"/>
              <w:left w:val="single" w:sz="4" w:space="0" w:color="00B0F0"/>
              <w:bottom w:val="single" w:sz="4" w:space="0" w:color="00B0F0"/>
              <w:right w:val="single" w:sz="4" w:space="0" w:color="00B0F0"/>
            </w:tcBorders>
            <w:vAlign w:val="center"/>
          </w:tcPr>
          <w:p w14:paraId="375557B4"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color w:val="000000"/>
                <w:sz w:val="12"/>
                <w:szCs w:val="12"/>
              </w:rPr>
              <w:t>Spravodlivá zelená transformácia; zabezpečenie energetickej bezpečnosti</w:t>
            </w:r>
          </w:p>
        </w:tc>
        <w:tc>
          <w:tcPr>
            <w:tcW w:w="567" w:type="dxa"/>
            <w:tcBorders>
              <w:left w:val="single" w:sz="4" w:space="0" w:color="00B0F0"/>
              <w:right w:val="single" w:sz="4" w:space="0" w:color="00B0F0"/>
            </w:tcBorders>
            <w:vAlign w:val="center"/>
          </w:tcPr>
          <w:p w14:paraId="6012641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7</w:t>
            </w:r>
          </w:p>
          <w:p w14:paraId="3C97909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p w14:paraId="1D91D0F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12</w:t>
            </w:r>
          </w:p>
          <w:p w14:paraId="7E0A2F6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13</w:t>
            </w:r>
          </w:p>
        </w:tc>
        <w:tc>
          <w:tcPr>
            <w:tcW w:w="709" w:type="dxa"/>
            <w:tcBorders>
              <w:top w:val="single" w:sz="4" w:space="0" w:color="00B0F0"/>
              <w:left w:val="single" w:sz="4" w:space="0" w:color="00B0F0"/>
              <w:bottom w:val="single" w:sz="4" w:space="0" w:color="00B0F0"/>
              <w:right w:val="single" w:sz="4" w:space="0" w:color="00B0F0"/>
            </w:tcBorders>
            <w:vAlign w:val="center"/>
          </w:tcPr>
          <w:p w14:paraId="67C8770D"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w:t>
            </w:r>
          </w:p>
        </w:tc>
        <w:tc>
          <w:tcPr>
            <w:tcW w:w="992" w:type="dxa"/>
            <w:tcBorders>
              <w:left w:val="single" w:sz="4" w:space="0" w:color="00B0F0"/>
            </w:tcBorders>
            <w:vAlign w:val="center"/>
          </w:tcPr>
          <w:p w14:paraId="108C0D4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 podľa plánu</w:t>
            </w:r>
          </w:p>
        </w:tc>
      </w:tr>
      <w:tr w:rsidR="00AA20CF" w:rsidRPr="00A46BD9" w14:paraId="7713934B" w14:textId="77777777" w:rsidTr="00CF3F52">
        <w:trPr>
          <w:trHeight w:val="279"/>
        </w:trPr>
        <w:tc>
          <w:tcPr>
            <w:tcW w:w="283" w:type="dxa"/>
            <w:vMerge/>
            <w:tcBorders>
              <w:left w:val="single" w:sz="4" w:space="0" w:color="00B0F0"/>
              <w:right w:val="single" w:sz="4" w:space="0" w:color="00B0F0"/>
            </w:tcBorders>
            <w:shd w:val="clear" w:color="auto" w:fill="1AA380"/>
          </w:tcPr>
          <w:p w14:paraId="66B33CA0" w14:textId="77777777" w:rsidR="00AA20CF" w:rsidRPr="00A46BD9" w:rsidRDefault="00AA20CF" w:rsidP="00CF3F52">
            <w:pPr>
              <w:spacing w:line="140" w:lineRule="exact"/>
              <w:jc w:val="center"/>
              <w:rPr>
                <w:rFonts w:ascii="Arial Narrow" w:hAnsi="Arial Narrow"/>
                <w:b/>
                <w:sz w:val="16"/>
                <w:szCs w:val="16"/>
              </w:rPr>
            </w:pPr>
          </w:p>
        </w:tc>
        <w:tc>
          <w:tcPr>
            <w:tcW w:w="1247" w:type="dxa"/>
            <w:tcBorders>
              <w:top w:val="single" w:sz="4" w:space="0" w:color="00B0F0"/>
              <w:left w:val="single" w:sz="4" w:space="0" w:color="00B0F0"/>
              <w:bottom w:val="single" w:sz="4" w:space="0" w:color="00B0F0"/>
              <w:right w:val="single" w:sz="4" w:space="0" w:color="00B0F0"/>
            </w:tcBorders>
            <w:vAlign w:val="center"/>
          </w:tcPr>
          <w:p w14:paraId="0529B0D4"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Investícia 4:</w:t>
            </w:r>
            <w:r w:rsidRPr="00A46BD9">
              <w:rPr>
                <w:rFonts w:ascii="Arial Narrow" w:hAnsi="Arial Narrow"/>
                <w:sz w:val="15"/>
                <w:szCs w:val="15"/>
              </w:rPr>
              <w:t xml:space="preserve"> </w:t>
            </w:r>
            <w:r w:rsidRPr="00A46BD9">
              <w:rPr>
                <w:rFonts w:ascii="Arial Narrow" w:hAnsi="Arial Narrow"/>
                <w:sz w:val="15"/>
                <w:szCs w:val="15"/>
              </w:rPr>
              <w:br/>
              <w:t>Modernizácia zelenej železničnej infraštruktúry pre osobnú dopravu</w:t>
            </w:r>
          </w:p>
        </w:tc>
        <w:tc>
          <w:tcPr>
            <w:tcW w:w="2693" w:type="dxa"/>
            <w:tcBorders>
              <w:left w:val="single" w:sz="4" w:space="0" w:color="00B0F0"/>
            </w:tcBorders>
          </w:tcPr>
          <w:p w14:paraId="2B715B4E"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Opatrenie má za cieľ zvýšiť rozsah rekonštruovanej alebo modernizovanej ekologickej železničnej infraštruktúry pre osobnú dopravu, pričom zmodernizovaných bude minimálne 49,7 km do 2. štvrťroka 2025.</w:t>
            </w:r>
          </w:p>
          <w:p w14:paraId="36C89235" w14:textId="77777777" w:rsidR="00AA20CF" w:rsidRPr="00A46BD9" w:rsidRDefault="00AA20CF" w:rsidP="00CF3F52">
            <w:pPr>
              <w:jc w:val="both"/>
              <w:rPr>
                <w:rFonts w:ascii="Arial Narrow" w:hAnsi="Arial Narrow"/>
                <w:sz w:val="15"/>
                <w:szCs w:val="15"/>
              </w:rPr>
            </w:pPr>
          </w:p>
          <w:p w14:paraId="479DD10C"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Implementácia opatrenia prebieha podľa plánu a celkový </w:t>
            </w:r>
            <w:r w:rsidRPr="0027355D">
              <w:rPr>
                <w:rFonts w:ascii="Arial Narrow" w:hAnsi="Arial Narrow"/>
                <w:sz w:val="15"/>
                <w:szCs w:val="15"/>
              </w:rPr>
              <w:t xml:space="preserve">cieľ by mal byť splnený v 2. štvrťroku 2026. Ku koncu decembra 2025 bolo zrealizovaných </w:t>
            </w:r>
            <w:r w:rsidRPr="0027355D">
              <w:rPr>
                <w:rFonts w:ascii="Aptos Narrow" w:hAnsi="Aptos Narrow"/>
                <w:sz w:val="15"/>
                <w:szCs w:val="15"/>
              </w:rPr>
              <w:t>5 projektov</w:t>
            </w:r>
            <w:r w:rsidRPr="00043686">
              <w:rPr>
                <w:rFonts w:ascii="Aptos Narrow" w:hAnsi="Aptos Narrow"/>
                <w:sz w:val="15"/>
                <w:szCs w:val="15"/>
              </w:rPr>
              <w:t xml:space="preserve"> (Šaštín</w:t>
            </w:r>
            <w:r w:rsidRPr="00A46BD9">
              <w:rPr>
                <w:rFonts w:ascii="Arial Narrow" w:hAnsi="Arial Narrow"/>
                <w:sz w:val="15"/>
                <w:szCs w:val="15"/>
              </w:rPr>
              <w:t xml:space="preserve"> – Kúty (6,6 km) , Hronský Beňadik – Nová Baňa (11,2 km), Fiľakovo – Holiša (8,4 km), Bánovce nad Ondavou – Humenné (33,8 km) a</w:t>
            </w:r>
            <w:r>
              <w:rPr>
                <w:rFonts w:ascii="Arial Narrow" w:hAnsi="Arial Narrow"/>
                <w:sz w:val="15"/>
                <w:szCs w:val="15"/>
              </w:rPr>
              <w:t> </w:t>
            </w:r>
            <w:r w:rsidRPr="00A46BD9">
              <w:rPr>
                <w:rFonts w:ascii="Arial Narrow" w:hAnsi="Arial Narrow"/>
                <w:sz w:val="15"/>
                <w:szCs w:val="15"/>
              </w:rPr>
              <w:t xml:space="preserve">Bratislava </w:t>
            </w:r>
            <w:r>
              <w:rPr>
                <w:rFonts w:ascii="Arial Narrow" w:hAnsi="Arial Narrow"/>
                <w:sz w:val="15"/>
                <w:szCs w:val="15"/>
              </w:rPr>
              <w:t>- Nové Mesto</w:t>
            </w:r>
            <w:r w:rsidRPr="00A46BD9">
              <w:rPr>
                <w:rFonts w:ascii="Arial Narrow" w:hAnsi="Arial Narrow"/>
                <w:sz w:val="15"/>
                <w:szCs w:val="15"/>
              </w:rPr>
              <w:t xml:space="preserve"> </w:t>
            </w:r>
            <w:r w:rsidRPr="00042A12">
              <w:rPr>
                <w:rFonts w:ascii="Arial Narrow" w:hAnsi="Arial Narrow"/>
                <w:sz w:val="15"/>
                <w:szCs w:val="15"/>
              </w:rPr>
              <w:t>–</w:t>
            </w:r>
            <w:r w:rsidRPr="00A46BD9">
              <w:rPr>
                <w:rFonts w:ascii="Arial Narrow" w:hAnsi="Arial Narrow"/>
                <w:sz w:val="15"/>
                <w:szCs w:val="15"/>
              </w:rPr>
              <w:t xml:space="preserve"> Bratislava</w:t>
            </w:r>
            <w:r>
              <w:rPr>
                <w:rFonts w:ascii="Arial Narrow" w:hAnsi="Arial Narrow"/>
                <w:sz w:val="15"/>
                <w:szCs w:val="15"/>
              </w:rPr>
              <w:t>-</w:t>
            </w:r>
            <w:r w:rsidRPr="00042A12">
              <w:rPr>
                <w:rFonts w:ascii="Arial Narrow" w:hAnsi="Arial Narrow"/>
                <w:sz w:val="15"/>
                <w:szCs w:val="15"/>
              </w:rPr>
              <w:t>Ústredná nákladná stanica</w:t>
            </w:r>
            <w:r w:rsidRPr="00A46BD9">
              <w:rPr>
                <w:rFonts w:ascii="Arial Narrow" w:hAnsi="Arial Narrow"/>
                <w:sz w:val="15"/>
                <w:szCs w:val="15"/>
              </w:rPr>
              <w:t xml:space="preserve"> (4,3 km). Z dôvodu predĺženia výberu zhotoviteľa sa realizácia pôvodných dvoch</w:t>
            </w:r>
            <w:r w:rsidRPr="00BE5DF7">
              <w:rPr>
                <w:rFonts w:ascii="Arial Narrow" w:hAnsi="Arial Narrow"/>
                <w:sz w:val="15"/>
                <w:szCs w:val="15"/>
              </w:rPr>
              <w:t xml:space="preserve"> </w:t>
            </w:r>
            <w:r w:rsidRPr="00A46BD9">
              <w:rPr>
                <w:rFonts w:ascii="Arial Narrow" w:hAnsi="Arial Narrow"/>
                <w:sz w:val="15"/>
                <w:szCs w:val="15"/>
              </w:rPr>
              <w:t>zvyšných projektov (rekonštrukcia úsekov Veľký Horeš – Streda nad Bodrogom a Šelpice – Boleráz) nahradila projektmi s výstavbou v úsekoch Nižná Myšľa – Ruskov (6,6 km) a Telgárt – Červená Skala</w:t>
            </w:r>
            <w:r w:rsidRPr="00BE5DF7">
              <w:rPr>
                <w:rFonts w:ascii="Arial Narrow" w:hAnsi="Arial Narrow"/>
                <w:sz w:val="15"/>
                <w:szCs w:val="15"/>
              </w:rPr>
              <w:t xml:space="preserve"> (4,8</w:t>
            </w:r>
            <w:r>
              <w:rPr>
                <w:rFonts w:ascii="Arial Narrow" w:hAnsi="Arial Narrow"/>
                <w:sz w:val="15"/>
                <w:szCs w:val="15"/>
              </w:rPr>
              <w:t xml:space="preserve"> </w:t>
            </w:r>
            <w:r w:rsidRPr="00BE5DF7">
              <w:rPr>
                <w:rFonts w:ascii="Arial Narrow" w:hAnsi="Arial Narrow"/>
                <w:sz w:val="15"/>
                <w:szCs w:val="15"/>
              </w:rPr>
              <w:t>km),</w:t>
            </w:r>
            <w:r w:rsidRPr="00A46BD9">
              <w:rPr>
                <w:rFonts w:ascii="Arial Narrow" w:hAnsi="Arial Narrow"/>
                <w:sz w:val="15"/>
                <w:szCs w:val="15"/>
              </w:rPr>
              <w:t xml:space="preserve"> s predpokladaným ukončením v máji 2026. </w:t>
            </w:r>
          </w:p>
        </w:tc>
        <w:tc>
          <w:tcPr>
            <w:tcW w:w="739" w:type="dxa"/>
            <w:tcBorders>
              <w:right w:val="single" w:sz="4" w:space="0" w:color="2EAAE1"/>
            </w:tcBorders>
            <w:vAlign w:val="center"/>
          </w:tcPr>
          <w:p w14:paraId="0C699261" w14:textId="77777777" w:rsidR="00AA20CF" w:rsidRPr="00F230A1" w:rsidRDefault="00AA20CF" w:rsidP="00CF3F52">
            <w:pPr>
              <w:jc w:val="center"/>
              <w:rPr>
                <w:rFonts w:ascii="Arial Narrow" w:hAnsi="Arial Narrow"/>
                <w:sz w:val="14"/>
                <w:szCs w:val="14"/>
              </w:rPr>
            </w:pPr>
            <w:r w:rsidRPr="00F230A1">
              <w:rPr>
                <w:rFonts w:ascii="Arial Narrow" w:hAnsi="Arial Narrow"/>
                <w:sz w:val="14"/>
                <w:szCs w:val="14"/>
              </w:rPr>
              <w:t>POO</w:t>
            </w:r>
          </w:p>
          <w:p w14:paraId="49213E9F" w14:textId="77777777" w:rsidR="00AA20CF" w:rsidRPr="00624FD5" w:rsidRDefault="00AA20CF" w:rsidP="00CF3F52">
            <w:pPr>
              <w:jc w:val="center"/>
              <w:rPr>
                <w:rFonts w:ascii="Arial Narrow" w:hAnsi="Arial Narrow"/>
                <w:sz w:val="14"/>
                <w:szCs w:val="14"/>
              </w:rPr>
            </w:pPr>
            <w:r w:rsidRPr="00F230A1">
              <w:rPr>
                <w:rFonts w:ascii="Arial Narrow" w:hAnsi="Arial Narrow"/>
                <w:sz w:val="12"/>
                <w:szCs w:val="12"/>
              </w:rPr>
              <w:t>SK-C[C3]-I[I1]</w:t>
            </w:r>
          </w:p>
        </w:tc>
        <w:tc>
          <w:tcPr>
            <w:tcW w:w="992" w:type="dxa"/>
            <w:tcBorders>
              <w:top w:val="single" w:sz="4" w:space="0" w:color="2EAAE1"/>
              <w:left w:val="single" w:sz="4" w:space="0" w:color="2EAAE1"/>
              <w:bottom w:val="single" w:sz="4" w:space="0" w:color="2EAAE1"/>
              <w:right w:val="single" w:sz="4" w:space="0" w:color="00B0F0"/>
            </w:tcBorders>
            <w:vAlign w:val="center"/>
          </w:tcPr>
          <w:p w14:paraId="1B6C3A1F"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color w:val="000000"/>
                <w:sz w:val="12"/>
                <w:szCs w:val="12"/>
              </w:rPr>
              <w:t>CSR.2025.5.9</w:t>
            </w:r>
          </w:p>
        </w:tc>
        <w:tc>
          <w:tcPr>
            <w:tcW w:w="850" w:type="dxa"/>
            <w:tcBorders>
              <w:top w:val="single" w:sz="4" w:space="0" w:color="00B0F0"/>
              <w:left w:val="single" w:sz="4" w:space="0" w:color="00B0F0"/>
              <w:bottom w:val="single" w:sz="4" w:space="0" w:color="00B0F0"/>
              <w:right w:val="single" w:sz="4" w:space="0" w:color="00B0F0"/>
            </w:tcBorders>
            <w:vAlign w:val="center"/>
          </w:tcPr>
          <w:p w14:paraId="21FE815E"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color w:val="000000"/>
                <w:sz w:val="12"/>
                <w:szCs w:val="12"/>
              </w:rPr>
              <w:t>Spravodlivá zelená transformácia</w:t>
            </w:r>
          </w:p>
        </w:tc>
        <w:tc>
          <w:tcPr>
            <w:tcW w:w="567" w:type="dxa"/>
            <w:tcBorders>
              <w:left w:val="single" w:sz="4" w:space="0" w:color="00B0F0"/>
              <w:right w:val="single" w:sz="4" w:space="0" w:color="00B0F0"/>
            </w:tcBorders>
            <w:vAlign w:val="center"/>
          </w:tcPr>
          <w:p w14:paraId="3BB5BF4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p w14:paraId="4677CF4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11</w:t>
            </w:r>
          </w:p>
          <w:p w14:paraId="7D56968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13</w:t>
            </w:r>
          </w:p>
        </w:tc>
        <w:tc>
          <w:tcPr>
            <w:tcW w:w="709" w:type="dxa"/>
            <w:tcBorders>
              <w:top w:val="single" w:sz="4" w:space="0" w:color="00B0F0"/>
              <w:left w:val="single" w:sz="4" w:space="0" w:color="00B0F0"/>
              <w:bottom w:val="single" w:sz="4" w:space="0" w:color="00B0F0"/>
              <w:right w:val="single" w:sz="4" w:space="0" w:color="00B0F0"/>
            </w:tcBorders>
            <w:vAlign w:val="center"/>
          </w:tcPr>
          <w:p w14:paraId="7DD98F6F"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Zásada 20</w:t>
            </w:r>
          </w:p>
        </w:tc>
        <w:tc>
          <w:tcPr>
            <w:tcW w:w="992" w:type="dxa"/>
            <w:tcBorders>
              <w:left w:val="single" w:sz="4" w:space="0" w:color="00B0F0"/>
            </w:tcBorders>
            <w:vAlign w:val="center"/>
          </w:tcPr>
          <w:p w14:paraId="1E607FC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 podľa plánu</w:t>
            </w:r>
          </w:p>
        </w:tc>
      </w:tr>
      <w:tr w:rsidR="00AA20CF" w:rsidRPr="00A46BD9" w14:paraId="3195ACDC" w14:textId="77777777" w:rsidTr="00CF3F52">
        <w:trPr>
          <w:trHeight w:val="279"/>
        </w:trPr>
        <w:tc>
          <w:tcPr>
            <w:tcW w:w="283" w:type="dxa"/>
            <w:vMerge/>
            <w:tcBorders>
              <w:left w:val="single" w:sz="4" w:space="0" w:color="00B0F0"/>
              <w:right w:val="single" w:sz="4" w:space="0" w:color="00B0F0"/>
            </w:tcBorders>
            <w:shd w:val="clear" w:color="auto" w:fill="1AA380"/>
          </w:tcPr>
          <w:p w14:paraId="45068A73" w14:textId="77777777" w:rsidR="00AA20CF" w:rsidRPr="00A46BD9" w:rsidRDefault="00AA20CF" w:rsidP="00CF3F52">
            <w:pPr>
              <w:spacing w:line="140" w:lineRule="exact"/>
              <w:jc w:val="center"/>
              <w:rPr>
                <w:rFonts w:ascii="Arial Narrow" w:hAnsi="Arial Narrow"/>
                <w:b/>
                <w:sz w:val="16"/>
                <w:szCs w:val="16"/>
              </w:rPr>
            </w:pPr>
          </w:p>
        </w:tc>
        <w:tc>
          <w:tcPr>
            <w:tcW w:w="1247" w:type="dxa"/>
            <w:tcBorders>
              <w:top w:val="single" w:sz="4" w:space="0" w:color="00B0F0"/>
              <w:left w:val="single" w:sz="4" w:space="0" w:color="00B0F0"/>
              <w:bottom w:val="single" w:sz="4" w:space="0" w:color="00B0F0"/>
              <w:right w:val="single" w:sz="4" w:space="0" w:color="00B0F0"/>
            </w:tcBorders>
            <w:vAlign w:val="center"/>
          </w:tcPr>
          <w:p w14:paraId="26FA2E54"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Investícia 7:</w:t>
            </w:r>
            <w:r w:rsidRPr="00A46BD9">
              <w:rPr>
                <w:rFonts w:ascii="Arial Narrow" w:hAnsi="Arial Narrow"/>
                <w:sz w:val="15"/>
                <w:szCs w:val="15"/>
              </w:rPr>
              <w:t xml:space="preserve"> </w:t>
            </w:r>
            <w:r w:rsidRPr="00A46BD9">
              <w:rPr>
                <w:rFonts w:ascii="Arial Narrow" w:hAnsi="Arial Narrow"/>
                <w:sz w:val="15"/>
                <w:szCs w:val="15"/>
              </w:rPr>
              <w:br/>
              <w:t>Projekty na riešenie výziev zelenej transformácie</w:t>
            </w:r>
          </w:p>
        </w:tc>
        <w:tc>
          <w:tcPr>
            <w:tcW w:w="2693" w:type="dxa"/>
            <w:tcBorders>
              <w:left w:val="single" w:sz="4" w:space="0" w:color="00B0F0"/>
            </w:tcBorders>
          </w:tcPr>
          <w:p w14:paraId="66D00A1B"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Cieľom opatrenia je podporiť realizáciu minimálne 27 projektov riešiacich výzvy zelenej transformácie a dekarbonizácie, ktoré budú ukončené do 2. štvrťroka 2026 a schválené v rôznych štádiách technologickej pripravenosti (TRL 1-9).</w:t>
            </w:r>
          </w:p>
          <w:p w14:paraId="5620937C" w14:textId="77777777" w:rsidR="00AA20CF" w:rsidRPr="00A46BD9" w:rsidRDefault="00AA20CF" w:rsidP="00CF3F52">
            <w:pPr>
              <w:jc w:val="both"/>
              <w:rPr>
                <w:rFonts w:ascii="Arial Narrow" w:hAnsi="Arial Narrow"/>
                <w:sz w:val="15"/>
                <w:szCs w:val="15"/>
              </w:rPr>
            </w:pPr>
          </w:p>
          <w:p w14:paraId="3AC6E88B"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Aktuálne sú podporené 2 projekty v rámci </w:t>
            </w:r>
            <w:hyperlink r:id="rId43" w:history="1">
              <w:r w:rsidRPr="00A46BD9">
                <w:rPr>
                  <w:rStyle w:val="Hypertextovprepojenie"/>
                  <w:rFonts w:ascii="Arial Narrow" w:hAnsi="Arial Narrow"/>
                  <w:sz w:val="15"/>
                  <w:szCs w:val="15"/>
                </w:rPr>
                <w:t>výzvy</w:t>
              </w:r>
            </w:hyperlink>
            <w:r w:rsidRPr="00A46BD9">
              <w:rPr>
                <w:rFonts w:ascii="Arial Narrow" w:hAnsi="Arial Narrow"/>
                <w:sz w:val="15"/>
                <w:szCs w:val="15"/>
              </w:rPr>
              <w:t xml:space="preserve"> na dôležité projekty spoločného európskeho významu (IPCEI) v oblasti vodíkových technológií a 17 </w:t>
            </w:r>
            <w:hyperlink r:id="rId44" w:history="1">
              <w:r w:rsidRPr="00A46BD9">
                <w:rPr>
                  <w:rStyle w:val="Hypertextovprepojenie"/>
                  <w:rFonts w:ascii="Arial Narrow" w:hAnsi="Arial Narrow"/>
                  <w:sz w:val="15"/>
                  <w:szCs w:val="15"/>
                </w:rPr>
                <w:t>projektov</w:t>
              </w:r>
            </w:hyperlink>
            <w:r w:rsidRPr="00A46BD9">
              <w:rPr>
                <w:rFonts w:ascii="Arial Narrow" w:hAnsi="Arial Narrow"/>
                <w:sz w:val="15"/>
                <w:szCs w:val="15"/>
              </w:rPr>
              <w:t xml:space="preserve"> v oblasti dekarbonizácie ekonomiky na úrovni TRL 4-8, pričom prebehlo uzatváranie zmlúv s ďalšími 13 </w:t>
            </w:r>
            <w:hyperlink r:id="rId45" w:history="1">
              <w:r w:rsidRPr="00A46BD9">
                <w:rPr>
                  <w:rStyle w:val="Hypertextovprepojenie"/>
                  <w:rFonts w:ascii="Arial Narrow" w:hAnsi="Arial Narrow"/>
                  <w:sz w:val="15"/>
                  <w:szCs w:val="15"/>
                </w:rPr>
                <w:t>projektmi</w:t>
              </w:r>
            </w:hyperlink>
            <w:r w:rsidRPr="00A46BD9">
              <w:rPr>
                <w:rFonts w:ascii="Arial Narrow" w:hAnsi="Arial Narrow"/>
                <w:sz w:val="15"/>
                <w:szCs w:val="15"/>
              </w:rPr>
              <w:t xml:space="preserve"> na úrovni TRL 1-3.</w:t>
            </w:r>
          </w:p>
        </w:tc>
        <w:tc>
          <w:tcPr>
            <w:tcW w:w="739" w:type="dxa"/>
            <w:tcBorders>
              <w:right w:val="single" w:sz="4" w:space="0" w:color="2EAAE1"/>
            </w:tcBorders>
            <w:vAlign w:val="center"/>
          </w:tcPr>
          <w:p w14:paraId="7BD3F6EE" w14:textId="77777777" w:rsidR="00AA20CF" w:rsidRPr="00F230A1" w:rsidRDefault="00AA20CF" w:rsidP="00CF3F52">
            <w:pPr>
              <w:jc w:val="center"/>
              <w:rPr>
                <w:rFonts w:ascii="Arial Narrow" w:hAnsi="Arial Narrow"/>
                <w:sz w:val="14"/>
                <w:szCs w:val="14"/>
              </w:rPr>
            </w:pPr>
            <w:r w:rsidRPr="00F230A1">
              <w:rPr>
                <w:rFonts w:ascii="Arial Narrow" w:hAnsi="Arial Narrow"/>
                <w:sz w:val="14"/>
                <w:szCs w:val="14"/>
              </w:rPr>
              <w:t>POO</w:t>
            </w:r>
          </w:p>
          <w:p w14:paraId="0DB511E2" w14:textId="77777777" w:rsidR="00AA20CF" w:rsidRPr="00624FD5" w:rsidRDefault="00AA20CF" w:rsidP="00CF3F52">
            <w:pPr>
              <w:jc w:val="center"/>
              <w:rPr>
                <w:rFonts w:ascii="Arial Narrow" w:hAnsi="Arial Narrow"/>
                <w:sz w:val="14"/>
                <w:szCs w:val="14"/>
              </w:rPr>
            </w:pPr>
            <w:r w:rsidRPr="00F230A1">
              <w:rPr>
                <w:rFonts w:ascii="Arial Narrow" w:hAnsi="Arial Narrow"/>
                <w:sz w:val="12"/>
                <w:szCs w:val="12"/>
              </w:rPr>
              <w:t>SK-C[C9]-I[I4]</w:t>
            </w:r>
          </w:p>
        </w:tc>
        <w:tc>
          <w:tcPr>
            <w:tcW w:w="992" w:type="dxa"/>
            <w:tcBorders>
              <w:top w:val="single" w:sz="4" w:space="0" w:color="2EAAE1"/>
              <w:left w:val="single" w:sz="4" w:space="0" w:color="2EAAE1"/>
              <w:bottom w:val="single" w:sz="4" w:space="0" w:color="2EAAE1"/>
              <w:right w:val="single" w:sz="4" w:space="0" w:color="00B0F0"/>
            </w:tcBorders>
            <w:vAlign w:val="center"/>
          </w:tcPr>
          <w:p w14:paraId="767BC3AB" w14:textId="77777777" w:rsidR="00AA20CF" w:rsidRPr="00EF7276" w:rsidRDefault="00AA20CF" w:rsidP="00CF3F52">
            <w:pPr>
              <w:jc w:val="center"/>
              <w:rPr>
                <w:rFonts w:ascii="Arial Narrow" w:hAnsi="Arial Narrow" w:cs="Calibri"/>
                <w:color w:val="000000" w:themeColor="text1"/>
                <w:sz w:val="12"/>
                <w:szCs w:val="12"/>
              </w:rPr>
            </w:pPr>
            <w:r w:rsidRPr="00EF7276">
              <w:rPr>
                <w:rFonts w:ascii="Arial Narrow" w:hAnsi="Arial Narrow" w:cs="Calibri"/>
                <w:color w:val="000000" w:themeColor="text1"/>
                <w:sz w:val="12"/>
                <w:szCs w:val="12"/>
              </w:rPr>
              <w:t>CSR.2025.4.4</w:t>
            </w:r>
          </w:p>
          <w:p w14:paraId="050E7CA6"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color w:val="000000" w:themeColor="text1"/>
                <w:sz w:val="12"/>
                <w:szCs w:val="12"/>
              </w:rPr>
              <w:t>CSR.2025.5.1</w:t>
            </w:r>
            <w:r w:rsidRPr="00EF7276">
              <w:rPr>
                <w:rFonts w:ascii="Arial Narrow" w:hAnsi="Arial Narrow" w:cs="Calibri"/>
                <w:color w:val="000000" w:themeColor="text1"/>
                <w:sz w:val="12"/>
                <w:szCs w:val="12"/>
              </w:rPr>
              <w:br/>
              <w:t>CSR.2025.5.3</w:t>
            </w:r>
          </w:p>
        </w:tc>
        <w:tc>
          <w:tcPr>
            <w:tcW w:w="850" w:type="dxa"/>
            <w:tcBorders>
              <w:top w:val="single" w:sz="4" w:space="0" w:color="00B0F0"/>
              <w:left w:val="single" w:sz="4" w:space="0" w:color="00B0F0"/>
              <w:bottom w:val="single" w:sz="4" w:space="0" w:color="00B0F0"/>
              <w:right w:val="single" w:sz="4" w:space="0" w:color="00B0F0"/>
            </w:tcBorders>
            <w:vAlign w:val="center"/>
          </w:tcPr>
          <w:p w14:paraId="17D093CB"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sz w:val="12"/>
                <w:szCs w:val="12"/>
              </w:rPr>
              <w:t>Spravodlivá zelená transformácia</w:t>
            </w:r>
          </w:p>
        </w:tc>
        <w:tc>
          <w:tcPr>
            <w:tcW w:w="567" w:type="dxa"/>
            <w:tcBorders>
              <w:left w:val="single" w:sz="4" w:space="0" w:color="00B0F0"/>
              <w:right w:val="single" w:sz="4" w:space="0" w:color="00B0F0"/>
            </w:tcBorders>
            <w:vAlign w:val="center"/>
          </w:tcPr>
          <w:p w14:paraId="37C2A205"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7</w:t>
            </w:r>
          </w:p>
          <w:p w14:paraId="40CE7A6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p w14:paraId="4C3A7A1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12</w:t>
            </w:r>
          </w:p>
          <w:p w14:paraId="7A699DF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13</w:t>
            </w:r>
          </w:p>
        </w:tc>
        <w:tc>
          <w:tcPr>
            <w:tcW w:w="709" w:type="dxa"/>
            <w:tcBorders>
              <w:top w:val="single" w:sz="4" w:space="0" w:color="00B0F0"/>
              <w:left w:val="single" w:sz="4" w:space="0" w:color="00B0F0"/>
              <w:bottom w:val="single" w:sz="4" w:space="0" w:color="00B0F0"/>
              <w:right w:val="single" w:sz="4" w:space="0" w:color="00B0F0"/>
            </w:tcBorders>
            <w:vAlign w:val="center"/>
          </w:tcPr>
          <w:p w14:paraId="40DCF021"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w:t>
            </w:r>
          </w:p>
        </w:tc>
        <w:tc>
          <w:tcPr>
            <w:tcW w:w="992" w:type="dxa"/>
            <w:tcBorders>
              <w:left w:val="single" w:sz="4" w:space="0" w:color="00B0F0"/>
            </w:tcBorders>
            <w:vAlign w:val="center"/>
          </w:tcPr>
          <w:p w14:paraId="76F50A3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 podľa plánu</w:t>
            </w:r>
          </w:p>
        </w:tc>
      </w:tr>
      <w:tr w:rsidR="00AA20CF" w:rsidRPr="00A46BD9" w14:paraId="542E7AB9" w14:textId="77777777" w:rsidTr="00CF3F52">
        <w:trPr>
          <w:trHeight w:val="279"/>
        </w:trPr>
        <w:tc>
          <w:tcPr>
            <w:tcW w:w="283" w:type="dxa"/>
            <w:vMerge/>
            <w:tcBorders>
              <w:left w:val="single" w:sz="4" w:space="0" w:color="00B0F0"/>
              <w:bottom w:val="single" w:sz="4" w:space="0" w:color="00B0F0"/>
              <w:right w:val="single" w:sz="4" w:space="0" w:color="00B0F0"/>
            </w:tcBorders>
            <w:shd w:val="clear" w:color="auto" w:fill="1AA380"/>
          </w:tcPr>
          <w:p w14:paraId="5615357C" w14:textId="77777777" w:rsidR="00AA20CF" w:rsidRPr="00A46BD9" w:rsidRDefault="00AA20CF" w:rsidP="00CF3F52">
            <w:pPr>
              <w:spacing w:line="140" w:lineRule="exact"/>
              <w:jc w:val="center"/>
              <w:rPr>
                <w:rFonts w:ascii="Arial Narrow" w:hAnsi="Arial Narrow"/>
                <w:b/>
                <w:sz w:val="16"/>
                <w:szCs w:val="16"/>
              </w:rPr>
            </w:pPr>
          </w:p>
        </w:tc>
        <w:tc>
          <w:tcPr>
            <w:tcW w:w="1247" w:type="dxa"/>
            <w:tcBorders>
              <w:top w:val="single" w:sz="4" w:space="0" w:color="00B0F0"/>
              <w:left w:val="single" w:sz="4" w:space="0" w:color="00B0F0"/>
              <w:bottom w:val="single" w:sz="4" w:space="0" w:color="00B0F0"/>
              <w:right w:val="single" w:sz="4" w:space="0" w:color="00B0F0"/>
            </w:tcBorders>
            <w:vAlign w:val="center"/>
          </w:tcPr>
          <w:p w14:paraId="06B1AD6B"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Investícia 10:</w:t>
            </w:r>
            <w:r w:rsidRPr="00A46BD9">
              <w:rPr>
                <w:rFonts w:ascii="Arial Narrow" w:hAnsi="Arial Narrow"/>
                <w:sz w:val="15"/>
                <w:szCs w:val="15"/>
              </w:rPr>
              <w:t xml:space="preserve"> </w:t>
            </w:r>
            <w:r w:rsidRPr="00A46BD9">
              <w:rPr>
                <w:rFonts w:ascii="Arial Narrow" w:hAnsi="Arial Narrow"/>
                <w:sz w:val="15"/>
                <w:szCs w:val="15"/>
              </w:rPr>
              <w:br/>
              <w:t xml:space="preserve"> Investície do modernizácie distribučných systémov</w:t>
            </w:r>
          </w:p>
        </w:tc>
        <w:tc>
          <w:tcPr>
            <w:tcW w:w="2693" w:type="dxa"/>
            <w:tcBorders>
              <w:left w:val="single" w:sz="4" w:space="0" w:color="00B0F0"/>
            </w:tcBorders>
          </w:tcPr>
          <w:p w14:paraId="69568D67"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Do 2. kvartála 2026 sa modernizáciou distribučných sústav zabezpečí minimálne</w:t>
            </w:r>
            <w:r>
              <w:rPr>
                <w:rFonts w:ascii="Arial Narrow" w:hAnsi="Arial Narrow"/>
                <w:sz w:val="15"/>
                <w:szCs w:val="15"/>
              </w:rPr>
              <w:br/>
            </w:r>
            <w:r w:rsidRPr="00A46BD9">
              <w:rPr>
                <w:rFonts w:ascii="Arial Narrow" w:hAnsi="Arial Narrow"/>
                <w:sz w:val="15"/>
                <w:szCs w:val="15"/>
              </w:rPr>
              <w:t>1263 MW kumulatívnej dodatočnej kapacity na pripojenie OZE do distribučných sústav, čo prispeje k odstráneniu úzkych miest v sieti a maximalizácii kapacity pre integráciu nových OZE.</w:t>
            </w:r>
          </w:p>
          <w:p w14:paraId="387B96B7" w14:textId="77777777" w:rsidR="00AA20CF" w:rsidRDefault="00AA20CF" w:rsidP="00CF3F52">
            <w:pPr>
              <w:jc w:val="both"/>
              <w:rPr>
                <w:rFonts w:ascii="Arial Narrow" w:hAnsi="Arial Narrow"/>
                <w:sz w:val="15"/>
                <w:szCs w:val="15"/>
              </w:rPr>
            </w:pPr>
          </w:p>
          <w:p w14:paraId="7851AC57"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Implementácia investície prebieha podľa plánu.</w:t>
            </w:r>
            <w:r w:rsidRPr="00A46BD9">
              <w:t xml:space="preserve"> </w:t>
            </w:r>
            <w:r w:rsidRPr="00A46BD9">
              <w:rPr>
                <w:rFonts w:ascii="Arial Narrow" w:hAnsi="Arial Narrow"/>
                <w:sz w:val="15"/>
                <w:szCs w:val="15"/>
              </w:rPr>
              <w:t xml:space="preserve">V rámci revízie Plánu obnovy a odolnosti SR </w:t>
            </w:r>
            <w:r>
              <w:rPr>
                <w:rFonts w:ascii="Arial Narrow" w:hAnsi="Arial Narrow"/>
                <w:sz w:val="15"/>
                <w:szCs w:val="15"/>
              </w:rPr>
              <w:t xml:space="preserve">(POO) </w:t>
            </w:r>
            <w:r w:rsidRPr="00A46BD9">
              <w:rPr>
                <w:rFonts w:ascii="Arial Narrow" w:hAnsi="Arial Narrow"/>
                <w:sz w:val="15"/>
                <w:szCs w:val="15"/>
              </w:rPr>
              <w:t xml:space="preserve">schválenej EK v novembri 2025 došlo k navýšeniu cieľa </w:t>
            </w:r>
            <w:r>
              <w:rPr>
                <w:rFonts w:ascii="Arial Narrow" w:hAnsi="Arial Narrow"/>
                <w:sz w:val="15"/>
                <w:szCs w:val="15"/>
              </w:rPr>
              <w:t xml:space="preserve">z 469 MW </w:t>
            </w:r>
            <w:r w:rsidRPr="00A46BD9">
              <w:rPr>
                <w:rFonts w:ascii="Arial Narrow" w:hAnsi="Arial Narrow"/>
                <w:sz w:val="15"/>
                <w:szCs w:val="15"/>
              </w:rPr>
              <w:t>na 1263 MW vytvorenej dodatočnej kapacity na pripojenie obnoviteľných zdrojov energie.  Zmluvy boli podpísané so všetkými prijímateľmi pomoci a ku koncu roka 2025 bolo zatiaľ zaistených 835 MW kumulatívnej dodatočnej kapacity</w:t>
            </w:r>
            <w:r w:rsidRPr="00A46BD9" w:rsidDel="00BC4355">
              <w:rPr>
                <w:rFonts w:ascii="Arial Narrow" w:hAnsi="Arial Narrow"/>
                <w:sz w:val="15"/>
                <w:szCs w:val="15"/>
              </w:rPr>
              <w:t xml:space="preserve"> </w:t>
            </w:r>
            <w:r w:rsidRPr="00A46BD9">
              <w:rPr>
                <w:rFonts w:ascii="Arial Narrow" w:hAnsi="Arial Narrow"/>
                <w:sz w:val="15"/>
                <w:szCs w:val="15"/>
              </w:rPr>
              <w:t xml:space="preserve">na pripojenie OZE do distribučných sústav. </w:t>
            </w:r>
          </w:p>
        </w:tc>
        <w:tc>
          <w:tcPr>
            <w:tcW w:w="739" w:type="dxa"/>
            <w:tcBorders>
              <w:right w:val="single" w:sz="4" w:space="0" w:color="2EAAE1"/>
            </w:tcBorders>
            <w:vAlign w:val="center"/>
          </w:tcPr>
          <w:p w14:paraId="704D78D8" w14:textId="77777777" w:rsidR="00AA20CF" w:rsidRPr="00F230A1" w:rsidRDefault="00AA20CF" w:rsidP="00CF3F52">
            <w:pPr>
              <w:jc w:val="center"/>
              <w:rPr>
                <w:rFonts w:ascii="Arial Narrow" w:hAnsi="Arial Narrow"/>
                <w:sz w:val="14"/>
                <w:szCs w:val="14"/>
              </w:rPr>
            </w:pPr>
            <w:r w:rsidRPr="00F230A1">
              <w:rPr>
                <w:rFonts w:ascii="Arial Narrow" w:hAnsi="Arial Narrow"/>
                <w:sz w:val="14"/>
                <w:szCs w:val="14"/>
              </w:rPr>
              <w:t>POO</w:t>
            </w:r>
          </w:p>
          <w:p w14:paraId="6721DE64" w14:textId="77777777" w:rsidR="00AA20CF" w:rsidRPr="00624FD5" w:rsidRDefault="00AA20CF" w:rsidP="00CF3F52">
            <w:pPr>
              <w:jc w:val="center"/>
              <w:rPr>
                <w:rFonts w:ascii="Arial Narrow" w:hAnsi="Arial Narrow"/>
                <w:sz w:val="14"/>
                <w:szCs w:val="14"/>
              </w:rPr>
            </w:pPr>
            <w:r w:rsidRPr="00F230A1">
              <w:rPr>
                <w:rFonts w:ascii="Arial Narrow" w:hAnsi="Arial Narrow"/>
                <w:sz w:val="12"/>
                <w:szCs w:val="12"/>
              </w:rPr>
              <w:t>SK-C[C19]-I[I1]</w:t>
            </w:r>
          </w:p>
        </w:tc>
        <w:tc>
          <w:tcPr>
            <w:tcW w:w="992" w:type="dxa"/>
            <w:tcBorders>
              <w:top w:val="single" w:sz="4" w:space="0" w:color="2EAAE1"/>
              <w:left w:val="single" w:sz="4" w:space="0" w:color="2EAAE1"/>
              <w:bottom w:val="single" w:sz="4" w:space="0" w:color="2EAAE1"/>
              <w:right w:val="single" w:sz="4" w:space="0" w:color="00B0F0"/>
            </w:tcBorders>
            <w:vAlign w:val="center"/>
          </w:tcPr>
          <w:p w14:paraId="195DA023" w14:textId="77777777" w:rsidR="00AA20CF" w:rsidRPr="00EF7276" w:rsidRDefault="00AA20CF" w:rsidP="00CF3F52">
            <w:pPr>
              <w:jc w:val="center"/>
              <w:rPr>
                <w:rFonts w:ascii="Arial Narrow" w:hAnsi="Arial Narrow" w:cs="Calibri"/>
                <w:color w:val="000000"/>
                <w:sz w:val="12"/>
                <w:szCs w:val="12"/>
              </w:rPr>
            </w:pPr>
          </w:p>
          <w:p w14:paraId="37D51138"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color w:val="000000"/>
                <w:sz w:val="12"/>
                <w:szCs w:val="12"/>
              </w:rPr>
              <w:t>CSR.2025.5.6</w:t>
            </w:r>
          </w:p>
        </w:tc>
        <w:tc>
          <w:tcPr>
            <w:tcW w:w="850" w:type="dxa"/>
            <w:tcBorders>
              <w:top w:val="single" w:sz="4" w:space="0" w:color="00B0F0"/>
              <w:left w:val="single" w:sz="4" w:space="0" w:color="00B0F0"/>
              <w:bottom w:val="single" w:sz="4" w:space="0" w:color="00B0F0"/>
              <w:right w:val="single" w:sz="4" w:space="0" w:color="00B0F0"/>
            </w:tcBorders>
            <w:vAlign w:val="center"/>
          </w:tcPr>
          <w:p w14:paraId="04025528"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color w:val="000000"/>
                <w:sz w:val="12"/>
                <w:szCs w:val="12"/>
              </w:rPr>
              <w:t>Zabezpečenie energetickej bezpečnosti</w:t>
            </w:r>
          </w:p>
        </w:tc>
        <w:tc>
          <w:tcPr>
            <w:tcW w:w="567" w:type="dxa"/>
            <w:tcBorders>
              <w:left w:val="single" w:sz="4" w:space="0" w:color="00B0F0"/>
              <w:right w:val="single" w:sz="4" w:space="0" w:color="00B0F0"/>
            </w:tcBorders>
            <w:vAlign w:val="center"/>
          </w:tcPr>
          <w:p w14:paraId="6889A1C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7</w:t>
            </w:r>
          </w:p>
          <w:p w14:paraId="030FCBE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p w14:paraId="100EEFE8"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13</w:t>
            </w:r>
          </w:p>
        </w:tc>
        <w:tc>
          <w:tcPr>
            <w:tcW w:w="709" w:type="dxa"/>
            <w:tcBorders>
              <w:top w:val="single" w:sz="4" w:space="0" w:color="00B0F0"/>
              <w:left w:val="single" w:sz="4" w:space="0" w:color="00B0F0"/>
              <w:bottom w:val="single" w:sz="4" w:space="0" w:color="00B0F0"/>
              <w:right w:val="single" w:sz="4" w:space="0" w:color="00B0F0"/>
            </w:tcBorders>
            <w:vAlign w:val="center"/>
          </w:tcPr>
          <w:p w14:paraId="28166297"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w:t>
            </w:r>
          </w:p>
        </w:tc>
        <w:tc>
          <w:tcPr>
            <w:tcW w:w="992" w:type="dxa"/>
            <w:tcBorders>
              <w:left w:val="single" w:sz="4" w:space="0" w:color="00B0F0"/>
            </w:tcBorders>
            <w:vAlign w:val="center"/>
          </w:tcPr>
          <w:p w14:paraId="7DD0F40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 podľa plánu</w:t>
            </w:r>
          </w:p>
        </w:tc>
      </w:tr>
    </w:tbl>
    <w:p w14:paraId="1626DE75" w14:textId="77777777" w:rsidR="00AA20CF" w:rsidRDefault="00AA20CF" w:rsidP="00AA20CF">
      <w:pPr>
        <w:tabs>
          <w:tab w:val="left" w:pos="817"/>
        </w:tabs>
      </w:pPr>
    </w:p>
    <w:tbl>
      <w:tblPr>
        <w:tblStyle w:val="Mriekatabuky"/>
        <w:tblW w:w="9072" w:type="dxa"/>
        <w:tblInd w:w="-5" w:type="dxa"/>
        <w:tblBorders>
          <w:top w:val="single" w:sz="4" w:space="0" w:color="2EAAE1"/>
          <w:left w:val="single" w:sz="4" w:space="0" w:color="2EAAE1"/>
          <w:bottom w:val="single" w:sz="4" w:space="0" w:color="2EAAE1"/>
          <w:right w:val="single" w:sz="4" w:space="0" w:color="2EAAE1"/>
          <w:insideH w:val="single" w:sz="4" w:space="0" w:color="2EAAE1"/>
          <w:insideV w:val="single" w:sz="4" w:space="0" w:color="2EAAE1"/>
        </w:tblBorders>
        <w:tblLayout w:type="fixed"/>
        <w:tblLook w:val="04A0" w:firstRow="1" w:lastRow="0" w:firstColumn="1" w:lastColumn="0" w:noHBand="0" w:noVBand="1"/>
      </w:tblPr>
      <w:tblGrid>
        <w:gridCol w:w="283"/>
        <w:gridCol w:w="1247"/>
        <w:gridCol w:w="2693"/>
        <w:gridCol w:w="739"/>
        <w:gridCol w:w="992"/>
        <w:gridCol w:w="850"/>
        <w:gridCol w:w="567"/>
        <w:gridCol w:w="709"/>
        <w:gridCol w:w="992"/>
      </w:tblGrid>
      <w:tr w:rsidR="00AA20CF" w:rsidRPr="00A46BD9" w14:paraId="51705E68" w14:textId="77777777" w:rsidTr="00CF3F52">
        <w:trPr>
          <w:trHeight w:val="279"/>
        </w:trPr>
        <w:tc>
          <w:tcPr>
            <w:tcW w:w="283" w:type="dxa"/>
            <w:vMerge w:val="restart"/>
            <w:tcBorders>
              <w:top w:val="single" w:sz="4" w:space="0" w:color="00B0F0"/>
              <w:left w:val="single" w:sz="4" w:space="0" w:color="00B0F0"/>
              <w:right w:val="single" w:sz="4" w:space="0" w:color="00B0F0"/>
            </w:tcBorders>
            <w:shd w:val="clear" w:color="auto" w:fill="F2CA6D"/>
            <w:textDirection w:val="btLr"/>
          </w:tcPr>
          <w:p w14:paraId="6C30DA69" w14:textId="77777777" w:rsidR="00AA20CF" w:rsidRPr="00A46BD9" w:rsidRDefault="00AA20CF" w:rsidP="00CF3F52">
            <w:pPr>
              <w:spacing w:line="140" w:lineRule="exact"/>
              <w:ind w:left="113" w:right="113"/>
              <w:jc w:val="center"/>
              <w:rPr>
                <w:rFonts w:ascii="Arial Narrow" w:hAnsi="Arial Narrow"/>
                <w:b/>
                <w:color w:val="FFFFFF" w:themeColor="background1"/>
                <w:sz w:val="16"/>
                <w:szCs w:val="16"/>
              </w:rPr>
            </w:pPr>
            <w:r w:rsidRPr="00A46BD9">
              <w:rPr>
                <w:rFonts w:ascii="Arial Narrow" w:hAnsi="Arial Narrow"/>
                <w:b/>
                <w:color w:val="FFFFFF" w:themeColor="background1"/>
                <w:sz w:val="16"/>
                <w:szCs w:val="16"/>
              </w:rPr>
              <w:lastRenderedPageBreak/>
              <w:t>Vzdelávanie</w:t>
            </w:r>
          </w:p>
        </w:tc>
        <w:tc>
          <w:tcPr>
            <w:tcW w:w="1247" w:type="dxa"/>
            <w:tcBorders>
              <w:top w:val="single" w:sz="4" w:space="0" w:color="00B0F0"/>
              <w:left w:val="single" w:sz="4" w:space="0" w:color="00B0F0"/>
              <w:bottom w:val="single" w:sz="4" w:space="0" w:color="00B0F0"/>
              <w:right w:val="single" w:sz="4" w:space="0" w:color="00B0F0"/>
            </w:tcBorders>
            <w:vAlign w:val="center"/>
          </w:tcPr>
          <w:p w14:paraId="2937D8EB"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13:</w:t>
            </w:r>
            <w:r w:rsidRPr="00A46BD9">
              <w:rPr>
                <w:rFonts w:ascii="Arial Narrow" w:hAnsi="Arial Narrow"/>
                <w:sz w:val="15"/>
                <w:szCs w:val="15"/>
              </w:rPr>
              <w:br/>
              <w:t>Redefinícia špeciálnych výchovno-vzdelávacích potrieb a príprava metodických materiálov.</w:t>
            </w:r>
          </w:p>
        </w:tc>
        <w:tc>
          <w:tcPr>
            <w:tcW w:w="2693" w:type="dxa"/>
            <w:tcBorders>
              <w:left w:val="single" w:sz="4" w:space="0" w:color="00B0F0"/>
            </w:tcBorders>
          </w:tcPr>
          <w:p w14:paraId="5E898311"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Prijatie zákona redefinujúceho špeciálne výchovno-vzdelávacie potreby spolu s metodickou podporou pre pedagógov a školy má zabezpečiť, aby všetky deti a žiaci mohli naplno rozvinúť svoj vzdelávací potenciál.</w:t>
            </w:r>
          </w:p>
          <w:p w14:paraId="5C75F8E4" w14:textId="77777777" w:rsidR="00AA20CF" w:rsidRPr="00A46BD9" w:rsidRDefault="00AA20CF" w:rsidP="00CF3F52">
            <w:pPr>
              <w:jc w:val="both"/>
              <w:rPr>
                <w:rFonts w:ascii="Arial Narrow" w:hAnsi="Arial Narrow"/>
                <w:sz w:val="15"/>
                <w:szCs w:val="15"/>
              </w:rPr>
            </w:pPr>
          </w:p>
          <w:p w14:paraId="34DA3B3D" w14:textId="77777777" w:rsidR="00AA20CF" w:rsidRPr="00A46BD9" w:rsidRDefault="00AA20CF" w:rsidP="00CF3F52">
            <w:pPr>
              <w:jc w:val="both"/>
              <w:rPr>
                <w:rFonts w:ascii="Arial Narrow" w:hAnsi="Arial Narrow"/>
                <w:sz w:val="15"/>
                <w:szCs w:val="15"/>
              </w:rPr>
            </w:pPr>
            <w:hyperlink r:id="rId46" w:history="1">
              <w:r w:rsidRPr="00A46BD9">
                <w:rPr>
                  <w:rStyle w:val="Hypertextovprepojenie"/>
                  <w:rFonts w:ascii="Arial Narrow" w:hAnsi="Arial Narrow"/>
                  <w:sz w:val="15"/>
                  <w:szCs w:val="15"/>
                </w:rPr>
                <w:t>Zákon</w:t>
              </w:r>
            </w:hyperlink>
            <w:r w:rsidRPr="00A46BD9">
              <w:rPr>
                <w:rFonts w:ascii="Arial Narrow" w:hAnsi="Arial Narrow"/>
                <w:sz w:val="15"/>
                <w:szCs w:val="15"/>
              </w:rPr>
              <w:t xml:space="preserve"> a </w:t>
            </w:r>
            <w:hyperlink r:id="rId47" w:history="1">
              <w:r w:rsidRPr="00F90AD7">
                <w:rPr>
                  <w:rStyle w:val="Hypertextovprepojenie"/>
                  <w:rFonts w:ascii="Arial Narrow" w:hAnsi="Arial Narrow"/>
                  <w:sz w:val="15"/>
                  <w:szCs w:val="15"/>
                </w:rPr>
                <w:t>Katalóg podporných opatrení</w:t>
              </w:r>
            </w:hyperlink>
            <w:r w:rsidRPr="00A46BD9">
              <w:rPr>
                <w:rFonts w:ascii="Arial Narrow" w:hAnsi="Arial Narrow"/>
                <w:sz w:val="15"/>
                <w:szCs w:val="15"/>
              </w:rPr>
              <w:t xml:space="preserve"> nadobudli platnosť 1. septembra 2023. Zákon zároveň zaviedol príspevok na podporné opatrenie, pričom </w:t>
            </w:r>
            <w:hyperlink r:id="rId48" w:history="1">
              <w:r w:rsidRPr="00A46BD9">
                <w:rPr>
                  <w:rStyle w:val="Hypertextovprepojenie"/>
                  <w:rFonts w:ascii="Arial Narrow" w:hAnsi="Arial Narrow"/>
                  <w:sz w:val="15"/>
                  <w:szCs w:val="15"/>
                </w:rPr>
                <w:t>smernica</w:t>
              </w:r>
            </w:hyperlink>
            <w:r w:rsidRPr="00A46BD9">
              <w:rPr>
                <w:rFonts w:ascii="Arial Narrow" w:hAnsi="Arial Narrow"/>
                <w:sz w:val="15"/>
                <w:szCs w:val="15"/>
              </w:rPr>
              <w:t xml:space="preserve"> MŠVVM SR o prideľovaní finančných prostriedkov na podporné opatrenia bola prijatá 19. septembra 2023.</w:t>
            </w:r>
          </w:p>
        </w:tc>
        <w:tc>
          <w:tcPr>
            <w:tcW w:w="739" w:type="dxa"/>
            <w:tcBorders>
              <w:right w:val="single" w:sz="4" w:space="0" w:color="2EAAE1"/>
            </w:tcBorders>
            <w:vAlign w:val="center"/>
          </w:tcPr>
          <w:p w14:paraId="331F6907" w14:textId="77777777" w:rsidR="00AA20CF" w:rsidRPr="00F230A1" w:rsidRDefault="00AA20CF" w:rsidP="00CF3F52">
            <w:pPr>
              <w:jc w:val="center"/>
              <w:rPr>
                <w:rFonts w:ascii="Arial Narrow" w:hAnsi="Arial Narrow"/>
                <w:sz w:val="14"/>
                <w:szCs w:val="14"/>
              </w:rPr>
            </w:pPr>
            <w:r w:rsidRPr="00F230A1">
              <w:rPr>
                <w:rFonts w:ascii="Arial Narrow" w:hAnsi="Arial Narrow"/>
                <w:sz w:val="14"/>
                <w:szCs w:val="14"/>
              </w:rPr>
              <w:t>POO</w:t>
            </w:r>
          </w:p>
          <w:p w14:paraId="570D1186" w14:textId="77777777" w:rsidR="00AA20CF" w:rsidRPr="00F230A1" w:rsidRDefault="00AA20CF" w:rsidP="00CF3F52">
            <w:pPr>
              <w:jc w:val="center"/>
              <w:rPr>
                <w:rFonts w:ascii="Arial Narrow" w:hAnsi="Arial Narrow"/>
                <w:sz w:val="14"/>
                <w:szCs w:val="14"/>
              </w:rPr>
            </w:pPr>
            <w:r w:rsidRPr="00F230A1">
              <w:rPr>
                <w:rFonts w:ascii="Arial Narrow" w:hAnsi="Arial Narrow"/>
                <w:sz w:val="12"/>
                <w:szCs w:val="12"/>
              </w:rPr>
              <w:t>SK-C[C6]-R[R2]</w:t>
            </w:r>
          </w:p>
        </w:tc>
        <w:tc>
          <w:tcPr>
            <w:tcW w:w="992" w:type="dxa"/>
            <w:tcBorders>
              <w:top w:val="single" w:sz="4" w:space="0" w:color="2EAAE1"/>
              <w:left w:val="single" w:sz="4" w:space="0" w:color="2EAAE1"/>
              <w:bottom w:val="single" w:sz="4" w:space="0" w:color="2EAAE1"/>
              <w:right w:val="single" w:sz="4" w:space="0" w:color="00B0F0"/>
            </w:tcBorders>
            <w:vAlign w:val="center"/>
          </w:tcPr>
          <w:p w14:paraId="2B6635AC"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CSR.2025.6.4</w:t>
            </w:r>
            <w:r w:rsidRPr="00EF7276">
              <w:rPr>
                <w:rFonts w:ascii="Arial Narrow" w:hAnsi="Arial Narrow" w:cs="Calibri"/>
                <w:color w:val="000000"/>
                <w:sz w:val="12"/>
                <w:szCs w:val="12"/>
              </w:rPr>
              <w:br/>
              <w:t>CSR.2025.6.5</w:t>
            </w:r>
          </w:p>
        </w:tc>
        <w:tc>
          <w:tcPr>
            <w:tcW w:w="850" w:type="dxa"/>
            <w:tcBorders>
              <w:top w:val="single" w:sz="4" w:space="0" w:color="00B0F0"/>
              <w:left w:val="single" w:sz="4" w:space="0" w:color="00B0F0"/>
              <w:bottom w:val="single" w:sz="4" w:space="0" w:color="00B0F0"/>
              <w:right w:val="single" w:sz="4" w:space="0" w:color="00B0F0"/>
            </w:tcBorders>
            <w:vAlign w:val="center"/>
          </w:tcPr>
          <w:p w14:paraId="0B25C1DB"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sz w:val="12"/>
                <w:szCs w:val="12"/>
              </w:rPr>
              <w:t>Posilnenie sociálnej a hospodárskej odolnosti</w:t>
            </w:r>
          </w:p>
        </w:tc>
        <w:tc>
          <w:tcPr>
            <w:tcW w:w="567" w:type="dxa"/>
            <w:tcBorders>
              <w:left w:val="single" w:sz="4" w:space="0" w:color="00B0F0"/>
              <w:right w:val="single" w:sz="4" w:space="0" w:color="00B0F0"/>
            </w:tcBorders>
            <w:vAlign w:val="center"/>
          </w:tcPr>
          <w:p w14:paraId="428AB52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4</w:t>
            </w:r>
          </w:p>
          <w:p w14:paraId="5E5403F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10</w:t>
            </w:r>
          </w:p>
        </w:tc>
        <w:tc>
          <w:tcPr>
            <w:tcW w:w="709" w:type="dxa"/>
            <w:tcBorders>
              <w:top w:val="single" w:sz="4" w:space="0" w:color="00B0F0"/>
              <w:left w:val="single" w:sz="4" w:space="0" w:color="00B0F0"/>
              <w:bottom w:val="single" w:sz="4" w:space="0" w:color="00B0F0"/>
              <w:right w:val="single" w:sz="4" w:space="0" w:color="00B0F0"/>
            </w:tcBorders>
            <w:vAlign w:val="center"/>
          </w:tcPr>
          <w:p w14:paraId="5828E50F"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Zásada 1</w:t>
            </w:r>
          </w:p>
          <w:p w14:paraId="33E8517B"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Zásada 3</w:t>
            </w:r>
          </w:p>
          <w:p w14:paraId="728ABE23"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Zásada 11</w:t>
            </w:r>
          </w:p>
          <w:p w14:paraId="4FAD387A"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Zásada 17</w:t>
            </w:r>
          </w:p>
        </w:tc>
        <w:tc>
          <w:tcPr>
            <w:tcW w:w="992" w:type="dxa"/>
            <w:tcBorders>
              <w:left w:val="single" w:sz="4" w:space="0" w:color="00B0F0"/>
            </w:tcBorders>
            <w:vAlign w:val="center"/>
          </w:tcPr>
          <w:p w14:paraId="435C929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Dokončené</w:t>
            </w:r>
          </w:p>
        </w:tc>
      </w:tr>
      <w:tr w:rsidR="00AA20CF" w:rsidRPr="00A46BD9" w14:paraId="396A1ED9" w14:textId="77777777" w:rsidTr="00CF3F52">
        <w:trPr>
          <w:trHeight w:val="279"/>
        </w:trPr>
        <w:tc>
          <w:tcPr>
            <w:tcW w:w="283" w:type="dxa"/>
            <w:vMerge/>
            <w:tcBorders>
              <w:left w:val="single" w:sz="4" w:space="0" w:color="00B0F0"/>
              <w:right w:val="single" w:sz="4" w:space="0" w:color="00B0F0"/>
            </w:tcBorders>
            <w:shd w:val="clear" w:color="auto" w:fill="F2CA6D"/>
            <w:textDirection w:val="btLr"/>
          </w:tcPr>
          <w:p w14:paraId="5EE2946B" w14:textId="77777777" w:rsidR="00AA20CF" w:rsidRPr="00A46BD9" w:rsidRDefault="00AA20CF" w:rsidP="00CF3F52">
            <w:pPr>
              <w:spacing w:line="140" w:lineRule="exact"/>
              <w:jc w:val="center"/>
              <w:rPr>
                <w:rFonts w:ascii="Arial Narrow" w:hAnsi="Arial Narrow"/>
                <w:b/>
                <w:sz w:val="16"/>
                <w:szCs w:val="16"/>
              </w:rPr>
            </w:pPr>
          </w:p>
        </w:tc>
        <w:tc>
          <w:tcPr>
            <w:tcW w:w="1247" w:type="dxa"/>
            <w:tcBorders>
              <w:top w:val="single" w:sz="4" w:space="0" w:color="00B0F0"/>
              <w:left w:val="single" w:sz="4" w:space="0" w:color="00B0F0"/>
              <w:bottom w:val="single" w:sz="4" w:space="0" w:color="00B0F0"/>
              <w:right w:val="single" w:sz="4" w:space="0" w:color="00B0F0"/>
            </w:tcBorders>
            <w:vAlign w:val="center"/>
          </w:tcPr>
          <w:p w14:paraId="3564C881"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14:</w:t>
            </w:r>
            <w:r w:rsidRPr="00A46BD9">
              <w:rPr>
                <w:rFonts w:ascii="Arial Narrow" w:hAnsi="Arial Narrow"/>
                <w:sz w:val="15"/>
                <w:szCs w:val="15"/>
              </w:rPr>
              <w:br/>
              <w:t>Kurikulárna reforma v základnom vzdelávaní</w:t>
            </w:r>
          </w:p>
        </w:tc>
        <w:tc>
          <w:tcPr>
            <w:tcW w:w="2693" w:type="dxa"/>
            <w:tcBorders>
              <w:left w:val="single" w:sz="4" w:space="0" w:color="00B0F0"/>
            </w:tcBorders>
          </w:tcPr>
          <w:p w14:paraId="766CCB76"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Nové kurikulum pre základné školy, štruktúrované do viacročných učebných cyklov na podporu flexibilného rozvoja škôl, sa začalo implementovať v septembri 2023. Všetky školy musia prejsť na nové kurikulum do septembra 2026, pričom do 4. štvrťroka 2025 bude zavedené v minimálne 30 % základných škôl, a to s podporou 40 regionálnych centier zabezpečujúcich mentoring, poradenstvo a konzultácie.</w:t>
            </w:r>
          </w:p>
          <w:p w14:paraId="46C65C76" w14:textId="77777777" w:rsidR="00AA20CF" w:rsidRPr="00A46BD9" w:rsidRDefault="00AA20CF" w:rsidP="00CF3F52">
            <w:pPr>
              <w:jc w:val="both"/>
              <w:rPr>
                <w:rFonts w:ascii="Arial Narrow" w:hAnsi="Arial Narrow"/>
                <w:sz w:val="15"/>
                <w:szCs w:val="15"/>
              </w:rPr>
            </w:pPr>
          </w:p>
          <w:p w14:paraId="42D5F89A"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V školskom roku 2023/2024 začalo s implementáciou nového kurikula prvých 39 škôl, o rok neskôr pribudlo 480 škôl, pričom ku koncu roka 2025 bolo zapojených celkom 94</w:t>
            </w:r>
            <w:r>
              <w:rPr>
                <w:rFonts w:ascii="Arial Narrow" w:hAnsi="Arial Narrow"/>
                <w:sz w:val="15"/>
                <w:szCs w:val="15"/>
              </w:rPr>
              <w:t>5</w:t>
            </w:r>
            <w:r w:rsidRPr="00A46BD9">
              <w:rPr>
                <w:rFonts w:ascii="Arial Narrow" w:hAnsi="Arial Narrow"/>
                <w:sz w:val="15"/>
                <w:szCs w:val="15"/>
              </w:rPr>
              <w:t xml:space="preserve"> z 2</w:t>
            </w:r>
            <w:r>
              <w:rPr>
                <w:rFonts w:ascii="Arial Narrow" w:hAnsi="Arial Narrow"/>
                <w:sz w:val="15"/>
                <w:szCs w:val="15"/>
              </w:rPr>
              <w:t>036</w:t>
            </w:r>
            <w:r w:rsidRPr="00A46BD9">
              <w:rPr>
                <w:rFonts w:ascii="Arial Narrow" w:hAnsi="Arial Narrow"/>
                <w:sz w:val="15"/>
                <w:szCs w:val="15"/>
              </w:rPr>
              <w:t xml:space="preserve"> základných škôl, čo zodpovedá 46 %. K 1. 9. 2024 bolo otvorených všetkých </w:t>
            </w:r>
            <w:hyperlink r:id="rId49" w:history="1">
              <w:r w:rsidRPr="00A46BD9">
                <w:rPr>
                  <w:rStyle w:val="Hypertextovprepojenie"/>
                  <w:rFonts w:ascii="Arial Narrow" w:hAnsi="Arial Narrow"/>
                  <w:sz w:val="15"/>
                  <w:szCs w:val="15"/>
                </w:rPr>
                <w:t>40 regionálnych centier podpory</w:t>
              </w:r>
            </w:hyperlink>
            <w:r w:rsidRPr="00A46BD9">
              <w:rPr>
                <w:rFonts w:ascii="Arial Narrow" w:hAnsi="Arial Narrow"/>
                <w:sz w:val="15"/>
                <w:szCs w:val="15"/>
              </w:rPr>
              <w:t>. Vzhľadom na vysoký záujem o implementáciu prebieha plnenie cieľa podľa plánu.</w:t>
            </w:r>
          </w:p>
        </w:tc>
        <w:tc>
          <w:tcPr>
            <w:tcW w:w="739" w:type="dxa"/>
            <w:tcBorders>
              <w:right w:val="single" w:sz="4" w:space="0" w:color="2EAAE1"/>
            </w:tcBorders>
            <w:vAlign w:val="center"/>
          </w:tcPr>
          <w:p w14:paraId="25AF0EB4" w14:textId="77777777" w:rsidR="00AA20CF" w:rsidRPr="00F230A1" w:rsidRDefault="00AA20CF" w:rsidP="00CF3F52">
            <w:pPr>
              <w:jc w:val="center"/>
              <w:rPr>
                <w:rFonts w:ascii="Arial Narrow" w:hAnsi="Arial Narrow"/>
                <w:sz w:val="14"/>
                <w:szCs w:val="14"/>
              </w:rPr>
            </w:pPr>
            <w:r w:rsidRPr="00F230A1">
              <w:rPr>
                <w:rFonts w:ascii="Arial Narrow" w:hAnsi="Arial Narrow"/>
                <w:sz w:val="14"/>
                <w:szCs w:val="14"/>
              </w:rPr>
              <w:t>POO</w:t>
            </w:r>
          </w:p>
          <w:p w14:paraId="47D3D24D" w14:textId="77777777" w:rsidR="00AA20CF" w:rsidRPr="00F230A1" w:rsidRDefault="00AA20CF" w:rsidP="00CF3F52">
            <w:pPr>
              <w:jc w:val="center"/>
              <w:rPr>
                <w:rFonts w:ascii="Arial Narrow" w:hAnsi="Arial Narrow"/>
                <w:sz w:val="14"/>
                <w:szCs w:val="14"/>
              </w:rPr>
            </w:pPr>
            <w:r w:rsidRPr="00F230A1">
              <w:rPr>
                <w:rFonts w:ascii="Arial Narrow" w:hAnsi="Arial Narrow"/>
                <w:sz w:val="12"/>
                <w:szCs w:val="12"/>
              </w:rPr>
              <w:t>SK-C[C7]-R[R1]</w:t>
            </w:r>
          </w:p>
        </w:tc>
        <w:tc>
          <w:tcPr>
            <w:tcW w:w="992" w:type="dxa"/>
            <w:tcBorders>
              <w:top w:val="single" w:sz="4" w:space="0" w:color="2EAAE1"/>
              <w:left w:val="single" w:sz="4" w:space="0" w:color="2EAAE1"/>
              <w:bottom w:val="single" w:sz="4" w:space="0" w:color="2EAAE1"/>
              <w:right w:val="single" w:sz="4" w:space="0" w:color="00B0F0"/>
            </w:tcBorders>
            <w:vAlign w:val="center"/>
          </w:tcPr>
          <w:p w14:paraId="2437B5AE"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sz w:val="12"/>
                <w:szCs w:val="12"/>
              </w:rPr>
              <w:t>CSR.2025.6.4</w:t>
            </w:r>
            <w:r w:rsidRPr="00EF7276">
              <w:rPr>
                <w:rFonts w:ascii="Arial Narrow" w:hAnsi="Arial Narrow" w:cs="Calibri"/>
                <w:sz w:val="12"/>
                <w:szCs w:val="12"/>
              </w:rPr>
              <w:br/>
              <w:t>CSR.2025.6.5</w:t>
            </w:r>
          </w:p>
          <w:p w14:paraId="0841A8A9"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sz w:val="12"/>
                <w:szCs w:val="12"/>
              </w:rPr>
              <w:t>CSR.2025.6.7</w:t>
            </w:r>
          </w:p>
        </w:tc>
        <w:tc>
          <w:tcPr>
            <w:tcW w:w="850" w:type="dxa"/>
            <w:tcBorders>
              <w:top w:val="single" w:sz="4" w:space="0" w:color="00B0F0"/>
              <w:left w:val="single" w:sz="4" w:space="0" w:color="00B0F0"/>
              <w:bottom w:val="single" w:sz="4" w:space="0" w:color="00B0F0"/>
              <w:right w:val="single" w:sz="4" w:space="0" w:color="00B0F0"/>
            </w:tcBorders>
            <w:vAlign w:val="center"/>
          </w:tcPr>
          <w:p w14:paraId="59F003B4"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sz w:val="12"/>
                <w:szCs w:val="12"/>
              </w:rPr>
              <w:t>Posilnenie sociálnej a hospodárskej odolnosti</w:t>
            </w:r>
          </w:p>
        </w:tc>
        <w:tc>
          <w:tcPr>
            <w:tcW w:w="567" w:type="dxa"/>
            <w:tcBorders>
              <w:left w:val="single" w:sz="4" w:space="0" w:color="00B0F0"/>
              <w:right w:val="single" w:sz="4" w:space="0" w:color="00B0F0"/>
            </w:tcBorders>
            <w:vAlign w:val="center"/>
          </w:tcPr>
          <w:p w14:paraId="67CB05F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4</w:t>
            </w:r>
          </w:p>
        </w:tc>
        <w:tc>
          <w:tcPr>
            <w:tcW w:w="709" w:type="dxa"/>
            <w:tcBorders>
              <w:top w:val="single" w:sz="4" w:space="0" w:color="00B0F0"/>
              <w:left w:val="single" w:sz="4" w:space="0" w:color="00B0F0"/>
              <w:bottom w:val="single" w:sz="4" w:space="0" w:color="00B0F0"/>
              <w:right w:val="single" w:sz="4" w:space="0" w:color="00B0F0"/>
            </w:tcBorders>
            <w:vAlign w:val="center"/>
          </w:tcPr>
          <w:p w14:paraId="72B03B41"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Zásada 1</w:t>
            </w:r>
          </w:p>
          <w:p w14:paraId="6DDE0FBE"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Zásada 3</w:t>
            </w:r>
          </w:p>
          <w:p w14:paraId="7B0ED1D9"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Zásada 11</w:t>
            </w:r>
          </w:p>
        </w:tc>
        <w:tc>
          <w:tcPr>
            <w:tcW w:w="992" w:type="dxa"/>
            <w:tcBorders>
              <w:left w:val="single" w:sz="4" w:space="0" w:color="00B0F0"/>
            </w:tcBorders>
            <w:vAlign w:val="center"/>
          </w:tcPr>
          <w:p w14:paraId="02956C58"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 podľa plánu</w:t>
            </w:r>
          </w:p>
        </w:tc>
      </w:tr>
      <w:tr w:rsidR="00AA20CF" w:rsidRPr="00A46BD9" w14:paraId="2E2D42ED" w14:textId="77777777" w:rsidTr="00CF3F52">
        <w:trPr>
          <w:trHeight w:val="279"/>
        </w:trPr>
        <w:tc>
          <w:tcPr>
            <w:tcW w:w="283" w:type="dxa"/>
            <w:vMerge/>
            <w:tcBorders>
              <w:left w:val="single" w:sz="4" w:space="0" w:color="00B0F0"/>
              <w:right w:val="single" w:sz="4" w:space="0" w:color="00B0F0"/>
            </w:tcBorders>
            <w:shd w:val="clear" w:color="auto" w:fill="F2CA6D"/>
          </w:tcPr>
          <w:p w14:paraId="372E2B20" w14:textId="77777777" w:rsidR="00AA20CF" w:rsidRPr="00A46BD9" w:rsidRDefault="00AA20CF" w:rsidP="00CF3F52">
            <w:pPr>
              <w:spacing w:line="140" w:lineRule="exact"/>
              <w:jc w:val="center"/>
              <w:rPr>
                <w:rFonts w:ascii="Arial Narrow" w:hAnsi="Arial Narrow"/>
                <w:b/>
                <w:sz w:val="16"/>
                <w:szCs w:val="16"/>
              </w:rPr>
            </w:pPr>
          </w:p>
        </w:tc>
        <w:tc>
          <w:tcPr>
            <w:tcW w:w="1247" w:type="dxa"/>
            <w:tcBorders>
              <w:top w:val="single" w:sz="4" w:space="0" w:color="00B0F0"/>
              <w:left w:val="single" w:sz="4" w:space="0" w:color="00B0F0"/>
              <w:bottom w:val="single" w:sz="4" w:space="0" w:color="00B0F0"/>
              <w:right w:val="single" w:sz="4" w:space="0" w:color="00B0F0"/>
            </w:tcBorders>
            <w:vAlign w:val="center"/>
          </w:tcPr>
          <w:p w14:paraId="01392F43"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Investícia 5:</w:t>
            </w:r>
            <w:r w:rsidRPr="00A46BD9">
              <w:rPr>
                <w:rFonts w:ascii="Arial Narrow" w:hAnsi="Arial Narrow"/>
                <w:sz w:val="15"/>
                <w:szCs w:val="15"/>
              </w:rPr>
              <w:t xml:space="preserve"> </w:t>
            </w:r>
            <w:r w:rsidRPr="00A46BD9">
              <w:rPr>
                <w:rFonts w:ascii="Arial Narrow" w:hAnsi="Arial Narrow"/>
                <w:sz w:val="15"/>
                <w:szCs w:val="15"/>
              </w:rPr>
              <w:br/>
              <w:t>Dobudovanie kapacít materských škôl</w:t>
            </w:r>
          </w:p>
        </w:tc>
        <w:tc>
          <w:tcPr>
            <w:tcW w:w="2693" w:type="dxa"/>
            <w:tcBorders>
              <w:left w:val="single" w:sz="4" w:space="0" w:color="00B0F0"/>
            </w:tcBorders>
          </w:tcPr>
          <w:p w14:paraId="09D6DF81"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Rozšírenie kapacít materských škôl umožní naplniť zákonný nárok na predprimárne vzdelávanie pre deti od štyroch a neskôr troch rokov, pričom sa očakáva vytvorenie alebo zrekonštruovanie 220 materských škôl.</w:t>
            </w:r>
          </w:p>
          <w:p w14:paraId="13491A41" w14:textId="77777777" w:rsidR="00AA20CF" w:rsidRPr="00A46BD9" w:rsidRDefault="00AA20CF" w:rsidP="00CF3F52">
            <w:pPr>
              <w:jc w:val="both"/>
              <w:rPr>
                <w:rFonts w:ascii="Arial Narrow" w:hAnsi="Arial Narrow"/>
                <w:sz w:val="15"/>
                <w:szCs w:val="15"/>
              </w:rPr>
            </w:pPr>
          </w:p>
          <w:p w14:paraId="7680EC0A"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Cieľ je plnený prostredníctvom </w:t>
            </w:r>
            <w:hyperlink r:id="rId50" w:history="1">
              <w:r w:rsidRPr="00A46BD9">
                <w:rPr>
                  <w:rStyle w:val="Hypertextovprepojenie"/>
                  <w:rFonts w:ascii="Arial Narrow" w:hAnsi="Arial Narrow"/>
                  <w:sz w:val="15"/>
                  <w:szCs w:val="15"/>
                </w:rPr>
                <w:t>výzvy</w:t>
              </w:r>
            </w:hyperlink>
            <w:r w:rsidRPr="00A46BD9">
              <w:rPr>
                <w:rFonts w:ascii="Arial Narrow" w:hAnsi="Arial Narrow"/>
                <w:sz w:val="15"/>
                <w:szCs w:val="15"/>
              </w:rPr>
              <w:t xml:space="preserve"> a priamych vyzvaní. V rámci 2. revízie POO bol v roku 2025 pôvodný cieľ (9114 nových kapacít) pretransformovaný na 220 vybudovaných alebo zrekonštruovaných materských škôl. V súčasnosti je zazmluvnených 235 projektov</w:t>
            </w:r>
            <w:r>
              <w:rPr>
                <w:rFonts w:ascii="Arial Narrow" w:hAnsi="Arial Narrow"/>
                <w:sz w:val="15"/>
                <w:szCs w:val="15"/>
              </w:rPr>
              <w:t>.</w:t>
            </w:r>
          </w:p>
        </w:tc>
        <w:tc>
          <w:tcPr>
            <w:tcW w:w="739" w:type="dxa"/>
            <w:tcBorders>
              <w:right w:val="single" w:sz="4" w:space="0" w:color="2EAAE1"/>
            </w:tcBorders>
            <w:vAlign w:val="center"/>
          </w:tcPr>
          <w:p w14:paraId="4AEC3B93" w14:textId="77777777" w:rsidR="00AA20CF" w:rsidRPr="00F230A1" w:rsidRDefault="00AA20CF" w:rsidP="00CF3F52">
            <w:pPr>
              <w:jc w:val="center"/>
              <w:rPr>
                <w:rFonts w:ascii="Arial Narrow" w:hAnsi="Arial Narrow"/>
                <w:sz w:val="14"/>
                <w:szCs w:val="14"/>
              </w:rPr>
            </w:pPr>
            <w:r w:rsidRPr="00F230A1">
              <w:rPr>
                <w:rFonts w:ascii="Arial Narrow" w:hAnsi="Arial Narrow"/>
                <w:sz w:val="14"/>
                <w:szCs w:val="14"/>
              </w:rPr>
              <w:t>POO</w:t>
            </w:r>
          </w:p>
          <w:p w14:paraId="63B642E7" w14:textId="77777777" w:rsidR="00AA20CF" w:rsidRPr="00F230A1" w:rsidRDefault="00AA20CF" w:rsidP="00CF3F52">
            <w:pPr>
              <w:jc w:val="center"/>
              <w:rPr>
                <w:rFonts w:ascii="Arial Narrow" w:hAnsi="Arial Narrow"/>
                <w:sz w:val="14"/>
                <w:szCs w:val="14"/>
              </w:rPr>
            </w:pPr>
            <w:r w:rsidRPr="00F230A1">
              <w:rPr>
                <w:rFonts w:ascii="Arial Narrow" w:hAnsi="Arial Narrow"/>
                <w:sz w:val="12"/>
                <w:szCs w:val="12"/>
              </w:rPr>
              <w:t>SK-C[C6]-R[R1]</w:t>
            </w:r>
          </w:p>
        </w:tc>
        <w:tc>
          <w:tcPr>
            <w:tcW w:w="992" w:type="dxa"/>
            <w:tcBorders>
              <w:top w:val="single" w:sz="4" w:space="0" w:color="2EAAE1"/>
              <w:left w:val="single" w:sz="4" w:space="0" w:color="2EAAE1"/>
              <w:bottom w:val="single" w:sz="4" w:space="0" w:color="2EAAE1"/>
              <w:right w:val="single" w:sz="4" w:space="0" w:color="00B0F0"/>
            </w:tcBorders>
            <w:vAlign w:val="center"/>
          </w:tcPr>
          <w:p w14:paraId="62318337"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CSR.2025.6.4</w:t>
            </w:r>
          </w:p>
          <w:p w14:paraId="2083B305"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CSR.2025.6.5</w:t>
            </w:r>
          </w:p>
        </w:tc>
        <w:tc>
          <w:tcPr>
            <w:tcW w:w="850" w:type="dxa"/>
            <w:tcBorders>
              <w:top w:val="single" w:sz="4" w:space="0" w:color="00B0F0"/>
              <w:left w:val="single" w:sz="4" w:space="0" w:color="00B0F0"/>
              <w:bottom w:val="single" w:sz="4" w:space="0" w:color="00B0F0"/>
              <w:right w:val="single" w:sz="4" w:space="0" w:color="00B0F0"/>
            </w:tcBorders>
            <w:vAlign w:val="center"/>
          </w:tcPr>
          <w:p w14:paraId="777778B7"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sz w:val="12"/>
                <w:szCs w:val="12"/>
              </w:rPr>
              <w:t>Posilnenie sociálnej a hospodárskej odolnosti</w:t>
            </w:r>
          </w:p>
        </w:tc>
        <w:tc>
          <w:tcPr>
            <w:tcW w:w="567" w:type="dxa"/>
            <w:tcBorders>
              <w:left w:val="single" w:sz="4" w:space="0" w:color="00B0F0"/>
              <w:right w:val="single" w:sz="4" w:space="0" w:color="00B0F0"/>
            </w:tcBorders>
            <w:vAlign w:val="center"/>
          </w:tcPr>
          <w:p w14:paraId="3D5F03A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4</w:t>
            </w:r>
          </w:p>
          <w:p w14:paraId="011B412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11</w:t>
            </w:r>
          </w:p>
        </w:tc>
        <w:tc>
          <w:tcPr>
            <w:tcW w:w="709" w:type="dxa"/>
            <w:tcBorders>
              <w:top w:val="single" w:sz="4" w:space="0" w:color="00B0F0"/>
              <w:left w:val="single" w:sz="4" w:space="0" w:color="00B0F0"/>
              <w:bottom w:val="single" w:sz="4" w:space="0" w:color="00B0F0"/>
              <w:right w:val="single" w:sz="4" w:space="0" w:color="00B0F0"/>
            </w:tcBorders>
            <w:vAlign w:val="center"/>
          </w:tcPr>
          <w:p w14:paraId="0D9E82AE"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Zásada 1</w:t>
            </w:r>
          </w:p>
          <w:p w14:paraId="15081213"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Zásada 3</w:t>
            </w:r>
          </w:p>
          <w:p w14:paraId="71AA1F1B"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Zásada 11</w:t>
            </w:r>
          </w:p>
          <w:p w14:paraId="267839D8"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Zásada 20</w:t>
            </w:r>
          </w:p>
        </w:tc>
        <w:tc>
          <w:tcPr>
            <w:tcW w:w="992" w:type="dxa"/>
            <w:tcBorders>
              <w:left w:val="single" w:sz="4" w:space="0" w:color="00B0F0"/>
            </w:tcBorders>
            <w:vAlign w:val="center"/>
          </w:tcPr>
          <w:p w14:paraId="6D4FEC68"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 podľa plánu</w:t>
            </w:r>
          </w:p>
        </w:tc>
      </w:tr>
      <w:tr w:rsidR="00AA20CF" w:rsidRPr="00A46BD9" w14:paraId="07843300" w14:textId="77777777" w:rsidTr="00CF3F52">
        <w:trPr>
          <w:trHeight w:val="279"/>
        </w:trPr>
        <w:tc>
          <w:tcPr>
            <w:tcW w:w="283" w:type="dxa"/>
            <w:vMerge/>
            <w:tcBorders>
              <w:left w:val="single" w:sz="4" w:space="0" w:color="00B0F0"/>
              <w:bottom w:val="single" w:sz="4" w:space="0" w:color="2EAAE1"/>
              <w:right w:val="single" w:sz="4" w:space="0" w:color="00B0F0"/>
            </w:tcBorders>
            <w:shd w:val="clear" w:color="auto" w:fill="F2CA6D"/>
          </w:tcPr>
          <w:p w14:paraId="196D3C5E" w14:textId="77777777" w:rsidR="00AA20CF" w:rsidRPr="00A46BD9" w:rsidRDefault="00AA20CF" w:rsidP="00CF3F52">
            <w:pPr>
              <w:spacing w:line="140" w:lineRule="exact"/>
              <w:jc w:val="center"/>
              <w:rPr>
                <w:rFonts w:ascii="Arial Narrow" w:hAnsi="Arial Narrow"/>
                <w:b/>
                <w:sz w:val="16"/>
                <w:szCs w:val="16"/>
              </w:rPr>
            </w:pPr>
          </w:p>
        </w:tc>
        <w:tc>
          <w:tcPr>
            <w:tcW w:w="1247" w:type="dxa"/>
            <w:tcBorders>
              <w:top w:val="single" w:sz="4" w:space="0" w:color="00B0F0"/>
              <w:left w:val="single" w:sz="4" w:space="0" w:color="00B0F0"/>
              <w:bottom w:val="single" w:sz="4" w:space="0" w:color="00B0F0"/>
              <w:right w:val="single" w:sz="4" w:space="0" w:color="00B0F0"/>
            </w:tcBorders>
            <w:vAlign w:val="center"/>
          </w:tcPr>
          <w:p w14:paraId="0EB19374"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6:</w:t>
            </w:r>
            <w:r w:rsidRPr="00A46BD9">
              <w:rPr>
                <w:sz w:val="15"/>
                <w:szCs w:val="15"/>
              </w:rPr>
              <w:br/>
            </w:r>
            <w:r w:rsidRPr="00A46BD9">
              <w:rPr>
                <w:rFonts w:ascii="Arial Narrow" w:hAnsi="Arial Narrow"/>
                <w:sz w:val="15"/>
                <w:szCs w:val="15"/>
              </w:rPr>
              <w:t>Posilnenie inklúzie a desegregácie vo vzdelávaní</w:t>
            </w:r>
          </w:p>
        </w:tc>
        <w:tc>
          <w:tcPr>
            <w:tcW w:w="2693" w:type="dxa"/>
            <w:tcBorders>
              <w:left w:val="single" w:sz="4" w:space="0" w:color="00B0F0"/>
            </w:tcBorders>
          </w:tcPr>
          <w:p w14:paraId="4D72908C"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Navrhované zmeny legislatívy a investície majú zlepšiť inkluzívnosť a dostupnosť vzdelávania zrušením dvojzmennej prevádzky, posilnením podpory jazykových menšín a detí so špeciálnymi výchovno-vzdelávacími potrebami (ŠVVP) a detí zo znevýhodneného prostredia, umožnením nižšieho stredného odborného vzdelania pre žiakov s mentálnym postihnutím a zavedením varovného systému na prevenciu predčasného ukončenia školskej dochádzky.</w:t>
            </w:r>
          </w:p>
          <w:p w14:paraId="3F2028AC" w14:textId="77777777" w:rsidR="00AA20CF" w:rsidRPr="00A46BD9" w:rsidRDefault="00AA20CF" w:rsidP="00CF3F52">
            <w:pPr>
              <w:jc w:val="both"/>
              <w:rPr>
                <w:rFonts w:ascii="Arial Narrow" w:hAnsi="Arial Narrow"/>
                <w:sz w:val="15"/>
                <w:szCs w:val="15"/>
              </w:rPr>
            </w:pPr>
          </w:p>
          <w:p w14:paraId="4FC511D8" w14:textId="77777777" w:rsidR="00AA20CF" w:rsidRPr="00A46BD9" w:rsidRDefault="00AA20CF" w:rsidP="00AA20CF">
            <w:pPr>
              <w:pStyle w:val="Odsekzoznamu"/>
              <w:numPr>
                <w:ilvl w:val="0"/>
                <w:numId w:val="14"/>
              </w:numPr>
              <w:ind w:left="170" w:hanging="170"/>
              <w:jc w:val="both"/>
              <w:rPr>
                <w:rFonts w:ascii="Arial Narrow" w:hAnsi="Arial Narrow"/>
                <w:sz w:val="15"/>
                <w:szCs w:val="15"/>
              </w:rPr>
            </w:pPr>
            <w:hyperlink r:id="rId51" w:history="1">
              <w:r w:rsidRPr="00A46BD9">
                <w:rPr>
                  <w:rStyle w:val="Hypertextovprepojenie"/>
                  <w:rFonts w:ascii="Arial Narrow" w:hAnsi="Arial Narrow"/>
                  <w:sz w:val="15"/>
                  <w:szCs w:val="15"/>
                </w:rPr>
                <w:t>Novela  školského zákona</w:t>
              </w:r>
            </w:hyperlink>
            <w:r w:rsidRPr="00A46BD9">
              <w:rPr>
                <w:rFonts w:ascii="Arial Narrow" w:hAnsi="Arial Narrow"/>
                <w:sz w:val="15"/>
                <w:szCs w:val="15"/>
              </w:rPr>
              <w:t xml:space="preserve"> účinná od 1. januára 2025 ruší dvojzmennú prevádzku na základných školách s prechodným obdobím do 31. augusta 2029. Podporná grantová </w:t>
            </w:r>
            <w:hyperlink r:id="rId52" w:history="1">
              <w:r w:rsidRPr="00F54FC6">
                <w:rPr>
                  <w:rStyle w:val="Hypertextovprepojenie"/>
                  <w:rFonts w:ascii="Arial Narrow" w:hAnsi="Arial Narrow"/>
                  <w:sz w:val="15"/>
                  <w:szCs w:val="15"/>
                </w:rPr>
                <w:t>výzva</w:t>
              </w:r>
            </w:hyperlink>
            <w:r w:rsidRPr="00A46BD9">
              <w:rPr>
                <w:rFonts w:ascii="Arial Narrow" w:hAnsi="Arial Narrow"/>
                <w:sz w:val="15"/>
                <w:szCs w:val="15"/>
              </w:rPr>
              <w:t xml:space="preserve"> (</w:t>
            </w:r>
            <w:r>
              <w:rPr>
                <w:rFonts w:ascii="Arial Narrow" w:hAnsi="Arial Narrow"/>
                <w:sz w:val="15"/>
                <w:szCs w:val="15"/>
              </w:rPr>
              <w:t>34</w:t>
            </w:r>
            <w:r w:rsidRPr="00A46BD9">
              <w:rPr>
                <w:rFonts w:ascii="Arial Narrow" w:hAnsi="Arial Narrow"/>
                <w:sz w:val="15"/>
                <w:szCs w:val="15"/>
              </w:rPr>
              <w:t xml:space="preserve">,6 mil. eur) podmieňuje ukončenie dvojzmennosti do 30. 6. 2026. </w:t>
            </w:r>
          </w:p>
          <w:p w14:paraId="564A709F" w14:textId="77777777" w:rsidR="00AA20CF" w:rsidRPr="00A46BD9" w:rsidRDefault="00AA20CF" w:rsidP="00AA20CF">
            <w:pPr>
              <w:pStyle w:val="Odsekzoznamu"/>
              <w:numPr>
                <w:ilvl w:val="0"/>
                <w:numId w:val="14"/>
              </w:numPr>
              <w:ind w:left="170" w:hanging="170"/>
              <w:jc w:val="both"/>
              <w:rPr>
                <w:rFonts w:ascii="Arial Narrow" w:hAnsi="Arial Narrow"/>
                <w:sz w:val="15"/>
                <w:szCs w:val="15"/>
              </w:rPr>
            </w:pPr>
            <w:r w:rsidRPr="00A46BD9">
              <w:rPr>
                <w:rFonts w:ascii="Arial Narrow" w:hAnsi="Arial Narrow"/>
                <w:sz w:val="15"/>
                <w:szCs w:val="15"/>
              </w:rPr>
              <w:t xml:space="preserve">Novela školského zákona zároveň posilňuje vzdelávanie jazykových menšín a žiakov so ŠVVP zavedením adaptačných tried, výučby v menšinovom jazyku a podporných opatrení na individuálne potreby žiakov. </w:t>
            </w:r>
          </w:p>
          <w:p w14:paraId="00CF65D9" w14:textId="77777777" w:rsidR="00AA20CF" w:rsidRPr="00A46BD9" w:rsidRDefault="00AA20CF" w:rsidP="00AA20CF">
            <w:pPr>
              <w:pStyle w:val="Odsekzoznamu"/>
              <w:numPr>
                <w:ilvl w:val="0"/>
                <w:numId w:val="14"/>
              </w:numPr>
              <w:ind w:left="170" w:hanging="170"/>
              <w:jc w:val="both"/>
              <w:rPr>
                <w:rFonts w:ascii="Arial Narrow" w:hAnsi="Arial Narrow"/>
                <w:sz w:val="15"/>
                <w:szCs w:val="15"/>
              </w:rPr>
            </w:pPr>
            <w:r w:rsidRPr="00A46BD9">
              <w:rPr>
                <w:rFonts w:ascii="Arial Narrow" w:hAnsi="Arial Narrow"/>
                <w:sz w:val="15"/>
                <w:szCs w:val="15"/>
              </w:rPr>
              <w:t xml:space="preserve">Možnosť získania nižšieho stredného odborného vzdelania pre žiakov s ľahkým mentálnym postihnutím bola právne upravená </w:t>
            </w:r>
            <w:hyperlink r:id="rId53" w:history="1">
              <w:r w:rsidRPr="00A46BD9">
                <w:rPr>
                  <w:rStyle w:val="Hypertextovprepojenie"/>
                  <w:rFonts w:ascii="Arial Narrow" w:hAnsi="Arial Narrow"/>
                  <w:sz w:val="15"/>
                  <w:szCs w:val="15"/>
                </w:rPr>
                <w:t>novelou zákona o výchove a vzdelávaní</w:t>
              </w:r>
            </w:hyperlink>
            <w:r w:rsidRPr="00A46BD9">
              <w:rPr>
                <w:rFonts w:ascii="Arial Narrow" w:hAnsi="Arial Narrow"/>
                <w:sz w:val="15"/>
                <w:szCs w:val="15"/>
              </w:rPr>
              <w:t xml:space="preserve">. </w:t>
            </w:r>
          </w:p>
          <w:p w14:paraId="2F82E065" w14:textId="77777777" w:rsidR="00AA20CF" w:rsidRPr="00A46BD9" w:rsidRDefault="00AA20CF" w:rsidP="00AA20CF">
            <w:pPr>
              <w:pStyle w:val="Odsekzoznamu"/>
              <w:numPr>
                <w:ilvl w:val="0"/>
                <w:numId w:val="14"/>
              </w:numPr>
              <w:ind w:left="170" w:hanging="170"/>
              <w:jc w:val="both"/>
              <w:rPr>
                <w:rFonts w:ascii="Arial Narrow" w:hAnsi="Arial Narrow"/>
                <w:sz w:val="15"/>
                <w:szCs w:val="15"/>
              </w:rPr>
            </w:pPr>
            <w:r w:rsidRPr="00A46BD9">
              <w:rPr>
                <w:rFonts w:ascii="Arial Narrow" w:hAnsi="Arial Narrow"/>
                <w:sz w:val="15"/>
                <w:szCs w:val="15"/>
              </w:rPr>
              <w:t xml:space="preserve">Varovný systém na predchádzanie predčasnému ukončeniu školskej dochádzky sa implementuje od júla 2024 v rámci </w:t>
            </w:r>
            <w:hyperlink r:id="rId54" w:history="1">
              <w:r w:rsidRPr="00C44D71">
                <w:rPr>
                  <w:rStyle w:val="Hypertextovprepojenie"/>
                  <w:rFonts w:ascii="Arial Narrow" w:hAnsi="Arial Narrow"/>
                  <w:sz w:val="15"/>
                  <w:szCs w:val="15"/>
                </w:rPr>
                <w:t>národného projektu</w:t>
              </w:r>
            </w:hyperlink>
            <w:r w:rsidRPr="00A46BD9">
              <w:rPr>
                <w:rFonts w:ascii="Arial Narrow" w:hAnsi="Arial Narrow"/>
                <w:sz w:val="15"/>
                <w:szCs w:val="15"/>
              </w:rPr>
              <w:t xml:space="preserve"> (7,67 mil. eur).</w:t>
            </w:r>
          </w:p>
          <w:p w14:paraId="4AE73CC3" w14:textId="77777777" w:rsidR="00AA20CF" w:rsidRPr="00A46BD9" w:rsidRDefault="00AA20CF" w:rsidP="00AA20CF">
            <w:pPr>
              <w:pStyle w:val="Odsekzoznamu"/>
              <w:numPr>
                <w:ilvl w:val="0"/>
                <w:numId w:val="14"/>
              </w:numPr>
              <w:ind w:left="170" w:hanging="170"/>
              <w:jc w:val="both"/>
              <w:rPr>
                <w:rFonts w:ascii="Arial Narrow" w:hAnsi="Arial Narrow"/>
                <w:sz w:val="15"/>
                <w:szCs w:val="15"/>
              </w:rPr>
            </w:pPr>
            <w:r w:rsidRPr="00A46BD9">
              <w:rPr>
                <w:rFonts w:ascii="Arial Narrow" w:hAnsi="Arial Narrow"/>
                <w:sz w:val="15"/>
                <w:szCs w:val="15"/>
              </w:rPr>
              <w:t xml:space="preserve">V januári 2026 bola zverejnená </w:t>
            </w:r>
            <w:hyperlink r:id="rId55" w:history="1">
              <w:r w:rsidRPr="00553B58">
                <w:rPr>
                  <w:rStyle w:val="Hypertextovprepojenie"/>
                  <w:rFonts w:ascii="Arial Narrow" w:hAnsi="Arial Narrow"/>
                  <w:sz w:val="15"/>
                  <w:szCs w:val="15"/>
                </w:rPr>
                <w:t>správa monitorovania rizika segregácie</w:t>
              </w:r>
            </w:hyperlink>
            <w:r w:rsidRPr="00A46BD9">
              <w:rPr>
                <w:rFonts w:ascii="Arial Narrow" w:hAnsi="Arial Narrow"/>
                <w:sz w:val="15"/>
                <w:szCs w:val="15"/>
              </w:rPr>
              <w:t xml:space="preserve"> za školský </w:t>
            </w:r>
            <w:r w:rsidRPr="00A46BD9">
              <w:rPr>
                <w:rFonts w:ascii="Arial Narrow" w:hAnsi="Arial Narrow"/>
                <w:sz w:val="15"/>
                <w:szCs w:val="15"/>
              </w:rPr>
              <w:lastRenderedPageBreak/>
              <w:t>rok 2023/2024. V roku 2025 sa monitoring rozšíril aj na školy a triedy pre žiakov so zdravotným znevýhodnením a na materské školy.</w:t>
            </w:r>
          </w:p>
          <w:p w14:paraId="2412E16A" w14:textId="77777777" w:rsidR="00AA20CF" w:rsidRPr="00A46BD9" w:rsidRDefault="00AA20CF" w:rsidP="00AA20CF">
            <w:pPr>
              <w:pStyle w:val="Odsekzoznamu"/>
              <w:numPr>
                <w:ilvl w:val="0"/>
                <w:numId w:val="14"/>
              </w:numPr>
              <w:ind w:left="170" w:hanging="170"/>
              <w:jc w:val="both"/>
              <w:rPr>
                <w:rFonts w:ascii="Arial Narrow" w:hAnsi="Arial Narrow"/>
                <w:sz w:val="15"/>
                <w:szCs w:val="15"/>
              </w:rPr>
            </w:pPr>
            <w:r w:rsidRPr="00A46BD9">
              <w:rPr>
                <w:rFonts w:ascii="Arial Narrow" w:hAnsi="Arial Narrow"/>
                <w:sz w:val="15"/>
                <w:szCs w:val="15"/>
              </w:rPr>
              <w:t xml:space="preserve">V rámci národného projektu </w:t>
            </w:r>
            <w:hyperlink r:id="rId56" w:history="1">
              <w:r w:rsidRPr="00A46BD9">
                <w:rPr>
                  <w:rStyle w:val="Hypertextovprepojenie"/>
                  <w:rFonts w:ascii="Arial Narrow" w:hAnsi="Arial Narrow"/>
                  <w:sz w:val="15"/>
                  <w:szCs w:val="15"/>
                </w:rPr>
                <w:t>Príležitosť pre všetkých</w:t>
              </w:r>
            </w:hyperlink>
            <w:r w:rsidRPr="00A46BD9">
              <w:rPr>
                <w:rFonts w:ascii="Arial Narrow" w:hAnsi="Arial Narrow"/>
                <w:sz w:val="15"/>
                <w:szCs w:val="15"/>
              </w:rPr>
              <w:t xml:space="preserve"> (6,9 mil. eur) prebieha implementácia pilotných desegregačných opatrení, ktorých výsledkom bude metodický manuál s overenými nástrojmi pre školy a zriaďovateľov.</w:t>
            </w:r>
          </w:p>
          <w:p w14:paraId="035E7621" w14:textId="77777777" w:rsidR="00AA20CF" w:rsidRPr="00A46BD9" w:rsidRDefault="00AA20CF" w:rsidP="00AA20CF">
            <w:pPr>
              <w:pStyle w:val="Odsekzoznamu"/>
              <w:numPr>
                <w:ilvl w:val="0"/>
                <w:numId w:val="14"/>
              </w:numPr>
              <w:ind w:left="170" w:hanging="170"/>
              <w:jc w:val="both"/>
              <w:rPr>
                <w:rFonts w:ascii="Arial Narrow" w:hAnsi="Arial Narrow"/>
                <w:sz w:val="15"/>
                <w:szCs w:val="15"/>
              </w:rPr>
            </w:pPr>
            <w:r w:rsidRPr="00A46BD9">
              <w:rPr>
                <w:rFonts w:ascii="Arial Narrow" w:hAnsi="Arial Narrow"/>
                <w:sz w:val="15"/>
                <w:szCs w:val="15"/>
              </w:rPr>
              <w:t xml:space="preserve">Implementácia národného projektu </w:t>
            </w:r>
            <w:hyperlink r:id="rId57" w:history="1">
              <w:r w:rsidRPr="00A46BD9">
                <w:rPr>
                  <w:rStyle w:val="Hypertextovprepojenie"/>
                  <w:rFonts w:ascii="Arial Narrow" w:hAnsi="Arial Narrow"/>
                  <w:sz w:val="15"/>
                  <w:szCs w:val="15"/>
                </w:rPr>
                <w:t>Podpora vzdelávacích príležitostí</w:t>
              </w:r>
            </w:hyperlink>
            <w:r w:rsidRPr="00A46BD9">
              <w:rPr>
                <w:rFonts w:ascii="Arial Narrow" w:hAnsi="Arial Narrow"/>
                <w:sz w:val="15"/>
                <w:szCs w:val="15"/>
              </w:rPr>
              <w:t xml:space="preserve"> (10,5 mil. eur) začala v januári 2025. Prebehlo mapovanie cieľovej skupiny, školenia zapojených psychológov a metodická podpora pedagogických a odborných zamestnancov; postupne sa realizuje aj testovanie detí.</w:t>
            </w:r>
          </w:p>
          <w:p w14:paraId="59E68290" w14:textId="77777777" w:rsidR="00AA20CF" w:rsidRPr="00C70729" w:rsidRDefault="00AA20CF" w:rsidP="00AA20CF">
            <w:pPr>
              <w:pStyle w:val="Odsekzoznamu"/>
              <w:numPr>
                <w:ilvl w:val="0"/>
                <w:numId w:val="14"/>
              </w:numPr>
              <w:ind w:left="170" w:hanging="170"/>
              <w:jc w:val="both"/>
              <w:rPr>
                <w:rFonts w:ascii="Arial Narrow" w:hAnsi="Arial Narrow"/>
                <w:sz w:val="15"/>
                <w:szCs w:val="15"/>
              </w:rPr>
            </w:pPr>
            <w:r w:rsidRPr="00C70729">
              <w:rPr>
                <w:rFonts w:ascii="Arial Narrow" w:hAnsi="Arial Narrow"/>
                <w:sz w:val="15"/>
                <w:szCs w:val="15"/>
              </w:rPr>
              <w:t xml:space="preserve">Podpora raného rozvoja detí zo znevýhodneného prostredia prebieha cez grantovú </w:t>
            </w:r>
            <w:hyperlink r:id="rId58" w:history="1">
              <w:r w:rsidRPr="00370503">
                <w:rPr>
                  <w:rStyle w:val="Hypertextovprepojenie"/>
                  <w:rFonts w:ascii="Arial Narrow" w:hAnsi="Arial Narrow"/>
                  <w:sz w:val="15"/>
                  <w:szCs w:val="15"/>
                </w:rPr>
                <w:t>schému</w:t>
              </w:r>
            </w:hyperlink>
            <w:r w:rsidRPr="00C70729">
              <w:rPr>
                <w:rFonts w:ascii="Arial Narrow" w:hAnsi="Arial Narrow"/>
                <w:sz w:val="15"/>
                <w:szCs w:val="15"/>
              </w:rPr>
              <w:t xml:space="preserve"> (6,26 mil. eur). Podporených je 10 organizácií, pričom projekty budú ukončené do júna 2026.</w:t>
            </w:r>
          </w:p>
        </w:tc>
        <w:tc>
          <w:tcPr>
            <w:tcW w:w="739" w:type="dxa"/>
            <w:tcBorders>
              <w:right w:val="single" w:sz="4" w:space="0" w:color="2EAAE1"/>
            </w:tcBorders>
            <w:vAlign w:val="center"/>
          </w:tcPr>
          <w:p w14:paraId="7B2BBF73" w14:textId="77777777" w:rsidR="00AA20CF" w:rsidRPr="00F230A1" w:rsidRDefault="00AA20CF" w:rsidP="00CF3F52">
            <w:pPr>
              <w:jc w:val="center"/>
              <w:rPr>
                <w:rFonts w:ascii="Arial Narrow" w:hAnsi="Arial Narrow"/>
                <w:sz w:val="14"/>
                <w:szCs w:val="14"/>
              </w:rPr>
            </w:pPr>
            <w:r w:rsidRPr="00624FD5">
              <w:rPr>
                <w:rFonts w:ascii="Arial Narrow" w:hAnsi="Arial Narrow"/>
                <w:sz w:val="14"/>
                <w:szCs w:val="14"/>
              </w:rPr>
              <w:lastRenderedPageBreak/>
              <w:t>POO/PSK</w:t>
            </w:r>
          </w:p>
        </w:tc>
        <w:tc>
          <w:tcPr>
            <w:tcW w:w="992" w:type="dxa"/>
            <w:tcBorders>
              <w:top w:val="single" w:sz="4" w:space="0" w:color="2EAAE1"/>
              <w:left w:val="single" w:sz="4" w:space="0" w:color="2EAAE1"/>
              <w:bottom w:val="single" w:sz="4" w:space="0" w:color="2EAAE1"/>
              <w:right w:val="single" w:sz="4" w:space="0" w:color="00B0F0"/>
            </w:tcBorders>
            <w:vAlign w:val="center"/>
          </w:tcPr>
          <w:p w14:paraId="585CA99E"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CSR.2025.6.4</w:t>
            </w:r>
          </w:p>
          <w:p w14:paraId="75E40290"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CSR.2025.6.5</w:t>
            </w:r>
          </w:p>
        </w:tc>
        <w:tc>
          <w:tcPr>
            <w:tcW w:w="850" w:type="dxa"/>
            <w:tcBorders>
              <w:top w:val="single" w:sz="4" w:space="0" w:color="00B0F0"/>
              <w:left w:val="single" w:sz="4" w:space="0" w:color="00B0F0"/>
              <w:bottom w:val="single" w:sz="4" w:space="0" w:color="00B0F0"/>
              <w:right w:val="single" w:sz="4" w:space="0" w:color="00B0F0"/>
            </w:tcBorders>
            <w:vAlign w:val="center"/>
          </w:tcPr>
          <w:p w14:paraId="47434B4B"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color w:val="000000"/>
                <w:sz w:val="12"/>
                <w:szCs w:val="12"/>
              </w:rPr>
              <w:t>Posilnenie sociálnej a hospodárskej odolnosti</w:t>
            </w:r>
          </w:p>
        </w:tc>
        <w:tc>
          <w:tcPr>
            <w:tcW w:w="567" w:type="dxa"/>
            <w:tcBorders>
              <w:left w:val="single" w:sz="4" w:space="0" w:color="00B0F0"/>
              <w:right w:val="single" w:sz="4" w:space="0" w:color="00B0F0"/>
            </w:tcBorders>
            <w:vAlign w:val="center"/>
          </w:tcPr>
          <w:p w14:paraId="7BAC552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Cieľ1</w:t>
            </w:r>
          </w:p>
          <w:p w14:paraId="1D4CDD38"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4</w:t>
            </w:r>
          </w:p>
          <w:p w14:paraId="28CF6B9C"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10</w:t>
            </w:r>
          </w:p>
          <w:p w14:paraId="3860175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16</w:t>
            </w:r>
          </w:p>
        </w:tc>
        <w:tc>
          <w:tcPr>
            <w:tcW w:w="709" w:type="dxa"/>
            <w:tcBorders>
              <w:top w:val="single" w:sz="4" w:space="0" w:color="00B0F0"/>
              <w:left w:val="single" w:sz="4" w:space="0" w:color="00B0F0"/>
              <w:bottom w:val="single" w:sz="4" w:space="0" w:color="00B0F0"/>
              <w:right w:val="single" w:sz="4" w:space="0" w:color="00B0F0"/>
            </w:tcBorders>
            <w:vAlign w:val="center"/>
          </w:tcPr>
          <w:p w14:paraId="596C2C03"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Zásada 1</w:t>
            </w:r>
          </w:p>
          <w:p w14:paraId="25E14CE7"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Zásada 3</w:t>
            </w:r>
          </w:p>
          <w:p w14:paraId="4F4FFD47"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Zásada 20</w:t>
            </w:r>
          </w:p>
        </w:tc>
        <w:tc>
          <w:tcPr>
            <w:tcW w:w="992" w:type="dxa"/>
            <w:tcBorders>
              <w:left w:val="single" w:sz="4" w:space="0" w:color="00B0F0"/>
            </w:tcBorders>
            <w:vAlign w:val="center"/>
          </w:tcPr>
          <w:p w14:paraId="4AB471F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3CD42C16" w14:textId="77777777" w:rsidTr="00CF3F52">
        <w:trPr>
          <w:trHeight w:val="279"/>
        </w:trPr>
        <w:tc>
          <w:tcPr>
            <w:tcW w:w="283" w:type="dxa"/>
            <w:vMerge w:val="restart"/>
            <w:tcBorders>
              <w:top w:val="single" w:sz="4" w:space="0" w:color="2EAAE1"/>
              <w:left w:val="single" w:sz="4" w:space="0" w:color="00B0F0"/>
              <w:right w:val="single" w:sz="4" w:space="0" w:color="00B0F0"/>
            </w:tcBorders>
            <w:shd w:val="clear" w:color="auto" w:fill="E85477"/>
            <w:textDirection w:val="btLr"/>
          </w:tcPr>
          <w:p w14:paraId="75A5318E" w14:textId="77777777" w:rsidR="00AA20CF" w:rsidRPr="00A46BD9" w:rsidRDefault="00AA20CF" w:rsidP="00CF3F52">
            <w:pPr>
              <w:spacing w:line="140" w:lineRule="exact"/>
              <w:ind w:left="113" w:right="113"/>
              <w:jc w:val="center"/>
              <w:rPr>
                <w:rFonts w:ascii="Arial Narrow" w:hAnsi="Arial Narrow"/>
                <w:b/>
                <w:color w:val="FFFFFF" w:themeColor="background1"/>
                <w:sz w:val="16"/>
                <w:szCs w:val="16"/>
              </w:rPr>
            </w:pPr>
            <w:r w:rsidRPr="00A46BD9">
              <w:rPr>
                <w:rFonts w:ascii="Arial Narrow" w:hAnsi="Arial Narrow"/>
                <w:b/>
                <w:color w:val="FFFFFF" w:themeColor="background1"/>
                <w:sz w:val="16"/>
                <w:szCs w:val="16"/>
              </w:rPr>
              <w:t>Produktivita</w:t>
            </w:r>
          </w:p>
        </w:tc>
        <w:tc>
          <w:tcPr>
            <w:tcW w:w="1247" w:type="dxa"/>
            <w:tcBorders>
              <w:top w:val="single" w:sz="4" w:space="0" w:color="00B0F0"/>
              <w:left w:val="single" w:sz="4" w:space="0" w:color="00B0F0"/>
              <w:bottom w:val="single" w:sz="4" w:space="0" w:color="00B0F0"/>
              <w:right w:val="single" w:sz="4" w:space="0" w:color="00B0F0"/>
            </w:tcBorders>
            <w:vAlign w:val="center"/>
          </w:tcPr>
          <w:p w14:paraId="5D6B1B61"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8:</w:t>
            </w:r>
            <w:r w:rsidRPr="00A46BD9">
              <w:rPr>
                <w:rFonts w:ascii="Arial Narrow" w:hAnsi="Arial Narrow"/>
                <w:sz w:val="15"/>
                <w:szCs w:val="15"/>
              </w:rPr>
              <w:t xml:space="preserve"> </w:t>
            </w:r>
            <w:r w:rsidRPr="00A46BD9">
              <w:rPr>
                <w:rFonts w:ascii="Arial Narrow" w:hAnsi="Arial Narrow"/>
                <w:sz w:val="15"/>
                <w:szCs w:val="15"/>
              </w:rPr>
              <w:br/>
              <w:t>Priemyselná politika Slovenskej republiky 2027-2035</w:t>
            </w:r>
          </w:p>
        </w:tc>
        <w:tc>
          <w:tcPr>
            <w:tcW w:w="2693" w:type="dxa"/>
            <w:tcBorders>
              <w:left w:val="single" w:sz="4" w:space="0" w:color="00B0F0"/>
            </w:tcBorders>
          </w:tcPr>
          <w:p w14:paraId="71064FBF"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Opatrenie reaguje na geopolitické zmeny a nové legislatívne iniciatívy s vplyvom konkurencieschopnosť Slovenska. Kľúčovým krokom bude analýza priemyselného potenciálu, potrieb a výziev. Návrh priemyselnej stratégie  nadviaže na správu Maria Draghiho a pripravovanú Európsku priemyselnú dohodu, so zreteľom na národné hospodárstvo a geopolitickú odolnosť.</w:t>
            </w:r>
          </w:p>
          <w:p w14:paraId="1A2E47BA" w14:textId="77777777" w:rsidR="00AA20CF" w:rsidRPr="00A46BD9" w:rsidRDefault="00AA20CF" w:rsidP="00CF3F52">
            <w:pPr>
              <w:jc w:val="both"/>
              <w:rPr>
                <w:rFonts w:ascii="Arial Narrow" w:hAnsi="Arial Narrow"/>
                <w:sz w:val="15"/>
                <w:szCs w:val="15"/>
              </w:rPr>
            </w:pPr>
          </w:p>
          <w:p w14:paraId="7C826F6D"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Ministerstvo hospodárstva SR (MH SR) </w:t>
            </w:r>
            <w:r w:rsidRPr="00405D14">
              <w:rPr>
                <w:rFonts w:ascii="Arial Narrow" w:hAnsi="Arial Narrow"/>
                <w:sz w:val="15"/>
                <w:szCs w:val="15"/>
              </w:rPr>
              <w:t xml:space="preserve">pokračuje v príprave priemyselnej politiky tvorbou Stabilizačného rámca 2026-2028, zameraného na krátkodobú stabilizáciu priemyselného prostredia. Súbežne prebieha </w:t>
            </w:r>
            <w:hyperlink r:id="rId59" w:history="1">
              <w:r w:rsidRPr="00405D14">
                <w:rPr>
                  <w:rStyle w:val="Hypertextovprepojenie"/>
                  <w:rFonts w:ascii="Arial Narrow" w:hAnsi="Arial Narrow"/>
                  <w:sz w:val="15"/>
                  <w:szCs w:val="15"/>
                </w:rPr>
                <w:t>príprava Vízie a stratégie Slovenska 2040</w:t>
              </w:r>
            </w:hyperlink>
            <w:r w:rsidRPr="00405D14">
              <w:rPr>
                <w:rFonts w:ascii="Arial Narrow" w:hAnsi="Arial Narrow"/>
                <w:sz w:val="15"/>
                <w:szCs w:val="15"/>
              </w:rPr>
              <w:t xml:space="preserve"> ako strešného dokumentu pre budúce opatrenia a sektorové politiky, pričom pre vybrané oblasti sa pripravujú aj samostatné sektorové stratégie.</w:t>
            </w:r>
            <w:r w:rsidRPr="00A46BD9">
              <w:rPr>
                <w:rFonts w:ascii="Arial Narrow" w:hAnsi="Arial Narrow"/>
                <w:sz w:val="15"/>
                <w:szCs w:val="15"/>
              </w:rPr>
              <w:t xml:space="preserve"> Materiál bude vypracovaný v roku 2026 a jeho schválenie sa očakáva v 2. štvrťrok</w:t>
            </w:r>
            <w:r>
              <w:rPr>
                <w:rFonts w:ascii="Arial Narrow" w:hAnsi="Arial Narrow"/>
                <w:sz w:val="15"/>
                <w:szCs w:val="15"/>
              </w:rPr>
              <w:t>u</w:t>
            </w:r>
            <w:r w:rsidRPr="00A46BD9">
              <w:rPr>
                <w:rFonts w:ascii="Arial Narrow" w:hAnsi="Arial Narrow"/>
                <w:sz w:val="15"/>
                <w:szCs w:val="15"/>
              </w:rPr>
              <w:t xml:space="preserve"> 2027. </w:t>
            </w:r>
          </w:p>
        </w:tc>
        <w:tc>
          <w:tcPr>
            <w:tcW w:w="739" w:type="dxa"/>
            <w:tcBorders>
              <w:right w:val="single" w:sz="4" w:space="0" w:color="2EAAE1"/>
            </w:tcBorders>
            <w:vAlign w:val="center"/>
          </w:tcPr>
          <w:p w14:paraId="32F9A607" w14:textId="77777777" w:rsidR="00AA20CF" w:rsidRPr="00F230A1" w:rsidRDefault="00AA20CF" w:rsidP="00CF3F52">
            <w:pPr>
              <w:jc w:val="center"/>
              <w:rPr>
                <w:rFonts w:ascii="Arial Narrow" w:hAnsi="Arial Narrow"/>
                <w:sz w:val="14"/>
                <w:szCs w:val="14"/>
              </w:rPr>
            </w:pPr>
            <w:r w:rsidRPr="00624FD5">
              <w:rPr>
                <w:rFonts w:ascii="Arial Narrow" w:hAnsi="Arial Narrow"/>
                <w:sz w:val="14"/>
                <w:szCs w:val="14"/>
              </w:rPr>
              <w:t>-</w:t>
            </w:r>
          </w:p>
        </w:tc>
        <w:tc>
          <w:tcPr>
            <w:tcW w:w="992" w:type="dxa"/>
            <w:tcBorders>
              <w:top w:val="single" w:sz="4" w:space="0" w:color="2EAAE1"/>
              <w:left w:val="single" w:sz="4" w:space="0" w:color="2EAAE1"/>
              <w:bottom w:val="single" w:sz="4" w:space="0" w:color="2EAAE1"/>
              <w:right w:val="single" w:sz="4" w:space="0" w:color="00B0F0"/>
            </w:tcBorders>
            <w:vAlign w:val="center"/>
          </w:tcPr>
          <w:p w14:paraId="2E633715"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CSR.2025.3.1</w:t>
            </w:r>
          </w:p>
          <w:p w14:paraId="2F44E09E"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CSR.2025.5.3</w:t>
            </w:r>
          </w:p>
        </w:tc>
        <w:tc>
          <w:tcPr>
            <w:tcW w:w="850" w:type="dxa"/>
            <w:tcBorders>
              <w:top w:val="single" w:sz="4" w:space="0" w:color="00B0F0"/>
              <w:left w:val="single" w:sz="4" w:space="0" w:color="00B0F0"/>
              <w:bottom w:val="single" w:sz="4" w:space="0" w:color="00B0F0"/>
              <w:right w:val="single" w:sz="4" w:space="0" w:color="00B0F0"/>
            </w:tcBorders>
            <w:vAlign w:val="center"/>
          </w:tcPr>
          <w:p w14:paraId="0069EBE3"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color w:val="000000"/>
                <w:sz w:val="12"/>
                <w:szCs w:val="12"/>
              </w:rPr>
              <w:t>Posilnenie sociálnej a hospodárskej odolnosti</w:t>
            </w:r>
          </w:p>
        </w:tc>
        <w:tc>
          <w:tcPr>
            <w:tcW w:w="567" w:type="dxa"/>
            <w:tcBorders>
              <w:left w:val="single" w:sz="4" w:space="0" w:color="00B0F0"/>
              <w:right w:val="single" w:sz="4" w:space="0" w:color="00B0F0"/>
            </w:tcBorders>
            <w:vAlign w:val="center"/>
          </w:tcPr>
          <w:p w14:paraId="7A8B18C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8</w:t>
            </w:r>
          </w:p>
          <w:p w14:paraId="4543C9FE"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 xml:space="preserve">Cieľ 9 </w:t>
            </w:r>
          </w:p>
          <w:p w14:paraId="54A8E2D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12</w:t>
            </w:r>
          </w:p>
          <w:p w14:paraId="6E12926A"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13</w:t>
            </w:r>
          </w:p>
          <w:p w14:paraId="5987DD9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17</w:t>
            </w:r>
          </w:p>
        </w:tc>
        <w:tc>
          <w:tcPr>
            <w:tcW w:w="709" w:type="dxa"/>
            <w:tcBorders>
              <w:top w:val="single" w:sz="4" w:space="0" w:color="00B0F0"/>
              <w:left w:val="single" w:sz="4" w:space="0" w:color="00B0F0"/>
              <w:bottom w:val="single" w:sz="4" w:space="0" w:color="00B0F0"/>
              <w:right w:val="single" w:sz="4" w:space="0" w:color="00B0F0"/>
            </w:tcBorders>
            <w:vAlign w:val="center"/>
          </w:tcPr>
          <w:p w14:paraId="4C4C2DFD"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w:t>
            </w:r>
          </w:p>
        </w:tc>
        <w:tc>
          <w:tcPr>
            <w:tcW w:w="992" w:type="dxa"/>
            <w:tcBorders>
              <w:left w:val="single" w:sz="4" w:space="0" w:color="00B0F0"/>
            </w:tcBorders>
            <w:vAlign w:val="center"/>
          </w:tcPr>
          <w:p w14:paraId="218D17BB"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4EE110FF" w14:textId="77777777" w:rsidTr="00CF3F52">
        <w:trPr>
          <w:trHeight w:val="279"/>
        </w:trPr>
        <w:tc>
          <w:tcPr>
            <w:tcW w:w="283" w:type="dxa"/>
            <w:vMerge/>
            <w:tcBorders>
              <w:left w:val="single" w:sz="4" w:space="0" w:color="00B0F0"/>
              <w:right w:val="single" w:sz="4" w:space="0" w:color="00B0F0"/>
            </w:tcBorders>
            <w:shd w:val="clear" w:color="auto" w:fill="E85477"/>
          </w:tcPr>
          <w:p w14:paraId="32AC28F3" w14:textId="77777777" w:rsidR="00AA20CF" w:rsidRPr="00A46BD9" w:rsidRDefault="00AA20CF" w:rsidP="00CF3F52">
            <w:pPr>
              <w:spacing w:line="140" w:lineRule="exact"/>
              <w:jc w:val="center"/>
              <w:rPr>
                <w:rFonts w:ascii="Arial Narrow" w:hAnsi="Arial Narrow"/>
                <w:b/>
                <w:sz w:val="16"/>
                <w:szCs w:val="16"/>
              </w:rPr>
            </w:pPr>
          </w:p>
        </w:tc>
        <w:tc>
          <w:tcPr>
            <w:tcW w:w="1247" w:type="dxa"/>
            <w:vMerge w:val="restart"/>
            <w:tcBorders>
              <w:top w:val="single" w:sz="4" w:space="0" w:color="00B0F0"/>
              <w:left w:val="single" w:sz="4" w:space="0" w:color="00B0F0"/>
              <w:right w:val="single" w:sz="4" w:space="0" w:color="00B0F0"/>
            </w:tcBorders>
            <w:vAlign w:val="center"/>
          </w:tcPr>
          <w:p w14:paraId="11ABCDC5"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15:</w:t>
            </w:r>
            <w:r w:rsidRPr="00A46BD9">
              <w:rPr>
                <w:rFonts w:ascii="Arial Narrow" w:hAnsi="Arial Narrow"/>
                <w:sz w:val="15"/>
                <w:szCs w:val="15"/>
              </w:rPr>
              <w:t xml:space="preserve"> </w:t>
            </w:r>
            <w:r w:rsidRPr="00A46BD9">
              <w:rPr>
                <w:rFonts w:ascii="Arial Narrow" w:hAnsi="Arial Narrow"/>
                <w:sz w:val="15"/>
                <w:szCs w:val="15"/>
              </w:rPr>
              <w:br/>
              <w:t>Reforma riadenia, hodnotenia a podpory v oblasti výskumu, vývoja a inovácií</w:t>
            </w:r>
          </w:p>
        </w:tc>
        <w:tc>
          <w:tcPr>
            <w:tcW w:w="2693" w:type="dxa"/>
            <w:tcBorders>
              <w:left w:val="single" w:sz="4" w:space="0" w:color="00B0F0"/>
            </w:tcBorders>
          </w:tcPr>
          <w:p w14:paraId="0701A9BB"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a) Reforma výskumu, vývoja a inovácií (VV&amp;I) má za cieľ zlepšiť koordináciu politiky v tejto oblasti prostredníctvom piatich pilierov, ako sú nadrezortná stratégia, zavedenie prierezových noriem a konsolidácia grantových agentúr, pričom sa zameria aj na zefektívnenie hodnotenia projektov a administratívnych procesov. </w:t>
            </w:r>
          </w:p>
          <w:p w14:paraId="65D91005" w14:textId="77777777" w:rsidR="00AA20CF" w:rsidRPr="00A46BD9" w:rsidRDefault="00AA20CF" w:rsidP="00CF3F52">
            <w:pPr>
              <w:jc w:val="both"/>
              <w:rPr>
                <w:rFonts w:ascii="Arial Narrow" w:hAnsi="Arial Narrow"/>
                <w:sz w:val="15"/>
                <w:szCs w:val="15"/>
              </w:rPr>
            </w:pPr>
          </w:p>
          <w:p w14:paraId="53488CA5"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Reforma bola splnená v roku 2023 a v súčasnosti prebieha aktualizácia Akčného plánu k Národnej stratégii výskumu, vývoja a inovácií 2030. </w:t>
            </w:r>
          </w:p>
        </w:tc>
        <w:tc>
          <w:tcPr>
            <w:tcW w:w="739" w:type="dxa"/>
            <w:vMerge w:val="restart"/>
            <w:tcBorders>
              <w:right w:val="single" w:sz="4" w:space="0" w:color="2EAAE1"/>
            </w:tcBorders>
            <w:vAlign w:val="center"/>
          </w:tcPr>
          <w:p w14:paraId="2148874F" w14:textId="77777777" w:rsidR="00AA20CF" w:rsidRPr="00F230A1" w:rsidRDefault="00AA20CF" w:rsidP="00CF3F52">
            <w:pPr>
              <w:jc w:val="center"/>
              <w:rPr>
                <w:rFonts w:ascii="Arial Narrow" w:hAnsi="Arial Narrow"/>
                <w:sz w:val="14"/>
                <w:szCs w:val="14"/>
              </w:rPr>
            </w:pPr>
            <w:r w:rsidRPr="00F230A1">
              <w:rPr>
                <w:rFonts w:ascii="Arial Narrow" w:hAnsi="Arial Narrow"/>
                <w:sz w:val="14"/>
                <w:szCs w:val="14"/>
              </w:rPr>
              <w:t>POO</w:t>
            </w:r>
          </w:p>
          <w:p w14:paraId="767BB4B7" w14:textId="77777777" w:rsidR="00AA20CF" w:rsidRPr="00F230A1" w:rsidRDefault="00AA20CF" w:rsidP="00CF3F52">
            <w:pPr>
              <w:jc w:val="center"/>
              <w:rPr>
                <w:rFonts w:ascii="Arial Narrow" w:hAnsi="Arial Narrow"/>
                <w:sz w:val="14"/>
                <w:szCs w:val="14"/>
              </w:rPr>
            </w:pPr>
            <w:r w:rsidRPr="00F230A1">
              <w:rPr>
                <w:rFonts w:ascii="Arial Narrow" w:hAnsi="Arial Narrow"/>
                <w:sz w:val="12"/>
                <w:szCs w:val="12"/>
              </w:rPr>
              <w:t>SK-C[C9]-R[R1]</w:t>
            </w:r>
          </w:p>
        </w:tc>
        <w:tc>
          <w:tcPr>
            <w:tcW w:w="992" w:type="dxa"/>
            <w:vMerge w:val="restart"/>
            <w:tcBorders>
              <w:top w:val="single" w:sz="4" w:space="0" w:color="2EAAE1"/>
              <w:left w:val="single" w:sz="4" w:space="0" w:color="2EAAE1"/>
              <w:right w:val="single" w:sz="4" w:space="0" w:color="00B0F0"/>
            </w:tcBorders>
            <w:vAlign w:val="center"/>
          </w:tcPr>
          <w:p w14:paraId="02D0DA94"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sz w:val="12"/>
                <w:szCs w:val="12"/>
              </w:rPr>
              <w:t>CSR.2025.2.1</w:t>
            </w:r>
          </w:p>
          <w:p w14:paraId="215E0A41"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sz w:val="12"/>
                <w:szCs w:val="12"/>
              </w:rPr>
              <w:t>CSR.2025.1.4</w:t>
            </w:r>
            <w:r w:rsidRPr="00EF7276">
              <w:rPr>
                <w:rFonts w:ascii="Arial Narrow" w:hAnsi="Arial Narrow" w:cs="Calibri"/>
                <w:sz w:val="12"/>
                <w:szCs w:val="12"/>
              </w:rPr>
              <w:br/>
              <w:t>CSR.2025.4.4</w:t>
            </w:r>
          </w:p>
        </w:tc>
        <w:tc>
          <w:tcPr>
            <w:tcW w:w="850" w:type="dxa"/>
            <w:vMerge w:val="restart"/>
            <w:tcBorders>
              <w:top w:val="single" w:sz="4" w:space="0" w:color="00B0F0"/>
              <w:left w:val="single" w:sz="4" w:space="0" w:color="00B0F0"/>
              <w:right w:val="single" w:sz="4" w:space="0" w:color="00B0F0"/>
            </w:tcBorders>
            <w:vAlign w:val="center"/>
          </w:tcPr>
          <w:p w14:paraId="2FBC12B8"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sz w:val="12"/>
                <w:szCs w:val="12"/>
              </w:rPr>
              <w:t>Posilnenie sociálnej a hospodárskej odolnosti</w:t>
            </w:r>
          </w:p>
        </w:tc>
        <w:tc>
          <w:tcPr>
            <w:tcW w:w="567" w:type="dxa"/>
            <w:vMerge w:val="restart"/>
            <w:tcBorders>
              <w:left w:val="single" w:sz="4" w:space="0" w:color="00B0F0"/>
              <w:right w:val="single" w:sz="4" w:space="0" w:color="00B0F0"/>
            </w:tcBorders>
            <w:vAlign w:val="center"/>
          </w:tcPr>
          <w:p w14:paraId="5D26E2A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8</w:t>
            </w:r>
          </w:p>
          <w:p w14:paraId="37D2EBC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p w14:paraId="31ABFE78"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17</w:t>
            </w:r>
          </w:p>
        </w:tc>
        <w:tc>
          <w:tcPr>
            <w:tcW w:w="709" w:type="dxa"/>
            <w:vMerge w:val="restart"/>
            <w:tcBorders>
              <w:top w:val="single" w:sz="4" w:space="0" w:color="00B0F0"/>
              <w:left w:val="single" w:sz="4" w:space="0" w:color="00B0F0"/>
              <w:right w:val="single" w:sz="4" w:space="0" w:color="00B0F0"/>
            </w:tcBorders>
            <w:vAlign w:val="center"/>
          </w:tcPr>
          <w:p w14:paraId="2E4E1EE2"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w:t>
            </w:r>
          </w:p>
        </w:tc>
        <w:tc>
          <w:tcPr>
            <w:tcW w:w="992" w:type="dxa"/>
            <w:tcBorders>
              <w:left w:val="single" w:sz="4" w:space="0" w:color="00B0F0"/>
            </w:tcBorders>
            <w:vAlign w:val="center"/>
          </w:tcPr>
          <w:p w14:paraId="06037D0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Dokončené</w:t>
            </w:r>
          </w:p>
        </w:tc>
      </w:tr>
      <w:tr w:rsidR="00AA20CF" w:rsidRPr="00A46BD9" w14:paraId="2ED8AF4B" w14:textId="77777777" w:rsidTr="00CF3F52">
        <w:trPr>
          <w:trHeight w:val="279"/>
        </w:trPr>
        <w:tc>
          <w:tcPr>
            <w:tcW w:w="283" w:type="dxa"/>
            <w:vMerge/>
            <w:tcBorders>
              <w:left w:val="single" w:sz="4" w:space="0" w:color="00B0F0"/>
              <w:right w:val="single" w:sz="4" w:space="0" w:color="00B0F0"/>
            </w:tcBorders>
            <w:shd w:val="clear" w:color="auto" w:fill="E85477"/>
          </w:tcPr>
          <w:p w14:paraId="2B55E619" w14:textId="77777777" w:rsidR="00AA20CF" w:rsidRPr="00A46BD9" w:rsidRDefault="00AA20CF" w:rsidP="00CF3F52">
            <w:pPr>
              <w:spacing w:line="140" w:lineRule="exact"/>
              <w:jc w:val="center"/>
              <w:rPr>
                <w:rFonts w:ascii="Arial Narrow" w:hAnsi="Arial Narrow"/>
                <w:b/>
                <w:sz w:val="16"/>
                <w:szCs w:val="16"/>
              </w:rPr>
            </w:pPr>
          </w:p>
        </w:tc>
        <w:tc>
          <w:tcPr>
            <w:tcW w:w="1247" w:type="dxa"/>
            <w:vMerge/>
            <w:tcBorders>
              <w:left w:val="single" w:sz="4" w:space="0" w:color="00B0F0"/>
              <w:bottom w:val="single" w:sz="4" w:space="0" w:color="00B0F0"/>
              <w:right w:val="single" w:sz="4" w:space="0" w:color="00B0F0"/>
            </w:tcBorders>
            <w:vAlign w:val="center"/>
          </w:tcPr>
          <w:p w14:paraId="1969104C" w14:textId="77777777" w:rsidR="00AA20CF" w:rsidRPr="00A46BD9" w:rsidRDefault="00AA20CF" w:rsidP="00CF3F52">
            <w:pPr>
              <w:jc w:val="center"/>
              <w:rPr>
                <w:rFonts w:ascii="Arial Narrow" w:hAnsi="Arial Narrow"/>
                <w:b/>
                <w:sz w:val="15"/>
                <w:szCs w:val="15"/>
              </w:rPr>
            </w:pPr>
          </w:p>
        </w:tc>
        <w:tc>
          <w:tcPr>
            <w:tcW w:w="2693" w:type="dxa"/>
            <w:tcBorders>
              <w:left w:val="single" w:sz="4" w:space="0" w:color="00B0F0"/>
            </w:tcBorders>
          </w:tcPr>
          <w:p w14:paraId="6EA2E476"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b) Reforma bude podporená novým zákonom o VV&amp;I, ktorý zlepší právny rámec a podporí rozvoj výskumných a inovačných kapacít na dosiahnutie dlhodobých cieľov.</w:t>
            </w:r>
          </w:p>
          <w:p w14:paraId="7A236D30" w14:textId="77777777" w:rsidR="00AA20CF" w:rsidRPr="00A46BD9" w:rsidRDefault="00AA20CF" w:rsidP="00CF3F52">
            <w:pPr>
              <w:jc w:val="both"/>
              <w:rPr>
                <w:rFonts w:ascii="Arial Narrow" w:hAnsi="Arial Narrow"/>
                <w:sz w:val="15"/>
                <w:szCs w:val="15"/>
              </w:rPr>
            </w:pPr>
          </w:p>
          <w:p w14:paraId="3C20C10D"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Doplňujúci návrh zákona o VV&amp;I bol predložený do predbežného pripomienkového konania 11. februára 2025. Po jeho ukončení však proces nepokračoval do medzirezortného pripomienkového konania, keďže nebol dosiahnutý súlad medzi kľúčovými stakeholdermi.</w:t>
            </w:r>
          </w:p>
        </w:tc>
        <w:tc>
          <w:tcPr>
            <w:tcW w:w="739" w:type="dxa"/>
            <w:vMerge/>
            <w:tcBorders>
              <w:right w:val="single" w:sz="4" w:space="0" w:color="2EAAE1"/>
            </w:tcBorders>
            <w:vAlign w:val="center"/>
          </w:tcPr>
          <w:p w14:paraId="4F9AD7E1" w14:textId="77777777" w:rsidR="00AA20CF" w:rsidRPr="00F230A1" w:rsidRDefault="00AA20CF" w:rsidP="00CF3F52">
            <w:pPr>
              <w:jc w:val="center"/>
              <w:rPr>
                <w:rFonts w:ascii="Arial Narrow" w:hAnsi="Arial Narrow"/>
                <w:sz w:val="14"/>
                <w:szCs w:val="14"/>
              </w:rPr>
            </w:pPr>
          </w:p>
        </w:tc>
        <w:tc>
          <w:tcPr>
            <w:tcW w:w="992" w:type="dxa"/>
            <w:vMerge/>
            <w:tcBorders>
              <w:left w:val="single" w:sz="4" w:space="0" w:color="2EAAE1"/>
              <w:bottom w:val="single" w:sz="4" w:space="0" w:color="2EAAE1"/>
              <w:right w:val="single" w:sz="4" w:space="0" w:color="00B0F0"/>
            </w:tcBorders>
            <w:vAlign w:val="center"/>
          </w:tcPr>
          <w:p w14:paraId="0258A982" w14:textId="77777777" w:rsidR="00AA20CF" w:rsidRPr="00EF7276" w:rsidRDefault="00AA20CF" w:rsidP="00CF3F52">
            <w:pPr>
              <w:jc w:val="center"/>
              <w:rPr>
                <w:rFonts w:ascii="Arial Narrow" w:hAnsi="Arial Narrow" w:cs="Calibri"/>
                <w:sz w:val="12"/>
                <w:szCs w:val="12"/>
              </w:rPr>
            </w:pPr>
          </w:p>
        </w:tc>
        <w:tc>
          <w:tcPr>
            <w:tcW w:w="850" w:type="dxa"/>
            <w:vMerge/>
            <w:tcBorders>
              <w:left w:val="single" w:sz="4" w:space="0" w:color="00B0F0"/>
              <w:bottom w:val="single" w:sz="4" w:space="0" w:color="00B0F0"/>
              <w:right w:val="single" w:sz="4" w:space="0" w:color="00B0F0"/>
            </w:tcBorders>
            <w:vAlign w:val="center"/>
          </w:tcPr>
          <w:p w14:paraId="1E6BA0BE" w14:textId="77777777" w:rsidR="00AA20CF" w:rsidRPr="00EF7276" w:rsidRDefault="00AA20CF" w:rsidP="00CF3F52">
            <w:pPr>
              <w:jc w:val="center"/>
              <w:rPr>
                <w:rFonts w:ascii="Arial Narrow" w:hAnsi="Arial Narrow" w:cs="Calibri"/>
                <w:sz w:val="12"/>
                <w:szCs w:val="12"/>
              </w:rPr>
            </w:pPr>
          </w:p>
        </w:tc>
        <w:tc>
          <w:tcPr>
            <w:tcW w:w="567" w:type="dxa"/>
            <w:vMerge/>
            <w:tcBorders>
              <w:left w:val="single" w:sz="4" w:space="0" w:color="00B0F0"/>
              <w:right w:val="single" w:sz="4" w:space="0" w:color="00B0F0"/>
            </w:tcBorders>
            <w:vAlign w:val="center"/>
          </w:tcPr>
          <w:p w14:paraId="22025B90" w14:textId="77777777" w:rsidR="00AA20CF" w:rsidRPr="00EF7276" w:rsidRDefault="00AA20CF" w:rsidP="00CF3F52">
            <w:pPr>
              <w:jc w:val="center"/>
              <w:rPr>
                <w:rFonts w:ascii="Arial Narrow" w:hAnsi="Arial Narrow"/>
                <w:sz w:val="12"/>
                <w:szCs w:val="12"/>
              </w:rPr>
            </w:pPr>
          </w:p>
        </w:tc>
        <w:tc>
          <w:tcPr>
            <w:tcW w:w="709" w:type="dxa"/>
            <w:vMerge/>
            <w:tcBorders>
              <w:left w:val="single" w:sz="4" w:space="0" w:color="00B0F0"/>
              <w:bottom w:val="single" w:sz="4" w:space="0" w:color="00B0F0"/>
              <w:right w:val="single" w:sz="4" w:space="0" w:color="00B0F0"/>
            </w:tcBorders>
            <w:vAlign w:val="center"/>
          </w:tcPr>
          <w:p w14:paraId="4F7F792E" w14:textId="77777777" w:rsidR="00AA20CF" w:rsidRPr="00EF7276" w:rsidRDefault="00AA20CF" w:rsidP="00CF3F52">
            <w:pPr>
              <w:jc w:val="center"/>
              <w:rPr>
                <w:rFonts w:ascii="Arial Narrow" w:hAnsi="Arial Narrow" w:cs="Calibri"/>
                <w:color w:val="000000"/>
                <w:sz w:val="12"/>
                <w:szCs w:val="12"/>
              </w:rPr>
            </w:pPr>
          </w:p>
        </w:tc>
        <w:tc>
          <w:tcPr>
            <w:tcW w:w="992" w:type="dxa"/>
            <w:tcBorders>
              <w:left w:val="single" w:sz="4" w:space="0" w:color="00B0F0"/>
            </w:tcBorders>
            <w:vAlign w:val="center"/>
          </w:tcPr>
          <w:p w14:paraId="6858B9B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Nedokončené</w:t>
            </w:r>
          </w:p>
        </w:tc>
      </w:tr>
      <w:tr w:rsidR="00AA20CF" w:rsidRPr="00A46BD9" w14:paraId="10A5EAAA" w14:textId="77777777" w:rsidTr="00CF3F52">
        <w:trPr>
          <w:trHeight w:val="279"/>
        </w:trPr>
        <w:tc>
          <w:tcPr>
            <w:tcW w:w="283" w:type="dxa"/>
            <w:vMerge/>
            <w:tcBorders>
              <w:left w:val="single" w:sz="4" w:space="0" w:color="00B0F0"/>
              <w:right w:val="single" w:sz="4" w:space="0" w:color="00B0F0"/>
            </w:tcBorders>
            <w:shd w:val="clear" w:color="auto" w:fill="E85477"/>
          </w:tcPr>
          <w:p w14:paraId="49C98A9D" w14:textId="77777777" w:rsidR="00AA20CF" w:rsidRPr="00A46BD9" w:rsidRDefault="00AA20CF" w:rsidP="00CF3F52">
            <w:pPr>
              <w:spacing w:line="140" w:lineRule="exact"/>
              <w:jc w:val="center"/>
              <w:rPr>
                <w:rFonts w:ascii="Arial Narrow" w:hAnsi="Arial Narrow"/>
                <w:b/>
                <w:sz w:val="16"/>
                <w:szCs w:val="16"/>
              </w:rPr>
            </w:pPr>
          </w:p>
        </w:tc>
        <w:tc>
          <w:tcPr>
            <w:tcW w:w="1247" w:type="dxa"/>
            <w:tcBorders>
              <w:top w:val="single" w:sz="4" w:space="0" w:color="00B0F0"/>
              <w:left w:val="single" w:sz="4" w:space="0" w:color="00B0F0"/>
              <w:bottom w:val="single" w:sz="4" w:space="0" w:color="00B0F0"/>
              <w:right w:val="single" w:sz="4" w:space="0" w:color="00B0F0"/>
            </w:tcBorders>
            <w:vAlign w:val="center"/>
          </w:tcPr>
          <w:p w14:paraId="53D795FB"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18:</w:t>
            </w:r>
            <w:r w:rsidRPr="00A46BD9">
              <w:rPr>
                <w:rFonts w:ascii="Arial Narrow" w:hAnsi="Arial Narrow"/>
                <w:sz w:val="15"/>
                <w:szCs w:val="15"/>
              </w:rPr>
              <w:t xml:space="preserve"> </w:t>
            </w:r>
            <w:r w:rsidRPr="00A46BD9">
              <w:rPr>
                <w:rFonts w:ascii="Arial Narrow" w:hAnsi="Arial Narrow"/>
                <w:sz w:val="15"/>
                <w:szCs w:val="15"/>
              </w:rPr>
              <w:br/>
              <w:t>Digitálne trhovisko</w:t>
            </w:r>
          </w:p>
        </w:tc>
        <w:tc>
          <w:tcPr>
            <w:tcW w:w="2693" w:type="dxa"/>
            <w:tcBorders>
              <w:left w:val="single" w:sz="4" w:space="0" w:color="00B0F0"/>
            </w:tcBorders>
          </w:tcPr>
          <w:p w14:paraId="10A19C12"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Cieľom vytvorenia centrálnej platformy pre verejné obstarávanie je skrátiť čas a znížiť náklady na vývoj a skvalitňovanie informačno-technologických (IT) systémov. Platforma poskytuje používateľom nástroje pre nový prístup k obstarávaniu IT komodít, služieb a expertíz.</w:t>
            </w:r>
          </w:p>
          <w:p w14:paraId="22ED28DF" w14:textId="77777777" w:rsidR="00AA20CF" w:rsidRPr="00A46BD9" w:rsidRDefault="00AA20CF" w:rsidP="00CF3F52">
            <w:pPr>
              <w:jc w:val="both"/>
              <w:rPr>
                <w:rFonts w:ascii="Arial Narrow" w:hAnsi="Arial Narrow"/>
                <w:sz w:val="15"/>
                <w:szCs w:val="15"/>
              </w:rPr>
            </w:pPr>
          </w:p>
          <w:p w14:paraId="7F45ADAD" w14:textId="77777777" w:rsidR="00AA20CF" w:rsidRPr="00A46BD9" w:rsidRDefault="00AA20CF" w:rsidP="00CF3F52">
            <w:pPr>
              <w:jc w:val="both"/>
              <w:rPr>
                <w:rFonts w:ascii="Arial Narrow" w:hAnsi="Arial Narrow"/>
                <w:sz w:val="15"/>
                <w:szCs w:val="15"/>
              </w:rPr>
            </w:pPr>
            <w:hyperlink r:id="rId60" w:history="1">
              <w:r w:rsidRPr="00A46BD9">
                <w:rPr>
                  <w:rStyle w:val="Hypertextovprepojenie"/>
                  <w:rFonts w:ascii="Arial Narrow" w:hAnsi="Arial Narrow"/>
                  <w:sz w:val="15"/>
                  <w:szCs w:val="15"/>
                </w:rPr>
                <w:t>Platforma IT zdrojov</w:t>
              </w:r>
            </w:hyperlink>
            <w:r w:rsidRPr="00A46BD9">
              <w:rPr>
                <w:rFonts w:ascii="Arial Narrow" w:hAnsi="Arial Narrow"/>
                <w:sz w:val="15"/>
                <w:szCs w:val="15"/>
              </w:rPr>
              <w:t xml:space="preserve"> bola uvedená do prevádzky 20. februára 2024.</w:t>
            </w:r>
          </w:p>
        </w:tc>
        <w:tc>
          <w:tcPr>
            <w:tcW w:w="739" w:type="dxa"/>
            <w:tcBorders>
              <w:right w:val="single" w:sz="4" w:space="0" w:color="2EAAE1"/>
            </w:tcBorders>
            <w:vAlign w:val="center"/>
          </w:tcPr>
          <w:p w14:paraId="2F24CEAB" w14:textId="77777777" w:rsidR="00AA20CF" w:rsidRPr="00F230A1" w:rsidRDefault="00AA20CF" w:rsidP="00CF3F52">
            <w:pPr>
              <w:jc w:val="center"/>
              <w:rPr>
                <w:rFonts w:ascii="Arial Narrow" w:hAnsi="Arial Narrow"/>
                <w:sz w:val="14"/>
                <w:szCs w:val="14"/>
              </w:rPr>
            </w:pPr>
            <w:r w:rsidRPr="00F230A1">
              <w:rPr>
                <w:rFonts w:ascii="Arial Narrow" w:hAnsi="Arial Narrow"/>
                <w:sz w:val="14"/>
                <w:szCs w:val="14"/>
              </w:rPr>
              <w:t>POO</w:t>
            </w:r>
          </w:p>
          <w:p w14:paraId="321943AC" w14:textId="77777777" w:rsidR="00AA20CF" w:rsidRPr="00F230A1" w:rsidRDefault="00AA20CF" w:rsidP="00CF3F52">
            <w:pPr>
              <w:jc w:val="center"/>
              <w:rPr>
                <w:rFonts w:ascii="Arial Narrow" w:hAnsi="Arial Narrow"/>
                <w:sz w:val="14"/>
                <w:szCs w:val="14"/>
              </w:rPr>
            </w:pPr>
            <w:r w:rsidRPr="00F230A1">
              <w:rPr>
                <w:rFonts w:ascii="Arial Narrow" w:hAnsi="Arial Narrow"/>
                <w:sz w:val="12"/>
                <w:szCs w:val="12"/>
              </w:rPr>
              <w:t>SK-C[C17]-R[R2]</w:t>
            </w:r>
          </w:p>
        </w:tc>
        <w:tc>
          <w:tcPr>
            <w:tcW w:w="992" w:type="dxa"/>
            <w:tcBorders>
              <w:top w:val="single" w:sz="4" w:space="0" w:color="2EAAE1"/>
              <w:left w:val="single" w:sz="4" w:space="0" w:color="2EAAE1"/>
              <w:bottom w:val="single" w:sz="4" w:space="0" w:color="2EAAE1"/>
              <w:right w:val="single" w:sz="4" w:space="0" w:color="00B0F0"/>
            </w:tcBorders>
            <w:vAlign w:val="center"/>
          </w:tcPr>
          <w:p w14:paraId="0E45F740"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sz w:val="12"/>
                <w:szCs w:val="12"/>
              </w:rPr>
              <w:t>CSR.2025.1.4</w:t>
            </w:r>
          </w:p>
          <w:p w14:paraId="2D2B1CF4"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sz w:val="12"/>
                <w:szCs w:val="12"/>
              </w:rPr>
              <w:t>CSR.2025.3.7</w:t>
            </w:r>
          </w:p>
        </w:tc>
        <w:tc>
          <w:tcPr>
            <w:tcW w:w="850" w:type="dxa"/>
            <w:tcBorders>
              <w:top w:val="single" w:sz="4" w:space="0" w:color="00B0F0"/>
              <w:left w:val="single" w:sz="4" w:space="0" w:color="00B0F0"/>
              <w:bottom w:val="single" w:sz="4" w:space="0" w:color="00B0F0"/>
              <w:right w:val="single" w:sz="4" w:space="0" w:color="00B0F0"/>
            </w:tcBorders>
            <w:vAlign w:val="center"/>
          </w:tcPr>
          <w:p w14:paraId="6A029A26"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sz w:val="12"/>
                <w:szCs w:val="12"/>
              </w:rPr>
              <w:t>Spravodlivá digitálna transformácia</w:t>
            </w:r>
          </w:p>
        </w:tc>
        <w:tc>
          <w:tcPr>
            <w:tcW w:w="567" w:type="dxa"/>
            <w:tcBorders>
              <w:left w:val="single" w:sz="4" w:space="0" w:color="00B0F0"/>
              <w:right w:val="single" w:sz="4" w:space="0" w:color="00B0F0"/>
            </w:tcBorders>
            <w:vAlign w:val="center"/>
          </w:tcPr>
          <w:p w14:paraId="00E0980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16</w:t>
            </w:r>
          </w:p>
        </w:tc>
        <w:tc>
          <w:tcPr>
            <w:tcW w:w="709" w:type="dxa"/>
            <w:tcBorders>
              <w:top w:val="single" w:sz="4" w:space="0" w:color="00B0F0"/>
              <w:left w:val="single" w:sz="4" w:space="0" w:color="00B0F0"/>
              <w:bottom w:val="single" w:sz="4" w:space="0" w:color="00B0F0"/>
              <w:right w:val="single" w:sz="4" w:space="0" w:color="00B0F0"/>
            </w:tcBorders>
            <w:vAlign w:val="center"/>
          </w:tcPr>
          <w:p w14:paraId="4334C717"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w:t>
            </w:r>
          </w:p>
        </w:tc>
        <w:tc>
          <w:tcPr>
            <w:tcW w:w="992" w:type="dxa"/>
            <w:tcBorders>
              <w:left w:val="single" w:sz="4" w:space="0" w:color="00B0F0"/>
            </w:tcBorders>
            <w:vAlign w:val="center"/>
          </w:tcPr>
          <w:p w14:paraId="5AC69DF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Dokončené</w:t>
            </w:r>
          </w:p>
        </w:tc>
      </w:tr>
      <w:tr w:rsidR="00AA20CF" w:rsidRPr="00A46BD9" w14:paraId="6AEED66B" w14:textId="77777777" w:rsidTr="00CF3F52">
        <w:trPr>
          <w:trHeight w:val="279"/>
        </w:trPr>
        <w:tc>
          <w:tcPr>
            <w:tcW w:w="283" w:type="dxa"/>
            <w:vMerge/>
            <w:tcBorders>
              <w:left w:val="single" w:sz="4" w:space="0" w:color="00B0F0"/>
              <w:right w:val="single" w:sz="4" w:space="0" w:color="00B0F0"/>
            </w:tcBorders>
            <w:shd w:val="clear" w:color="auto" w:fill="E85477"/>
          </w:tcPr>
          <w:p w14:paraId="48283381" w14:textId="77777777" w:rsidR="00AA20CF" w:rsidRPr="00A46BD9" w:rsidRDefault="00AA20CF" w:rsidP="00CF3F52">
            <w:pPr>
              <w:spacing w:line="140" w:lineRule="exact"/>
              <w:jc w:val="center"/>
              <w:rPr>
                <w:rFonts w:ascii="Arial Narrow" w:hAnsi="Arial Narrow"/>
                <w:b/>
                <w:sz w:val="16"/>
                <w:szCs w:val="16"/>
              </w:rPr>
            </w:pPr>
          </w:p>
        </w:tc>
        <w:tc>
          <w:tcPr>
            <w:tcW w:w="1247" w:type="dxa"/>
            <w:tcBorders>
              <w:top w:val="single" w:sz="4" w:space="0" w:color="00B0F0"/>
              <w:left w:val="single" w:sz="4" w:space="0" w:color="00B0F0"/>
              <w:bottom w:val="single" w:sz="4" w:space="0" w:color="00B0F0"/>
              <w:right w:val="single" w:sz="4" w:space="0" w:color="00B0F0"/>
            </w:tcBorders>
            <w:vAlign w:val="center"/>
          </w:tcPr>
          <w:p w14:paraId="494CBB19"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Investícia 6 :</w:t>
            </w:r>
            <w:r w:rsidRPr="00A46BD9">
              <w:rPr>
                <w:rFonts w:ascii="Arial Narrow" w:hAnsi="Arial Narrow"/>
                <w:sz w:val="15"/>
                <w:szCs w:val="15"/>
              </w:rPr>
              <w:t xml:space="preserve"> </w:t>
            </w:r>
            <w:r w:rsidRPr="00A46BD9">
              <w:rPr>
                <w:rFonts w:ascii="Arial Narrow" w:hAnsi="Arial Narrow"/>
                <w:sz w:val="15"/>
                <w:szCs w:val="15"/>
              </w:rPr>
              <w:br/>
              <w:t xml:space="preserve"> Podpora spolupráce medzi firmami, akademickým sektorom a výskumnými organizáciami</w:t>
            </w:r>
          </w:p>
        </w:tc>
        <w:tc>
          <w:tcPr>
            <w:tcW w:w="2693" w:type="dxa"/>
            <w:tcBorders>
              <w:left w:val="single" w:sz="4" w:space="0" w:color="00B0F0"/>
            </w:tcBorders>
          </w:tcPr>
          <w:p w14:paraId="1FB282C1"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Zámerom investície je podporiť zapojenie súkromného sektora do VV&amp;I,  posilniť jeho spoluprácu s akademickou obcou a zlepšiť prideľovanie verejných prostriedkov. Cieľom je do 2. štvrťroka 2026 dosiahnuť 3931 podporených projektov spolupráce medzi podnikmi, akademickou obcou a výskumnými organizáciami formou matching grantov, inovačných poukážok či vznikom transformačných a inovačných konzorcií.</w:t>
            </w:r>
          </w:p>
          <w:p w14:paraId="1E4EE355" w14:textId="77777777" w:rsidR="00AA20CF" w:rsidRPr="00A46BD9" w:rsidRDefault="00AA20CF" w:rsidP="00CF3F52">
            <w:pPr>
              <w:jc w:val="both"/>
              <w:rPr>
                <w:rFonts w:ascii="Arial Narrow" w:hAnsi="Arial Narrow"/>
                <w:sz w:val="15"/>
                <w:szCs w:val="15"/>
              </w:rPr>
            </w:pPr>
          </w:p>
          <w:p w14:paraId="5373F6B7"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Aktuálne je podporených 6292 spoluprác cez matching granty, 861 digitálnych a 523 inovačných voucherov a 6 transformačných a inovačných konzorcií. Celkovo je podporených 7682 projektov</w:t>
            </w:r>
            <w:r>
              <w:rPr>
                <w:rFonts w:ascii="Arial Narrow" w:hAnsi="Arial Narrow"/>
                <w:sz w:val="15"/>
                <w:szCs w:val="15"/>
              </w:rPr>
              <w:t xml:space="preserve"> a spoluprác</w:t>
            </w:r>
            <w:r w:rsidRPr="00A46BD9">
              <w:rPr>
                <w:rFonts w:ascii="Arial Narrow" w:hAnsi="Arial Narrow"/>
                <w:sz w:val="15"/>
                <w:szCs w:val="15"/>
              </w:rPr>
              <w:t xml:space="preserve">. </w:t>
            </w:r>
          </w:p>
        </w:tc>
        <w:tc>
          <w:tcPr>
            <w:tcW w:w="739" w:type="dxa"/>
            <w:tcBorders>
              <w:right w:val="single" w:sz="4" w:space="0" w:color="2EAAE1"/>
            </w:tcBorders>
            <w:vAlign w:val="center"/>
          </w:tcPr>
          <w:p w14:paraId="22CCA539" w14:textId="77777777" w:rsidR="00AA20CF" w:rsidRPr="00F230A1" w:rsidRDefault="00AA20CF" w:rsidP="00CF3F52">
            <w:pPr>
              <w:jc w:val="center"/>
              <w:rPr>
                <w:rFonts w:ascii="Arial Narrow" w:hAnsi="Arial Narrow"/>
                <w:sz w:val="14"/>
                <w:szCs w:val="14"/>
              </w:rPr>
            </w:pPr>
            <w:r w:rsidRPr="00F230A1">
              <w:rPr>
                <w:rFonts w:ascii="Arial Narrow" w:hAnsi="Arial Narrow"/>
                <w:sz w:val="14"/>
                <w:szCs w:val="14"/>
              </w:rPr>
              <w:t>POO</w:t>
            </w:r>
          </w:p>
          <w:p w14:paraId="1FEB2DE9" w14:textId="77777777" w:rsidR="00AA20CF" w:rsidRPr="00F230A1" w:rsidRDefault="00AA20CF" w:rsidP="00CF3F52">
            <w:pPr>
              <w:jc w:val="center"/>
              <w:rPr>
                <w:rFonts w:ascii="Arial Narrow" w:hAnsi="Arial Narrow"/>
                <w:sz w:val="14"/>
                <w:szCs w:val="14"/>
              </w:rPr>
            </w:pPr>
            <w:r w:rsidRPr="00F230A1">
              <w:rPr>
                <w:rFonts w:ascii="Arial Narrow" w:hAnsi="Arial Narrow"/>
                <w:sz w:val="12"/>
                <w:szCs w:val="12"/>
              </w:rPr>
              <w:t>SK-C[C9]-I[I2]</w:t>
            </w:r>
          </w:p>
        </w:tc>
        <w:tc>
          <w:tcPr>
            <w:tcW w:w="992" w:type="dxa"/>
            <w:tcBorders>
              <w:top w:val="single" w:sz="4" w:space="0" w:color="2EAAE1"/>
              <w:left w:val="single" w:sz="4" w:space="0" w:color="2EAAE1"/>
              <w:bottom w:val="single" w:sz="4" w:space="0" w:color="2EAAE1"/>
              <w:right w:val="single" w:sz="4" w:space="0" w:color="00B0F0"/>
            </w:tcBorders>
            <w:vAlign w:val="center"/>
          </w:tcPr>
          <w:p w14:paraId="1C4D11F2"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CSR.2025.4.4</w:t>
            </w:r>
          </w:p>
          <w:p w14:paraId="53B643A2"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CSR.2025.5.3</w:t>
            </w:r>
          </w:p>
        </w:tc>
        <w:tc>
          <w:tcPr>
            <w:tcW w:w="850" w:type="dxa"/>
            <w:tcBorders>
              <w:top w:val="single" w:sz="4" w:space="0" w:color="00B0F0"/>
              <w:left w:val="single" w:sz="4" w:space="0" w:color="00B0F0"/>
              <w:bottom w:val="single" w:sz="4" w:space="0" w:color="00B0F0"/>
              <w:right w:val="single" w:sz="4" w:space="0" w:color="00B0F0"/>
            </w:tcBorders>
            <w:vAlign w:val="center"/>
          </w:tcPr>
          <w:p w14:paraId="124D8C13"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color w:val="000000"/>
                <w:sz w:val="12"/>
                <w:szCs w:val="12"/>
              </w:rPr>
              <w:t>Posilnenie sociálnej a hospodárskej odolnosti; Spravodlivá digitálna transformácia</w:t>
            </w:r>
          </w:p>
        </w:tc>
        <w:tc>
          <w:tcPr>
            <w:tcW w:w="567" w:type="dxa"/>
            <w:tcBorders>
              <w:left w:val="single" w:sz="4" w:space="0" w:color="00B0F0"/>
              <w:right w:val="single" w:sz="4" w:space="0" w:color="00B0F0"/>
            </w:tcBorders>
            <w:vAlign w:val="center"/>
          </w:tcPr>
          <w:p w14:paraId="44036FCC"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8</w:t>
            </w:r>
          </w:p>
          <w:p w14:paraId="52E4B61B"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tc>
        <w:tc>
          <w:tcPr>
            <w:tcW w:w="709" w:type="dxa"/>
            <w:tcBorders>
              <w:top w:val="single" w:sz="4" w:space="0" w:color="00B0F0"/>
              <w:left w:val="single" w:sz="4" w:space="0" w:color="00B0F0"/>
              <w:bottom w:val="single" w:sz="4" w:space="0" w:color="00B0F0"/>
              <w:right w:val="single" w:sz="4" w:space="0" w:color="00B0F0"/>
            </w:tcBorders>
            <w:vAlign w:val="center"/>
          </w:tcPr>
          <w:p w14:paraId="2B2B1136"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w:t>
            </w:r>
          </w:p>
        </w:tc>
        <w:tc>
          <w:tcPr>
            <w:tcW w:w="992" w:type="dxa"/>
            <w:tcBorders>
              <w:left w:val="single" w:sz="4" w:space="0" w:color="00B0F0"/>
            </w:tcBorders>
            <w:vAlign w:val="center"/>
          </w:tcPr>
          <w:p w14:paraId="2E40119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 podľa plánu</w:t>
            </w:r>
          </w:p>
        </w:tc>
      </w:tr>
      <w:tr w:rsidR="00AA20CF" w:rsidRPr="00A46BD9" w14:paraId="488BEC72" w14:textId="77777777" w:rsidTr="00CF3F52">
        <w:trPr>
          <w:trHeight w:val="279"/>
        </w:trPr>
        <w:tc>
          <w:tcPr>
            <w:tcW w:w="283" w:type="dxa"/>
            <w:vMerge/>
            <w:tcBorders>
              <w:left w:val="single" w:sz="4" w:space="0" w:color="00B0F0"/>
              <w:bottom w:val="single" w:sz="4" w:space="0" w:color="00B0F0"/>
              <w:right w:val="single" w:sz="4" w:space="0" w:color="00B0F0"/>
            </w:tcBorders>
            <w:shd w:val="clear" w:color="auto" w:fill="E85477"/>
          </w:tcPr>
          <w:p w14:paraId="67A4B28A" w14:textId="77777777" w:rsidR="00AA20CF" w:rsidRPr="00A46BD9" w:rsidRDefault="00AA20CF" w:rsidP="00CF3F52">
            <w:pPr>
              <w:spacing w:line="140" w:lineRule="exact"/>
              <w:jc w:val="center"/>
              <w:rPr>
                <w:rFonts w:ascii="Arial Narrow" w:hAnsi="Arial Narrow"/>
                <w:b/>
                <w:sz w:val="16"/>
                <w:szCs w:val="16"/>
              </w:rPr>
            </w:pPr>
          </w:p>
        </w:tc>
        <w:tc>
          <w:tcPr>
            <w:tcW w:w="1247" w:type="dxa"/>
            <w:tcBorders>
              <w:top w:val="single" w:sz="4" w:space="0" w:color="00B0F0"/>
              <w:left w:val="single" w:sz="4" w:space="0" w:color="00B0F0"/>
              <w:bottom w:val="single" w:sz="4" w:space="0" w:color="00B0F0"/>
              <w:right w:val="single" w:sz="4" w:space="0" w:color="00B0F0"/>
            </w:tcBorders>
            <w:vAlign w:val="center"/>
          </w:tcPr>
          <w:p w14:paraId="34625916"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Investícia 8:</w:t>
            </w:r>
            <w:r w:rsidRPr="00A46BD9">
              <w:rPr>
                <w:rFonts w:ascii="Arial Narrow" w:hAnsi="Arial Narrow"/>
                <w:sz w:val="15"/>
                <w:szCs w:val="15"/>
              </w:rPr>
              <w:br/>
              <w:t>Výskum a inovácie pre digitálnu transformáciu</w:t>
            </w:r>
          </w:p>
        </w:tc>
        <w:tc>
          <w:tcPr>
            <w:tcW w:w="2693" w:type="dxa"/>
            <w:tcBorders>
              <w:left w:val="single" w:sz="4" w:space="0" w:color="00B0F0"/>
            </w:tcBorders>
          </w:tcPr>
          <w:p w14:paraId="3C006B9F"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Cieľom opatrenia je posilniť synergie medzi národnými a európskymi výskumnými témami so zameraním na digitálne oblasti kľúčové pre program Horizont Európa a ďalšie iniciatívy EÚ. Do konca 2. štvrťroka 2026 bude prostredníctvom tematických schém vybraných a dokončených aspoň 140 projektov, ktoré budú riešiť výzvy digitálnej transformácie.</w:t>
            </w:r>
          </w:p>
          <w:p w14:paraId="772D894D" w14:textId="77777777" w:rsidR="00AA20CF" w:rsidRPr="00A46BD9" w:rsidRDefault="00AA20CF" w:rsidP="00CF3F52">
            <w:pPr>
              <w:jc w:val="both"/>
              <w:rPr>
                <w:rFonts w:ascii="Arial Narrow" w:hAnsi="Arial Narrow"/>
                <w:sz w:val="15"/>
                <w:szCs w:val="15"/>
              </w:rPr>
            </w:pPr>
          </w:p>
          <w:p w14:paraId="28F9474F"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Aktuálne sú podporené dva IPCEI projekty v mikroelektronike a 86 projektov v digitalizácii ekonomiky (TRL 4-8). Ďalších 56 projektov (TRL 1-3) získalo podporu. Vďaka zdrojom POO zároveň 7 bánk ponúka firmám </w:t>
            </w:r>
            <w:hyperlink r:id="rId61" w:history="1">
              <w:r w:rsidRPr="00A46BD9">
                <w:rPr>
                  <w:rStyle w:val="Hypertextovprepojenie"/>
                  <w:rFonts w:ascii="Arial Narrow" w:hAnsi="Arial Narrow"/>
                  <w:sz w:val="15"/>
                  <w:szCs w:val="15"/>
                </w:rPr>
                <w:t>finančný nástroj</w:t>
              </w:r>
            </w:hyperlink>
            <w:r w:rsidRPr="00A46BD9">
              <w:rPr>
                <w:rFonts w:ascii="Arial Narrow" w:hAnsi="Arial Narrow"/>
                <w:sz w:val="15"/>
                <w:szCs w:val="15"/>
              </w:rPr>
              <w:t xml:space="preserve"> na financovanie digitalizácie, v rámci ktorého bolo poskytnutých 74 úverov. Celkovo je tak podporených 218 projektov.</w:t>
            </w:r>
          </w:p>
        </w:tc>
        <w:tc>
          <w:tcPr>
            <w:tcW w:w="739" w:type="dxa"/>
            <w:tcBorders>
              <w:right w:val="single" w:sz="4" w:space="0" w:color="2EAAE1"/>
            </w:tcBorders>
            <w:vAlign w:val="center"/>
          </w:tcPr>
          <w:p w14:paraId="7E3170BF" w14:textId="77777777" w:rsidR="00AA20CF" w:rsidRPr="00F230A1" w:rsidRDefault="00AA20CF" w:rsidP="00CF3F52">
            <w:pPr>
              <w:jc w:val="center"/>
              <w:rPr>
                <w:rFonts w:ascii="Arial Narrow" w:hAnsi="Arial Narrow"/>
                <w:sz w:val="14"/>
                <w:szCs w:val="14"/>
              </w:rPr>
            </w:pPr>
            <w:r w:rsidRPr="00F230A1">
              <w:rPr>
                <w:rFonts w:ascii="Arial Narrow" w:hAnsi="Arial Narrow"/>
                <w:sz w:val="14"/>
                <w:szCs w:val="14"/>
              </w:rPr>
              <w:t>POO</w:t>
            </w:r>
          </w:p>
          <w:p w14:paraId="49BF416D" w14:textId="77777777" w:rsidR="00AA20CF" w:rsidRPr="00F230A1" w:rsidRDefault="00AA20CF" w:rsidP="00CF3F52">
            <w:pPr>
              <w:jc w:val="center"/>
              <w:rPr>
                <w:rFonts w:ascii="Arial Narrow" w:hAnsi="Arial Narrow"/>
                <w:sz w:val="14"/>
                <w:szCs w:val="14"/>
              </w:rPr>
            </w:pPr>
            <w:r w:rsidRPr="00F230A1">
              <w:rPr>
                <w:rFonts w:ascii="Arial Narrow" w:hAnsi="Arial Narrow"/>
                <w:sz w:val="12"/>
                <w:szCs w:val="12"/>
              </w:rPr>
              <w:t>SK-C[C9]-I[I5]</w:t>
            </w:r>
          </w:p>
        </w:tc>
        <w:tc>
          <w:tcPr>
            <w:tcW w:w="992" w:type="dxa"/>
            <w:tcBorders>
              <w:top w:val="single" w:sz="4" w:space="0" w:color="2EAAE1"/>
              <w:left w:val="single" w:sz="4" w:space="0" w:color="2EAAE1"/>
              <w:bottom w:val="single" w:sz="4" w:space="0" w:color="2EAAE1"/>
              <w:right w:val="single" w:sz="4" w:space="0" w:color="00B0F0"/>
            </w:tcBorders>
            <w:vAlign w:val="center"/>
          </w:tcPr>
          <w:p w14:paraId="493DDE1F"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CSR.2025.4.3</w:t>
            </w:r>
          </w:p>
          <w:p w14:paraId="657F17D6"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CSR.2025.4.4</w:t>
            </w:r>
          </w:p>
        </w:tc>
        <w:tc>
          <w:tcPr>
            <w:tcW w:w="850" w:type="dxa"/>
            <w:tcBorders>
              <w:top w:val="single" w:sz="4" w:space="0" w:color="00B0F0"/>
              <w:left w:val="single" w:sz="4" w:space="0" w:color="00B0F0"/>
              <w:bottom w:val="single" w:sz="4" w:space="0" w:color="00B0F0"/>
              <w:right w:val="single" w:sz="4" w:space="0" w:color="00B0F0"/>
            </w:tcBorders>
            <w:vAlign w:val="center"/>
          </w:tcPr>
          <w:p w14:paraId="57C25F02"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sz w:val="12"/>
                <w:szCs w:val="12"/>
              </w:rPr>
              <w:t>Spravodlivá digitálna transformácia</w:t>
            </w:r>
          </w:p>
        </w:tc>
        <w:tc>
          <w:tcPr>
            <w:tcW w:w="567" w:type="dxa"/>
            <w:tcBorders>
              <w:left w:val="single" w:sz="4" w:space="0" w:color="00B0F0"/>
              <w:right w:val="single" w:sz="4" w:space="0" w:color="00B0F0"/>
            </w:tcBorders>
            <w:vAlign w:val="center"/>
          </w:tcPr>
          <w:p w14:paraId="56C3A9A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8</w:t>
            </w:r>
          </w:p>
          <w:p w14:paraId="2B4FD138"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tc>
        <w:tc>
          <w:tcPr>
            <w:tcW w:w="709" w:type="dxa"/>
            <w:tcBorders>
              <w:top w:val="single" w:sz="4" w:space="0" w:color="00B0F0"/>
              <w:left w:val="single" w:sz="4" w:space="0" w:color="00B0F0"/>
              <w:bottom w:val="single" w:sz="4" w:space="0" w:color="00B0F0"/>
              <w:right w:val="single" w:sz="4" w:space="0" w:color="00B0F0"/>
            </w:tcBorders>
            <w:vAlign w:val="center"/>
          </w:tcPr>
          <w:p w14:paraId="301A269D"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w:t>
            </w:r>
          </w:p>
        </w:tc>
        <w:tc>
          <w:tcPr>
            <w:tcW w:w="992" w:type="dxa"/>
            <w:tcBorders>
              <w:left w:val="single" w:sz="4" w:space="0" w:color="00B0F0"/>
            </w:tcBorders>
            <w:vAlign w:val="center"/>
          </w:tcPr>
          <w:p w14:paraId="764823A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 podľa plánu</w:t>
            </w:r>
          </w:p>
        </w:tc>
      </w:tr>
      <w:tr w:rsidR="00AA20CF" w:rsidRPr="00A46BD9" w14:paraId="0055FBE7" w14:textId="77777777" w:rsidTr="00CF3F52">
        <w:trPr>
          <w:trHeight w:val="263"/>
        </w:trPr>
        <w:tc>
          <w:tcPr>
            <w:tcW w:w="283" w:type="dxa"/>
            <w:vMerge w:val="restart"/>
            <w:tcBorders>
              <w:left w:val="single" w:sz="4" w:space="0" w:color="00B0F0"/>
              <w:right w:val="single" w:sz="4" w:space="0" w:color="00B0F0"/>
            </w:tcBorders>
            <w:shd w:val="clear" w:color="auto" w:fill="7D5207"/>
            <w:textDirection w:val="btLr"/>
          </w:tcPr>
          <w:p w14:paraId="3AFAAF26" w14:textId="77777777" w:rsidR="00AA20CF" w:rsidRPr="00A46BD9" w:rsidRDefault="00AA20CF" w:rsidP="00CF3F52">
            <w:pPr>
              <w:spacing w:line="140" w:lineRule="exact"/>
              <w:ind w:left="113" w:right="113"/>
              <w:jc w:val="center"/>
              <w:rPr>
                <w:rFonts w:ascii="Arial Narrow" w:hAnsi="Arial Narrow"/>
                <w:b/>
                <w:sz w:val="16"/>
                <w:szCs w:val="16"/>
              </w:rPr>
            </w:pPr>
            <w:r w:rsidRPr="00A46BD9">
              <w:rPr>
                <w:rFonts w:ascii="Arial Narrow" w:hAnsi="Arial Narrow"/>
                <w:b/>
                <w:color w:val="FFFFFF" w:themeColor="background1"/>
                <w:sz w:val="16"/>
                <w:szCs w:val="16"/>
              </w:rPr>
              <w:t>Trh práce, sociálne veci a bývanie</w:t>
            </w:r>
          </w:p>
        </w:tc>
        <w:tc>
          <w:tcPr>
            <w:tcW w:w="1247" w:type="dxa"/>
            <w:tcBorders>
              <w:top w:val="single" w:sz="4" w:space="0" w:color="00B0F0"/>
              <w:left w:val="single" w:sz="4" w:space="0" w:color="00B0F0"/>
              <w:bottom w:val="single" w:sz="4" w:space="0" w:color="00B0F0"/>
              <w:right w:val="single" w:sz="4" w:space="0" w:color="00B0F0"/>
            </w:tcBorders>
            <w:vAlign w:val="center"/>
          </w:tcPr>
          <w:p w14:paraId="3E1E2790"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Investícia 2:</w:t>
            </w:r>
            <w:r w:rsidRPr="00A46BD9">
              <w:rPr>
                <w:rFonts w:ascii="Arial Narrow" w:hAnsi="Arial Narrow"/>
                <w:sz w:val="15"/>
                <w:szCs w:val="15"/>
              </w:rPr>
              <w:t xml:space="preserve"> </w:t>
            </w:r>
            <w:r w:rsidRPr="00A46BD9">
              <w:rPr>
                <w:rFonts w:ascii="Arial Narrow" w:hAnsi="Arial Narrow"/>
                <w:sz w:val="15"/>
                <w:szCs w:val="15"/>
              </w:rPr>
              <w:br/>
              <w:t>Rozšírenie ponuky nájomného bývania</w:t>
            </w:r>
          </w:p>
        </w:tc>
        <w:tc>
          <w:tcPr>
            <w:tcW w:w="2693" w:type="dxa"/>
            <w:tcBorders>
              <w:left w:val="single" w:sz="4" w:space="0" w:color="00B0F0"/>
            </w:tcBorders>
          </w:tcPr>
          <w:p w14:paraId="25E0823A"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Cieľom implementácie zákona o štátnej podpore nájomného bývania je zvýšiť dostupnosť cenovo prístupného bývania prostredníctvom súkromných investícií, pričom kľúčovú úlohu zohrá funkčná agentúra zodpovedná za vydávanie a dohľad nad projektmi.</w:t>
            </w:r>
          </w:p>
          <w:p w14:paraId="30F0A66A" w14:textId="77777777" w:rsidR="00AA20CF" w:rsidRPr="00A46BD9" w:rsidRDefault="00AA20CF" w:rsidP="00CF3F52">
            <w:pPr>
              <w:jc w:val="both"/>
              <w:rPr>
                <w:rFonts w:ascii="Arial Narrow" w:hAnsi="Arial Narrow"/>
                <w:sz w:val="15"/>
                <w:szCs w:val="15"/>
              </w:rPr>
            </w:pPr>
          </w:p>
          <w:p w14:paraId="1B2D04F4"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Vláda SR schválila kritériá a návrh na výber investičných partnerov. Prvé zmluvy investormi (KOOPERATIVA a WBG) už nadobudli účinnosť a začalo sa plnenie zmluvných záväzkov. Vo</w:t>
            </w:r>
            <w:r w:rsidRPr="00A46BD9">
              <w:rPr>
                <w:rFonts w:ascii="Arial" w:hAnsi="Arial" w:cs="Arial"/>
                <w:sz w:val="15"/>
                <w:szCs w:val="15"/>
              </w:rPr>
              <w:t> </w:t>
            </w:r>
            <w:r w:rsidRPr="00A46BD9">
              <w:rPr>
                <w:rFonts w:ascii="Arial Narrow" w:hAnsi="Arial Narrow"/>
                <w:sz w:val="15"/>
                <w:szCs w:val="15"/>
              </w:rPr>
              <w:t>febru</w:t>
            </w:r>
            <w:r w:rsidRPr="00A46BD9">
              <w:rPr>
                <w:rFonts w:ascii="Arial Narrow" w:hAnsi="Arial Narrow" w:cs="Arial Narrow"/>
                <w:sz w:val="15"/>
                <w:szCs w:val="15"/>
              </w:rPr>
              <w:t>á</w:t>
            </w:r>
            <w:r w:rsidRPr="00A46BD9">
              <w:rPr>
                <w:rFonts w:ascii="Arial Narrow" w:hAnsi="Arial Narrow"/>
                <w:sz w:val="15"/>
                <w:szCs w:val="15"/>
              </w:rPr>
              <w:t>ri 2025 sa spustila registr</w:t>
            </w:r>
            <w:r w:rsidRPr="00A46BD9">
              <w:rPr>
                <w:rFonts w:ascii="Arial Narrow" w:hAnsi="Arial Narrow" w:cs="Arial Narrow"/>
                <w:sz w:val="15"/>
                <w:szCs w:val="15"/>
              </w:rPr>
              <w:t>á</w:t>
            </w:r>
            <w:r w:rsidRPr="00A46BD9">
              <w:rPr>
                <w:rFonts w:ascii="Arial Narrow" w:hAnsi="Arial Narrow"/>
                <w:sz w:val="15"/>
                <w:szCs w:val="15"/>
              </w:rPr>
              <w:t>cia z</w:t>
            </w:r>
            <w:r w:rsidRPr="00A46BD9">
              <w:rPr>
                <w:rFonts w:ascii="Arial Narrow" w:hAnsi="Arial Narrow" w:cs="Arial Narrow"/>
                <w:sz w:val="15"/>
                <w:szCs w:val="15"/>
              </w:rPr>
              <w:t>á</w:t>
            </w:r>
            <w:r w:rsidRPr="00A46BD9">
              <w:rPr>
                <w:rFonts w:ascii="Arial Narrow" w:hAnsi="Arial Narrow"/>
                <w:sz w:val="15"/>
                <w:szCs w:val="15"/>
              </w:rPr>
              <w:t>ujemcov o 70 n</w:t>
            </w:r>
            <w:r w:rsidRPr="00A46BD9">
              <w:rPr>
                <w:rFonts w:ascii="Arial Narrow" w:hAnsi="Arial Narrow" w:cs="Arial Narrow"/>
                <w:sz w:val="15"/>
                <w:szCs w:val="15"/>
              </w:rPr>
              <w:t>á</w:t>
            </w:r>
            <w:r w:rsidRPr="00A46BD9">
              <w:rPr>
                <w:rFonts w:ascii="Arial Narrow" w:hAnsi="Arial Narrow"/>
                <w:sz w:val="15"/>
                <w:szCs w:val="15"/>
              </w:rPr>
              <w:t>jomn</w:t>
            </w:r>
            <w:r w:rsidRPr="00A46BD9">
              <w:rPr>
                <w:rFonts w:ascii="Arial Narrow" w:hAnsi="Arial Narrow" w:cs="Arial Narrow"/>
                <w:sz w:val="15"/>
                <w:szCs w:val="15"/>
              </w:rPr>
              <w:t>ý</w:t>
            </w:r>
            <w:r w:rsidRPr="00A46BD9">
              <w:rPr>
                <w:rFonts w:ascii="Arial Narrow" w:hAnsi="Arial Narrow"/>
                <w:sz w:val="15"/>
                <w:szCs w:val="15"/>
              </w:rPr>
              <w:t>ch bytov v</w:t>
            </w:r>
            <w:r w:rsidRPr="00A46BD9">
              <w:rPr>
                <w:rFonts w:ascii="Arial" w:hAnsi="Arial" w:cs="Arial"/>
                <w:sz w:val="15"/>
                <w:szCs w:val="15"/>
              </w:rPr>
              <w:t> </w:t>
            </w:r>
            <w:r w:rsidRPr="00A46BD9">
              <w:rPr>
                <w:rFonts w:ascii="Arial Narrow" w:hAnsi="Arial Narrow"/>
                <w:sz w:val="15"/>
                <w:szCs w:val="15"/>
              </w:rPr>
              <w:t xml:space="preserve">prvom </w:t>
            </w:r>
            <w:hyperlink r:id="rId62" w:history="1">
              <w:r w:rsidRPr="004917DC">
                <w:rPr>
                  <w:rStyle w:val="Hypertextovprepojenie"/>
                  <w:rFonts w:ascii="Arial Narrow" w:hAnsi="Arial Narrow"/>
                  <w:sz w:val="15"/>
                  <w:szCs w:val="15"/>
                </w:rPr>
                <w:t>projekte</w:t>
              </w:r>
            </w:hyperlink>
            <w:r w:rsidRPr="00A46BD9">
              <w:rPr>
                <w:rFonts w:ascii="Arial Narrow" w:hAnsi="Arial Narrow"/>
                <w:sz w:val="15"/>
                <w:szCs w:val="15"/>
              </w:rPr>
              <w:t xml:space="preserve">. V apríli 2025 schválila vláda SR </w:t>
            </w:r>
            <w:hyperlink r:id="rId63" w:history="1">
              <w:r w:rsidRPr="00A46BD9">
                <w:rPr>
                  <w:rStyle w:val="Hypertextovprepojenie"/>
                  <w:rFonts w:ascii="Arial Narrow" w:hAnsi="Arial Narrow"/>
                  <w:sz w:val="15"/>
                  <w:szCs w:val="15"/>
                </w:rPr>
                <w:t>investičnú zmluvu</w:t>
              </w:r>
            </w:hyperlink>
            <w:r w:rsidRPr="00A46BD9">
              <w:rPr>
                <w:rFonts w:ascii="Arial Narrow" w:hAnsi="Arial Narrow"/>
                <w:sz w:val="15"/>
                <w:szCs w:val="15"/>
              </w:rPr>
              <w:t xml:space="preserve"> s novým partnerom Slovak Affordable Living SICAV, ktorý plánuje postaviť, získať a prevádzkovať najmenej 3000 bytov. V súčasnosti prebieha novelizácia kritérií výberu investičných partnerov, ktorá umožní zapojenie širšieho spektra subjektov.</w:t>
            </w:r>
          </w:p>
        </w:tc>
        <w:tc>
          <w:tcPr>
            <w:tcW w:w="739" w:type="dxa"/>
            <w:tcBorders>
              <w:right w:val="single" w:sz="4" w:space="0" w:color="2EAAE1"/>
            </w:tcBorders>
            <w:vAlign w:val="center"/>
          </w:tcPr>
          <w:p w14:paraId="2923D351" w14:textId="77777777" w:rsidR="00AA20CF" w:rsidRPr="00A46BD9" w:rsidRDefault="00AA20CF" w:rsidP="00CF3F52">
            <w:pPr>
              <w:jc w:val="center"/>
              <w:rPr>
                <w:rFonts w:ascii="Arial Narrow" w:hAnsi="Arial Narrow"/>
                <w:sz w:val="14"/>
                <w:szCs w:val="14"/>
              </w:rPr>
            </w:pPr>
            <w:r w:rsidRPr="00A46BD9">
              <w:rPr>
                <w:rFonts w:ascii="Arial Narrow" w:hAnsi="Arial Narrow"/>
                <w:sz w:val="14"/>
                <w:szCs w:val="14"/>
              </w:rPr>
              <w:t>-</w:t>
            </w:r>
          </w:p>
        </w:tc>
        <w:tc>
          <w:tcPr>
            <w:tcW w:w="992" w:type="dxa"/>
            <w:tcBorders>
              <w:top w:val="single" w:sz="4" w:space="0" w:color="2EAAE1"/>
              <w:left w:val="single" w:sz="4" w:space="0" w:color="2EAAE1"/>
              <w:bottom w:val="single" w:sz="4" w:space="0" w:color="2EAAE1"/>
              <w:right w:val="single" w:sz="4" w:space="0" w:color="00B0F0"/>
            </w:tcBorders>
            <w:vAlign w:val="center"/>
          </w:tcPr>
          <w:p w14:paraId="5E6E99A0"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sz w:val="12"/>
                <w:szCs w:val="12"/>
              </w:rPr>
              <w:t>CSR.2025.1.7</w:t>
            </w:r>
          </w:p>
          <w:p w14:paraId="540868BD"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sz w:val="12"/>
                <w:szCs w:val="12"/>
              </w:rPr>
              <w:t>CSR.2025.1.8</w:t>
            </w:r>
          </w:p>
        </w:tc>
        <w:tc>
          <w:tcPr>
            <w:tcW w:w="850" w:type="dxa"/>
            <w:tcBorders>
              <w:top w:val="single" w:sz="4" w:space="0" w:color="00B0F0"/>
              <w:left w:val="single" w:sz="4" w:space="0" w:color="00B0F0"/>
              <w:bottom w:val="single" w:sz="4" w:space="0" w:color="00B0F0"/>
              <w:right w:val="single" w:sz="4" w:space="0" w:color="00B0F0"/>
            </w:tcBorders>
            <w:vAlign w:val="center"/>
          </w:tcPr>
          <w:p w14:paraId="61A6FDCA"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sz w:val="12"/>
                <w:szCs w:val="12"/>
              </w:rPr>
              <w:t>Posilnenie sociálnej a hospodárskej odolnosti</w:t>
            </w:r>
          </w:p>
        </w:tc>
        <w:tc>
          <w:tcPr>
            <w:tcW w:w="567" w:type="dxa"/>
            <w:tcBorders>
              <w:left w:val="single" w:sz="4" w:space="0" w:color="00B0F0"/>
              <w:right w:val="single" w:sz="4" w:space="0" w:color="00B0F0"/>
            </w:tcBorders>
            <w:vAlign w:val="center"/>
          </w:tcPr>
          <w:p w14:paraId="5E63142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p w14:paraId="1A084FD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11</w:t>
            </w:r>
          </w:p>
        </w:tc>
        <w:tc>
          <w:tcPr>
            <w:tcW w:w="709" w:type="dxa"/>
            <w:tcBorders>
              <w:top w:val="single" w:sz="4" w:space="0" w:color="00B0F0"/>
              <w:left w:val="single" w:sz="4" w:space="0" w:color="00B0F0"/>
              <w:bottom w:val="single" w:sz="4" w:space="0" w:color="00B0F0"/>
              <w:right w:val="single" w:sz="4" w:space="0" w:color="00B0F0"/>
            </w:tcBorders>
            <w:vAlign w:val="center"/>
          </w:tcPr>
          <w:p w14:paraId="4BEADB3E"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Zásada 19</w:t>
            </w:r>
          </w:p>
          <w:p w14:paraId="0BE9BCF5"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Zásada 20</w:t>
            </w:r>
          </w:p>
        </w:tc>
        <w:tc>
          <w:tcPr>
            <w:tcW w:w="992" w:type="dxa"/>
            <w:tcBorders>
              <w:left w:val="single" w:sz="4" w:space="0" w:color="00B0F0"/>
            </w:tcBorders>
            <w:vAlign w:val="center"/>
          </w:tcPr>
          <w:p w14:paraId="2102B7E8"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320A49CC" w14:textId="77777777" w:rsidTr="00CF3F52">
        <w:trPr>
          <w:trHeight w:val="263"/>
        </w:trPr>
        <w:tc>
          <w:tcPr>
            <w:tcW w:w="283" w:type="dxa"/>
            <w:vMerge/>
            <w:tcBorders>
              <w:left w:val="single" w:sz="4" w:space="0" w:color="00B0F0"/>
              <w:right w:val="single" w:sz="4" w:space="0" w:color="00B0F0"/>
            </w:tcBorders>
            <w:shd w:val="clear" w:color="auto" w:fill="7D5207"/>
            <w:textDirection w:val="btLr"/>
          </w:tcPr>
          <w:p w14:paraId="7DAD7E5E" w14:textId="77777777" w:rsidR="00AA20CF" w:rsidRPr="00A46BD9" w:rsidRDefault="00AA20CF" w:rsidP="00CF3F52">
            <w:pPr>
              <w:spacing w:line="140" w:lineRule="exact"/>
              <w:ind w:left="113" w:right="113"/>
              <w:jc w:val="center"/>
              <w:rPr>
                <w:rFonts w:ascii="Arial Narrow" w:hAnsi="Arial Narrow"/>
                <w:b/>
                <w:sz w:val="16"/>
                <w:szCs w:val="16"/>
              </w:rPr>
            </w:pPr>
          </w:p>
        </w:tc>
        <w:tc>
          <w:tcPr>
            <w:tcW w:w="1247" w:type="dxa"/>
            <w:vMerge w:val="restart"/>
            <w:tcBorders>
              <w:top w:val="single" w:sz="4" w:space="0" w:color="00B0F0"/>
              <w:left w:val="single" w:sz="4" w:space="0" w:color="00B0F0"/>
              <w:right w:val="single" w:sz="4" w:space="0" w:color="00B0F0"/>
            </w:tcBorders>
            <w:vAlign w:val="center"/>
          </w:tcPr>
          <w:p w14:paraId="03D5D7DC"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Investícia 11:</w:t>
            </w:r>
            <w:r w:rsidRPr="00A46BD9">
              <w:rPr>
                <w:rFonts w:ascii="Arial Narrow" w:hAnsi="Arial Narrow"/>
                <w:sz w:val="15"/>
                <w:szCs w:val="15"/>
              </w:rPr>
              <w:t xml:space="preserve"> </w:t>
            </w:r>
            <w:r w:rsidRPr="00A46BD9">
              <w:rPr>
                <w:rFonts w:ascii="Arial Narrow" w:hAnsi="Arial Narrow"/>
                <w:sz w:val="15"/>
                <w:szCs w:val="15"/>
              </w:rPr>
              <w:br/>
              <w:t>Obnova domov pre energeticky chudobné domácnosti</w:t>
            </w:r>
          </w:p>
        </w:tc>
        <w:tc>
          <w:tcPr>
            <w:tcW w:w="2693" w:type="dxa"/>
            <w:tcBorders>
              <w:left w:val="single" w:sz="4" w:space="0" w:color="00B0F0"/>
            </w:tcBorders>
          </w:tcPr>
          <w:p w14:paraId="3DC6D097" w14:textId="77777777" w:rsidR="00AA20CF" w:rsidRPr="00DC60C9" w:rsidRDefault="00AA20CF" w:rsidP="00CF3F52">
            <w:pPr>
              <w:jc w:val="both"/>
              <w:rPr>
                <w:rFonts w:ascii="Arial Narrow" w:hAnsi="Arial Narrow"/>
                <w:sz w:val="15"/>
                <w:szCs w:val="15"/>
              </w:rPr>
            </w:pPr>
            <w:r>
              <w:rPr>
                <w:rFonts w:ascii="Arial Narrow" w:hAnsi="Arial Narrow"/>
                <w:sz w:val="15"/>
                <w:szCs w:val="15"/>
              </w:rPr>
              <w:t xml:space="preserve">a) Cieľom </w:t>
            </w:r>
            <w:r w:rsidRPr="00DC60C9">
              <w:rPr>
                <w:rFonts w:ascii="Arial Narrow" w:hAnsi="Arial Narrow"/>
                <w:sz w:val="15"/>
                <w:szCs w:val="15"/>
              </w:rPr>
              <w:t>je do 3. štvrťroka 2025 obnoviť minimálne 4080 domov osôb ohrozených energetickou chudobou</w:t>
            </w:r>
            <w:r>
              <w:rPr>
                <w:rFonts w:ascii="Arial Narrow" w:hAnsi="Arial Narrow"/>
                <w:sz w:val="15"/>
                <w:szCs w:val="15"/>
              </w:rPr>
              <w:t>.</w:t>
            </w:r>
          </w:p>
          <w:p w14:paraId="0F3CF724" w14:textId="77777777" w:rsidR="00AA20CF" w:rsidRPr="00A46BD9" w:rsidRDefault="00AA20CF" w:rsidP="00CF3F52">
            <w:pPr>
              <w:jc w:val="both"/>
              <w:rPr>
                <w:rFonts w:ascii="Arial Narrow" w:hAnsi="Arial Narrow"/>
                <w:sz w:val="15"/>
                <w:szCs w:val="15"/>
              </w:rPr>
            </w:pPr>
          </w:p>
          <w:p w14:paraId="30E1E217"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Vzhľadom na doterajší záujem prebehla v roku 2025 revízia opatrenia, ktorej záverom bolo navýšenie alokácie o 10 mil. eur a proporčné navýšenie cieľa o 1020 obnovených rodinných domov. Termín plnenia cieľa je posunutý do času predloženia 8. žiadosti o platbu (apríl 2026). K 19. februáru 2026 bolo v rámci výziev </w:t>
            </w:r>
            <w:hyperlink r:id="rId64" w:history="1">
              <w:r w:rsidRPr="00A46BD9">
                <w:rPr>
                  <w:rStyle w:val="Hypertextovprepojenie"/>
                  <w:rFonts w:ascii="Arial Narrow" w:hAnsi="Arial Narrow"/>
                  <w:sz w:val="15"/>
                  <w:szCs w:val="15"/>
                </w:rPr>
                <w:t>Obnov dom mini</w:t>
              </w:r>
            </w:hyperlink>
            <w:r w:rsidRPr="00A46BD9">
              <w:rPr>
                <w:rFonts w:ascii="Arial Narrow" w:hAnsi="Arial Narrow"/>
                <w:sz w:val="15"/>
                <w:szCs w:val="15"/>
              </w:rPr>
              <w:t xml:space="preserve"> zazmluvnených 4608 projektov, </w:t>
            </w:r>
            <w:r w:rsidRPr="00290203">
              <w:rPr>
                <w:rFonts w:ascii="Arial Narrow" w:hAnsi="Arial Narrow"/>
                <w:sz w:val="15"/>
                <w:szCs w:val="15"/>
              </w:rPr>
              <w:t>z toho 3834 prijímateľov predložilo žiadosť o platbu a 3274 projektov bolo finančne ukončených a vyplatených</w:t>
            </w:r>
            <w:r w:rsidRPr="00A46BD9">
              <w:rPr>
                <w:rFonts w:ascii="Arial Narrow" w:hAnsi="Arial Narrow"/>
                <w:sz w:val="15"/>
                <w:szCs w:val="15"/>
              </w:rPr>
              <w:t>.</w:t>
            </w:r>
          </w:p>
        </w:tc>
        <w:tc>
          <w:tcPr>
            <w:tcW w:w="739" w:type="dxa"/>
            <w:vMerge w:val="restart"/>
            <w:tcBorders>
              <w:right w:val="single" w:sz="4" w:space="0" w:color="2EAAE1"/>
            </w:tcBorders>
            <w:vAlign w:val="center"/>
          </w:tcPr>
          <w:p w14:paraId="64AB672B" w14:textId="77777777" w:rsidR="00AA20CF" w:rsidRPr="00F230A1" w:rsidRDefault="00AA20CF" w:rsidP="00CF3F52">
            <w:pPr>
              <w:jc w:val="center"/>
              <w:rPr>
                <w:rFonts w:ascii="Arial Narrow" w:hAnsi="Arial Narrow"/>
                <w:sz w:val="14"/>
                <w:szCs w:val="14"/>
              </w:rPr>
            </w:pPr>
            <w:r w:rsidRPr="00F230A1">
              <w:rPr>
                <w:rFonts w:ascii="Arial Narrow" w:hAnsi="Arial Narrow"/>
                <w:sz w:val="14"/>
                <w:szCs w:val="14"/>
              </w:rPr>
              <w:t>POO</w:t>
            </w:r>
          </w:p>
          <w:p w14:paraId="1EA1BC28" w14:textId="77777777" w:rsidR="00AA20CF" w:rsidRPr="00624FD5" w:rsidRDefault="00AA20CF" w:rsidP="00CF3F52">
            <w:pPr>
              <w:jc w:val="center"/>
              <w:rPr>
                <w:rFonts w:ascii="Arial Narrow" w:hAnsi="Arial Narrow"/>
                <w:sz w:val="14"/>
                <w:szCs w:val="14"/>
              </w:rPr>
            </w:pPr>
            <w:r w:rsidRPr="00F230A1">
              <w:rPr>
                <w:rFonts w:ascii="Arial Narrow" w:hAnsi="Arial Narrow"/>
                <w:sz w:val="12"/>
                <w:szCs w:val="12"/>
              </w:rPr>
              <w:t>SK-C[C19]-I[I4]</w:t>
            </w:r>
          </w:p>
        </w:tc>
        <w:tc>
          <w:tcPr>
            <w:tcW w:w="992" w:type="dxa"/>
            <w:vMerge w:val="restart"/>
            <w:tcBorders>
              <w:top w:val="single" w:sz="4" w:space="0" w:color="2EAAE1"/>
              <w:left w:val="single" w:sz="4" w:space="0" w:color="2EAAE1"/>
              <w:right w:val="single" w:sz="4" w:space="0" w:color="00B0F0"/>
            </w:tcBorders>
            <w:vAlign w:val="center"/>
          </w:tcPr>
          <w:p w14:paraId="3DBC14B6"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color w:val="000000"/>
                <w:sz w:val="12"/>
                <w:szCs w:val="12"/>
              </w:rPr>
              <w:t>CSR.2025.5.1</w:t>
            </w:r>
          </w:p>
        </w:tc>
        <w:tc>
          <w:tcPr>
            <w:tcW w:w="850" w:type="dxa"/>
            <w:vMerge w:val="restart"/>
            <w:tcBorders>
              <w:top w:val="single" w:sz="4" w:space="0" w:color="00B0F0"/>
              <w:left w:val="single" w:sz="4" w:space="0" w:color="00B0F0"/>
              <w:right w:val="single" w:sz="4" w:space="0" w:color="00B0F0"/>
            </w:tcBorders>
            <w:vAlign w:val="center"/>
          </w:tcPr>
          <w:p w14:paraId="73735D36"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color w:val="000000"/>
                <w:sz w:val="12"/>
                <w:szCs w:val="12"/>
              </w:rPr>
              <w:t>Posilnenie sociálnej a hospodárskej odolnosti; Spravodlivá zelená transformácia</w:t>
            </w:r>
          </w:p>
        </w:tc>
        <w:tc>
          <w:tcPr>
            <w:tcW w:w="567" w:type="dxa"/>
            <w:vMerge w:val="restart"/>
            <w:tcBorders>
              <w:left w:val="single" w:sz="4" w:space="0" w:color="00B0F0"/>
              <w:right w:val="single" w:sz="4" w:space="0" w:color="00B0F0"/>
            </w:tcBorders>
            <w:vAlign w:val="center"/>
          </w:tcPr>
          <w:p w14:paraId="2BCBCB5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w:t>
            </w:r>
          </w:p>
          <w:p w14:paraId="4443AF1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7</w:t>
            </w:r>
          </w:p>
          <w:p w14:paraId="73A0652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10</w:t>
            </w:r>
          </w:p>
          <w:p w14:paraId="6B54C58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11</w:t>
            </w:r>
          </w:p>
        </w:tc>
        <w:tc>
          <w:tcPr>
            <w:tcW w:w="709" w:type="dxa"/>
            <w:vMerge w:val="restart"/>
            <w:tcBorders>
              <w:top w:val="single" w:sz="4" w:space="0" w:color="00B0F0"/>
              <w:left w:val="single" w:sz="4" w:space="0" w:color="00B0F0"/>
              <w:right w:val="single" w:sz="4" w:space="0" w:color="00B0F0"/>
            </w:tcBorders>
            <w:vAlign w:val="center"/>
          </w:tcPr>
          <w:p w14:paraId="2E29E551"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Zásada 19</w:t>
            </w:r>
          </w:p>
          <w:p w14:paraId="184F2D38"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Zásada 20</w:t>
            </w:r>
          </w:p>
        </w:tc>
        <w:tc>
          <w:tcPr>
            <w:tcW w:w="992" w:type="dxa"/>
            <w:tcBorders>
              <w:left w:val="single" w:sz="4" w:space="0" w:color="00B0F0"/>
            </w:tcBorders>
            <w:vAlign w:val="center"/>
          </w:tcPr>
          <w:p w14:paraId="30867A3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Podľa plánu</w:t>
            </w:r>
          </w:p>
        </w:tc>
      </w:tr>
      <w:tr w:rsidR="00AA20CF" w:rsidRPr="00A46BD9" w14:paraId="6D8D812D" w14:textId="77777777" w:rsidTr="00CF3F52">
        <w:trPr>
          <w:trHeight w:val="263"/>
        </w:trPr>
        <w:tc>
          <w:tcPr>
            <w:tcW w:w="283" w:type="dxa"/>
            <w:vMerge/>
            <w:tcBorders>
              <w:left w:val="single" w:sz="4" w:space="0" w:color="00B0F0"/>
              <w:right w:val="single" w:sz="4" w:space="0" w:color="00B0F0"/>
            </w:tcBorders>
            <w:shd w:val="clear" w:color="auto" w:fill="7D5207"/>
          </w:tcPr>
          <w:p w14:paraId="4FBDE017" w14:textId="77777777" w:rsidR="00AA20CF" w:rsidRPr="00A46BD9" w:rsidRDefault="00AA20CF" w:rsidP="00CF3F52">
            <w:pPr>
              <w:spacing w:line="140" w:lineRule="exact"/>
              <w:jc w:val="center"/>
              <w:rPr>
                <w:rFonts w:ascii="Arial Narrow" w:hAnsi="Arial Narrow"/>
                <w:b/>
                <w:sz w:val="16"/>
                <w:szCs w:val="16"/>
              </w:rPr>
            </w:pPr>
          </w:p>
        </w:tc>
        <w:tc>
          <w:tcPr>
            <w:tcW w:w="1247" w:type="dxa"/>
            <w:vMerge/>
            <w:tcBorders>
              <w:left w:val="single" w:sz="4" w:space="0" w:color="00B0F0"/>
              <w:right w:val="single" w:sz="4" w:space="0" w:color="00B0F0"/>
            </w:tcBorders>
            <w:vAlign w:val="center"/>
          </w:tcPr>
          <w:p w14:paraId="424AA90C" w14:textId="77777777" w:rsidR="00AA20CF" w:rsidRPr="00A46BD9" w:rsidRDefault="00AA20CF" w:rsidP="00CF3F52">
            <w:pPr>
              <w:jc w:val="center"/>
              <w:rPr>
                <w:rFonts w:ascii="Arial Narrow" w:hAnsi="Arial Narrow"/>
                <w:b/>
                <w:sz w:val="15"/>
                <w:szCs w:val="15"/>
              </w:rPr>
            </w:pPr>
          </w:p>
        </w:tc>
        <w:tc>
          <w:tcPr>
            <w:tcW w:w="2693" w:type="dxa"/>
            <w:tcBorders>
              <w:left w:val="single" w:sz="4" w:space="0" w:color="00B0F0"/>
            </w:tcBorders>
          </w:tcPr>
          <w:p w14:paraId="45441145" w14:textId="77777777" w:rsidR="00AA20CF" w:rsidRPr="00A46BD9" w:rsidRDefault="00AA20CF" w:rsidP="00CF3F52">
            <w:pPr>
              <w:jc w:val="both"/>
              <w:rPr>
                <w:rFonts w:ascii="Arial Narrow" w:hAnsi="Arial Narrow"/>
                <w:sz w:val="15"/>
                <w:szCs w:val="15"/>
              </w:rPr>
            </w:pPr>
            <w:r>
              <w:rPr>
                <w:rFonts w:ascii="Arial Narrow" w:hAnsi="Arial Narrow"/>
                <w:sz w:val="15"/>
                <w:szCs w:val="15"/>
              </w:rPr>
              <w:t xml:space="preserve">b) </w:t>
            </w:r>
            <w:r w:rsidRPr="00A46BD9">
              <w:rPr>
                <w:rFonts w:ascii="Arial Narrow" w:hAnsi="Arial Narrow"/>
                <w:sz w:val="15"/>
                <w:szCs w:val="15"/>
              </w:rPr>
              <w:t>Cieľom je do 2. štvrťroka 2026 podpísať 1600 zmlúv s jednotlivcami ohrozenými energetickou v rámci podpornej schémy komplexnej obnovy budov</w:t>
            </w:r>
            <w:r>
              <w:rPr>
                <w:rFonts w:ascii="Arial Narrow" w:hAnsi="Arial Narrow"/>
                <w:sz w:val="15"/>
                <w:szCs w:val="15"/>
              </w:rPr>
              <w:t>.</w:t>
            </w:r>
          </w:p>
          <w:p w14:paraId="5F574AB9" w14:textId="77777777" w:rsidR="00AA20CF" w:rsidRPr="00A46BD9" w:rsidRDefault="00AA20CF" w:rsidP="00CF3F52">
            <w:pPr>
              <w:jc w:val="both"/>
              <w:rPr>
                <w:rFonts w:ascii="Arial Narrow" w:hAnsi="Arial Narrow"/>
                <w:sz w:val="15"/>
                <w:szCs w:val="15"/>
              </w:rPr>
            </w:pPr>
          </w:p>
          <w:p w14:paraId="32DA8010"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Z dôvodu implementačného rizika boli prostriedky v revízii POO presmerované do </w:t>
            </w:r>
            <w:r>
              <w:rPr>
                <w:rFonts w:ascii="Arial Narrow" w:hAnsi="Arial Narrow"/>
                <w:sz w:val="15"/>
                <w:szCs w:val="15"/>
              </w:rPr>
              <w:t>vyššie spomenutého opatrenia</w:t>
            </w:r>
            <w:r w:rsidRPr="00A46BD9">
              <w:rPr>
                <w:rFonts w:ascii="Arial Narrow" w:hAnsi="Arial Narrow"/>
                <w:sz w:val="15"/>
                <w:szCs w:val="15"/>
              </w:rPr>
              <w:t xml:space="preserve">, čo umožní optimalizáciu alokovaných prostriedkov a </w:t>
            </w:r>
            <w:r w:rsidRPr="00A46BD9">
              <w:rPr>
                <w:rFonts w:ascii="Arial Narrow" w:hAnsi="Arial Narrow"/>
                <w:sz w:val="15"/>
                <w:szCs w:val="15"/>
              </w:rPr>
              <w:lastRenderedPageBreak/>
              <w:t>pokračovanie implementácie v upravených podmienkach.</w:t>
            </w:r>
          </w:p>
        </w:tc>
        <w:tc>
          <w:tcPr>
            <w:tcW w:w="739" w:type="dxa"/>
            <w:vMerge/>
            <w:tcBorders>
              <w:right w:val="single" w:sz="4" w:space="0" w:color="2EAAE1"/>
            </w:tcBorders>
            <w:vAlign w:val="center"/>
          </w:tcPr>
          <w:p w14:paraId="036FAC06" w14:textId="77777777" w:rsidR="00AA20CF" w:rsidRPr="00A46BD9" w:rsidRDefault="00AA20CF" w:rsidP="00CF3F52">
            <w:pPr>
              <w:jc w:val="center"/>
              <w:rPr>
                <w:rFonts w:ascii="Arial Narrow" w:hAnsi="Arial Narrow"/>
                <w:sz w:val="14"/>
                <w:szCs w:val="14"/>
              </w:rPr>
            </w:pPr>
          </w:p>
        </w:tc>
        <w:tc>
          <w:tcPr>
            <w:tcW w:w="992" w:type="dxa"/>
            <w:vMerge/>
            <w:tcBorders>
              <w:left w:val="single" w:sz="4" w:space="0" w:color="2EAAE1"/>
              <w:right w:val="single" w:sz="4" w:space="0" w:color="00B0F0"/>
            </w:tcBorders>
            <w:vAlign w:val="center"/>
          </w:tcPr>
          <w:p w14:paraId="6E271D38" w14:textId="77777777" w:rsidR="00AA20CF" w:rsidRPr="00EF7276" w:rsidRDefault="00AA20CF" w:rsidP="00CF3F52">
            <w:pPr>
              <w:jc w:val="center"/>
              <w:rPr>
                <w:rFonts w:ascii="Arial Narrow" w:hAnsi="Arial Narrow" w:cs="Calibri"/>
                <w:sz w:val="12"/>
                <w:szCs w:val="12"/>
              </w:rPr>
            </w:pPr>
          </w:p>
        </w:tc>
        <w:tc>
          <w:tcPr>
            <w:tcW w:w="850" w:type="dxa"/>
            <w:vMerge/>
            <w:tcBorders>
              <w:left w:val="single" w:sz="4" w:space="0" w:color="00B0F0"/>
              <w:right w:val="single" w:sz="4" w:space="0" w:color="00B0F0"/>
            </w:tcBorders>
            <w:vAlign w:val="center"/>
          </w:tcPr>
          <w:p w14:paraId="6D98F2A4" w14:textId="77777777" w:rsidR="00AA20CF" w:rsidRPr="00EF7276" w:rsidRDefault="00AA20CF" w:rsidP="00CF3F52">
            <w:pPr>
              <w:jc w:val="center"/>
              <w:rPr>
                <w:rFonts w:ascii="Arial Narrow" w:hAnsi="Arial Narrow" w:cs="Calibri"/>
                <w:sz w:val="12"/>
                <w:szCs w:val="12"/>
              </w:rPr>
            </w:pPr>
          </w:p>
        </w:tc>
        <w:tc>
          <w:tcPr>
            <w:tcW w:w="567" w:type="dxa"/>
            <w:vMerge/>
            <w:tcBorders>
              <w:left w:val="single" w:sz="4" w:space="0" w:color="00B0F0"/>
              <w:right w:val="single" w:sz="4" w:space="0" w:color="00B0F0"/>
            </w:tcBorders>
            <w:vAlign w:val="center"/>
          </w:tcPr>
          <w:p w14:paraId="1FA15CD0" w14:textId="77777777" w:rsidR="00AA20CF" w:rsidRPr="00EF7276" w:rsidRDefault="00AA20CF" w:rsidP="00CF3F52">
            <w:pPr>
              <w:jc w:val="center"/>
              <w:rPr>
                <w:rFonts w:ascii="Arial Narrow" w:hAnsi="Arial Narrow"/>
                <w:sz w:val="12"/>
                <w:szCs w:val="12"/>
              </w:rPr>
            </w:pPr>
          </w:p>
        </w:tc>
        <w:tc>
          <w:tcPr>
            <w:tcW w:w="709" w:type="dxa"/>
            <w:vMerge/>
            <w:tcBorders>
              <w:left w:val="single" w:sz="4" w:space="0" w:color="00B0F0"/>
              <w:right w:val="single" w:sz="4" w:space="0" w:color="00B0F0"/>
            </w:tcBorders>
            <w:vAlign w:val="center"/>
          </w:tcPr>
          <w:p w14:paraId="0C726C4F" w14:textId="77777777" w:rsidR="00AA20CF" w:rsidRPr="00EF7276" w:rsidRDefault="00AA20CF" w:rsidP="00CF3F52">
            <w:pPr>
              <w:jc w:val="center"/>
              <w:rPr>
                <w:rFonts w:ascii="Arial Narrow" w:hAnsi="Arial Narrow" w:cs="Calibri"/>
                <w:color w:val="000000"/>
                <w:sz w:val="12"/>
                <w:szCs w:val="12"/>
              </w:rPr>
            </w:pPr>
          </w:p>
        </w:tc>
        <w:tc>
          <w:tcPr>
            <w:tcW w:w="992" w:type="dxa"/>
            <w:tcBorders>
              <w:left w:val="single" w:sz="4" w:space="0" w:color="00B0F0"/>
            </w:tcBorders>
            <w:vAlign w:val="center"/>
          </w:tcPr>
          <w:p w14:paraId="1CB1D6E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Nedokončené</w:t>
            </w:r>
          </w:p>
        </w:tc>
      </w:tr>
      <w:tr w:rsidR="00AA20CF" w:rsidRPr="00A46BD9" w14:paraId="0117B432" w14:textId="77777777" w:rsidTr="00CF3F52">
        <w:trPr>
          <w:trHeight w:val="263"/>
        </w:trPr>
        <w:tc>
          <w:tcPr>
            <w:tcW w:w="283" w:type="dxa"/>
            <w:vMerge w:val="restart"/>
            <w:tcBorders>
              <w:top w:val="single" w:sz="4" w:space="0" w:color="00B0F0"/>
              <w:left w:val="single" w:sz="4" w:space="0" w:color="00B0F0"/>
              <w:right w:val="single" w:sz="4" w:space="0" w:color="00B0F0"/>
            </w:tcBorders>
            <w:shd w:val="clear" w:color="auto" w:fill="0C1D2B"/>
            <w:textDirection w:val="btLr"/>
          </w:tcPr>
          <w:p w14:paraId="68A19CD2" w14:textId="77777777" w:rsidR="00AA20CF" w:rsidRPr="00A46BD9" w:rsidRDefault="00AA20CF" w:rsidP="00CF3F52">
            <w:pPr>
              <w:spacing w:line="140" w:lineRule="exact"/>
              <w:ind w:left="113" w:right="113"/>
              <w:jc w:val="center"/>
              <w:rPr>
                <w:rFonts w:ascii="Arial Narrow" w:hAnsi="Arial Narrow"/>
                <w:b/>
                <w:color w:val="FFFFFF" w:themeColor="background1"/>
                <w:sz w:val="16"/>
                <w:szCs w:val="16"/>
              </w:rPr>
            </w:pPr>
            <w:r w:rsidRPr="00A46BD9">
              <w:rPr>
                <w:rFonts w:ascii="Arial Narrow" w:hAnsi="Arial Narrow"/>
                <w:b/>
                <w:color w:val="FFFFFF" w:themeColor="background1"/>
                <w:sz w:val="16"/>
                <w:szCs w:val="16"/>
              </w:rPr>
              <w:t>Kvalita inštitúcií</w:t>
            </w:r>
          </w:p>
        </w:tc>
        <w:tc>
          <w:tcPr>
            <w:tcW w:w="1247" w:type="dxa"/>
            <w:tcBorders>
              <w:top w:val="single" w:sz="4" w:space="0" w:color="00B0F0"/>
              <w:left w:val="single" w:sz="4" w:space="0" w:color="00B0F0"/>
              <w:bottom w:val="single" w:sz="4" w:space="0" w:color="00B0F0"/>
              <w:right w:val="single" w:sz="4" w:space="0" w:color="00B0F0"/>
            </w:tcBorders>
            <w:vAlign w:val="center"/>
          </w:tcPr>
          <w:p w14:paraId="1B0A1FB3" w14:textId="77777777" w:rsidR="00AA20CF" w:rsidRPr="00A46BD9" w:rsidRDefault="00AA20CF" w:rsidP="00CF3F52">
            <w:pPr>
              <w:jc w:val="center"/>
              <w:rPr>
                <w:rFonts w:ascii="Arial Narrow" w:hAnsi="Arial Narrow"/>
                <w:sz w:val="15"/>
                <w:szCs w:val="15"/>
              </w:rPr>
            </w:pPr>
            <w:r w:rsidRPr="00A46BD9">
              <w:rPr>
                <w:rFonts w:ascii="Arial Narrow" w:hAnsi="Arial Narrow"/>
                <w:b/>
                <w:sz w:val="15"/>
                <w:szCs w:val="15"/>
              </w:rPr>
              <w:t>Reforma 7:</w:t>
            </w:r>
            <w:r w:rsidRPr="00A46BD9">
              <w:rPr>
                <w:rFonts w:ascii="Arial Narrow" w:hAnsi="Arial Narrow"/>
                <w:sz w:val="15"/>
                <w:szCs w:val="15"/>
              </w:rPr>
              <w:t xml:space="preserve"> </w:t>
            </w:r>
            <w:r w:rsidRPr="00A46BD9">
              <w:rPr>
                <w:rFonts w:ascii="Arial Narrow" w:hAnsi="Arial Narrow"/>
                <w:sz w:val="15"/>
                <w:szCs w:val="15"/>
              </w:rPr>
              <w:br/>
              <w:t>Novela stavebného zákona</w:t>
            </w:r>
          </w:p>
        </w:tc>
        <w:tc>
          <w:tcPr>
            <w:tcW w:w="2693" w:type="dxa"/>
            <w:tcBorders>
              <w:left w:val="single" w:sz="4" w:space="0" w:color="00B0F0"/>
            </w:tcBorders>
          </w:tcPr>
          <w:p w14:paraId="6E6ECFB8"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Novela stavebného zákona má za cieľ zmodernizovať stavebné predpisy zefektívnením povoľovacích procesov, zlúčením územného a stavebného konania a posilnením vlastníckych práv s cieľom skrátiť stavebné konania a znížiť administratívnu záťaž.</w:t>
            </w:r>
          </w:p>
          <w:p w14:paraId="2C23C0CD" w14:textId="77777777" w:rsidR="00AA20CF" w:rsidRPr="00A46BD9" w:rsidRDefault="00AA20CF" w:rsidP="00CF3F52">
            <w:pPr>
              <w:jc w:val="both"/>
              <w:rPr>
                <w:rFonts w:ascii="Arial Narrow" w:hAnsi="Arial Narrow"/>
                <w:sz w:val="15"/>
                <w:szCs w:val="15"/>
              </w:rPr>
            </w:pPr>
          </w:p>
          <w:p w14:paraId="72A85528" w14:textId="77777777" w:rsidR="00AA20CF" w:rsidRPr="00A46BD9" w:rsidRDefault="00AA20CF" w:rsidP="00CF3F52">
            <w:pPr>
              <w:jc w:val="both"/>
              <w:rPr>
                <w:rFonts w:ascii="Arial Narrow" w:hAnsi="Arial Narrow"/>
                <w:sz w:val="15"/>
                <w:szCs w:val="15"/>
              </w:rPr>
            </w:pPr>
            <w:hyperlink r:id="rId65" w:history="1">
              <w:r w:rsidRPr="00A46BD9">
                <w:rPr>
                  <w:rStyle w:val="Hypertextovprepojenie"/>
                  <w:rFonts w:ascii="Arial Narrow" w:hAnsi="Arial Narrow"/>
                  <w:sz w:val="15"/>
                  <w:szCs w:val="15"/>
                </w:rPr>
                <w:t>Zákon</w:t>
              </w:r>
            </w:hyperlink>
            <w:r w:rsidRPr="00A46BD9">
              <w:rPr>
                <w:rFonts w:ascii="Arial Narrow" w:hAnsi="Arial Narrow"/>
                <w:sz w:val="15"/>
                <w:szCs w:val="15"/>
              </w:rPr>
              <w:t xml:space="preserve"> nadobudol účinnosť 1. apríla 2025.</w:t>
            </w:r>
          </w:p>
        </w:tc>
        <w:tc>
          <w:tcPr>
            <w:tcW w:w="739" w:type="dxa"/>
            <w:tcBorders>
              <w:right w:val="single" w:sz="4" w:space="0" w:color="2EAAE1"/>
            </w:tcBorders>
            <w:vAlign w:val="center"/>
          </w:tcPr>
          <w:p w14:paraId="3ED7D3D2" w14:textId="77777777" w:rsidR="00AA20CF" w:rsidRPr="00A46BD9" w:rsidRDefault="00AA20CF" w:rsidP="00CF3F52">
            <w:pPr>
              <w:jc w:val="center"/>
              <w:rPr>
                <w:sz w:val="14"/>
                <w:szCs w:val="14"/>
              </w:rPr>
            </w:pPr>
            <w:r w:rsidRPr="00A46BD9">
              <w:rPr>
                <w:rFonts w:ascii="Arial Narrow" w:hAnsi="Arial Narrow"/>
                <w:sz w:val="14"/>
                <w:szCs w:val="14"/>
              </w:rPr>
              <w:t>-</w:t>
            </w:r>
          </w:p>
        </w:tc>
        <w:tc>
          <w:tcPr>
            <w:tcW w:w="992" w:type="dxa"/>
            <w:tcBorders>
              <w:top w:val="single" w:sz="4" w:space="0" w:color="2EAAE1"/>
              <w:left w:val="single" w:sz="4" w:space="0" w:color="2EAAE1"/>
              <w:bottom w:val="single" w:sz="4" w:space="0" w:color="2EAAE1"/>
              <w:right w:val="single" w:sz="4" w:space="0" w:color="00B0F0"/>
            </w:tcBorders>
            <w:vAlign w:val="center"/>
          </w:tcPr>
          <w:p w14:paraId="78E5F587"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sz w:val="12"/>
                <w:szCs w:val="12"/>
              </w:rPr>
              <w:t>CSR.2025.1.7</w:t>
            </w:r>
          </w:p>
          <w:p w14:paraId="29093EDF" w14:textId="77777777" w:rsidR="00AA20CF" w:rsidRPr="00EF7276" w:rsidRDefault="00AA20CF" w:rsidP="00CF3F52">
            <w:pPr>
              <w:jc w:val="center"/>
              <w:rPr>
                <w:sz w:val="12"/>
                <w:szCs w:val="12"/>
              </w:rPr>
            </w:pPr>
            <w:r w:rsidRPr="00EF7276">
              <w:rPr>
                <w:rFonts w:ascii="Arial Narrow" w:hAnsi="Arial Narrow" w:cs="Calibri"/>
                <w:sz w:val="12"/>
                <w:szCs w:val="12"/>
              </w:rPr>
              <w:t>CSR.2025.3.2</w:t>
            </w:r>
          </w:p>
        </w:tc>
        <w:tc>
          <w:tcPr>
            <w:tcW w:w="850" w:type="dxa"/>
            <w:tcBorders>
              <w:top w:val="single" w:sz="4" w:space="0" w:color="00B0F0"/>
              <w:left w:val="single" w:sz="4" w:space="0" w:color="00B0F0"/>
              <w:bottom w:val="single" w:sz="4" w:space="0" w:color="00B0F0"/>
              <w:right w:val="single" w:sz="4" w:space="0" w:color="00B0F0"/>
            </w:tcBorders>
            <w:vAlign w:val="center"/>
          </w:tcPr>
          <w:p w14:paraId="62BDAA2E" w14:textId="77777777" w:rsidR="00AA20CF" w:rsidRPr="00EF7276" w:rsidRDefault="00AA20CF" w:rsidP="00CF3F52">
            <w:pPr>
              <w:jc w:val="center"/>
              <w:rPr>
                <w:sz w:val="12"/>
                <w:szCs w:val="12"/>
              </w:rPr>
            </w:pPr>
            <w:r w:rsidRPr="00EF7276">
              <w:rPr>
                <w:rFonts w:ascii="Arial Narrow" w:hAnsi="Arial Narrow" w:cs="Calibri"/>
                <w:sz w:val="12"/>
                <w:szCs w:val="12"/>
              </w:rPr>
              <w:t>Posilnenie sociálnej a hospodárskej odolnosti</w:t>
            </w:r>
          </w:p>
        </w:tc>
        <w:tc>
          <w:tcPr>
            <w:tcW w:w="567" w:type="dxa"/>
            <w:tcBorders>
              <w:left w:val="single" w:sz="4" w:space="0" w:color="00B0F0"/>
              <w:right w:val="single" w:sz="4" w:space="0" w:color="00B0F0"/>
            </w:tcBorders>
            <w:vAlign w:val="center"/>
          </w:tcPr>
          <w:p w14:paraId="2136974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p w14:paraId="46556BB5"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11</w:t>
            </w:r>
          </w:p>
        </w:tc>
        <w:tc>
          <w:tcPr>
            <w:tcW w:w="709" w:type="dxa"/>
            <w:tcBorders>
              <w:top w:val="single" w:sz="4" w:space="0" w:color="00B0F0"/>
              <w:left w:val="single" w:sz="4" w:space="0" w:color="00B0F0"/>
              <w:bottom w:val="single" w:sz="4" w:space="0" w:color="00B0F0"/>
              <w:right w:val="single" w:sz="4" w:space="0" w:color="00B0F0"/>
            </w:tcBorders>
            <w:vAlign w:val="center"/>
          </w:tcPr>
          <w:p w14:paraId="5611E973"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Zásada 19</w:t>
            </w:r>
          </w:p>
          <w:p w14:paraId="0835D3CC" w14:textId="77777777" w:rsidR="00AA20CF" w:rsidRPr="00EF7276" w:rsidRDefault="00AA20CF" w:rsidP="00CF3F52">
            <w:pPr>
              <w:jc w:val="center"/>
              <w:rPr>
                <w:sz w:val="12"/>
                <w:szCs w:val="12"/>
              </w:rPr>
            </w:pPr>
            <w:r w:rsidRPr="00EF7276">
              <w:rPr>
                <w:rFonts w:ascii="Arial Narrow" w:hAnsi="Arial Narrow" w:cs="Calibri"/>
                <w:color w:val="000000"/>
                <w:sz w:val="12"/>
                <w:szCs w:val="12"/>
              </w:rPr>
              <w:t>Zásada 20</w:t>
            </w:r>
          </w:p>
        </w:tc>
        <w:tc>
          <w:tcPr>
            <w:tcW w:w="992" w:type="dxa"/>
            <w:tcBorders>
              <w:left w:val="single" w:sz="4" w:space="0" w:color="00B0F0"/>
            </w:tcBorders>
            <w:vAlign w:val="center"/>
          </w:tcPr>
          <w:p w14:paraId="140AE59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Dokončené</w:t>
            </w:r>
          </w:p>
        </w:tc>
      </w:tr>
      <w:tr w:rsidR="00AA20CF" w:rsidRPr="00A46BD9" w14:paraId="322C1786" w14:textId="77777777" w:rsidTr="00CF3F52">
        <w:trPr>
          <w:trHeight w:val="263"/>
        </w:trPr>
        <w:tc>
          <w:tcPr>
            <w:tcW w:w="283" w:type="dxa"/>
            <w:vMerge/>
            <w:tcBorders>
              <w:left w:val="single" w:sz="4" w:space="0" w:color="00B0F0"/>
              <w:right w:val="single" w:sz="4" w:space="0" w:color="00B0F0"/>
            </w:tcBorders>
            <w:shd w:val="clear" w:color="auto" w:fill="0C1D2B"/>
          </w:tcPr>
          <w:p w14:paraId="056894D2" w14:textId="77777777" w:rsidR="00AA20CF" w:rsidRPr="00A46BD9" w:rsidRDefault="00AA20CF" w:rsidP="00CF3F52">
            <w:pPr>
              <w:spacing w:line="140" w:lineRule="exact"/>
              <w:jc w:val="center"/>
              <w:rPr>
                <w:rFonts w:ascii="Arial Narrow" w:hAnsi="Arial Narrow"/>
                <w:b/>
                <w:sz w:val="16"/>
                <w:szCs w:val="16"/>
              </w:rPr>
            </w:pPr>
          </w:p>
        </w:tc>
        <w:tc>
          <w:tcPr>
            <w:tcW w:w="1247" w:type="dxa"/>
            <w:tcBorders>
              <w:top w:val="single" w:sz="4" w:space="0" w:color="00B0F0"/>
              <w:left w:val="single" w:sz="4" w:space="0" w:color="00B0F0"/>
              <w:bottom w:val="single" w:sz="4" w:space="0" w:color="00B0F0"/>
              <w:right w:val="single" w:sz="4" w:space="0" w:color="00B0F0"/>
            </w:tcBorders>
            <w:vAlign w:val="center"/>
          </w:tcPr>
          <w:p w14:paraId="1821E7AD"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17:</w:t>
            </w:r>
            <w:r w:rsidRPr="00A46BD9">
              <w:rPr>
                <w:rFonts w:ascii="Arial Narrow" w:hAnsi="Arial Narrow"/>
                <w:sz w:val="15"/>
                <w:szCs w:val="15"/>
              </w:rPr>
              <w:t xml:space="preserve"> </w:t>
            </w:r>
            <w:r w:rsidRPr="00A46BD9">
              <w:rPr>
                <w:rFonts w:ascii="Arial Narrow" w:hAnsi="Arial Narrow"/>
                <w:sz w:val="15"/>
                <w:szCs w:val="15"/>
              </w:rPr>
              <w:br/>
              <w:t>Zavedenie novej siete súdov</w:t>
            </w:r>
          </w:p>
        </w:tc>
        <w:tc>
          <w:tcPr>
            <w:tcW w:w="2693" w:type="dxa"/>
            <w:tcBorders>
              <w:left w:val="single" w:sz="4" w:space="0" w:color="00B0F0"/>
            </w:tcBorders>
          </w:tcPr>
          <w:p w14:paraId="67C19D56"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Reforma súdnej mapy má za cieľ zvýšiť dôveryhodnosť súdnictva, zefektívniť systém a zlepšiť kvalitu služieb prostredníctvom zníženia počtu súdov, špecializácie sudcov a konsolidácie novej súdnej siete.</w:t>
            </w:r>
          </w:p>
          <w:p w14:paraId="09BDE3BD" w14:textId="77777777" w:rsidR="00AA20CF" w:rsidRPr="00A46BD9" w:rsidRDefault="00AA20CF" w:rsidP="00CF3F52">
            <w:pPr>
              <w:jc w:val="both"/>
              <w:rPr>
                <w:sz w:val="15"/>
                <w:szCs w:val="15"/>
              </w:rPr>
            </w:pPr>
          </w:p>
          <w:p w14:paraId="54D67A23" w14:textId="77777777" w:rsidR="00AA20CF" w:rsidRPr="00A46BD9" w:rsidRDefault="00AA20CF" w:rsidP="00CF3F52">
            <w:pPr>
              <w:jc w:val="both"/>
              <w:rPr>
                <w:rFonts w:ascii="Arial Narrow" w:hAnsi="Arial Narrow"/>
                <w:sz w:val="15"/>
                <w:szCs w:val="15"/>
              </w:rPr>
            </w:pPr>
            <w:hyperlink r:id="rId66" w:history="1">
              <w:r w:rsidRPr="00A46BD9">
                <w:rPr>
                  <w:rStyle w:val="Hypertextovprepojenie"/>
                  <w:rFonts w:ascii="Arial Narrow" w:hAnsi="Arial Narrow"/>
                  <w:sz w:val="15"/>
                  <w:szCs w:val="15"/>
                </w:rPr>
                <w:t>Nová súdna mapa</w:t>
              </w:r>
            </w:hyperlink>
            <w:r w:rsidRPr="00A46BD9">
              <w:rPr>
                <w:rFonts w:ascii="Arial Narrow" w:hAnsi="Arial Narrow"/>
                <w:sz w:val="15"/>
                <w:szCs w:val="15"/>
              </w:rPr>
              <w:t xml:space="preserve"> bola k 1. júnu 2023 spustená.</w:t>
            </w:r>
          </w:p>
        </w:tc>
        <w:tc>
          <w:tcPr>
            <w:tcW w:w="739" w:type="dxa"/>
            <w:tcBorders>
              <w:right w:val="single" w:sz="4" w:space="0" w:color="2EAAE1"/>
            </w:tcBorders>
            <w:vAlign w:val="center"/>
          </w:tcPr>
          <w:p w14:paraId="43187E8F" w14:textId="77777777" w:rsidR="00AA20CF" w:rsidRPr="00F230A1" w:rsidRDefault="00AA20CF" w:rsidP="00CF3F52">
            <w:pPr>
              <w:jc w:val="center"/>
              <w:rPr>
                <w:rFonts w:ascii="Arial Narrow" w:hAnsi="Arial Narrow"/>
                <w:sz w:val="14"/>
                <w:szCs w:val="14"/>
              </w:rPr>
            </w:pPr>
            <w:r w:rsidRPr="00F230A1">
              <w:rPr>
                <w:rFonts w:ascii="Arial Narrow" w:hAnsi="Arial Narrow"/>
                <w:sz w:val="14"/>
                <w:szCs w:val="14"/>
              </w:rPr>
              <w:t>POO</w:t>
            </w:r>
          </w:p>
          <w:p w14:paraId="1DBC18BB" w14:textId="77777777" w:rsidR="00AA20CF" w:rsidRPr="00624FD5" w:rsidRDefault="00AA20CF" w:rsidP="00CF3F52">
            <w:pPr>
              <w:jc w:val="center"/>
              <w:rPr>
                <w:rFonts w:ascii="Arial Narrow" w:hAnsi="Arial Narrow"/>
                <w:sz w:val="14"/>
                <w:szCs w:val="14"/>
              </w:rPr>
            </w:pPr>
            <w:r w:rsidRPr="00F230A1">
              <w:rPr>
                <w:rFonts w:ascii="Arial Narrow" w:hAnsi="Arial Narrow"/>
                <w:sz w:val="12"/>
                <w:szCs w:val="12"/>
              </w:rPr>
              <w:t>SK-C[C15]-R[R1]</w:t>
            </w:r>
          </w:p>
        </w:tc>
        <w:tc>
          <w:tcPr>
            <w:tcW w:w="992" w:type="dxa"/>
            <w:tcBorders>
              <w:top w:val="single" w:sz="4" w:space="0" w:color="2EAAE1"/>
              <w:left w:val="single" w:sz="4" w:space="0" w:color="2EAAE1"/>
              <w:bottom w:val="single" w:sz="4" w:space="0" w:color="2EAAE1"/>
              <w:right w:val="single" w:sz="4" w:space="0" w:color="00B0F0"/>
            </w:tcBorders>
            <w:vAlign w:val="center"/>
          </w:tcPr>
          <w:p w14:paraId="540D7D2C"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sz w:val="12"/>
                <w:szCs w:val="12"/>
              </w:rPr>
              <w:t>CSR.2025.3.9</w:t>
            </w:r>
          </w:p>
        </w:tc>
        <w:tc>
          <w:tcPr>
            <w:tcW w:w="850" w:type="dxa"/>
            <w:tcBorders>
              <w:top w:val="single" w:sz="4" w:space="0" w:color="00B0F0"/>
              <w:left w:val="single" w:sz="4" w:space="0" w:color="00B0F0"/>
              <w:bottom w:val="single" w:sz="4" w:space="0" w:color="00B0F0"/>
              <w:right w:val="single" w:sz="4" w:space="0" w:color="00B0F0"/>
            </w:tcBorders>
            <w:vAlign w:val="center"/>
          </w:tcPr>
          <w:p w14:paraId="2487E684"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sz w:val="12"/>
                <w:szCs w:val="12"/>
              </w:rPr>
              <w:t>-</w:t>
            </w:r>
          </w:p>
        </w:tc>
        <w:tc>
          <w:tcPr>
            <w:tcW w:w="567" w:type="dxa"/>
            <w:tcBorders>
              <w:left w:val="single" w:sz="4" w:space="0" w:color="00B0F0"/>
              <w:right w:val="single" w:sz="4" w:space="0" w:color="00B0F0"/>
            </w:tcBorders>
            <w:vAlign w:val="center"/>
          </w:tcPr>
          <w:p w14:paraId="0CA30E2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16</w:t>
            </w:r>
          </w:p>
        </w:tc>
        <w:tc>
          <w:tcPr>
            <w:tcW w:w="709" w:type="dxa"/>
            <w:tcBorders>
              <w:top w:val="single" w:sz="4" w:space="0" w:color="00B0F0"/>
              <w:left w:val="single" w:sz="4" w:space="0" w:color="00B0F0"/>
              <w:bottom w:val="single" w:sz="4" w:space="0" w:color="00B0F0"/>
              <w:right w:val="single" w:sz="4" w:space="0" w:color="00B0F0"/>
            </w:tcBorders>
            <w:vAlign w:val="center"/>
          </w:tcPr>
          <w:p w14:paraId="6662AA7C"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w:t>
            </w:r>
          </w:p>
        </w:tc>
        <w:tc>
          <w:tcPr>
            <w:tcW w:w="992" w:type="dxa"/>
            <w:tcBorders>
              <w:left w:val="single" w:sz="4" w:space="0" w:color="00B0F0"/>
            </w:tcBorders>
            <w:vAlign w:val="center"/>
          </w:tcPr>
          <w:p w14:paraId="7233395A"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Dokončené</w:t>
            </w:r>
          </w:p>
        </w:tc>
      </w:tr>
      <w:tr w:rsidR="00AA20CF" w:rsidRPr="00A46BD9" w14:paraId="4FD36B61" w14:textId="77777777" w:rsidTr="00CF3F52">
        <w:trPr>
          <w:trHeight w:val="263"/>
        </w:trPr>
        <w:tc>
          <w:tcPr>
            <w:tcW w:w="283" w:type="dxa"/>
            <w:vMerge/>
            <w:tcBorders>
              <w:left w:val="single" w:sz="4" w:space="0" w:color="00B0F0"/>
              <w:bottom w:val="single" w:sz="4" w:space="0" w:color="00B0F0"/>
              <w:right w:val="single" w:sz="4" w:space="0" w:color="00B0F0"/>
            </w:tcBorders>
            <w:shd w:val="clear" w:color="auto" w:fill="0C1D2B"/>
          </w:tcPr>
          <w:p w14:paraId="608F43D3" w14:textId="77777777" w:rsidR="00AA20CF" w:rsidRPr="00A46BD9" w:rsidRDefault="00AA20CF" w:rsidP="00CF3F52">
            <w:pPr>
              <w:spacing w:line="140" w:lineRule="exact"/>
              <w:jc w:val="center"/>
              <w:rPr>
                <w:rFonts w:ascii="Arial Narrow" w:hAnsi="Arial Narrow"/>
                <w:b/>
                <w:sz w:val="16"/>
                <w:szCs w:val="16"/>
              </w:rPr>
            </w:pPr>
          </w:p>
        </w:tc>
        <w:tc>
          <w:tcPr>
            <w:tcW w:w="1247" w:type="dxa"/>
            <w:tcBorders>
              <w:top w:val="single" w:sz="4" w:space="0" w:color="00B0F0"/>
              <w:left w:val="single" w:sz="4" w:space="0" w:color="00B0F0"/>
              <w:bottom w:val="single" w:sz="4" w:space="0" w:color="00B0F0"/>
              <w:right w:val="single" w:sz="4" w:space="0" w:color="00B0F0"/>
            </w:tcBorders>
            <w:vAlign w:val="center"/>
          </w:tcPr>
          <w:p w14:paraId="7329CED0"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Investícia 9:</w:t>
            </w:r>
            <w:r w:rsidRPr="00A46BD9">
              <w:rPr>
                <w:rFonts w:ascii="Arial Narrow" w:hAnsi="Arial Narrow"/>
                <w:sz w:val="15"/>
                <w:szCs w:val="15"/>
              </w:rPr>
              <w:t xml:space="preserve"> </w:t>
            </w:r>
            <w:r w:rsidRPr="00A46BD9">
              <w:rPr>
                <w:rFonts w:ascii="Arial Narrow" w:hAnsi="Arial Narrow"/>
                <w:sz w:val="15"/>
                <w:szCs w:val="15"/>
              </w:rPr>
              <w:br/>
              <w:t>Zriadenie centier zdieľaných služieb</w:t>
            </w:r>
          </w:p>
        </w:tc>
        <w:tc>
          <w:tcPr>
            <w:tcW w:w="2693" w:type="dxa"/>
            <w:tcBorders>
              <w:left w:val="single" w:sz="4" w:space="0" w:color="00B0F0"/>
            </w:tcBorders>
          </w:tcPr>
          <w:p w14:paraId="25F0079C" w14:textId="77777777" w:rsidR="00AA20CF" w:rsidRPr="00A46BD9" w:rsidRDefault="00AA20CF" w:rsidP="00CF3F52">
            <w:pPr>
              <w:jc w:val="both"/>
              <w:rPr>
                <w:rFonts w:ascii="Arial Narrow" w:hAnsi="Arial Narrow"/>
                <w:sz w:val="15"/>
                <w:szCs w:val="15"/>
              </w:rPr>
            </w:pPr>
            <w:r w:rsidRPr="00A46BD9">
              <w:rPr>
                <w:sz w:val="15"/>
                <w:szCs w:val="15"/>
              </w:rPr>
              <w:t>​</w:t>
            </w:r>
            <w:r w:rsidRPr="00A46BD9">
              <w:rPr>
                <w:rFonts w:ascii="Arial Narrow" w:hAnsi="Arial Narrow"/>
                <w:sz w:val="15"/>
                <w:szCs w:val="15"/>
              </w:rPr>
              <w:t>Investície do zriadenia minimálne 20 centier zdieľaných služieb</w:t>
            </w:r>
            <w:r>
              <w:rPr>
                <w:rFonts w:ascii="Arial Narrow" w:hAnsi="Arial Narrow"/>
                <w:sz w:val="15"/>
                <w:szCs w:val="15"/>
              </w:rPr>
              <w:t xml:space="preserve"> primárne</w:t>
            </w:r>
            <w:r w:rsidRPr="00A46BD9">
              <w:rPr>
                <w:rFonts w:ascii="Arial Narrow" w:hAnsi="Arial Narrow"/>
                <w:sz w:val="15"/>
                <w:szCs w:val="15"/>
              </w:rPr>
              <w:t xml:space="preserve"> v najmenej rozvinutých regiónoch Slovenska zvýšia efektívnosť a dostupnosť verejných služieb na miestnej úrovni. Prostriedky na personálne kapacity centier budú zabezpečené prostredníctvom zdrojov Programu Slovensko (PSK).</w:t>
            </w:r>
          </w:p>
          <w:p w14:paraId="0460C3DE" w14:textId="77777777" w:rsidR="00AA20CF" w:rsidRPr="00A46BD9" w:rsidRDefault="00AA20CF" w:rsidP="00CF3F52">
            <w:pPr>
              <w:jc w:val="both"/>
              <w:rPr>
                <w:rFonts w:ascii="Arial Narrow" w:hAnsi="Arial Narrow"/>
                <w:sz w:val="15"/>
                <w:szCs w:val="15"/>
              </w:rPr>
            </w:pPr>
          </w:p>
          <w:p w14:paraId="0F46C71C"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Pôvodná výzva bola v apríli 2024 zrušená kvôli nezáujmu žiadateľov. Následne bolo cez </w:t>
            </w:r>
            <w:hyperlink r:id="rId67" w:history="1">
              <w:r w:rsidRPr="00A46BD9">
                <w:rPr>
                  <w:rStyle w:val="Hypertextovprepojenie"/>
                  <w:rFonts w:ascii="Arial Narrow" w:hAnsi="Arial Narrow"/>
                  <w:sz w:val="15"/>
                  <w:szCs w:val="15"/>
                </w:rPr>
                <w:t>priame vyzvania</w:t>
              </w:r>
            </w:hyperlink>
            <w:r w:rsidRPr="00A46BD9">
              <w:rPr>
                <w:rFonts w:ascii="Arial Narrow" w:hAnsi="Arial Narrow"/>
                <w:sz w:val="15"/>
                <w:szCs w:val="15"/>
              </w:rPr>
              <w:t xml:space="preserve"> podpísaných 21 zmlúv. Z PSK bola zároveň v marci 2025 vyhlásená </w:t>
            </w:r>
            <w:hyperlink r:id="rId68" w:history="1">
              <w:r w:rsidRPr="00C52F06">
                <w:rPr>
                  <w:rStyle w:val="Hypertextovprepojenie"/>
                  <w:rFonts w:ascii="Arial Narrow" w:hAnsi="Arial Narrow"/>
                  <w:sz w:val="15"/>
                  <w:szCs w:val="15"/>
                </w:rPr>
                <w:t>výz</w:t>
              </w:r>
              <w:bookmarkStart w:id="54" w:name="_Hlt225322305"/>
              <w:bookmarkStart w:id="55" w:name="_Hlt225322306"/>
              <w:r w:rsidRPr="00C52F06">
                <w:rPr>
                  <w:rStyle w:val="Hypertextovprepojenie"/>
                  <w:rFonts w:ascii="Arial Narrow" w:hAnsi="Arial Narrow"/>
                  <w:sz w:val="15"/>
                  <w:szCs w:val="15"/>
                </w:rPr>
                <w:t>v</w:t>
              </w:r>
              <w:bookmarkEnd w:id="54"/>
              <w:bookmarkEnd w:id="55"/>
              <w:r w:rsidRPr="00C52F06">
                <w:rPr>
                  <w:rStyle w:val="Hypertextovprepojenie"/>
                  <w:rFonts w:ascii="Arial Narrow" w:hAnsi="Arial Narrow"/>
                  <w:sz w:val="15"/>
                  <w:szCs w:val="15"/>
                </w:rPr>
                <w:t>a</w:t>
              </w:r>
            </w:hyperlink>
            <w:r w:rsidRPr="00A46BD9">
              <w:rPr>
                <w:rFonts w:ascii="Arial Narrow" w:hAnsi="Arial Narrow"/>
                <w:sz w:val="15"/>
                <w:szCs w:val="15"/>
              </w:rPr>
              <w:t xml:space="preserve"> (</w:t>
            </w:r>
            <w:r>
              <w:rPr>
                <w:rFonts w:ascii="Arial Narrow" w:hAnsi="Arial Narrow"/>
                <w:sz w:val="15"/>
                <w:szCs w:val="15"/>
              </w:rPr>
              <w:t>17,3</w:t>
            </w:r>
            <w:r w:rsidRPr="00A46BD9">
              <w:rPr>
                <w:rFonts w:ascii="Arial Narrow" w:hAnsi="Arial Narrow"/>
                <w:sz w:val="15"/>
                <w:szCs w:val="15"/>
              </w:rPr>
              <w:t xml:space="preserve"> mil. </w:t>
            </w:r>
            <w:r>
              <w:rPr>
                <w:rFonts w:ascii="Arial Narrow" w:hAnsi="Arial Narrow"/>
                <w:sz w:val="15"/>
                <w:szCs w:val="15"/>
              </w:rPr>
              <w:t>eur</w:t>
            </w:r>
            <w:r w:rsidRPr="00A46BD9">
              <w:rPr>
                <w:rFonts w:ascii="Arial Narrow" w:hAnsi="Arial Narrow"/>
                <w:sz w:val="15"/>
                <w:szCs w:val="15"/>
              </w:rPr>
              <w:t xml:space="preserve"> </w:t>
            </w:r>
            <w:r>
              <w:rPr>
                <w:rFonts w:ascii="Arial Narrow" w:hAnsi="Arial Narrow"/>
                <w:sz w:val="15"/>
                <w:szCs w:val="15"/>
              </w:rPr>
              <w:t>zo zdrojov EÚ vrátane štátneho rozpočtu</w:t>
            </w:r>
            <w:r w:rsidRPr="00A46BD9">
              <w:rPr>
                <w:rFonts w:ascii="Arial Narrow" w:hAnsi="Arial Narrow"/>
                <w:sz w:val="15"/>
                <w:szCs w:val="15"/>
              </w:rPr>
              <w:t xml:space="preserve">) na podporu personálnych kapacít centier zdieľaných služieb a uzatvorená v septembri 2025, pričom zazmluvnených bolo 21 projektov. V súčasnosti je vybudovaných a funkčných všetkých 21 centier zdieľaných služieb. </w:t>
            </w:r>
          </w:p>
        </w:tc>
        <w:tc>
          <w:tcPr>
            <w:tcW w:w="739" w:type="dxa"/>
            <w:tcBorders>
              <w:right w:val="single" w:sz="4" w:space="0" w:color="2EAAE1"/>
            </w:tcBorders>
            <w:vAlign w:val="center"/>
          </w:tcPr>
          <w:p w14:paraId="29513E23" w14:textId="77777777" w:rsidR="00AA20CF" w:rsidRPr="00F230A1" w:rsidRDefault="00AA20CF" w:rsidP="00CF3F52">
            <w:pPr>
              <w:jc w:val="center"/>
              <w:rPr>
                <w:rFonts w:ascii="Arial Narrow" w:hAnsi="Arial Narrow"/>
                <w:sz w:val="14"/>
                <w:szCs w:val="14"/>
              </w:rPr>
            </w:pPr>
            <w:r w:rsidRPr="00F230A1">
              <w:rPr>
                <w:rFonts w:ascii="Arial Narrow" w:hAnsi="Arial Narrow"/>
                <w:sz w:val="14"/>
                <w:szCs w:val="14"/>
              </w:rPr>
              <w:t>POO</w:t>
            </w:r>
          </w:p>
          <w:p w14:paraId="2CC98AB3" w14:textId="77777777" w:rsidR="00AA20CF" w:rsidRPr="00F230A1" w:rsidRDefault="00AA20CF" w:rsidP="00CF3F52">
            <w:pPr>
              <w:jc w:val="center"/>
              <w:rPr>
                <w:rFonts w:ascii="Arial Narrow" w:hAnsi="Arial Narrow"/>
                <w:sz w:val="12"/>
                <w:szCs w:val="12"/>
              </w:rPr>
            </w:pPr>
            <w:r w:rsidRPr="00F230A1">
              <w:rPr>
                <w:rFonts w:ascii="Arial Narrow" w:hAnsi="Arial Narrow"/>
                <w:sz w:val="12"/>
                <w:szCs w:val="12"/>
              </w:rPr>
              <w:t>SK-C[C16]-I[I4]</w:t>
            </w:r>
          </w:p>
          <w:p w14:paraId="4ADAC187" w14:textId="77777777" w:rsidR="00AA20CF" w:rsidRPr="00624FD5" w:rsidRDefault="00AA20CF" w:rsidP="00CF3F52">
            <w:pPr>
              <w:jc w:val="center"/>
              <w:rPr>
                <w:rFonts w:ascii="Arial Narrow" w:hAnsi="Arial Narrow"/>
                <w:sz w:val="14"/>
                <w:szCs w:val="14"/>
              </w:rPr>
            </w:pPr>
            <w:r w:rsidRPr="00F230A1">
              <w:rPr>
                <w:rFonts w:ascii="Arial Narrow" w:hAnsi="Arial Narrow"/>
                <w:sz w:val="12"/>
                <w:szCs w:val="12"/>
              </w:rPr>
              <w:t>PSK</w:t>
            </w:r>
          </w:p>
        </w:tc>
        <w:tc>
          <w:tcPr>
            <w:tcW w:w="992" w:type="dxa"/>
            <w:tcBorders>
              <w:top w:val="single" w:sz="4" w:space="0" w:color="2EAAE1"/>
              <w:left w:val="single" w:sz="4" w:space="0" w:color="2EAAE1"/>
              <w:bottom w:val="single" w:sz="4" w:space="0" w:color="2EAAE1"/>
              <w:right w:val="single" w:sz="4" w:space="0" w:color="00B0F0"/>
            </w:tcBorders>
            <w:vAlign w:val="center"/>
          </w:tcPr>
          <w:p w14:paraId="453F4357"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sz w:val="12"/>
                <w:szCs w:val="12"/>
              </w:rPr>
              <w:t>CSR.2025.3.5</w:t>
            </w:r>
            <w:r w:rsidRPr="00EF7276">
              <w:rPr>
                <w:rFonts w:ascii="Arial Narrow" w:hAnsi="Arial Narrow" w:cs="Calibri"/>
                <w:sz w:val="12"/>
                <w:szCs w:val="12"/>
              </w:rPr>
              <w:br/>
              <w:t>CSR.2025.3.6</w:t>
            </w:r>
          </w:p>
        </w:tc>
        <w:tc>
          <w:tcPr>
            <w:tcW w:w="850" w:type="dxa"/>
            <w:tcBorders>
              <w:top w:val="single" w:sz="4" w:space="0" w:color="00B0F0"/>
              <w:left w:val="single" w:sz="4" w:space="0" w:color="00B0F0"/>
              <w:bottom w:val="single" w:sz="4" w:space="0" w:color="00B0F0"/>
              <w:right w:val="single" w:sz="4" w:space="0" w:color="00B0F0"/>
            </w:tcBorders>
            <w:vAlign w:val="center"/>
          </w:tcPr>
          <w:p w14:paraId="27073EA4"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sz w:val="12"/>
                <w:szCs w:val="12"/>
              </w:rPr>
              <w:t>-</w:t>
            </w:r>
          </w:p>
        </w:tc>
        <w:tc>
          <w:tcPr>
            <w:tcW w:w="567" w:type="dxa"/>
            <w:tcBorders>
              <w:left w:val="single" w:sz="4" w:space="0" w:color="00B0F0"/>
              <w:right w:val="single" w:sz="4" w:space="0" w:color="00B0F0"/>
            </w:tcBorders>
            <w:vAlign w:val="center"/>
          </w:tcPr>
          <w:p w14:paraId="5BFAF1D8"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11</w:t>
            </w:r>
          </w:p>
          <w:p w14:paraId="451CC44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16</w:t>
            </w:r>
          </w:p>
        </w:tc>
        <w:tc>
          <w:tcPr>
            <w:tcW w:w="709" w:type="dxa"/>
            <w:tcBorders>
              <w:top w:val="single" w:sz="4" w:space="0" w:color="00B0F0"/>
              <w:left w:val="single" w:sz="4" w:space="0" w:color="00B0F0"/>
              <w:bottom w:val="single" w:sz="4" w:space="0" w:color="00B0F0"/>
              <w:right w:val="single" w:sz="4" w:space="0" w:color="00B0F0"/>
            </w:tcBorders>
            <w:vAlign w:val="center"/>
          </w:tcPr>
          <w:p w14:paraId="7BA1FB2E" w14:textId="77777777" w:rsidR="00AA20CF" w:rsidRPr="00EF7276" w:rsidRDefault="00AA20CF" w:rsidP="00CF3F52">
            <w:pPr>
              <w:jc w:val="center"/>
              <w:rPr>
                <w:rFonts w:ascii="Arial Narrow" w:hAnsi="Arial Narrow" w:cs="Calibri"/>
                <w:color w:val="000000"/>
                <w:sz w:val="12"/>
                <w:szCs w:val="12"/>
              </w:rPr>
            </w:pPr>
            <w:r w:rsidRPr="00EF7276">
              <w:rPr>
                <w:rFonts w:ascii="Arial Narrow" w:hAnsi="Arial Narrow" w:cs="Calibri"/>
                <w:color w:val="000000"/>
                <w:sz w:val="12"/>
                <w:szCs w:val="12"/>
              </w:rPr>
              <w:t>Zásada 20</w:t>
            </w:r>
          </w:p>
        </w:tc>
        <w:tc>
          <w:tcPr>
            <w:tcW w:w="992" w:type="dxa"/>
            <w:tcBorders>
              <w:left w:val="single" w:sz="4" w:space="0" w:color="00B0F0"/>
            </w:tcBorders>
            <w:vAlign w:val="center"/>
          </w:tcPr>
          <w:p w14:paraId="102E006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Dokončené</w:t>
            </w:r>
          </w:p>
        </w:tc>
      </w:tr>
      <w:tr w:rsidR="00AA20CF" w:rsidRPr="00A46BD9" w14:paraId="48975634" w14:textId="77777777" w:rsidTr="00807C08">
        <w:trPr>
          <w:cantSplit/>
          <w:trHeight w:val="1134"/>
        </w:trPr>
        <w:tc>
          <w:tcPr>
            <w:tcW w:w="283" w:type="dxa"/>
            <w:tcBorders>
              <w:top w:val="single" w:sz="4" w:space="0" w:color="00B0F0"/>
              <w:left w:val="single" w:sz="4" w:space="0" w:color="00B0F0"/>
              <w:bottom w:val="single" w:sz="4" w:space="0" w:color="00B0F0"/>
              <w:right w:val="single" w:sz="4" w:space="0" w:color="00B0F0"/>
            </w:tcBorders>
            <w:shd w:val="clear" w:color="auto" w:fill="00B0F0"/>
            <w:textDirection w:val="btLr"/>
          </w:tcPr>
          <w:p w14:paraId="7CCB45E5" w14:textId="77777777" w:rsidR="00AA20CF" w:rsidRPr="00A46BD9" w:rsidRDefault="00AA20CF" w:rsidP="00CF3F52">
            <w:pPr>
              <w:spacing w:line="140" w:lineRule="exact"/>
              <w:ind w:left="113" w:right="113"/>
              <w:jc w:val="center"/>
              <w:rPr>
                <w:rFonts w:ascii="Arial Narrow" w:hAnsi="Arial Narrow"/>
                <w:b/>
                <w:sz w:val="16"/>
                <w:szCs w:val="16"/>
              </w:rPr>
            </w:pPr>
            <w:r w:rsidRPr="00A46BD9">
              <w:rPr>
                <w:rFonts w:ascii="Arial Narrow" w:hAnsi="Arial Narrow"/>
                <w:b/>
                <w:color w:val="FFFFFF" w:themeColor="background1"/>
                <w:sz w:val="16"/>
                <w:szCs w:val="16"/>
              </w:rPr>
              <w:t>Zdravotníctvo</w:t>
            </w:r>
          </w:p>
        </w:tc>
        <w:tc>
          <w:tcPr>
            <w:tcW w:w="1247" w:type="dxa"/>
            <w:tcBorders>
              <w:top w:val="single" w:sz="4" w:space="0" w:color="00B0F0"/>
              <w:left w:val="single" w:sz="4" w:space="0" w:color="00B0F0"/>
              <w:bottom w:val="single" w:sz="4" w:space="0" w:color="00B0F0"/>
              <w:right w:val="single" w:sz="4" w:space="0" w:color="00B0F0"/>
            </w:tcBorders>
            <w:vAlign w:val="center"/>
          </w:tcPr>
          <w:p w14:paraId="1D456458" w14:textId="77777777" w:rsidR="00AA20CF" w:rsidRPr="00A46BD9" w:rsidRDefault="00AA20CF" w:rsidP="00CF3F52">
            <w:pPr>
              <w:jc w:val="center"/>
              <w:rPr>
                <w:rFonts w:ascii="Arial Narrow" w:hAnsi="Arial Narrow"/>
                <w:sz w:val="15"/>
                <w:szCs w:val="15"/>
              </w:rPr>
            </w:pPr>
            <w:r w:rsidRPr="00A46BD9">
              <w:rPr>
                <w:rFonts w:ascii="Arial Narrow" w:hAnsi="Arial Narrow"/>
                <w:b/>
                <w:sz w:val="15"/>
                <w:szCs w:val="15"/>
              </w:rPr>
              <w:t>Reforma 16:</w:t>
            </w:r>
            <w:r w:rsidRPr="00A46BD9">
              <w:rPr>
                <w:rFonts w:ascii="Arial Narrow" w:hAnsi="Arial Narrow"/>
                <w:sz w:val="15"/>
                <w:szCs w:val="15"/>
              </w:rPr>
              <w:t xml:space="preserve"> </w:t>
            </w:r>
            <w:r w:rsidRPr="00A46BD9">
              <w:rPr>
                <w:rFonts w:ascii="Arial Narrow" w:hAnsi="Arial Narrow"/>
                <w:sz w:val="15"/>
                <w:szCs w:val="15"/>
              </w:rPr>
              <w:br/>
              <w:t>Centrálny systém riadenia nemocníc</w:t>
            </w:r>
          </w:p>
        </w:tc>
        <w:tc>
          <w:tcPr>
            <w:tcW w:w="2693" w:type="dxa"/>
            <w:tcBorders>
              <w:left w:val="single" w:sz="4" w:space="0" w:color="00B0F0"/>
            </w:tcBorders>
          </w:tcPr>
          <w:p w14:paraId="0A274B14" w14:textId="77777777" w:rsidR="00AA20CF" w:rsidRPr="00807C08" w:rsidRDefault="00AA20CF" w:rsidP="00CF3F52">
            <w:pPr>
              <w:jc w:val="both"/>
              <w:rPr>
                <w:rFonts w:ascii="Arial Narrow" w:hAnsi="Arial Narrow"/>
                <w:sz w:val="15"/>
                <w:szCs w:val="15"/>
              </w:rPr>
            </w:pPr>
            <w:r w:rsidRPr="00807C08">
              <w:rPr>
                <w:rFonts w:ascii="Arial Narrow" w:hAnsi="Arial Narrow"/>
                <w:sz w:val="15"/>
                <w:szCs w:val="15"/>
              </w:rPr>
              <w:t>Cieľom opatrenia je zlepšiť koordináciu a efektívnosť štátnych nemocníc zavedením centrálneho riadenia. To zahŕňa zriadenie centrálneho orgánu a pilotný projekt s účasťou 19 štátom kontrolovaných nemocníc (do 2. štvrťroka 2025), ktorý pokrýva (1) centrálny kontroling, rozpočtovanie, plánovanie a monitoring výkonnosti; (2) centrálne obstarávanie liekov, materiálu a techniky; (3) centralizáciu podporných služieb; (4) riadenie ľudských zdrojov.</w:t>
            </w:r>
          </w:p>
          <w:p w14:paraId="20780034" w14:textId="77777777" w:rsidR="00AA20CF" w:rsidRPr="00807C08" w:rsidRDefault="00AA20CF" w:rsidP="00CF3F52">
            <w:pPr>
              <w:jc w:val="both"/>
              <w:rPr>
                <w:rFonts w:ascii="Arial Narrow" w:hAnsi="Arial Narrow"/>
                <w:sz w:val="15"/>
                <w:szCs w:val="15"/>
              </w:rPr>
            </w:pPr>
          </w:p>
          <w:p w14:paraId="36AC9EBC" w14:textId="6BC02551" w:rsidR="00AA20CF" w:rsidRPr="00807C08" w:rsidRDefault="00AA20CF" w:rsidP="00CF3F52">
            <w:pPr>
              <w:jc w:val="both"/>
              <w:rPr>
                <w:sz w:val="15"/>
                <w:szCs w:val="15"/>
              </w:rPr>
            </w:pPr>
            <w:r w:rsidRPr="00807C08">
              <w:rPr>
                <w:rFonts w:ascii="Arial Narrow" w:hAnsi="Arial Narrow"/>
                <w:sz w:val="15"/>
                <w:szCs w:val="15"/>
              </w:rPr>
              <w:t>Sekcia centrálneho riadenia a koordinácie podriadených organizácií bola zriadená v 4. kvartáli 2024.</w:t>
            </w:r>
            <w:r w:rsidR="0025448A">
              <w:rPr>
                <w:rFonts w:ascii="Arial Narrow" w:hAnsi="Arial Narrow"/>
                <w:sz w:val="15"/>
                <w:szCs w:val="15"/>
              </w:rPr>
              <w:t xml:space="preserve"> </w:t>
            </w:r>
            <w:r w:rsidRPr="00807C08">
              <w:rPr>
                <w:rFonts w:ascii="Arial Narrow" w:hAnsi="Arial Narrow"/>
                <w:sz w:val="15"/>
                <w:szCs w:val="15"/>
              </w:rPr>
              <w:t xml:space="preserve">Po revízii POO bolo zapojenie nemocníc do centrálneho ERP nahradené obstaraním centrálnej integračnej platformy (CIP) a digitalizačných aplikácií pre všetkých </w:t>
            </w:r>
            <w:hyperlink r:id="rId69">
              <w:r w:rsidRPr="00807C08">
                <w:rPr>
                  <w:rStyle w:val="Hypertextovprepojenie"/>
                  <w:rFonts w:ascii="Arial Narrow" w:hAnsi="Arial Narrow"/>
                  <w:sz w:val="15"/>
                  <w:szCs w:val="15"/>
                </w:rPr>
                <w:t>19 nemocníc</w:t>
              </w:r>
            </w:hyperlink>
            <w:r w:rsidRPr="00807C08">
              <w:rPr>
                <w:rFonts w:ascii="Arial Narrow" w:hAnsi="Arial Narrow"/>
                <w:sz w:val="15"/>
                <w:szCs w:val="15"/>
              </w:rPr>
              <w:t>.</w:t>
            </w:r>
            <w:r w:rsidRPr="00807C08">
              <w:t xml:space="preserve"> </w:t>
            </w:r>
            <w:r w:rsidRPr="00807C08">
              <w:rPr>
                <w:rFonts w:ascii="Arial Narrow" w:hAnsi="Arial Narrow"/>
                <w:sz w:val="15"/>
                <w:szCs w:val="15"/>
              </w:rPr>
              <w:t>Obstarávanie hardvérovej a softvérovej časti CIP je ukončené a zmluvy sú podpísané</w:t>
            </w:r>
            <w:r w:rsidR="0025448A">
              <w:rPr>
                <w:rFonts w:ascii="Arial Narrow" w:hAnsi="Arial Narrow"/>
                <w:sz w:val="15"/>
                <w:szCs w:val="15"/>
              </w:rPr>
              <w:t>.</w:t>
            </w:r>
          </w:p>
        </w:tc>
        <w:tc>
          <w:tcPr>
            <w:tcW w:w="739" w:type="dxa"/>
            <w:tcBorders>
              <w:right w:val="single" w:sz="4" w:space="0" w:color="2EAAE1"/>
            </w:tcBorders>
            <w:vAlign w:val="center"/>
          </w:tcPr>
          <w:p w14:paraId="175275F4" w14:textId="77777777" w:rsidR="00AA20CF" w:rsidRPr="00807C08" w:rsidRDefault="00AA20CF" w:rsidP="00CF3F52">
            <w:pPr>
              <w:jc w:val="center"/>
              <w:rPr>
                <w:rFonts w:ascii="Arial Narrow" w:hAnsi="Arial Narrow"/>
                <w:sz w:val="14"/>
                <w:szCs w:val="14"/>
              </w:rPr>
            </w:pPr>
            <w:r w:rsidRPr="00807C08">
              <w:rPr>
                <w:rFonts w:ascii="Arial Narrow" w:hAnsi="Arial Narrow"/>
                <w:sz w:val="14"/>
                <w:szCs w:val="14"/>
              </w:rPr>
              <w:t>POO</w:t>
            </w:r>
          </w:p>
          <w:p w14:paraId="5183DB72" w14:textId="77777777" w:rsidR="00AA20CF" w:rsidRPr="00807C08" w:rsidRDefault="00AA20CF" w:rsidP="00CF3F52">
            <w:pPr>
              <w:jc w:val="center"/>
              <w:rPr>
                <w:rFonts w:ascii="Arial Narrow" w:hAnsi="Arial Narrow"/>
                <w:sz w:val="14"/>
                <w:szCs w:val="14"/>
              </w:rPr>
            </w:pPr>
            <w:r w:rsidRPr="00807C08">
              <w:rPr>
                <w:rFonts w:ascii="Arial Narrow" w:hAnsi="Arial Narrow"/>
                <w:sz w:val="12"/>
                <w:szCs w:val="12"/>
              </w:rPr>
              <w:t>SK-C[C11]-R[R3]</w:t>
            </w:r>
          </w:p>
        </w:tc>
        <w:tc>
          <w:tcPr>
            <w:tcW w:w="992" w:type="dxa"/>
            <w:tcBorders>
              <w:top w:val="single" w:sz="4" w:space="0" w:color="2EAAE1"/>
              <w:left w:val="single" w:sz="4" w:space="0" w:color="2EAAE1"/>
              <w:bottom w:val="single" w:sz="4" w:space="0" w:color="2EAAE1"/>
              <w:right w:val="single" w:sz="4" w:space="0" w:color="00B0F0"/>
            </w:tcBorders>
            <w:vAlign w:val="center"/>
          </w:tcPr>
          <w:p w14:paraId="4A867B08" w14:textId="77777777" w:rsidR="00AA20CF" w:rsidRPr="00807C08" w:rsidRDefault="00AA20CF" w:rsidP="00CF3F52">
            <w:pPr>
              <w:jc w:val="center"/>
              <w:rPr>
                <w:sz w:val="12"/>
                <w:szCs w:val="12"/>
              </w:rPr>
            </w:pPr>
            <w:r w:rsidRPr="00807C08">
              <w:rPr>
                <w:rFonts w:ascii="Arial Narrow" w:hAnsi="Arial Narrow" w:cs="Calibri"/>
                <w:sz w:val="12"/>
                <w:szCs w:val="12"/>
              </w:rPr>
              <w:t>CSR.2025.1.4</w:t>
            </w:r>
            <w:r w:rsidRPr="00807C08">
              <w:rPr>
                <w:rFonts w:ascii="Arial Narrow" w:hAnsi="Arial Narrow" w:cs="Calibri"/>
                <w:sz w:val="12"/>
                <w:szCs w:val="12"/>
              </w:rPr>
              <w:br/>
              <w:t>CSR.2025.3.6</w:t>
            </w:r>
            <w:r w:rsidRPr="00807C08">
              <w:rPr>
                <w:rFonts w:ascii="Arial Narrow" w:hAnsi="Arial Narrow" w:cs="Calibri"/>
                <w:sz w:val="12"/>
                <w:szCs w:val="12"/>
              </w:rPr>
              <w:br/>
              <w:t>CSR.2025.6.9</w:t>
            </w:r>
          </w:p>
        </w:tc>
        <w:tc>
          <w:tcPr>
            <w:tcW w:w="850" w:type="dxa"/>
            <w:tcBorders>
              <w:top w:val="single" w:sz="4" w:space="0" w:color="00B0F0"/>
              <w:left w:val="single" w:sz="4" w:space="0" w:color="00B0F0"/>
              <w:bottom w:val="single" w:sz="4" w:space="0" w:color="00B0F0"/>
              <w:right w:val="single" w:sz="4" w:space="0" w:color="00B0F0"/>
            </w:tcBorders>
            <w:vAlign w:val="center"/>
          </w:tcPr>
          <w:p w14:paraId="242ABAD9" w14:textId="77777777" w:rsidR="00AA20CF" w:rsidRPr="00807C08" w:rsidRDefault="00AA20CF" w:rsidP="00CF3F52">
            <w:pPr>
              <w:jc w:val="center"/>
              <w:rPr>
                <w:sz w:val="12"/>
                <w:szCs w:val="12"/>
              </w:rPr>
            </w:pPr>
            <w:r w:rsidRPr="00807C08">
              <w:rPr>
                <w:rFonts w:ascii="Arial Narrow" w:hAnsi="Arial Narrow" w:cs="Calibri"/>
                <w:sz w:val="12"/>
                <w:szCs w:val="12"/>
              </w:rPr>
              <w:t>-</w:t>
            </w:r>
          </w:p>
        </w:tc>
        <w:tc>
          <w:tcPr>
            <w:tcW w:w="567" w:type="dxa"/>
            <w:tcBorders>
              <w:left w:val="single" w:sz="4" w:space="0" w:color="00B0F0"/>
              <w:right w:val="single" w:sz="4" w:space="0" w:color="00B0F0"/>
            </w:tcBorders>
            <w:vAlign w:val="center"/>
          </w:tcPr>
          <w:p w14:paraId="164EE19D" w14:textId="77777777" w:rsidR="00AA20CF" w:rsidRPr="00807C08" w:rsidRDefault="00AA20CF" w:rsidP="00CF3F52">
            <w:pPr>
              <w:jc w:val="center"/>
              <w:rPr>
                <w:rFonts w:ascii="Arial Narrow" w:hAnsi="Arial Narrow"/>
                <w:sz w:val="12"/>
                <w:szCs w:val="12"/>
              </w:rPr>
            </w:pPr>
            <w:r w:rsidRPr="00807C08">
              <w:rPr>
                <w:rFonts w:ascii="Arial Narrow" w:hAnsi="Arial Narrow"/>
                <w:sz w:val="12"/>
                <w:szCs w:val="12"/>
              </w:rPr>
              <w:t>Cieľ 3</w:t>
            </w:r>
          </w:p>
        </w:tc>
        <w:tc>
          <w:tcPr>
            <w:tcW w:w="709" w:type="dxa"/>
            <w:tcBorders>
              <w:top w:val="single" w:sz="4" w:space="0" w:color="00B0F0"/>
              <w:left w:val="single" w:sz="4" w:space="0" w:color="00B0F0"/>
              <w:bottom w:val="single" w:sz="4" w:space="0" w:color="00B0F0"/>
              <w:right w:val="single" w:sz="4" w:space="0" w:color="00B0F0"/>
            </w:tcBorders>
            <w:vAlign w:val="center"/>
          </w:tcPr>
          <w:p w14:paraId="6B320226" w14:textId="77777777" w:rsidR="00AA20CF" w:rsidRPr="00807C08" w:rsidRDefault="00AA20CF" w:rsidP="00CF3F52">
            <w:pPr>
              <w:jc w:val="center"/>
              <w:rPr>
                <w:sz w:val="12"/>
                <w:szCs w:val="12"/>
              </w:rPr>
            </w:pPr>
            <w:r w:rsidRPr="00807C08">
              <w:rPr>
                <w:rFonts w:ascii="Arial Narrow" w:hAnsi="Arial Narrow" w:cs="Calibri"/>
                <w:color w:val="000000"/>
                <w:sz w:val="12"/>
                <w:szCs w:val="12"/>
              </w:rPr>
              <w:t>Zásada 16</w:t>
            </w:r>
          </w:p>
        </w:tc>
        <w:tc>
          <w:tcPr>
            <w:tcW w:w="992" w:type="dxa"/>
            <w:tcBorders>
              <w:left w:val="single" w:sz="4" w:space="0" w:color="00B0F0"/>
            </w:tcBorders>
            <w:vAlign w:val="center"/>
          </w:tcPr>
          <w:p w14:paraId="78895BE5" w14:textId="13C6C6DB" w:rsidR="00AA20CF" w:rsidRPr="00807C08" w:rsidRDefault="0025448A" w:rsidP="00CF3F52">
            <w:pPr>
              <w:jc w:val="center"/>
              <w:rPr>
                <w:rFonts w:ascii="Arial Narrow" w:hAnsi="Arial Narrow"/>
                <w:sz w:val="12"/>
                <w:szCs w:val="12"/>
              </w:rPr>
            </w:pPr>
            <w:r>
              <w:rPr>
                <w:rFonts w:ascii="Arial Narrow" w:hAnsi="Arial Narrow"/>
                <w:sz w:val="12"/>
                <w:szCs w:val="12"/>
              </w:rPr>
              <w:t>Dokončené</w:t>
            </w:r>
          </w:p>
        </w:tc>
      </w:tr>
      <w:tr w:rsidR="00AA20CF" w:rsidRPr="00A46BD9" w14:paraId="0390D0B8" w14:textId="77777777" w:rsidTr="00CF3F52">
        <w:trPr>
          <w:cantSplit/>
          <w:trHeight w:val="1134"/>
        </w:trPr>
        <w:tc>
          <w:tcPr>
            <w:tcW w:w="283" w:type="dxa"/>
            <w:tcBorders>
              <w:top w:val="single" w:sz="4" w:space="0" w:color="00B0F0"/>
              <w:left w:val="single" w:sz="4" w:space="0" w:color="00B0F0"/>
              <w:bottom w:val="single" w:sz="4" w:space="0" w:color="00B0F0"/>
              <w:right w:val="single" w:sz="4" w:space="0" w:color="00B0F0"/>
            </w:tcBorders>
            <w:shd w:val="clear" w:color="auto" w:fill="B4B4B4"/>
            <w:textDirection w:val="btLr"/>
          </w:tcPr>
          <w:p w14:paraId="70D2E606" w14:textId="77777777" w:rsidR="00AA20CF" w:rsidRPr="00A46BD9" w:rsidRDefault="00AA20CF" w:rsidP="00CF3F52">
            <w:pPr>
              <w:spacing w:line="140" w:lineRule="exact"/>
              <w:ind w:left="113" w:right="113"/>
              <w:jc w:val="center"/>
              <w:rPr>
                <w:rFonts w:ascii="Arial Narrow" w:hAnsi="Arial Narrow"/>
                <w:b/>
                <w:color w:val="FFFFFF" w:themeColor="background1"/>
                <w:sz w:val="16"/>
                <w:szCs w:val="16"/>
              </w:rPr>
            </w:pPr>
            <w:r w:rsidRPr="00A46BD9">
              <w:rPr>
                <w:rFonts w:ascii="Arial Narrow" w:hAnsi="Arial Narrow"/>
                <w:b/>
                <w:color w:val="FFFFFF" w:themeColor="background1"/>
                <w:sz w:val="16"/>
                <w:szCs w:val="16"/>
              </w:rPr>
              <w:t>Obrana</w:t>
            </w:r>
          </w:p>
        </w:tc>
        <w:tc>
          <w:tcPr>
            <w:tcW w:w="1247" w:type="dxa"/>
            <w:tcBorders>
              <w:top w:val="single" w:sz="4" w:space="0" w:color="00B0F0"/>
              <w:left w:val="single" w:sz="4" w:space="0" w:color="00B0F0"/>
              <w:bottom w:val="single" w:sz="4" w:space="0" w:color="00B0F0"/>
              <w:right w:val="single" w:sz="4" w:space="0" w:color="00B0F0"/>
            </w:tcBorders>
            <w:vAlign w:val="center"/>
          </w:tcPr>
          <w:p w14:paraId="65CF6BEA"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Investícia 1:</w:t>
            </w:r>
            <w:r w:rsidRPr="00A46BD9">
              <w:rPr>
                <w:rFonts w:ascii="Arial Narrow" w:hAnsi="Arial Narrow"/>
                <w:sz w:val="15"/>
                <w:szCs w:val="15"/>
              </w:rPr>
              <w:br/>
              <w:t>Posilnenie obranných kapacít</w:t>
            </w:r>
          </w:p>
        </w:tc>
        <w:tc>
          <w:tcPr>
            <w:tcW w:w="2693" w:type="dxa"/>
            <w:tcBorders>
              <w:left w:val="single" w:sz="4" w:space="0" w:color="00B0F0"/>
            </w:tcBorders>
          </w:tcPr>
          <w:p w14:paraId="616BD409" w14:textId="77777777" w:rsidR="00AA20CF" w:rsidRPr="00A46BD9" w:rsidRDefault="00AA20CF" w:rsidP="00CF3F52">
            <w:pPr>
              <w:tabs>
                <w:tab w:val="left" w:pos="1306"/>
              </w:tabs>
              <w:jc w:val="both"/>
              <w:rPr>
                <w:rFonts w:ascii="Arial Narrow" w:hAnsi="Arial Narrow"/>
                <w:sz w:val="15"/>
                <w:szCs w:val="15"/>
              </w:rPr>
            </w:pPr>
            <w:r w:rsidRPr="00A46BD9">
              <w:rPr>
                <w:rFonts w:ascii="Arial Narrow" w:hAnsi="Arial Narrow"/>
                <w:sz w:val="15"/>
                <w:szCs w:val="15"/>
              </w:rPr>
              <w:t>Dlhodobý plán rozvoja obrany do roku 2035 sa zameriava na modernizáciu vojenského vybavenia SR, vrátane bojových a nákladných vozidiel či protivzdušnej obrany, s cieľom vybudovať ťažkú mechanizovanú brigádu a posilniť spôsobilosti v rámci Organizácie Severoatlantickej zmluvy (NATO).</w:t>
            </w:r>
          </w:p>
          <w:p w14:paraId="00B249EB" w14:textId="77777777" w:rsidR="00AA20CF" w:rsidRPr="00A46BD9" w:rsidRDefault="00AA20CF" w:rsidP="00CF3F52">
            <w:pPr>
              <w:tabs>
                <w:tab w:val="left" w:pos="1306"/>
              </w:tabs>
              <w:jc w:val="both"/>
              <w:rPr>
                <w:rFonts w:ascii="Arial Narrow" w:hAnsi="Arial Narrow"/>
                <w:sz w:val="15"/>
                <w:szCs w:val="15"/>
              </w:rPr>
            </w:pPr>
          </w:p>
          <w:p w14:paraId="52CA7E62"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Všetkých 152 pásových bojových vozidiel pechoty je zazmluvnených, dodávky zatiaľ neprebehli. Z kontraktu na 76 kolesových obrnených bojových vozidiel 8x8 bolo dodaných 9 ambulantných vozidiel. V rámci česko-slovenskej spolupráce bola podpísaná rámcová dohoda na taktické nákladné vozidlá 6x6 a 8x8. Dodaných bolo 250 vaľníkov 6x6. V decembri 2025 bola podpísaná nová rámcová zmluva na 1286 kusov </w:t>
            </w:r>
            <w:r>
              <w:rPr>
                <w:rFonts w:ascii="Arial Narrow" w:hAnsi="Arial Narrow"/>
                <w:sz w:val="15"/>
                <w:szCs w:val="15"/>
              </w:rPr>
              <w:t>n</w:t>
            </w:r>
            <w:r w:rsidRPr="00AB5939">
              <w:rPr>
                <w:rFonts w:ascii="Arial Narrow" w:hAnsi="Arial Narrow"/>
                <w:sz w:val="15"/>
                <w:szCs w:val="15"/>
              </w:rPr>
              <w:t>ákladných terénnych vozidiel</w:t>
            </w:r>
            <w:r w:rsidRPr="00A46BD9">
              <w:rPr>
                <w:rFonts w:ascii="Arial Narrow" w:hAnsi="Arial Narrow"/>
                <w:sz w:val="15"/>
                <w:szCs w:val="15"/>
              </w:rPr>
              <w:t xml:space="preserve"> </w:t>
            </w:r>
            <w:r>
              <w:rPr>
                <w:rFonts w:ascii="Arial Narrow" w:hAnsi="Arial Narrow"/>
                <w:sz w:val="15"/>
                <w:szCs w:val="15"/>
              </w:rPr>
              <w:t>(N3G)</w:t>
            </w:r>
            <w:r w:rsidRPr="00A46BD9">
              <w:rPr>
                <w:rFonts w:ascii="Arial Narrow" w:hAnsi="Arial Narrow"/>
                <w:sz w:val="15"/>
                <w:szCs w:val="15"/>
              </w:rPr>
              <w:t xml:space="preserve"> v 24 modifikáciách typových druhov.</w:t>
            </w:r>
          </w:p>
        </w:tc>
        <w:tc>
          <w:tcPr>
            <w:tcW w:w="739" w:type="dxa"/>
            <w:tcBorders>
              <w:right w:val="single" w:sz="4" w:space="0" w:color="2EAAE1"/>
            </w:tcBorders>
            <w:vAlign w:val="center"/>
          </w:tcPr>
          <w:p w14:paraId="3D5F506B" w14:textId="77777777" w:rsidR="00AA20CF" w:rsidRPr="00F230A1" w:rsidRDefault="00AA20CF" w:rsidP="00CF3F52">
            <w:pPr>
              <w:jc w:val="center"/>
              <w:rPr>
                <w:rFonts w:ascii="Arial Narrow" w:hAnsi="Arial Narrow"/>
                <w:sz w:val="14"/>
                <w:szCs w:val="14"/>
              </w:rPr>
            </w:pPr>
            <w:r w:rsidRPr="00624FD5">
              <w:rPr>
                <w:rFonts w:ascii="Arial Narrow" w:hAnsi="Arial Narrow"/>
                <w:sz w:val="14"/>
                <w:szCs w:val="14"/>
              </w:rPr>
              <w:t>-</w:t>
            </w:r>
          </w:p>
        </w:tc>
        <w:tc>
          <w:tcPr>
            <w:tcW w:w="992" w:type="dxa"/>
            <w:tcBorders>
              <w:top w:val="single" w:sz="4" w:space="0" w:color="2EAAE1"/>
              <w:left w:val="single" w:sz="4" w:space="0" w:color="2EAAE1"/>
              <w:bottom w:val="single" w:sz="4" w:space="0" w:color="2EAAE1"/>
              <w:right w:val="single" w:sz="4" w:space="0" w:color="00B0F0"/>
            </w:tcBorders>
            <w:vAlign w:val="center"/>
          </w:tcPr>
          <w:p w14:paraId="0C9CDD82"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sz w:val="12"/>
                <w:szCs w:val="12"/>
              </w:rPr>
              <w:t>CSR.2025.1.1</w:t>
            </w:r>
          </w:p>
        </w:tc>
        <w:tc>
          <w:tcPr>
            <w:tcW w:w="850" w:type="dxa"/>
            <w:tcBorders>
              <w:top w:val="single" w:sz="4" w:space="0" w:color="00B0F0"/>
              <w:left w:val="single" w:sz="4" w:space="0" w:color="00B0F0"/>
              <w:bottom w:val="single" w:sz="4" w:space="0" w:color="00B0F0"/>
              <w:right w:val="single" w:sz="4" w:space="0" w:color="00B0F0"/>
            </w:tcBorders>
            <w:vAlign w:val="center"/>
          </w:tcPr>
          <w:p w14:paraId="78EA8663" w14:textId="77777777" w:rsidR="00AA20CF" w:rsidRPr="00EF7276" w:rsidRDefault="00AA20CF" w:rsidP="00CF3F52">
            <w:pPr>
              <w:jc w:val="center"/>
              <w:rPr>
                <w:rFonts w:ascii="Arial Narrow" w:hAnsi="Arial Narrow" w:cs="Calibri"/>
                <w:sz w:val="12"/>
                <w:szCs w:val="12"/>
              </w:rPr>
            </w:pPr>
            <w:r w:rsidRPr="00EF7276">
              <w:rPr>
                <w:rFonts w:ascii="Arial Narrow" w:hAnsi="Arial Narrow" w:cs="Calibri"/>
                <w:sz w:val="12"/>
                <w:szCs w:val="12"/>
              </w:rPr>
              <w:t>Budovanie obranných kapacít</w:t>
            </w:r>
          </w:p>
        </w:tc>
        <w:tc>
          <w:tcPr>
            <w:tcW w:w="567" w:type="dxa"/>
            <w:tcBorders>
              <w:left w:val="single" w:sz="4" w:space="0" w:color="00B0F0"/>
              <w:right w:val="single" w:sz="4" w:space="0" w:color="00B0F0"/>
            </w:tcBorders>
            <w:vAlign w:val="center"/>
          </w:tcPr>
          <w:p w14:paraId="58326CB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p w14:paraId="21817FE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16</w:t>
            </w:r>
          </w:p>
        </w:tc>
        <w:tc>
          <w:tcPr>
            <w:tcW w:w="709" w:type="dxa"/>
            <w:tcBorders>
              <w:top w:val="single" w:sz="4" w:space="0" w:color="00B0F0"/>
              <w:left w:val="single" w:sz="4" w:space="0" w:color="00B0F0"/>
              <w:bottom w:val="single" w:sz="4" w:space="0" w:color="00B0F0"/>
              <w:right w:val="single" w:sz="4" w:space="0" w:color="00B0F0"/>
            </w:tcBorders>
            <w:vAlign w:val="center"/>
          </w:tcPr>
          <w:p w14:paraId="0015599B" w14:textId="77777777" w:rsidR="00AA20CF" w:rsidRPr="00EF7276" w:rsidRDefault="00AA20CF" w:rsidP="00CF3F52">
            <w:pPr>
              <w:jc w:val="center"/>
              <w:rPr>
                <w:rFonts w:ascii="Arial Narrow" w:hAnsi="Arial Narrow" w:cs="Calibri"/>
                <w:color w:val="000000"/>
                <w:sz w:val="12"/>
                <w:szCs w:val="12"/>
              </w:rPr>
            </w:pPr>
          </w:p>
        </w:tc>
        <w:tc>
          <w:tcPr>
            <w:tcW w:w="992" w:type="dxa"/>
            <w:tcBorders>
              <w:left w:val="single" w:sz="4" w:space="0" w:color="00B0F0"/>
            </w:tcBorders>
            <w:vAlign w:val="center"/>
          </w:tcPr>
          <w:p w14:paraId="4E1B2CC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bl>
    <w:p w14:paraId="65A3D378" w14:textId="77777777" w:rsidR="00AA20CF" w:rsidRPr="00B122C3" w:rsidRDefault="00AA20CF" w:rsidP="00AA20CF">
      <w:pPr>
        <w:spacing w:before="240" w:after="0"/>
        <w:jc w:val="both"/>
        <w:rPr>
          <w:rFonts w:ascii="Arial Narrow" w:eastAsia="Arial Narrow" w:hAnsi="Arial Narrow" w:cs="Arial Narrow"/>
          <w:bCs/>
          <w:i/>
          <w:iCs/>
          <w:sz w:val="18"/>
          <w:szCs w:val="18"/>
          <w:bdr w:val="nil"/>
          <w:lang w:eastAsia="sk-SK"/>
        </w:rPr>
      </w:pPr>
      <w:r w:rsidRPr="00B122C3">
        <w:rPr>
          <w:rFonts w:ascii="Arial Narrow" w:eastAsia="Arial Narrow" w:hAnsi="Arial Narrow" w:cs="Arial Narrow"/>
          <w:bCs/>
          <w:i/>
          <w:iCs/>
          <w:sz w:val="18"/>
          <w:szCs w:val="18"/>
          <w:bdr w:val="nil"/>
          <w:lang w:eastAsia="sk-SK"/>
        </w:rPr>
        <w:lastRenderedPageBreak/>
        <w:t xml:space="preserve">Poznámka: Implementácia prebieha – opatrenie je rozpracované bez možnosti posúdenia stavu implementácie voči záväznému harmonogramu a konkrétnym míľnikom (opatrenia mimo POO). Implementácia prebieha podľa plánu – opatrenie je rozpracované a jeho plnenie je v súlade so záväzným harmonogramom a stanovenými míľnikmi v POO. Oneskorené – plnenie opatrenia zaostáva za záväzným harmonogramom a stanovenými míľnikmi alebo oproti predchádzajúcemu roku nebol dosiahnutý výraznejší pokrok v implementácii. Dokončené – opatrenie bolo implementované v plnom rozsahu v súlade s pôvodným zámerom. Nedokončené – od realizácie opatrenia sa upustilo alebo jeho plnenie nebolo ukončené v plnom rozsahu. </w:t>
      </w:r>
    </w:p>
    <w:p w14:paraId="58F49E60" w14:textId="77777777" w:rsidR="00AA20CF" w:rsidRPr="00B122C3" w:rsidRDefault="00AA20CF" w:rsidP="00AA20CF">
      <w:pPr>
        <w:spacing w:before="40" w:after="0"/>
        <w:jc w:val="both"/>
        <w:rPr>
          <w:rFonts w:ascii="Arial Narrow" w:eastAsia="Arial Narrow" w:hAnsi="Arial Narrow" w:cs="Arial Narrow"/>
          <w:bCs/>
          <w:i/>
          <w:iCs/>
          <w:sz w:val="18"/>
          <w:szCs w:val="18"/>
          <w:bdr w:val="nil"/>
          <w:lang w:eastAsia="sk-SK"/>
        </w:rPr>
      </w:pPr>
      <w:r w:rsidRPr="00B122C3">
        <w:rPr>
          <w:rFonts w:ascii="Arial Narrow" w:eastAsia="Arial Narrow" w:hAnsi="Arial Narrow" w:cs="Arial Narrow"/>
          <w:bCs/>
          <w:i/>
          <w:iCs/>
          <w:sz w:val="18"/>
          <w:szCs w:val="18"/>
          <w:bdr w:val="nil"/>
          <w:lang w:eastAsia="sk-SK"/>
        </w:rPr>
        <w:t>Stav implementácie opatrení je hodnotený primárne z procesného hľadiska, nie z pohľadu vecného obsahu či kvality opatrení.</w:t>
      </w:r>
    </w:p>
    <w:p w14:paraId="3B6CA569" w14:textId="2D91D691" w:rsidR="00AA20CF" w:rsidRPr="00A46BD9" w:rsidRDefault="00AA20CF" w:rsidP="00AA20CF">
      <w:pPr>
        <w:spacing w:before="240"/>
        <w:jc w:val="both"/>
        <w:rPr>
          <w:rFonts w:ascii="Arial Narrow" w:eastAsia="Calibri" w:hAnsi="Arial Narrow"/>
          <w:b/>
          <w:color w:val="2C9ADC"/>
        </w:rPr>
      </w:pPr>
      <w:bookmarkStart w:id="56" w:name="_Toc228177379"/>
      <w:r w:rsidRPr="00A46BD9">
        <w:rPr>
          <w:rFonts w:ascii="Arial Narrow" w:eastAsia="Arial Narrow" w:hAnsi="Arial Narrow" w:cs="Arial Narrow"/>
          <w:b/>
          <w:color w:val="2C9ADC"/>
          <w:bdr w:val="nil"/>
          <w:lang w:eastAsia="sk-SK"/>
        </w:rPr>
        <w:t xml:space="preserve">TABUĽKA </w:t>
      </w:r>
      <w:r w:rsidRPr="00A46BD9">
        <w:rPr>
          <w:rFonts w:ascii="Arial Narrow" w:eastAsia="Arial Narrow" w:hAnsi="Arial Narrow" w:cs="Arial Narrow"/>
          <w:b/>
          <w:color w:val="2C9ADC"/>
          <w:bdr w:val="nil"/>
          <w:lang w:eastAsia="sk-SK"/>
        </w:rPr>
        <w:fldChar w:fldCharType="begin"/>
      </w:r>
      <w:r w:rsidRPr="00A46BD9">
        <w:rPr>
          <w:rFonts w:ascii="Arial Narrow" w:eastAsia="Arial Narrow" w:hAnsi="Arial Narrow" w:cs="Arial Narrow"/>
          <w:b/>
          <w:color w:val="2C9ADC"/>
          <w:bdr w:val="nil"/>
          <w:lang w:eastAsia="sk-SK"/>
        </w:rPr>
        <w:instrText xml:space="preserve"> SEQ TABUĽKA \* ARABIC </w:instrText>
      </w:r>
      <w:r w:rsidRPr="00A46BD9">
        <w:rPr>
          <w:rFonts w:ascii="Arial Narrow" w:eastAsia="Arial Narrow" w:hAnsi="Arial Narrow" w:cs="Arial Narrow"/>
          <w:b/>
          <w:color w:val="2C9ADC"/>
          <w:bdr w:val="nil"/>
          <w:lang w:eastAsia="sk-SK"/>
        </w:rPr>
        <w:fldChar w:fldCharType="separate"/>
      </w:r>
      <w:r w:rsidR="008765E2">
        <w:rPr>
          <w:rFonts w:ascii="Arial Narrow" w:eastAsia="Arial Narrow" w:hAnsi="Arial Narrow" w:cs="Arial Narrow"/>
          <w:b/>
          <w:noProof/>
          <w:color w:val="2C9ADC"/>
          <w:bdr w:val="nil"/>
          <w:lang w:eastAsia="sk-SK"/>
        </w:rPr>
        <w:t>6</w:t>
      </w:r>
      <w:r w:rsidRPr="00A46BD9">
        <w:rPr>
          <w:rFonts w:ascii="Arial Narrow" w:eastAsia="Arial Narrow" w:hAnsi="Arial Narrow" w:cs="Arial Narrow"/>
          <w:b/>
          <w:color w:val="2C9ADC"/>
          <w:bdr w:val="nil"/>
          <w:lang w:eastAsia="sk-SK"/>
        </w:rPr>
        <w:fldChar w:fldCharType="end"/>
      </w:r>
      <w:r w:rsidRPr="00A46BD9">
        <w:rPr>
          <w:rFonts w:ascii="Arial Narrow" w:eastAsia="Calibri" w:hAnsi="Arial Narrow"/>
          <w:b/>
          <w:color w:val="2C9ADC"/>
        </w:rPr>
        <w:t xml:space="preserve"> – Nové reformy a investície</w:t>
      </w:r>
      <w:bookmarkEnd w:id="56"/>
    </w:p>
    <w:tbl>
      <w:tblPr>
        <w:tblStyle w:val="Mriekatabuky"/>
        <w:tblW w:w="9070" w:type="dxa"/>
        <w:tblInd w:w="-5" w:type="dxa"/>
        <w:tblBorders>
          <w:top w:val="single" w:sz="4" w:space="0" w:color="2EAAE1"/>
          <w:left w:val="single" w:sz="4" w:space="0" w:color="2EAAE1"/>
          <w:bottom w:val="single" w:sz="4" w:space="0" w:color="2EAAE1"/>
          <w:right w:val="single" w:sz="4" w:space="0" w:color="2EAAE1"/>
          <w:insideH w:val="single" w:sz="4" w:space="0" w:color="2EAAE1"/>
          <w:insideV w:val="single" w:sz="4" w:space="0" w:color="2EAAE1"/>
        </w:tblBorders>
        <w:tblLayout w:type="fixed"/>
        <w:tblLook w:val="04A0" w:firstRow="1" w:lastRow="0" w:firstColumn="1" w:lastColumn="0" w:noHBand="0" w:noVBand="1"/>
      </w:tblPr>
      <w:tblGrid>
        <w:gridCol w:w="283"/>
        <w:gridCol w:w="1247"/>
        <w:gridCol w:w="2693"/>
        <w:gridCol w:w="737"/>
        <w:gridCol w:w="992"/>
        <w:gridCol w:w="850"/>
        <w:gridCol w:w="567"/>
        <w:gridCol w:w="709"/>
        <w:gridCol w:w="992"/>
      </w:tblGrid>
      <w:tr w:rsidR="00AA20CF" w:rsidRPr="00A46BD9" w14:paraId="6ECB65F5" w14:textId="77777777" w:rsidTr="00CF3F52">
        <w:trPr>
          <w:trHeight w:val="748"/>
        </w:trPr>
        <w:tc>
          <w:tcPr>
            <w:tcW w:w="283" w:type="dxa"/>
            <w:shd w:val="clear" w:color="auto" w:fill="2EAAE1"/>
          </w:tcPr>
          <w:p w14:paraId="5212937F" w14:textId="77777777" w:rsidR="00AA20CF" w:rsidRPr="00A46BD9" w:rsidRDefault="00AA20CF" w:rsidP="00CF3F52">
            <w:pPr>
              <w:spacing w:line="140" w:lineRule="exact"/>
              <w:jc w:val="center"/>
              <w:rPr>
                <w:rFonts w:ascii="Arial Narrow" w:hAnsi="Arial Narrow"/>
                <w:b/>
                <w:color w:val="FFFFFF" w:themeColor="background1"/>
                <w:sz w:val="16"/>
                <w:szCs w:val="16"/>
              </w:rPr>
            </w:pPr>
          </w:p>
        </w:tc>
        <w:tc>
          <w:tcPr>
            <w:tcW w:w="1247" w:type="dxa"/>
            <w:shd w:val="clear" w:color="auto" w:fill="2EAAE1"/>
            <w:vAlign w:val="center"/>
          </w:tcPr>
          <w:p w14:paraId="2DB14D9F"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Reforma/</w:t>
            </w:r>
          </w:p>
          <w:p w14:paraId="05FBA87A"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Investícia</w:t>
            </w:r>
          </w:p>
        </w:tc>
        <w:tc>
          <w:tcPr>
            <w:tcW w:w="2693" w:type="dxa"/>
            <w:shd w:val="clear" w:color="auto" w:fill="2EAAE1"/>
            <w:vAlign w:val="center"/>
          </w:tcPr>
          <w:p w14:paraId="227B1063"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Popis opatrenia a stavu implementácie</w:t>
            </w:r>
          </w:p>
        </w:tc>
        <w:tc>
          <w:tcPr>
            <w:tcW w:w="737" w:type="dxa"/>
            <w:shd w:val="clear" w:color="auto" w:fill="2EAAE1"/>
            <w:vAlign w:val="center"/>
          </w:tcPr>
          <w:p w14:paraId="6630650D"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POO/</w:t>
            </w:r>
          </w:p>
          <w:p w14:paraId="69A1A1AD"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PSK</w:t>
            </w:r>
          </w:p>
        </w:tc>
        <w:tc>
          <w:tcPr>
            <w:tcW w:w="992" w:type="dxa"/>
            <w:tcBorders>
              <w:bottom w:val="single" w:sz="4" w:space="0" w:color="2EAAE1"/>
            </w:tcBorders>
            <w:shd w:val="clear" w:color="auto" w:fill="2EAAE1"/>
            <w:vAlign w:val="center"/>
          </w:tcPr>
          <w:p w14:paraId="78C450A5"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CSR</w:t>
            </w:r>
          </w:p>
        </w:tc>
        <w:tc>
          <w:tcPr>
            <w:tcW w:w="850" w:type="dxa"/>
            <w:shd w:val="clear" w:color="auto" w:fill="2EAAE1"/>
            <w:vAlign w:val="center"/>
          </w:tcPr>
          <w:p w14:paraId="1E56D23D"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CP</w:t>
            </w:r>
          </w:p>
        </w:tc>
        <w:tc>
          <w:tcPr>
            <w:tcW w:w="567" w:type="dxa"/>
            <w:shd w:val="clear" w:color="auto" w:fill="2EAAE1"/>
            <w:vAlign w:val="center"/>
          </w:tcPr>
          <w:p w14:paraId="03CC313A"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SDG</w:t>
            </w:r>
          </w:p>
        </w:tc>
        <w:tc>
          <w:tcPr>
            <w:tcW w:w="709" w:type="dxa"/>
            <w:shd w:val="clear" w:color="auto" w:fill="2EAAE1"/>
            <w:vAlign w:val="center"/>
          </w:tcPr>
          <w:p w14:paraId="4B8920FD"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EPSP</w:t>
            </w:r>
          </w:p>
        </w:tc>
        <w:tc>
          <w:tcPr>
            <w:tcW w:w="992" w:type="dxa"/>
            <w:shd w:val="clear" w:color="auto" w:fill="2EAAE1"/>
            <w:vAlign w:val="center"/>
          </w:tcPr>
          <w:p w14:paraId="66C3561C"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Status</w:t>
            </w:r>
          </w:p>
        </w:tc>
      </w:tr>
      <w:tr w:rsidR="00AA20CF" w:rsidRPr="00A46BD9" w14:paraId="164CE425" w14:textId="77777777" w:rsidTr="00CF3F52">
        <w:trPr>
          <w:trHeight w:val="263"/>
        </w:trPr>
        <w:tc>
          <w:tcPr>
            <w:tcW w:w="283" w:type="dxa"/>
            <w:shd w:val="clear" w:color="auto" w:fill="808080" w:themeFill="background1" w:themeFillShade="80"/>
            <w:textDirection w:val="btLr"/>
          </w:tcPr>
          <w:p w14:paraId="0C135687" w14:textId="77777777" w:rsidR="00AA20CF" w:rsidRPr="00A46BD9" w:rsidRDefault="00AA20CF" w:rsidP="00CF3F52">
            <w:pPr>
              <w:spacing w:line="140" w:lineRule="exact"/>
              <w:ind w:left="113" w:right="113"/>
              <w:jc w:val="center"/>
              <w:rPr>
                <w:rFonts w:ascii="Arial Narrow" w:hAnsi="Arial Narrow"/>
                <w:b/>
                <w:color w:val="FFFFFF" w:themeColor="background1"/>
                <w:sz w:val="16"/>
                <w:szCs w:val="16"/>
              </w:rPr>
            </w:pPr>
            <w:r w:rsidRPr="00A46BD9">
              <w:rPr>
                <w:rFonts w:ascii="Arial Narrow" w:hAnsi="Arial Narrow"/>
                <w:b/>
                <w:color w:val="FFFFFF" w:themeColor="background1"/>
                <w:sz w:val="16"/>
                <w:szCs w:val="16"/>
              </w:rPr>
              <w:t>Verejné financie</w:t>
            </w:r>
          </w:p>
        </w:tc>
        <w:tc>
          <w:tcPr>
            <w:tcW w:w="1247" w:type="dxa"/>
            <w:vAlign w:val="center"/>
          </w:tcPr>
          <w:p w14:paraId="5CEB2985" w14:textId="77777777" w:rsidR="00AA20CF" w:rsidRPr="00A46BD9" w:rsidRDefault="00AA20CF" w:rsidP="00CF3F52">
            <w:pPr>
              <w:jc w:val="center"/>
              <w:rPr>
                <w:rFonts w:ascii="Arial Narrow" w:hAnsi="Arial Narrow"/>
                <w:sz w:val="15"/>
                <w:szCs w:val="15"/>
              </w:rPr>
            </w:pPr>
            <w:r>
              <w:rPr>
                <w:rFonts w:ascii="Arial Narrow" w:hAnsi="Arial Narrow"/>
                <w:sz w:val="15"/>
                <w:szCs w:val="15"/>
              </w:rPr>
              <w:t>O</w:t>
            </w:r>
            <w:r w:rsidRPr="00A46BD9">
              <w:rPr>
                <w:rFonts w:ascii="Arial Narrow" w:hAnsi="Arial Narrow"/>
                <w:sz w:val="15"/>
                <w:szCs w:val="15"/>
              </w:rPr>
              <w:t>patrenia na zefektívnenie systému a boj proti podvodom</w:t>
            </w:r>
          </w:p>
        </w:tc>
        <w:tc>
          <w:tcPr>
            <w:tcW w:w="2693" w:type="dxa"/>
          </w:tcPr>
          <w:p w14:paraId="44A4C129"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Cieľom súboru opatrení je zvýšiť efektívnosť výberu daní a eliminovať daňové podvody prostredníctvom zavedenia registrácie skupín ex offo (DPH), paušálneho odpočítania DPH pri motorových vozidlách (50</w:t>
            </w:r>
            <w:r>
              <w:rPr>
                <w:rFonts w:ascii="Arial Narrow" w:hAnsi="Arial Narrow"/>
                <w:sz w:val="15"/>
                <w:szCs w:val="15"/>
              </w:rPr>
              <w:t xml:space="preserve"> </w:t>
            </w:r>
            <w:r w:rsidRPr="00A46BD9">
              <w:rPr>
                <w:rFonts w:ascii="Arial Narrow" w:hAnsi="Arial Narrow"/>
                <w:sz w:val="15"/>
                <w:szCs w:val="15"/>
              </w:rPr>
              <w:t xml:space="preserve">%), QR platieb, softvérovej </w:t>
            </w:r>
            <w:r>
              <w:rPr>
                <w:rFonts w:ascii="Arial Narrow" w:hAnsi="Arial Narrow"/>
                <w:sz w:val="15"/>
                <w:szCs w:val="15"/>
              </w:rPr>
              <w:t>overovacej registračnej pokladnice (</w:t>
            </w:r>
            <w:r w:rsidRPr="00A46BD9">
              <w:rPr>
                <w:rFonts w:ascii="Arial Narrow" w:hAnsi="Arial Narrow"/>
                <w:sz w:val="15"/>
                <w:szCs w:val="15"/>
              </w:rPr>
              <w:t>ORP</w:t>
            </w:r>
            <w:r>
              <w:rPr>
                <w:rFonts w:ascii="Arial Narrow" w:hAnsi="Arial Narrow"/>
                <w:sz w:val="15"/>
                <w:szCs w:val="15"/>
              </w:rPr>
              <w:t>)</w:t>
            </w:r>
            <w:r w:rsidRPr="00A46BD9">
              <w:rPr>
                <w:rFonts w:ascii="Arial Narrow" w:hAnsi="Arial Narrow"/>
                <w:sz w:val="15"/>
                <w:szCs w:val="15"/>
              </w:rPr>
              <w:t>, otvorenia E-kasy tretím stranám, zníženia limitu hotovostných platieb (5000 eur) a legislatívneho zakotvenia analytických kompetencií F</w:t>
            </w:r>
            <w:r>
              <w:rPr>
                <w:rFonts w:ascii="Arial Narrow" w:hAnsi="Arial Narrow"/>
                <w:sz w:val="15"/>
                <w:szCs w:val="15"/>
              </w:rPr>
              <w:t>S</w:t>
            </w:r>
            <w:r w:rsidRPr="00A46BD9">
              <w:rPr>
                <w:rFonts w:ascii="Arial Narrow" w:hAnsi="Arial Narrow"/>
                <w:sz w:val="15"/>
                <w:szCs w:val="15"/>
              </w:rPr>
              <w:t xml:space="preserve"> SR (boj proti podvodom, identifikácia rizika porušovania právnych predpisov).</w:t>
            </w:r>
          </w:p>
          <w:p w14:paraId="7F9326AB" w14:textId="77777777" w:rsidR="00AA20CF" w:rsidRPr="00A46BD9" w:rsidRDefault="00AA20CF" w:rsidP="00CF3F52">
            <w:pPr>
              <w:jc w:val="both"/>
              <w:rPr>
                <w:rFonts w:ascii="Arial Narrow" w:hAnsi="Arial Narrow"/>
                <w:sz w:val="15"/>
                <w:szCs w:val="15"/>
              </w:rPr>
            </w:pPr>
          </w:p>
          <w:p w14:paraId="4B3F7A16" w14:textId="77777777" w:rsidR="00AA20CF" w:rsidRPr="00A46BD9" w:rsidRDefault="00AA20CF" w:rsidP="00CF3F52">
            <w:pPr>
              <w:jc w:val="both"/>
              <w:rPr>
                <w:rFonts w:ascii="Arial Narrow" w:hAnsi="Arial Narrow"/>
                <w:sz w:val="15"/>
                <w:szCs w:val="15"/>
              </w:rPr>
            </w:pPr>
            <w:hyperlink r:id="rId70" w:history="1">
              <w:r w:rsidRPr="009A6CB9">
                <w:rPr>
                  <w:rStyle w:val="Hypertextovprepojenie"/>
                  <w:rFonts w:ascii="Arial Narrow" w:hAnsi="Arial Narrow"/>
                  <w:sz w:val="15"/>
                  <w:szCs w:val="15"/>
                </w:rPr>
                <w:t>Opatrenia v oblasti DPH</w:t>
              </w:r>
            </w:hyperlink>
            <w:r w:rsidRPr="00A46BD9">
              <w:rPr>
                <w:rFonts w:ascii="Arial Narrow" w:hAnsi="Arial Narrow"/>
                <w:sz w:val="15"/>
                <w:szCs w:val="15"/>
              </w:rPr>
              <w:t xml:space="preserve"> a </w:t>
            </w:r>
            <w:hyperlink r:id="rId71" w:history="1">
              <w:r w:rsidRPr="009A6CB9">
                <w:rPr>
                  <w:rStyle w:val="Hypertextovprepojenie"/>
                  <w:rFonts w:ascii="Arial Narrow" w:hAnsi="Arial Narrow"/>
                  <w:sz w:val="15"/>
                  <w:szCs w:val="15"/>
                </w:rPr>
                <w:t>úpravy evidencie tržieb, hotovostných platieb a zavedenie QR platieb</w:t>
              </w:r>
            </w:hyperlink>
            <w:r w:rsidRPr="00C6573B">
              <w:rPr>
                <w:rFonts w:ascii="Arial Narrow" w:hAnsi="Arial Narrow"/>
                <w:sz w:val="15"/>
                <w:szCs w:val="15"/>
              </w:rPr>
              <w:t xml:space="preserve"> </w:t>
            </w:r>
            <w:r>
              <w:rPr>
                <w:rFonts w:ascii="Arial Narrow" w:hAnsi="Arial Narrow"/>
                <w:sz w:val="15"/>
                <w:szCs w:val="15"/>
              </w:rPr>
              <w:t>nadobudli účinnosť</w:t>
            </w:r>
            <w:r w:rsidRPr="00A46BD9">
              <w:rPr>
                <w:rFonts w:ascii="Arial Narrow" w:hAnsi="Arial Narrow"/>
                <w:sz w:val="15"/>
                <w:szCs w:val="15"/>
              </w:rPr>
              <w:t xml:space="preserve"> 1. januára 2026. </w:t>
            </w:r>
            <w:r w:rsidRPr="00E74401">
              <w:rPr>
                <w:rFonts w:ascii="Arial Narrow" w:hAnsi="Arial Narrow"/>
                <w:sz w:val="15"/>
                <w:szCs w:val="15"/>
              </w:rPr>
              <w:t>F</w:t>
            </w:r>
            <w:r>
              <w:rPr>
                <w:rFonts w:ascii="Arial Narrow" w:hAnsi="Arial Narrow"/>
                <w:sz w:val="15"/>
                <w:szCs w:val="15"/>
              </w:rPr>
              <w:t>S</w:t>
            </w:r>
            <w:r w:rsidRPr="00E74401">
              <w:rPr>
                <w:rFonts w:ascii="Arial Narrow" w:hAnsi="Arial Narrow"/>
                <w:sz w:val="15"/>
                <w:szCs w:val="15"/>
              </w:rPr>
              <w:t xml:space="preserve"> SR v spolupráci s akademickým</w:t>
            </w:r>
            <w:r>
              <w:rPr>
                <w:rFonts w:ascii="Arial Narrow" w:hAnsi="Arial Narrow"/>
                <w:sz w:val="15"/>
                <w:szCs w:val="15"/>
              </w:rPr>
              <w:t xml:space="preserve"> </w:t>
            </w:r>
            <w:r w:rsidRPr="00E74401">
              <w:rPr>
                <w:rFonts w:ascii="Arial Narrow" w:hAnsi="Arial Narrow"/>
                <w:sz w:val="15"/>
                <w:szCs w:val="15"/>
              </w:rPr>
              <w:t>a IT sektorom pripravil</w:t>
            </w:r>
            <w:r>
              <w:rPr>
                <w:rFonts w:ascii="Arial Narrow" w:hAnsi="Arial Narrow"/>
                <w:sz w:val="15"/>
                <w:szCs w:val="15"/>
              </w:rPr>
              <w:t>a</w:t>
            </w:r>
            <w:r w:rsidRPr="00E74401">
              <w:rPr>
                <w:rFonts w:ascii="Arial Narrow" w:hAnsi="Arial Narrow"/>
                <w:sz w:val="15"/>
                <w:szCs w:val="15"/>
              </w:rPr>
              <w:t xml:space="preserve"> systém</w:t>
            </w:r>
            <w:r>
              <w:rPr>
                <w:rFonts w:ascii="Arial Narrow" w:hAnsi="Arial Narrow"/>
                <w:sz w:val="15"/>
                <w:szCs w:val="15"/>
              </w:rPr>
              <w:t xml:space="preserve"> </w:t>
            </w:r>
            <w:r w:rsidRPr="00E74401">
              <w:rPr>
                <w:rFonts w:ascii="Arial Narrow" w:hAnsi="Arial Narrow"/>
                <w:sz w:val="15"/>
                <w:szCs w:val="15"/>
              </w:rPr>
              <w:t>notifikáci</w:t>
            </w:r>
            <w:r>
              <w:rPr>
                <w:rFonts w:ascii="Arial Narrow" w:hAnsi="Arial Narrow"/>
                <w:sz w:val="15"/>
                <w:szCs w:val="15"/>
              </w:rPr>
              <w:t>í</w:t>
            </w:r>
            <w:r w:rsidRPr="00E74401">
              <w:rPr>
                <w:rFonts w:ascii="Arial Narrow" w:hAnsi="Arial Narrow"/>
                <w:sz w:val="15"/>
                <w:szCs w:val="15"/>
              </w:rPr>
              <w:t xml:space="preserve"> okamžitých platieb, ktorý bol v 2. polovici roka 2025 v</w:t>
            </w:r>
            <w:r>
              <w:rPr>
                <w:rFonts w:ascii="Arial Narrow" w:hAnsi="Arial Narrow"/>
                <w:sz w:val="15"/>
                <w:szCs w:val="15"/>
              </w:rPr>
              <w:t> </w:t>
            </w:r>
            <w:r w:rsidRPr="00E74401">
              <w:rPr>
                <w:rFonts w:ascii="Arial Narrow" w:hAnsi="Arial Narrow"/>
                <w:sz w:val="15"/>
                <w:szCs w:val="15"/>
              </w:rPr>
              <w:t>testova</w:t>
            </w:r>
            <w:r>
              <w:rPr>
                <w:rFonts w:ascii="Arial Narrow" w:hAnsi="Arial Narrow"/>
                <w:sz w:val="15"/>
                <w:szCs w:val="15"/>
              </w:rPr>
              <w:t>cej fáze, pričom jeho spustenie</w:t>
            </w:r>
            <w:r w:rsidRPr="00E74401">
              <w:rPr>
                <w:rFonts w:ascii="Arial Narrow" w:hAnsi="Arial Narrow"/>
                <w:sz w:val="15"/>
                <w:szCs w:val="15"/>
              </w:rPr>
              <w:t xml:space="preserve"> </w:t>
            </w:r>
            <w:r>
              <w:rPr>
                <w:rFonts w:ascii="Arial Narrow" w:hAnsi="Arial Narrow"/>
                <w:sz w:val="15"/>
                <w:szCs w:val="15"/>
              </w:rPr>
              <w:t>do</w:t>
            </w:r>
            <w:r w:rsidRPr="00E74401">
              <w:rPr>
                <w:rFonts w:ascii="Arial Narrow" w:hAnsi="Arial Narrow"/>
                <w:sz w:val="15"/>
                <w:szCs w:val="15"/>
              </w:rPr>
              <w:t xml:space="preserve"> produkčn</w:t>
            </w:r>
            <w:r>
              <w:rPr>
                <w:rFonts w:ascii="Arial Narrow" w:hAnsi="Arial Narrow"/>
                <w:sz w:val="15"/>
                <w:szCs w:val="15"/>
              </w:rPr>
              <w:t>ej</w:t>
            </w:r>
            <w:r w:rsidRPr="00E74401">
              <w:rPr>
                <w:rFonts w:ascii="Arial Narrow" w:hAnsi="Arial Narrow"/>
                <w:sz w:val="15"/>
                <w:szCs w:val="15"/>
              </w:rPr>
              <w:t xml:space="preserve"> prevádzk</w:t>
            </w:r>
            <w:r>
              <w:rPr>
                <w:rFonts w:ascii="Arial Narrow" w:hAnsi="Arial Narrow"/>
                <w:sz w:val="15"/>
                <w:szCs w:val="15"/>
              </w:rPr>
              <w:t xml:space="preserve">y sa plánuje </w:t>
            </w:r>
            <w:r w:rsidRPr="00E74401">
              <w:rPr>
                <w:rFonts w:ascii="Arial Narrow" w:hAnsi="Arial Narrow"/>
                <w:sz w:val="15"/>
                <w:szCs w:val="15"/>
              </w:rPr>
              <w:t>v 1. štvrťroku 2026.</w:t>
            </w:r>
            <w:r>
              <w:rPr>
                <w:rFonts w:ascii="Arial Narrow" w:hAnsi="Arial Narrow"/>
                <w:sz w:val="15"/>
                <w:szCs w:val="15"/>
              </w:rPr>
              <w:t xml:space="preserve"> Zároveň</w:t>
            </w:r>
            <w:r w:rsidRPr="00E74401">
              <w:rPr>
                <w:rFonts w:ascii="Arial Narrow" w:hAnsi="Arial Narrow"/>
                <w:sz w:val="15"/>
                <w:szCs w:val="15"/>
              </w:rPr>
              <w:t xml:space="preserve"> sa </w:t>
            </w:r>
            <w:r>
              <w:rPr>
                <w:rFonts w:ascii="Arial Narrow" w:hAnsi="Arial Narrow"/>
                <w:sz w:val="15"/>
                <w:szCs w:val="15"/>
              </w:rPr>
              <w:t>pripravuje r</w:t>
            </w:r>
            <w:r w:rsidRPr="00E74401">
              <w:rPr>
                <w:rFonts w:ascii="Arial Narrow" w:hAnsi="Arial Narrow"/>
                <w:sz w:val="15"/>
                <w:szCs w:val="15"/>
              </w:rPr>
              <w:t xml:space="preserve">ozšírenie analytických kompetencií FS SR v </w:t>
            </w:r>
            <w:hyperlink r:id="rId72" w:history="1">
              <w:r w:rsidRPr="00E74401">
                <w:rPr>
                  <w:rStyle w:val="Hypertextovprepojenie"/>
                  <w:rFonts w:ascii="Arial Narrow" w:hAnsi="Arial Narrow"/>
                  <w:sz w:val="15"/>
                  <w:szCs w:val="15"/>
                </w:rPr>
                <w:t>zákone o finančnej správe</w:t>
              </w:r>
            </w:hyperlink>
            <w:r w:rsidRPr="00E74401">
              <w:rPr>
                <w:rFonts w:ascii="Arial Narrow" w:hAnsi="Arial Narrow"/>
                <w:sz w:val="15"/>
                <w:szCs w:val="15"/>
              </w:rPr>
              <w:t>.</w:t>
            </w:r>
          </w:p>
        </w:tc>
        <w:tc>
          <w:tcPr>
            <w:tcW w:w="737" w:type="dxa"/>
            <w:vAlign w:val="center"/>
          </w:tcPr>
          <w:p w14:paraId="5D3B8385"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4F3163E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CSR.2025.1.5</w:t>
            </w:r>
          </w:p>
        </w:tc>
        <w:tc>
          <w:tcPr>
            <w:tcW w:w="850" w:type="dxa"/>
            <w:vAlign w:val="center"/>
          </w:tcPr>
          <w:p w14:paraId="34D16B0E" w14:textId="77777777" w:rsidR="00AA20CF" w:rsidRPr="00EF7276" w:rsidRDefault="00AA20CF" w:rsidP="00CF3F52">
            <w:pPr>
              <w:jc w:val="center"/>
              <w:rPr>
                <w:sz w:val="12"/>
                <w:szCs w:val="12"/>
              </w:rPr>
            </w:pPr>
            <w:r w:rsidRPr="00EF7276">
              <w:rPr>
                <w:rFonts w:ascii="Arial Narrow" w:hAnsi="Arial Narrow" w:cs="Calibri"/>
                <w:sz w:val="12"/>
                <w:szCs w:val="12"/>
              </w:rPr>
              <w:t>Posilnenie sociálnej a hospodárskej odolnosti</w:t>
            </w:r>
          </w:p>
        </w:tc>
        <w:tc>
          <w:tcPr>
            <w:tcW w:w="567" w:type="dxa"/>
            <w:vAlign w:val="center"/>
          </w:tcPr>
          <w:p w14:paraId="6104DA6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16</w:t>
            </w:r>
          </w:p>
        </w:tc>
        <w:tc>
          <w:tcPr>
            <w:tcW w:w="709" w:type="dxa"/>
            <w:vAlign w:val="center"/>
          </w:tcPr>
          <w:p w14:paraId="123B1429" w14:textId="77777777" w:rsidR="00AA20CF" w:rsidRPr="00EF7276" w:rsidRDefault="00AA20CF" w:rsidP="00CF3F52">
            <w:pPr>
              <w:jc w:val="center"/>
              <w:rPr>
                <w:sz w:val="12"/>
                <w:szCs w:val="12"/>
              </w:rPr>
            </w:pPr>
            <w:r w:rsidRPr="00EF7276">
              <w:rPr>
                <w:sz w:val="12"/>
                <w:szCs w:val="12"/>
              </w:rPr>
              <w:t>-</w:t>
            </w:r>
          </w:p>
        </w:tc>
        <w:tc>
          <w:tcPr>
            <w:tcW w:w="992" w:type="dxa"/>
            <w:vAlign w:val="center"/>
          </w:tcPr>
          <w:p w14:paraId="7F811699"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16B1BC2D" w14:textId="77777777" w:rsidTr="00CF3F52">
        <w:trPr>
          <w:trHeight w:val="263"/>
        </w:trPr>
        <w:tc>
          <w:tcPr>
            <w:tcW w:w="283" w:type="dxa"/>
            <w:shd w:val="clear" w:color="auto" w:fill="1AA380"/>
            <w:textDirection w:val="btLr"/>
          </w:tcPr>
          <w:p w14:paraId="1ED91CF6" w14:textId="77777777" w:rsidR="00AA20CF" w:rsidRPr="00A46BD9" w:rsidRDefault="00AA20CF" w:rsidP="00CF3F52">
            <w:pPr>
              <w:spacing w:line="140" w:lineRule="exact"/>
              <w:ind w:left="113" w:right="113"/>
              <w:jc w:val="center"/>
              <w:rPr>
                <w:rFonts w:ascii="Arial Narrow" w:hAnsi="Arial Narrow"/>
                <w:b/>
                <w:sz w:val="16"/>
                <w:szCs w:val="16"/>
              </w:rPr>
            </w:pPr>
            <w:r w:rsidRPr="00A46BD9">
              <w:rPr>
                <w:rFonts w:ascii="Arial Narrow" w:hAnsi="Arial Narrow"/>
                <w:b/>
                <w:color w:val="FFFFFF" w:themeColor="background1"/>
                <w:sz w:val="16"/>
                <w:szCs w:val="16"/>
              </w:rPr>
              <w:t>Zelená transformácia</w:t>
            </w:r>
          </w:p>
        </w:tc>
        <w:tc>
          <w:tcPr>
            <w:tcW w:w="1247" w:type="dxa"/>
            <w:vAlign w:val="center"/>
          </w:tcPr>
          <w:p w14:paraId="0A38C1B8" w14:textId="77777777" w:rsidR="00AA20CF" w:rsidRPr="00A46BD9" w:rsidRDefault="00AA20CF" w:rsidP="00CF3F52">
            <w:pPr>
              <w:jc w:val="center"/>
              <w:rPr>
                <w:rFonts w:ascii="Arial Narrow" w:hAnsi="Arial Narrow"/>
                <w:sz w:val="15"/>
                <w:szCs w:val="15"/>
              </w:rPr>
            </w:pPr>
            <w:r w:rsidRPr="00A46BD9">
              <w:rPr>
                <w:rFonts w:ascii="Arial Narrow" w:hAnsi="Arial Narrow"/>
                <w:sz w:val="15"/>
                <w:szCs w:val="15"/>
              </w:rPr>
              <w:t>Podpora obnoviteľných zdrojov energie a energetickej efektívnosti</w:t>
            </w:r>
          </w:p>
        </w:tc>
        <w:tc>
          <w:tcPr>
            <w:tcW w:w="2693" w:type="dxa"/>
          </w:tcPr>
          <w:p w14:paraId="3E6C53BC"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Cieľom súboru opatrení je zvýšiť podiel  OZE v energetike </w:t>
            </w:r>
            <w:r w:rsidRPr="009A1D26">
              <w:rPr>
                <w:rFonts w:ascii="Arial Narrow" w:hAnsi="Arial Narrow"/>
                <w:sz w:val="15"/>
                <w:szCs w:val="15"/>
              </w:rPr>
              <w:t>a podporiť energetickú efektívnosť.</w:t>
            </w:r>
            <w:r>
              <w:rPr>
                <w:rFonts w:ascii="Arial Narrow" w:hAnsi="Arial Narrow"/>
                <w:sz w:val="15"/>
                <w:szCs w:val="15"/>
              </w:rPr>
              <w:t xml:space="preserve"> </w:t>
            </w:r>
            <w:r w:rsidRPr="00C14AA2">
              <w:rPr>
                <w:rFonts w:ascii="Arial Narrow" w:hAnsi="Arial Narrow"/>
                <w:sz w:val="15"/>
                <w:szCs w:val="15"/>
              </w:rPr>
              <w:t>Podpora je zameraná najmä na rozvoj</w:t>
            </w:r>
            <w:r>
              <w:rPr>
                <w:rFonts w:ascii="Arial Narrow" w:hAnsi="Arial Narrow"/>
                <w:sz w:val="15"/>
                <w:szCs w:val="15"/>
              </w:rPr>
              <w:t xml:space="preserve"> </w:t>
            </w:r>
            <w:r w:rsidRPr="00A46BD9">
              <w:rPr>
                <w:rFonts w:ascii="Arial Narrow" w:hAnsi="Arial Narrow"/>
                <w:sz w:val="15"/>
                <w:szCs w:val="15"/>
              </w:rPr>
              <w:t xml:space="preserve">geotermálnej energie (prieskumy, vrty), </w:t>
            </w:r>
            <w:r>
              <w:rPr>
                <w:rFonts w:ascii="Arial Narrow" w:hAnsi="Arial Narrow"/>
                <w:sz w:val="15"/>
                <w:szCs w:val="15"/>
              </w:rPr>
              <w:t xml:space="preserve">výrobu </w:t>
            </w:r>
            <w:r w:rsidRPr="00A46BD9">
              <w:rPr>
                <w:rFonts w:ascii="Arial Narrow" w:hAnsi="Arial Narrow"/>
                <w:sz w:val="15"/>
                <w:szCs w:val="15"/>
              </w:rPr>
              <w:t>biometánu (</w:t>
            </w:r>
            <w:r>
              <w:rPr>
                <w:rFonts w:ascii="Arial Narrow" w:hAnsi="Arial Narrow"/>
                <w:sz w:val="15"/>
                <w:szCs w:val="15"/>
              </w:rPr>
              <w:t>zariadenia</w:t>
            </w:r>
            <w:r w:rsidRPr="00A46BD9">
              <w:rPr>
                <w:rFonts w:ascii="Arial Narrow" w:hAnsi="Arial Narrow"/>
                <w:sz w:val="15"/>
                <w:szCs w:val="15"/>
              </w:rPr>
              <w:t xml:space="preserve"> na spracovanie </w:t>
            </w:r>
            <w:r w:rsidRPr="007D0ED7">
              <w:rPr>
                <w:rFonts w:ascii="Arial Narrow" w:hAnsi="Arial Narrow"/>
                <w:sz w:val="15"/>
                <w:szCs w:val="15"/>
              </w:rPr>
              <w:t>biologicky rozložiteľného komunálneho odpadu</w:t>
            </w:r>
            <w:r w:rsidRPr="00A46BD9">
              <w:rPr>
                <w:rFonts w:ascii="Arial Narrow" w:hAnsi="Arial Narrow"/>
                <w:sz w:val="15"/>
                <w:szCs w:val="15"/>
              </w:rPr>
              <w:t>) a</w:t>
            </w:r>
            <w:r>
              <w:rPr>
                <w:rFonts w:ascii="Arial Narrow" w:hAnsi="Arial Narrow"/>
                <w:sz w:val="15"/>
                <w:szCs w:val="15"/>
              </w:rPr>
              <w:t xml:space="preserve"> </w:t>
            </w:r>
            <w:r w:rsidRPr="00A46BD9">
              <w:rPr>
                <w:rFonts w:ascii="Arial Narrow" w:hAnsi="Arial Narrow"/>
                <w:sz w:val="15"/>
                <w:szCs w:val="15"/>
              </w:rPr>
              <w:t>vysoko účinn</w:t>
            </w:r>
            <w:r>
              <w:rPr>
                <w:rFonts w:ascii="Arial Narrow" w:hAnsi="Arial Narrow"/>
                <w:sz w:val="15"/>
                <w:szCs w:val="15"/>
              </w:rPr>
              <w:t>ú</w:t>
            </w:r>
            <w:r w:rsidRPr="00A46BD9">
              <w:rPr>
                <w:rFonts w:ascii="Arial Narrow" w:hAnsi="Arial Narrow"/>
                <w:sz w:val="15"/>
                <w:szCs w:val="15"/>
              </w:rPr>
              <w:t xml:space="preserve"> kombinova</w:t>
            </w:r>
            <w:r>
              <w:rPr>
                <w:rFonts w:ascii="Arial Narrow" w:hAnsi="Arial Narrow"/>
                <w:sz w:val="15"/>
                <w:szCs w:val="15"/>
              </w:rPr>
              <w:t>nú</w:t>
            </w:r>
            <w:r w:rsidRPr="00A46BD9">
              <w:rPr>
                <w:rFonts w:ascii="Arial Narrow" w:hAnsi="Arial Narrow"/>
                <w:sz w:val="15"/>
                <w:szCs w:val="15"/>
              </w:rPr>
              <w:t xml:space="preserve"> výrob</w:t>
            </w:r>
            <w:r>
              <w:rPr>
                <w:rFonts w:ascii="Arial Narrow" w:hAnsi="Arial Narrow"/>
                <w:sz w:val="15"/>
                <w:szCs w:val="15"/>
              </w:rPr>
              <w:t>u</w:t>
            </w:r>
            <w:r w:rsidRPr="00A46BD9">
              <w:rPr>
                <w:rFonts w:ascii="Arial Narrow" w:hAnsi="Arial Narrow"/>
                <w:sz w:val="15"/>
                <w:szCs w:val="15"/>
              </w:rPr>
              <w:t xml:space="preserve"> elektriny a tepla (VÚ KVET) v systémoch centrálneho zásobovania teplom.</w:t>
            </w:r>
          </w:p>
          <w:p w14:paraId="5CD52D5C" w14:textId="77777777" w:rsidR="00AA20CF" w:rsidRPr="00A46BD9" w:rsidRDefault="00AA20CF" w:rsidP="00CF3F52">
            <w:pPr>
              <w:jc w:val="both"/>
              <w:rPr>
                <w:rFonts w:ascii="Arial Narrow" w:hAnsi="Arial Narrow"/>
                <w:sz w:val="15"/>
                <w:szCs w:val="15"/>
              </w:rPr>
            </w:pPr>
          </w:p>
          <w:p w14:paraId="793A08FF" w14:textId="77777777" w:rsidR="00AA20CF" w:rsidRPr="00A46BD9" w:rsidRDefault="00AA20CF" w:rsidP="00CF3F52">
            <w:pPr>
              <w:jc w:val="both"/>
              <w:rPr>
                <w:rFonts w:ascii="Arial Narrow" w:hAnsi="Arial Narrow"/>
                <w:sz w:val="15"/>
                <w:szCs w:val="15"/>
              </w:rPr>
            </w:pPr>
            <w:r w:rsidRPr="00160035">
              <w:rPr>
                <w:rFonts w:ascii="Arial Narrow" w:hAnsi="Arial Narrow"/>
                <w:sz w:val="15"/>
                <w:szCs w:val="15"/>
              </w:rPr>
              <w:t>Slovenská inovačná a energetická agentúra</w:t>
            </w:r>
            <w:r>
              <w:rPr>
                <w:rFonts w:ascii="Arial Narrow" w:hAnsi="Arial Narrow"/>
                <w:sz w:val="15"/>
                <w:szCs w:val="15"/>
              </w:rPr>
              <w:t xml:space="preserve"> (</w:t>
            </w:r>
            <w:r w:rsidRPr="00A46BD9">
              <w:rPr>
                <w:rFonts w:ascii="Arial Narrow" w:hAnsi="Arial Narrow"/>
                <w:sz w:val="15"/>
                <w:szCs w:val="15"/>
              </w:rPr>
              <w:t>SIEA</w:t>
            </w:r>
            <w:r>
              <w:rPr>
                <w:rFonts w:ascii="Arial Narrow" w:hAnsi="Arial Narrow"/>
                <w:sz w:val="15"/>
                <w:szCs w:val="15"/>
              </w:rPr>
              <w:t>)</w:t>
            </w:r>
            <w:r w:rsidRPr="00A46BD9">
              <w:rPr>
                <w:rFonts w:ascii="Arial Narrow" w:hAnsi="Arial Narrow"/>
                <w:sz w:val="15"/>
                <w:szCs w:val="15"/>
              </w:rPr>
              <w:t xml:space="preserve"> pripravuje dopytové výzvy na podporu geotermálnej energie a biometánu. Výzva na predkladanie ponúk do výberového konania pre zariadenia VÚ KVET je v príprave.</w:t>
            </w:r>
          </w:p>
        </w:tc>
        <w:tc>
          <w:tcPr>
            <w:tcW w:w="737" w:type="dxa"/>
            <w:vAlign w:val="center"/>
          </w:tcPr>
          <w:p w14:paraId="4278120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135865E5"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CSR.2025.5.1</w:t>
            </w:r>
          </w:p>
          <w:p w14:paraId="4149C36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CSR.2025.5.5</w:t>
            </w:r>
          </w:p>
          <w:p w14:paraId="45D93B20" w14:textId="77777777" w:rsidR="00AA20CF" w:rsidRPr="00EF7276" w:rsidRDefault="00AA20CF" w:rsidP="00CF3F52">
            <w:pPr>
              <w:jc w:val="center"/>
              <w:rPr>
                <w:sz w:val="12"/>
                <w:szCs w:val="12"/>
              </w:rPr>
            </w:pPr>
            <w:r w:rsidRPr="00EF7276">
              <w:rPr>
                <w:rFonts w:ascii="Arial Narrow" w:hAnsi="Arial Narrow"/>
                <w:sz w:val="12"/>
                <w:szCs w:val="12"/>
              </w:rPr>
              <w:t>CSR.2025.5.7</w:t>
            </w:r>
          </w:p>
        </w:tc>
        <w:tc>
          <w:tcPr>
            <w:tcW w:w="850" w:type="dxa"/>
            <w:vAlign w:val="center"/>
          </w:tcPr>
          <w:p w14:paraId="39BE2121" w14:textId="77777777" w:rsidR="00AA20CF" w:rsidRPr="00EF7276" w:rsidRDefault="00AA20CF" w:rsidP="00CF3F52">
            <w:pPr>
              <w:jc w:val="center"/>
              <w:rPr>
                <w:sz w:val="12"/>
                <w:szCs w:val="12"/>
              </w:rPr>
            </w:pPr>
            <w:r w:rsidRPr="00EF7276">
              <w:rPr>
                <w:rFonts w:ascii="Arial Narrow" w:hAnsi="Arial Narrow" w:cs="Calibri"/>
                <w:color w:val="000000"/>
                <w:sz w:val="12"/>
                <w:szCs w:val="12"/>
              </w:rPr>
              <w:t>Spravodlivá zelená transformácia; zabezpečenie energetickej bezpečnosti</w:t>
            </w:r>
          </w:p>
        </w:tc>
        <w:tc>
          <w:tcPr>
            <w:tcW w:w="567" w:type="dxa"/>
            <w:vAlign w:val="center"/>
          </w:tcPr>
          <w:p w14:paraId="4E09B50C"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7</w:t>
            </w:r>
          </w:p>
          <w:p w14:paraId="657360D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11</w:t>
            </w:r>
          </w:p>
          <w:p w14:paraId="16568C3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12</w:t>
            </w:r>
          </w:p>
          <w:p w14:paraId="114D123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13</w:t>
            </w:r>
          </w:p>
        </w:tc>
        <w:tc>
          <w:tcPr>
            <w:tcW w:w="709" w:type="dxa"/>
            <w:vAlign w:val="center"/>
          </w:tcPr>
          <w:p w14:paraId="54C0765C"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20</w:t>
            </w:r>
          </w:p>
        </w:tc>
        <w:tc>
          <w:tcPr>
            <w:tcW w:w="992" w:type="dxa"/>
            <w:vAlign w:val="center"/>
          </w:tcPr>
          <w:p w14:paraId="768991F8"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176A2D87" w14:textId="77777777" w:rsidTr="00CF3F52">
        <w:trPr>
          <w:cantSplit/>
          <w:trHeight w:val="1134"/>
        </w:trPr>
        <w:tc>
          <w:tcPr>
            <w:tcW w:w="283" w:type="dxa"/>
            <w:vMerge w:val="restart"/>
            <w:shd w:val="clear" w:color="auto" w:fill="E85477"/>
            <w:textDirection w:val="btLr"/>
          </w:tcPr>
          <w:p w14:paraId="3B8CBF2C" w14:textId="77777777" w:rsidR="00AA20CF" w:rsidRPr="00A46BD9" w:rsidRDefault="00AA20CF" w:rsidP="00CF3F52">
            <w:pPr>
              <w:spacing w:line="140" w:lineRule="exact"/>
              <w:ind w:left="113" w:right="113"/>
              <w:jc w:val="center"/>
              <w:rPr>
                <w:rFonts w:ascii="Arial Narrow" w:hAnsi="Arial Narrow"/>
                <w:b/>
                <w:sz w:val="16"/>
                <w:szCs w:val="16"/>
              </w:rPr>
            </w:pPr>
            <w:r w:rsidRPr="00A46BD9">
              <w:rPr>
                <w:rFonts w:ascii="Arial Narrow" w:hAnsi="Arial Narrow"/>
                <w:b/>
                <w:color w:val="FFFFFF" w:themeColor="background1"/>
                <w:sz w:val="16"/>
                <w:szCs w:val="16"/>
              </w:rPr>
              <w:t>Produktivita</w:t>
            </w:r>
          </w:p>
        </w:tc>
        <w:tc>
          <w:tcPr>
            <w:tcW w:w="1247" w:type="dxa"/>
            <w:vAlign w:val="center"/>
          </w:tcPr>
          <w:p w14:paraId="218ED700" w14:textId="77777777" w:rsidR="00AA20CF" w:rsidRPr="00A46BD9" w:rsidRDefault="00AA20CF" w:rsidP="00CF3F52">
            <w:pPr>
              <w:jc w:val="center"/>
              <w:rPr>
                <w:rFonts w:ascii="Arial Narrow" w:hAnsi="Arial Narrow"/>
                <w:sz w:val="15"/>
                <w:szCs w:val="15"/>
              </w:rPr>
            </w:pPr>
            <w:r w:rsidRPr="00A46BD9">
              <w:rPr>
                <w:rFonts w:ascii="Arial Narrow" w:hAnsi="Arial Narrow"/>
                <w:sz w:val="15"/>
                <w:szCs w:val="15"/>
              </w:rPr>
              <w:t>Aktualizácia Národnej stratégie výskumu, vývoja a inovácií</w:t>
            </w:r>
          </w:p>
        </w:tc>
        <w:tc>
          <w:tcPr>
            <w:tcW w:w="2693" w:type="dxa"/>
          </w:tcPr>
          <w:p w14:paraId="7FDAD092"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Aktualizovaná stratégia nadväzuje na končiaci </w:t>
            </w:r>
            <w:r>
              <w:rPr>
                <w:rFonts w:ascii="Arial Narrow" w:hAnsi="Arial Narrow"/>
                <w:sz w:val="15"/>
                <w:szCs w:val="15"/>
              </w:rPr>
              <w:t>POO</w:t>
            </w:r>
            <w:r w:rsidRPr="00A46BD9">
              <w:rPr>
                <w:rFonts w:ascii="Arial Narrow" w:hAnsi="Arial Narrow"/>
                <w:sz w:val="15"/>
                <w:szCs w:val="15"/>
              </w:rPr>
              <w:t xml:space="preserve"> a</w:t>
            </w:r>
            <w:r>
              <w:rPr>
                <w:rFonts w:ascii="Arial Narrow" w:hAnsi="Arial Narrow"/>
                <w:sz w:val="15"/>
                <w:szCs w:val="15"/>
              </w:rPr>
              <w:t> sústreďuje sa</w:t>
            </w:r>
            <w:r w:rsidRPr="00A46BD9">
              <w:rPr>
                <w:rFonts w:ascii="Arial Narrow" w:hAnsi="Arial Narrow"/>
                <w:sz w:val="15"/>
                <w:szCs w:val="15"/>
              </w:rPr>
              <w:t xml:space="preserve"> na tri oblasti: podporu firemného výskumu a vývoja, </w:t>
            </w:r>
            <w:r>
              <w:rPr>
                <w:rFonts w:ascii="Arial Narrow" w:hAnsi="Arial Narrow"/>
                <w:sz w:val="15"/>
                <w:szCs w:val="15"/>
              </w:rPr>
              <w:t xml:space="preserve">rozvoj </w:t>
            </w:r>
            <w:r w:rsidRPr="00A46BD9">
              <w:rPr>
                <w:rFonts w:ascii="Arial Narrow" w:hAnsi="Arial Narrow"/>
                <w:sz w:val="15"/>
                <w:szCs w:val="15"/>
              </w:rPr>
              <w:t>strategick</w:t>
            </w:r>
            <w:r>
              <w:rPr>
                <w:rFonts w:ascii="Arial Narrow" w:hAnsi="Arial Narrow"/>
                <w:sz w:val="15"/>
                <w:szCs w:val="15"/>
              </w:rPr>
              <w:t>ých</w:t>
            </w:r>
            <w:r w:rsidRPr="00A46BD9">
              <w:rPr>
                <w:rFonts w:ascii="Arial Narrow" w:hAnsi="Arial Narrow"/>
                <w:sz w:val="15"/>
                <w:szCs w:val="15"/>
              </w:rPr>
              <w:t xml:space="preserve"> iniciatív (robotika, umelá inteligencia</w:t>
            </w:r>
            <w:r>
              <w:rPr>
                <w:rFonts w:ascii="Arial Narrow" w:hAnsi="Arial Narrow"/>
                <w:sz w:val="15"/>
                <w:szCs w:val="15"/>
              </w:rPr>
              <w:t xml:space="preserve"> a</w:t>
            </w:r>
            <w:r w:rsidRPr="00A46BD9">
              <w:rPr>
                <w:rFonts w:ascii="Arial Narrow" w:hAnsi="Arial Narrow"/>
                <w:sz w:val="15"/>
                <w:szCs w:val="15"/>
              </w:rPr>
              <w:t xml:space="preserve"> program Misia Zdravie) a </w:t>
            </w:r>
            <w:r>
              <w:rPr>
                <w:rFonts w:ascii="Arial Narrow" w:hAnsi="Arial Narrow"/>
                <w:sz w:val="15"/>
                <w:szCs w:val="15"/>
              </w:rPr>
              <w:t>posilnenie</w:t>
            </w:r>
            <w:r w:rsidRPr="00A46BD9">
              <w:rPr>
                <w:rFonts w:ascii="Arial Narrow" w:hAnsi="Arial Narrow"/>
                <w:sz w:val="15"/>
                <w:szCs w:val="15"/>
              </w:rPr>
              <w:t xml:space="preserve"> inovačného ekosystému vrátane prelomového výskumu a transferu poznatkov do praxe.</w:t>
            </w:r>
          </w:p>
          <w:p w14:paraId="08806C60" w14:textId="77777777" w:rsidR="00AA20CF" w:rsidRPr="00A46BD9" w:rsidRDefault="00AA20CF" w:rsidP="00CF3F52">
            <w:pPr>
              <w:jc w:val="both"/>
              <w:rPr>
                <w:rFonts w:ascii="Arial Narrow" w:hAnsi="Arial Narrow"/>
                <w:sz w:val="15"/>
                <w:szCs w:val="15"/>
              </w:rPr>
            </w:pPr>
          </w:p>
          <w:p w14:paraId="41CA51C0" w14:textId="77777777" w:rsidR="00AA20CF" w:rsidRPr="00A46BD9" w:rsidRDefault="00AA20CF" w:rsidP="00CF3F52">
            <w:pPr>
              <w:jc w:val="both"/>
              <w:rPr>
                <w:rFonts w:ascii="Arial Narrow" w:hAnsi="Arial Narrow"/>
                <w:sz w:val="15"/>
                <w:szCs w:val="15"/>
              </w:rPr>
            </w:pPr>
            <w:hyperlink r:id="rId73" w:history="1">
              <w:r w:rsidRPr="00C36557">
                <w:rPr>
                  <w:rStyle w:val="Hypertextovprepojenie"/>
                  <w:rFonts w:ascii="Arial Narrow" w:hAnsi="Arial Narrow"/>
                  <w:sz w:val="15"/>
                  <w:szCs w:val="15"/>
                </w:rPr>
                <w:t>Návrh aktualizácie stratégie s novým akčným plánom</w:t>
              </w:r>
            </w:hyperlink>
            <w:r w:rsidRPr="00A46BD9">
              <w:rPr>
                <w:rFonts w:ascii="Arial Narrow" w:hAnsi="Arial Narrow"/>
                <w:sz w:val="15"/>
                <w:szCs w:val="15"/>
              </w:rPr>
              <w:t xml:space="preserve"> bol vo februári 2026</w:t>
            </w:r>
            <w:r>
              <w:rPr>
                <w:rFonts w:ascii="Arial Narrow" w:hAnsi="Arial Narrow"/>
                <w:sz w:val="15"/>
                <w:szCs w:val="15"/>
              </w:rPr>
              <w:t xml:space="preserve"> </w:t>
            </w:r>
            <w:r w:rsidRPr="00A46BD9">
              <w:rPr>
                <w:rFonts w:ascii="Arial Narrow" w:hAnsi="Arial Narrow"/>
                <w:sz w:val="15"/>
                <w:szCs w:val="15"/>
              </w:rPr>
              <w:t xml:space="preserve">predložený do  </w:t>
            </w:r>
            <w:r>
              <w:rPr>
                <w:rFonts w:ascii="Arial Narrow" w:hAnsi="Arial Narrow"/>
                <w:sz w:val="15"/>
                <w:szCs w:val="15"/>
              </w:rPr>
              <w:t>MPK . V súčasnosti prebieha vyhodnocovanie pripomienok.</w:t>
            </w:r>
          </w:p>
        </w:tc>
        <w:tc>
          <w:tcPr>
            <w:tcW w:w="737" w:type="dxa"/>
            <w:vAlign w:val="center"/>
          </w:tcPr>
          <w:p w14:paraId="09AF1968"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1D6E586A"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CSR.2025.3.6</w:t>
            </w:r>
          </w:p>
          <w:p w14:paraId="2D42A5B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CSR.2025.4.4</w:t>
            </w:r>
          </w:p>
          <w:p w14:paraId="70DD0538"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CSR.2025.4.5</w:t>
            </w:r>
          </w:p>
          <w:p w14:paraId="6A1E331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 5.3</w:t>
            </w:r>
          </w:p>
        </w:tc>
        <w:tc>
          <w:tcPr>
            <w:tcW w:w="850" w:type="dxa"/>
            <w:vAlign w:val="center"/>
          </w:tcPr>
          <w:p w14:paraId="239A31F3" w14:textId="77777777" w:rsidR="00AA20CF" w:rsidRPr="00EF7276" w:rsidRDefault="00AA20CF" w:rsidP="00CF3F52">
            <w:pPr>
              <w:jc w:val="center"/>
              <w:rPr>
                <w:rFonts w:ascii="Arial Narrow" w:hAnsi="Arial Narrow"/>
                <w:sz w:val="12"/>
                <w:szCs w:val="12"/>
              </w:rPr>
            </w:pPr>
            <w:r w:rsidRPr="00EF7276">
              <w:rPr>
                <w:rFonts w:ascii="Arial Narrow" w:hAnsi="Arial Narrow" w:cs="Calibri"/>
                <w:sz w:val="12"/>
                <w:szCs w:val="12"/>
              </w:rPr>
              <w:t>Posilnenie sociálnej a hospodárskej odolnosti</w:t>
            </w:r>
          </w:p>
        </w:tc>
        <w:tc>
          <w:tcPr>
            <w:tcW w:w="567" w:type="dxa"/>
            <w:vAlign w:val="center"/>
          </w:tcPr>
          <w:p w14:paraId="6D7B0D25"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8</w:t>
            </w:r>
          </w:p>
          <w:p w14:paraId="24B4246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tc>
        <w:tc>
          <w:tcPr>
            <w:tcW w:w="709" w:type="dxa"/>
            <w:vAlign w:val="center"/>
          </w:tcPr>
          <w:p w14:paraId="2DE6374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73E4464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44DD13C7" w14:textId="77777777" w:rsidTr="00CF3F52">
        <w:trPr>
          <w:cantSplit/>
          <w:trHeight w:val="1134"/>
        </w:trPr>
        <w:tc>
          <w:tcPr>
            <w:tcW w:w="283" w:type="dxa"/>
            <w:vMerge/>
            <w:shd w:val="clear" w:color="auto" w:fill="E85477"/>
            <w:textDirection w:val="btLr"/>
          </w:tcPr>
          <w:p w14:paraId="5F614C03" w14:textId="77777777" w:rsidR="00AA20CF" w:rsidRPr="00A46BD9" w:rsidRDefault="00AA20CF" w:rsidP="00CF3F52">
            <w:pPr>
              <w:spacing w:line="140" w:lineRule="exact"/>
              <w:ind w:left="113" w:right="113"/>
              <w:jc w:val="center"/>
              <w:rPr>
                <w:rFonts w:ascii="Arial Narrow" w:hAnsi="Arial Narrow"/>
                <w:b/>
                <w:color w:val="FFFFFF" w:themeColor="background1"/>
                <w:sz w:val="16"/>
                <w:szCs w:val="16"/>
              </w:rPr>
            </w:pPr>
          </w:p>
        </w:tc>
        <w:tc>
          <w:tcPr>
            <w:tcW w:w="1247" w:type="dxa"/>
            <w:vAlign w:val="center"/>
          </w:tcPr>
          <w:p w14:paraId="32AE033B" w14:textId="77777777" w:rsidR="00AA20CF" w:rsidRPr="00A46BD9" w:rsidRDefault="00AA20CF" w:rsidP="00CF3F52">
            <w:pPr>
              <w:jc w:val="center"/>
              <w:rPr>
                <w:rFonts w:ascii="Arial Narrow" w:hAnsi="Arial Narrow"/>
                <w:sz w:val="15"/>
                <w:szCs w:val="15"/>
              </w:rPr>
            </w:pPr>
            <w:r w:rsidRPr="00A46BD9">
              <w:rPr>
                <w:rFonts w:ascii="Arial Narrow" w:hAnsi="Arial Narrow"/>
                <w:sz w:val="15"/>
                <w:szCs w:val="15"/>
              </w:rPr>
              <w:t>Plnenie Akčného plánu NKIVS</w:t>
            </w:r>
          </w:p>
        </w:tc>
        <w:tc>
          <w:tcPr>
            <w:tcW w:w="2693" w:type="dxa"/>
          </w:tcPr>
          <w:p w14:paraId="58BEB6BD"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Dosiahnutie cieľov</w:t>
            </w:r>
            <w:r>
              <w:rPr>
                <w:rFonts w:ascii="Arial Narrow" w:hAnsi="Arial Narrow"/>
                <w:sz w:val="15"/>
                <w:szCs w:val="15"/>
              </w:rPr>
              <w:t xml:space="preserve"> </w:t>
            </w:r>
            <w:r w:rsidRPr="00143218">
              <w:rPr>
                <w:rFonts w:ascii="Arial Narrow" w:hAnsi="Arial Narrow"/>
                <w:sz w:val="15"/>
                <w:szCs w:val="15"/>
              </w:rPr>
              <w:t>Národnej koncepcie informatizácie verejnej správy 2025</w:t>
            </w:r>
            <w:r>
              <w:rPr>
                <w:rFonts w:ascii="Arial Narrow" w:hAnsi="Arial Narrow"/>
                <w:sz w:val="15"/>
                <w:szCs w:val="15"/>
              </w:rPr>
              <w:t xml:space="preserve"> </w:t>
            </w:r>
            <w:r w:rsidRPr="00143218">
              <w:rPr>
                <w:rFonts w:ascii="Arial Narrow" w:hAnsi="Arial Narrow"/>
                <w:sz w:val="15"/>
                <w:szCs w:val="15"/>
              </w:rPr>
              <w:t>na</w:t>
            </w:r>
            <w:r>
              <w:rPr>
                <w:rFonts w:ascii="Arial Narrow" w:hAnsi="Arial Narrow"/>
                <w:sz w:val="15"/>
                <w:szCs w:val="15"/>
              </w:rPr>
              <w:t xml:space="preserve"> roky </w:t>
            </w:r>
            <w:r w:rsidRPr="00143218">
              <w:rPr>
                <w:rFonts w:ascii="Arial Narrow" w:hAnsi="Arial Narrow"/>
                <w:sz w:val="15"/>
                <w:szCs w:val="15"/>
              </w:rPr>
              <w:t>202</w:t>
            </w:r>
            <w:r>
              <w:rPr>
                <w:rFonts w:ascii="Arial Narrow" w:hAnsi="Arial Narrow"/>
                <w:sz w:val="15"/>
                <w:szCs w:val="15"/>
              </w:rPr>
              <w:t>6</w:t>
            </w:r>
            <w:r w:rsidRPr="00143218">
              <w:rPr>
                <w:rFonts w:ascii="Arial Narrow" w:hAnsi="Arial Narrow"/>
                <w:sz w:val="15"/>
                <w:szCs w:val="15"/>
              </w:rPr>
              <w:t xml:space="preserve"> – 2030</w:t>
            </w:r>
            <w:r w:rsidRPr="00A46BD9">
              <w:rPr>
                <w:rFonts w:ascii="Arial Narrow" w:hAnsi="Arial Narrow"/>
                <w:sz w:val="15"/>
                <w:szCs w:val="15"/>
              </w:rPr>
              <w:t xml:space="preserve"> </w:t>
            </w:r>
            <w:r>
              <w:rPr>
                <w:rFonts w:ascii="Arial Narrow" w:hAnsi="Arial Narrow"/>
                <w:sz w:val="15"/>
                <w:szCs w:val="15"/>
              </w:rPr>
              <w:t>(NKIVS)</w:t>
            </w:r>
            <w:r w:rsidRPr="00A46BD9">
              <w:rPr>
                <w:rFonts w:ascii="Arial Narrow" w:hAnsi="Arial Narrow"/>
                <w:sz w:val="15"/>
                <w:szCs w:val="15"/>
              </w:rPr>
              <w:t xml:space="preserve"> stojí na plnení</w:t>
            </w:r>
            <w:r>
              <w:rPr>
                <w:rFonts w:ascii="Arial Narrow" w:hAnsi="Arial Narrow"/>
                <w:sz w:val="15"/>
                <w:szCs w:val="15"/>
              </w:rPr>
              <w:t xml:space="preserve"> jej</w:t>
            </w:r>
            <w:r w:rsidRPr="00A46BD9">
              <w:rPr>
                <w:rFonts w:ascii="Arial Narrow" w:hAnsi="Arial Narrow"/>
                <w:sz w:val="15"/>
                <w:szCs w:val="15"/>
              </w:rPr>
              <w:t xml:space="preserve"> Akčného plánu postaven</w:t>
            </w:r>
            <w:r>
              <w:rPr>
                <w:rFonts w:ascii="Arial Narrow" w:hAnsi="Arial Narrow"/>
                <w:sz w:val="15"/>
                <w:szCs w:val="15"/>
              </w:rPr>
              <w:t>ého</w:t>
            </w:r>
            <w:r w:rsidRPr="00A46BD9">
              <w:rPr>
                <w:rFonts w:ascii="Arial Narrow" w:hAnsi="Arial Narrow"/>
                <w:sz w:val="15"/>
                <w:szCs w:val="15"/>
              </w:rPr>
              <w:t xml:space="preserve"> na troch pilieroch: digitálnej transformácii, fungovaní verejnej správy na základe dát a otvorenom e-Governmente.</w:t>
            </w:r>
          </w:p>
          <w:p w14:paraId="2775555E" w14:textId="77777777" w:rsidR="00AA20CF" w:rsidRPr="00A46BD9" w:rsidRDefault="00AA20CF" w:rsidP="00CF3F52">
            <w:pPr>
              <w:jc w:val="both"/>
              <w:rPr>
                <w:rFonts w:ascii="Arial Narrow" w:hAnsi="Arial Narrow"/>
                <w:sz w:val="15"/>
                <w:szCs w:val="15"/>
              </w:rPr>
            </w:pPr>
          </w:p>
          <w:p w14:paraId="5B58AF6B" w14:textId="77777777" w:rsidR="00AA20CF" w:rsidRPr="00A46BD9" w:rsidRDefault="00AA20CF" w:rsidP="00CF3F52">
            <w:pPr>
              <w:jc w:val="both"/>
              <w:rPr>
                <w:rFonts w:ascii="Arial Narrow" w:hAnsi="Arial Narrow"/>
                <w:sz w:val="15"/>
                <w:szCs w:val="15"/>
              </w:rPr>
            </w:pPr>
            <w:hyperlink r:id="rId74" w:history="1">
              <w:r>
                <w:rPr>
                  <w:rStyle w:val="Hypertextovprepojenie"/>
                  <w:rFonts w:ascii="Arial Narrow" w:hAnsi="Arial Narrow"/>
                  <w:sz w:val="15"/>
                  <w:szCs w:val="15"/>
                </w:rPr>
                <w:t>NKIVS 2025 vrátane Akčného plánu</w:t>
              </w:r>
            </w:hyperlink>
            <w:r w:rsidRPr="00A46BD9">
              <w:rPr>
                <w:rFonts w:ascii="Arial Narrow" w:hAnsi="Arial Narrow"/>
                <w:sz w:val="15"/>
                <w:szCs w:val="15"/>
              </w:rPr>
              <w:t xml:space="preserve"> bola schválená </w:t>
            </w:r>
            <w:r>
              <w:rPr>
                <w:rFonts w:ascii="Arial Narrow" w:hAnsi="Arial Narrow"/>
                <w:sz w:val="15"/>
                <w:szCs w:val="15"/>
              </w:rPr>
              <w:t>vládou SR</w:t>
            </w:r>
            <w:r w:rsidRPr="00A46BD9">
              <w:rPr>
                <w:rFonts w:ascii="Arial Narrow" w:hAnsi="Arial Narrow"/>
                <w:sz w:val="15"/>
                <w:szCs w:val="15"/>
              </w:rPr>
              <w:t xml:space="preserve"> 17. decembra 2025. Aktualizácia Akčného plánu NKIVS bude predkladaná na rokovanie vlády každoročne do konca marca, počnúc rokom 2027</w:t>
            </w:r>
            <w:r>
              <w:rPr>
                <w:rFonts w:ascii="Arial Narrow" w:hAnsi="Arial Narrow"/>
                <w:sz w:val="15"/>
                <w:szCs w:val="15"/>
              </w:rPr>
              <w:t xml:space="preserve"> </w:t>
            </w:r>
            <w:r w:rsidRPr="00A46BD9">
              <w:rPr>
                <w:rFonts w:ascii="Arial Narrow" w:hAnsi="Arial Narrow"/>
                <w:sz w:val="15"/>
                <w:szCs w:val="15"/>
              </w:rPr>
              <w:t>až do roku 2030.</w:t>
            </w:r>
            <w:r>
              <w:rPr>
                <w:rFonts w:ascii="Arial Narrow" w:hAnsi="Arial Narrow"/>
                <w:sz w:val="15"/>
                <w:szCs w:val="15"/>
              </w:rPr>
              <w:t xml:space="preserve"> </w:t>
            </w:r>
            <w:r w:rsidRPr="00060000">
              <w:rPr>
                <w:rFonts w:ascii="Arial Narrow" w:hAnsi="Arial Narrow"/>
                <w:sz w:val="15"/>
                <w:szCs w:val="15"/>
              </w:rPr>
              <w:t>V priebehu rok</w:t>
            </w:r>
            <w:r>
              <w:rPr>
                <w:rFonts w:ascii="Arial Narrow" w:hAnsi="Arial Narrow"/>
                <w:sz w:val="15"/>
                <w:szCs w:val="15"/>
              </w:rPr>
              <w:t>u</w:t>
            </w:r>
            <w:r w:rsidRPr="00060000">
              <w:rPr>
                <w:rFonts w:ascii="Arial Narrow" w:hAnsi="Arial Narrow"/>
                <w:sz w:val="15"/>
                <w:szCs w:val="15"/>
              </w:rPr>
              <w:t xml:space="preserve"> 2026 </w:t>
            </w:r>
            <w:r>
              <w:rPr>
                <w:rFonts w:ascii="Arial Narrow" w:hAnsi="Arial Narrow"/>
                <w:sz w:val="15"/>
                <w:szCs w:val="15"/>
              </w:rPr>
              <w:t xml:space="preserve">bude prebiehať </w:t>
            </w:r>
            <w:r w:rsidRPr="00060000">
              <w:rPr>
                <w:rFonts w:ascii="Arial Narrow" w:hAnsi="Arial Narrow"/>
                <w:sz w:val="15"/>
                <w:szCs w:val="15"/>
              </w:rPr>
              <w:t>implementácia schválených opatrení, pričom prvá formálna aktualizácia Akčného plánu bude predložená na rokovanie vlády</w:t>
            </w:r>
            <w:r>
              <w:rPr>
                <w:rFonts w:ascii="Arial Narrow" w:hAnsi="Arial Narrow"/>
                <w:sz w:val="15"/>
                <w:szCs w:val="15"/>
              </w:rPr>
              <w:t xml:space="preserve"> SR</w:t>
            </w:r>
            <w:r w:rsidRPr="00060000">
              <w:rPr>
                <w:rFonts w:ascii="Arial Narrow" w:hAnsi="Arial Narrow"/>
                <w:sz w:val="15"/>
                <w:szCs w:val="15"/>
              </w:rPr>
              <w:t xml:space="preserve"> do konca marca 2027.</w:t>
            </w:r>
          </w:p>
        </w:tc>
        <w:tc>
          <w:tcPr>
            <w:tcW w:w="737" w:type="dxa"/>
            <w:vAlign w:val="center"/>
          </w:tcPr>
          <w:p w14:paraId="744E858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03651D8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CSR.2025.3.1</w:t>
            </w:r>
          </w:p>
          <w:p w14:paraId="59299DC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CSR.2025.3.6</w:t>
            </w:r>
          </w:p>
          <w:p w14:paraId="2C96B2D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CSR.2025.4.3</w:t>
            </w:r>
          </w:p>
        </w:tc>
        <w:tc>
          <w:tcPr>
            <w:tcW w:w="850" w:type="dxa"/>
            <w:vAlign w:val="center"/>
          </w:tcPr>
          <w:p w14:paraId="2C568F09" w14:textId="77777777" w:rsidR="00AA20CF" w:rsidRPr="00EF7276" w:rsidRDefault="00AA20CF" w:rsidP="00CF3F52">
            <w:pPr>
              <w:jc w:val="center"/>
              <w:rPr>
                <w:rFonts w:ascii="Arial Narrow" w:hAnsi="Arial Narrow"/>
                <w:sz w:val="12"/>
                <w:szCs w:val="12"/>
              </w:rPr>
            </w:pPr>
            <w:r w:rsidRPr="00EF7276">
              <w:rPr>
                <w:rFonts w:ascii="Arial Narrow" w:hAnsi="Arial Narrow" w:cs="Calibri"/>
                <w:sz w:val="12"/>
                <w:szCs w:val="12"/>
              </w:rPr>
              <w:t>Posilnenie sociálnej a hospodárskej odolnosti; Spravodlivá digitálna transformácia</w:t>
            </w:r>
          </w:p>
        </w:tc>
        <w:tc>
          <w:tcPr>
            <w:tcW w:w="567" w:type="dxa"/>
            <w:vAlign w:val="center"/>
          </w:tcPr>
          <w:p w14:paraId="0FBA0BF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p w14:paraId="6F699EFA"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16</w:t>
            </w:r>
          </w:p>
        </w:tc>
        <w:tc>
          <w:tcPr>
            <w:tcW w:w="709" w:type="dxa"/>
            <w:vAlign w:val="center"/>
          </w:tcPr>
          <w:p w14:paraId="4204C90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20</w:t>
            </w:r>
          </w:p>
        </w:tc>
        <w:tc>
          <w:tcPr>
            <w:tcW w:w="992" w:type="dxa"/>
            <w:vAlign w:val="center"/>
          </w:tcPr>
          <w:p w14:paraId="4CA0836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42DD2D97" w14:textId="77777777" w:rsidTr="00CF3F52">
        <w:trPr>
          <w:cantSplit/>
          <w:trHeight w:val="1134"/>
        </w:trPr>
        <w:tc>
          <w:tcPr>
            <w:tcW w:w="283" w:type="dxa"/>
            <w:vMerge/>
            <w:shd w:val="clear" w:color="auto" w:fill="E85477"/>
            <w:textDirection w:val="btLr"/>
          </w:tcPr>
          <w:p w14:paraId="704C9693" w14:textId="77777777" w:rsidR="00AA20CF" w:rsidRPr="00A46BD9" w:rsidRDefault="00AA20CF" w:rsidP="00CF3F52">
            <w:pPr>
              <w:spacing w:line="140" w:lineRule="exact"/>
              <w:ind w:left="113" w:right="113"/>
              <w:jc w:val="center"/>
              <w:rPr>
                <w:rFonts w:ascii="Arial Narrow" w:hAnsi="Arial Narrow"/>
                <w:b/>
                <w:color w:val="FFFFFF" w:themeColor="background1"/>
                <w:sz w:val="16"/>
                <w:szCs w:val="16"/>
              </w:rPr>
            </w:pPr>
          </w:p>
        </w:tc>
        <w:tc>
          <w:tcPr>
            <w:tcW w:w="1247" w:type="dxa"/>
            <w:vAlign w:val="center"/>
          </w:tcPr>
          <w:p w14:paraId="45398B13" w14:textId="77777777" w:rsidR="00AA20CF" w:rsidRPr="00A46BD9" w:rsidRDefault="00AA20CF" w:rsidP="00CF3F52">
            <w:pPr>
              <w:jc w:val="center"/>
              <w:rPr>
                <w:rFonts w:ascii="Arial Narrow" w:hAnsi="Arial Narrow"/>
                <w:sz w:val="15"/>
                <w:szCs w:val="15"/>
              </w:rPr>
            </w:pPr>
            <w:r w:rsidRPr="00A46BD9">
              <w:rPr>
                <w:rFonts w:ascii="Arial Narrow" w:hAnsi="Arial Narrow"/>
                <w:sz w:val="15"/>
                <w:szCs w:val="15"/>
              </w:rPr>
              <w:t>Zlepšenie dostupnosti a kvality verejnej dopravy</w:t>
            </w:r>
          </w:p>
        </w:tc>
        <w:tc>
          <w:tcPr>
            <w:tcW w:w="2693" w:type="dxa"/>
          </w:tcPr>
          <w:p w14:paraId="4B99338A" w14:textId="77777777" w:rsidR="00AA20CF" w:rsidRPr="00A46BD9" w:rsidRDefault="00AA20CF" w:rsidP="00CF3F52">
            <w:pPr>
              <w:jc w:val="both"/>
              <w:rPr>
                <w:rFonts w:ascii="Arial Narrow" w:hAnsi="Arial Narrow"/>
                <w:sz w:val="15"/>
                <w:szCs w:val="15"/>
              </w:rPr>
            </w:pPr>
            <w:r w:rsidRPr="006C3520">
              <w:rPr>
                <w:rFonts w:ascii="Arial Narrow" w:hAnsi="Arial Narrow"/>
                <w:sz w:val="15"/>
                <w:szCs w:val="15"/>
              </w:rPr>
              <w:t>Opatrenie má zlepšiť dostupnosť a kvalitu verejnej dopravy zavedením dopytovej dopravy v menej osídlených oblastiach, úpravou náhradnej dopravy pri výlukách a doplnením štandardov pre autobusové stanice a zastávky</w:t>
            </w:r>
            <w:r w:rsidRPr="00A46BD9">
              <w:rPr>
                <w:rFonts w:ascii="Arial Narrow" w:hAnsi="Arial Narrow"/>
                <w:sz w:val="15"/>
                <w:szCs w:val="15"/>
              </w:rPr>
              <w:t xml:space="preserve">. </w:t>
            </w:r>
            <w:r w:rsidRPr="00BE6DC4">
              <w:rPr>
                <w:rFonts w:ascii="Arial Narrow" w:hAnsi="Arial Narrow"/>
                <w:sz w:val="15"/>
                <w:szCs w:val="15"/>
              </w:rPr>
              <w:t>Súčasťou opatrenia je aj budovanie centrálnych databáz povolení a zastávok v rámci</w:t>
            </w:r>
            <w:r>
              <w:rPr>
                <w:rFonts w:ascii="Arial Narrow" w:hAnsi="Arial Narrow"/>
                <w:sz w:val="15"/>
                <w:szCs w:val="15"/>
              </w:rPr>
              <w:t xml:space="preserve"> </w:t>
            </w:r>
            <w:r w:rsidRPr="00A46BD9">
              <w:rPr>
                <w:rFonts w:ascii="Arial Narrow" w:hAnsi="Arial Narrow"/>
                <w:sz w:val="15"/>
                <w:szCs w:val="15"/>
              </w:rPr>
              <w:t>Elektronického národného registra informácií dopravy</w:t>
            </w:r>
            <w:r>
              <w:rPr>
                <w:rFonts w:ascii="Arial Narrow" w:hAnsi="Arial Narrow"/>
                <w:sz w:val="15"/>
                <w:szCs w:val="15"/>
              </w:rPr>
              <w:t xml:space="preserve"> (</w:t>
            </w:r>
            <w:r w:rsidRPr="00B6768B">
              <w:rPr>
                <w:rFonts w:ascii="Arial Narrow" w:hAnsi="Arial Narrow"/>
                <w:sz w:val="15"/>
                <w:szCs w:val="15"/>
              </w:rPr>
              <w:t>eNRI DOP</w:t>
            </w:r>
            <w:r>
              <w:rPr>
                <w:rFonts w:ascii="Arial Narrow" w:hAnsi="Arial Narrow"/>
                <w:sz w:val="15"/>
                <w:szCs w:val="15"/>
              </w:rPr>
              <w:t>)</w:t>
            </w:r>
            <w:r w:rsidRPr="00B6768B">
              <w:rPr>
                <w:rFonts w:ascii="Arial Narrow" w:hAnsi="Arial Narrow"/>
                <w:sz w:val="15"/>
                <w:szCs w:val="15"/>
              </w:rPr>
              <w:t xml:space="preserve"> </w:t>
            </w:r>
            <w:r w:rsidRPr="00A46BD9">
              <w:rPr>
                <w:rFonts w:ascii="Arial Narrow" w:hAnsi="Arial Narrow"/>
                <w:sz w:val="15"/>
                <w:szCs w:val="15"/>
              </w:rPr>
              <w:t xml:space="preserve">  s možnosťou elektronického spravovania celého konania.</w:t>
            </w:r>
          </w:p>
          <w:p w14:paraId="4F5B1497" w14:textId="77777777" w:rsidR="00AA20CF" w:rsidRPr="00A46BD9" w:rsidRDefault="00AA20CF" w:rsidP="00CF3F52">
            <w:pPr>
              <w:jc w:val="both"/>
              <w:rPr>
                <w:rFonts w:ascii="Arial Narrow" w:hAnsi="Arial Narrow"/>
                <w:sz w:val="15"/>
                <w:szCs w:val="15"/>
              </w:rPr>
            </w:pPr>
          </w:p>
          <w:p w14:paraId="7431CE6D"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Legislatívny rámec sa pripravuje prostredníctvom noviel </w:t>
            </w:r>
            <w:hyperlink r:id="rId75" w:history="1">
              <w:r w:rsidRPr="00301527">
                <w:rPr>
                  <w:rStyle w:val="Hypertextovprepojenie"/>
                  <w:rFonts w:ascii="Arial Narrow" w:hAnsi="Arial Narrow"/>
                  <w:sz w:val="15"/>
                  <w:szCs w:val="15"/>
                </w:rPr>
                <w:t>zákona o verejnej osobnej doprave</w:t>
              </w:r>
            </w:hyperlink>
            <w:r w:rsidRPr="00A46BD9">
              <w:rPr>
                <w:rFonts w:ascii="Arial Narrow" w:hAnsi="Arial Narrow"/>
                <w:sz w:val="15"/>
                <w:szCs w:val="15"/>
              </w:rPr>
              <w:t xml:space="preserve"> a príslušnej vykonávacej </w:t>
            </w:r>
            <w:hyperlink r:id="rId76" w:history="1">
              <w:r w:rsidRPr="00A46BD9">
                <w:rPr>
                  <w:rStyle w:val="Hypertextovprepojenie"/>
                  <w:rFonts w:ascii="Arial Narrow" w:hAnsi="Arial Narrow"/>
                  <w:sz w:val="15"/>
                  <w:szCs w:val="15"/>
                </w:rPr>
                <w:t>vyhlášky</w:t>
              </w:r>
            </w:hyperlink>
            <w:r w:rsidRPr="00A46BD9">
              <w:rPr>
                <w:rFonts w:ascii="Arial Narrow" w:hAnsi="Arial Narrow"/>
                <w:sz w:val="15"/>
                <w:szCs w:val="15"/>
              </w:rPr>
              <w:t>. Databázy povolení a zastávok s</w:t>
            </w:r>
            <w:r>
              <w:rPr>
                <w:rFonts w:ascii="Arial Narrow" w:hAnsi="Arial Narrow"/>
                <w:sz w:val="15"/>
                <w:szCs w:val="15"/>
              </w:rPr>
              <w:t>a</w:t>
            </w:r>
            <w:r w:rsidRPr="00A46BD9">
              <w:rPr>
                <w:rFonts w:ascii="Arial Narrow" w:hAnsi="Arial Narrow"/>
                <w:sz w:val="15"/>
                <w:szCs w:val="15"/>
              </w:rPr>
              <w:t xml:space="preserve"> bud</w:t>
            </w:r>
            <w:r>
              <w:rPr>
                <w:rFonts w:ascii="Arial Narrow" w:hAnsi="Arial Narrow"/>
                <w:sz w:val="15"/>
                <w:szCs w:val="15"/>
              </w:rPr>
              <w:t>ujú</w:t>
            </w:r>
            <w:r w:rsidRPr="00A46BD9">
              <w:rPr>
                <w:rFonts w:ascii="Arial Narrow" w:hAnsi="Arial Narrow"/>
                <w:sz w:val="15"/>
                <w:szCs w:val="15"/>
              </w:rPr>
              <w:t xml:space="preserve"> v rámci projektu eNRI DOP</w:t>
            </w:r>
            <w:r>
              <w:rPr>
                <w:rFonts w:ascii="Arial Narrow" w:hAnsi="Arial Narrow"/>
                <w:sz w:val="15"/>
                <w:szCs w:val="15"/>
              </w:rPr>
              <w:t>.</w:t>
            </w:r>
          </w:p>
        </w:tc>
        <w:tc>
          <w:tcPr>
            <w:tcW w:w="737" w:type="dxa"/>
            <w:vAlign w:val="center"/>
          </w:tcPr>
          <w:p w14:paraId="35C9292E"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013D8DA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CSR.2025.3.6</w:t>
            </w:r>
          </w:p>
          <w:p w14:paraId="3170CFA9"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CSR.2025.5.8</w:t>
            </w:r>
          </w:p>
        </w:tc>
        <w:tc>
          <w:tcPr>
            <w:tcW w:w="850" w:type="dxa"/>
            <w:vAlign w:val="center"/>
          </w:tcPr>
          <w:p w14:paraId="4FDB4782" w14:textId="77777777" w:rsidR="00AA20CF" w:rsidRPr="00EF7276" w:rsidRDefault="00AA20CF" w:rsidP="00CF3F52">
            <w:pPr>
              <w:jc w:val="center"/>
              <w:rPr>
                <w:rFonts w:ascii="Arial Narrow" w:hAnsi="Arial Narrow"/>
                <w:sz w:val="12"/>
                <w:szCs w:val="12"/>
              </w:rPr>
            </w:pPr>
            <w:r w:rsidRPr="00EF7276">
              <w:rPr>
                <w:rFonts w:ascii="Arial Narrow" w:hAnsi="Arial Narrow" w:cs="Calibri"/>
                <w:sz w:val="12"/>
                <w:szCs w:val="12"/>
              </w:rPr>
              <w:t>Posilnenie sociálnej a hospodárskej odolnosti; Spravodlivá digitálna transformácia</w:t>
            </w:r>
          </w:p>
        </w:tc>
        <w:tc>
          <w:tcPr>
            <w:tcW w:w="567" w:type="dxa"/>
            <w:vAlign w:val="center"/>
          </w:tcPr>
          <w:p w14:paraId="2A5325A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p w14:paraId="52D8242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10</w:t>
            </w:r>
          </w:p>
          <w:p w14:paraId="48F0A82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11</w:t>
            </w:r>
          </w:p>
        </w:tc>
        <w:tc>
          <w:tcPr>
            <w:tcW w:w="709" w:type="dxa"/>
            <w:vAlign w:val="center"/>
          </w:tcPr>
          <w:p w14:paraId="536F4618"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20</w:t>
            </w:r>
          </w:p>
        </w:tc>
        <w:tc>
          <w:tcPr>
            <w:tcW w:w="992" w:type="dxa"/>
            <w:vAlign w:val="center"/>
          </w:tcPr>
          <w:p w14:paraId="6EE0D87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48DD6B52" w14:textId="77777777" w:rsidTr="00CF3F52">
        <w:trPr>
          <w:cantSplit/>
          <w:trHeight w:val="1134"/>
        </w:trPr>
        <w:tc>
          <w:tcPr>
            <w:tcW w:w="283" w:type="dxa"/>
            <w:vMerge/>
            <w:shd w:val="clear" w:color="auto" w:fill="E85477"/>
            <w:textDirection w:val="btLr"/>
          </w:tcPr>
          <w:p w14:paraId="3A2AC41C" w14:textId="77777777" w:rsidR="00AA20CF" w:rsidRPr="00A46BD9" w:rsidRDefault="00AA20CF" w:rsidP="00CF3F52">
            <w:pPr>
              <w:spacing w:line="140" w:lineRule="exact"/>
              <w:ind w:left="113" w:right="113"/>
              <w:jc w:val="center"/>
              <w:rPr>
                <w:rFonts w:ascii="Arial Narrow" w:hAnsi="Arial Narrow"/>
                <w:b/>
                <w:color w:val="FFFFFF" w:themeColor="background1"/>
                <w:sz w:val="16"/>
                <w:szCs w:val="16"/>
              </w:rPr>
            </w:pPr>
          </w:p>
        </w:tc>
        <w:tc>
          <w:tcPr>
            <w:tcW w:w="1247" w:type="dxa"/>
            <w:vAlign w:val="center"/>
          </w:tcPr>
          <w:p w14:paraId="15B2403D" w14:textId="77777777" w:rsidR="00AA20CF" w:rsidRPr="00A46BD9" w:rsidRDefault="00AA20CF" w:rsidP="00CF3F52">
            <w:pPr>
              <w:jc w:val="center"/>
              <w:rPr>
                <w:rFonts w:ascii="Arial Narrow" w:hAnsi="Arial Narrow"/>
                <w:sz w:val="15"/>
                <w:szCs w:val="15"/>
              </w:rPr>
            </w:pPr>
            <w:r w:rsidRPr="00A46BD9">
              <w:rPr>
                <w:rFonts w:ascii="Arial Narrow" w:hAnsi="Arial Narrow"/>
                <w:sz w:val="15"/>
                <w:szCs w:val="15"/>
              </w:rPr>
              <w:t>Zvýšenie bezpečnosti železničnej dopravy</w:t>
            </w:r>
          </w:p>
        </w:tc>
        <w:tc>
          <w:tcPr>
            <w:tcW w:w="2693" w:type="dxa"/>
          </w:tcPr>
          <w:p w14:paraId="7257245F"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Postupná implementácia európskeho vlakového zabezpečovacieho systému (ETCS) na vybraných traťových úsekoch ŽSR zvýši bezpečnosť železničnej dopravy, eliminuje ľudský faktor pri riadení vlakov, zníži riziko mimoriadnych udalostí a posilní interoperabilitu siete SR v rámci jednotného európskeho železničného priestoru.</w:t>
            </w:r>
          </w:p>
          <w:p w14:paraId="141B43E7" w14:textId="77777777" w:rsidR="00AA20CF" w:rsidRPr="00A46BD9" w:rsidRDefault="00AA20CF" w:rsidP="00CF3F52">
            <w:pPr>
              <w:jc w:val="both"/>
              <w:rPr>
                <w:rFonts w:ascii="Arial Narrow" w:hAnsi="Arial Narrow"/>
                <w:sz w:val="15"/>
                <w:szCs w:val="15"/>
              </w:rPr>
            </w:pPr>
          </w:p>
          <w:p w14:paraId="7508C444"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Implementácia ETCS prebieha prostredníctvom investičných projektov modernizácie infraštruktúry a vozidiel v súlade s </w:t>
            </w:r>
            <w:hyperlink r:id="rId77" w:history="1">
              <w:r w:rsidRPr="00A46BD9">
                <w:rPr>
                  <w:rStyle w:val="Hypertextovprepojenie"/>
                  <w:rFonts w:ascii="Arial Narrow" w:hAnsi="Arial Narrow"/>
                  <w:sz w:val="15"/>
                  <w:szCs w:val="15"/>
                </w:rPr>
                <w:t>Akčným plánom zvýšenia bezpečnosti železničnej dopravy.</w:t>
              </w:r>
            </w:hyperlink>
          </w:p>
        </w:tc>
        <w:tc>
          <w:tcPr>
            <w:tcW w:w="737" w:type="dxa"/>
            <w:vAlign w:val="center"/>
          </w:tcPr>
          <w:p w14:paraId="6C5E4C4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78A034A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CSR.2025.5.9</w:t>
            </w:r>
          </w:p>
        </w:tc>
        <w:tc>
          <w:tcPr>
            <w:tcW w:w="850" w:type="dxa"/>
            <w:vAlign w:val="center"/>
          </w:tcPr>
          <w:p w14:paraId="3510B8D2" w14:textId="77777777" w:rsidR="00AA20CF" w:rsidRPr="00EF7276" w:rsidRDefault="00AA20CF" w:rsidP="00CF3F52">
            <w:pPr>
              <w:jc w:val="center"/>
              <w:rPr>
                <w:rFonts w:ascii="Arial Narrow" w:hAnsi="Arial Narrow"/>
                <w:sz w:val="12"/>
                <w:szCs w:val="12"/>
              </w:rPr>
            </w:pPr>
            <w:r w:rsidRPr="00EF7276">
              <w:rPr>
                <w:rFonts w:ascii="Arial Narrow" w:hAnsi="Arial Narrow" w:cs="Calibri"/>
                <w:sz w:val="12"/>
                <w:szCs w:val="12"/>
              </w:rPr>
              <w:t>Posilnenie sociálnej a hospodárskej odolnosti</w:t>
            </w:r>
          </w:p>
        </w:tc>
        <w:tc>
          <w:tcPr>
            <w:tcW w:w="567" w:type="dxa"/>
            <w:vAlign w:val="center"/>
          </w:tcPr>
          <w:p w14:paraId="5D8F152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p w14:paraId="552B29D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11</w:t>
            </w:r>
          </w:p>
        </w:tc>
        <w:tc>
          <w:tcPr>
            <w:tcW w:w="709" w:type="dxa"/>
            <w:vAlign w:val="center"/>
          </w:tcPr>
          <w:p w14:paraId="73F22C65"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2C9E1D79"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2BB51C01" w14:textId="77777777" w:rsidTr="00CF3F52">
        <w:trPr>
          <w:trHeight w:val="1205"/>
        </w:trPr>
        <w:tc>
          <w:tcPr>
            <w:tcW w:w="283" w:type="dxa"/>
            <w:shd w:val="clear" w:color="auto" w:fill="7D5207"/>
            <w:textDirection w:val="btLr"/>
          </w:tcPr>
          <w:p w14:paraId="716B03C0" w14:textId="77777777" w:rsidR="00AA20CF" w:rsidRPr="00A46BD9" w:rsidRDefault="00AA20CF" w:rsidP="00CF3F52">
            <w:pPr>
              <w:spacing w:line="140" w:lineRule="exact"/>
              <w:ind w:left="113" w:right="113"/>
              <w:jc w:val="center"/>
              <w:rPr>
                <w:rFonts w:ascii="Arial Narrow" w:hAnsi="Arial Narrow"/>
                <w:b/>
                <w:sz w:val="16"/>
                <w:szCs w:val="16"/>
              </w:rPr>
            </w:pPr>
            <w:r w:rsidRPr="00A46BD9">
              <w:rPr>
                <w:rFonts w:ascii="Arial Narrow" w:hAnsi="Arial Narrow"/>
                <w:b/>
                <w:color w:val="FFFFFF" w:themeColor="background1"/>
                <w:sz w:val="16"/>
                <w:szCs w:val="16"/>
              </w:rPr>
              <w:t>Trh práce, sociálne veci a bývanie</w:t>
            </w:r>
          </w:p>
        </w:tc>
        <w:tc>
          <w:tcPr>
            <w:tcW w:w="1247" w:type="dxa"/>
            <w:vAlign w:val="center"/>
          </w:tcPr>
          <w:p w14:paraId="317BCA39" w14:textId="77777777" w:rsidR="00AA20CF" w:rsidRPr="00A46BD9" w:rsidRDefault="00AA20CF" w:rsidP="00CF3F52">
            <w:pPr>
              <w:jc w:val="center"/>
              <w:rPr>
                <w:rFonts w:ascii="Arial Narrow" w:hAnsi="Arial Narrow"/>
                <w:sz w:val="15"/>
                <w:szCs w:val="15"/>
              </w:rPr>
            </w:pPr>
          </w:p>
          <w:p w14:paraId="7509AEB7" w14:textId="77777777" w:rsidR="00AA20CF" w:rsidRPr="00A46BD9" w:rsidRDefault="00AA20CF" w:rsidP="00CF3F52">
            <w:pPr>
              <w:jc w:val="center"/>
              <w:rPr>
                <w:rFonts w:ascii="Arial Narrow" w:hAnsi="Arial Narrow"/>
                <w:sz w:val="15"/>
                <w:szCs w:val="15"/>
              </w:rPr>
            </w:pPr>
            <w:r w:rsidRPr="00A46BD9">
              <w:rPr>
                <w:rFonts w:ascii="Arial Narrow" w:hAnsi="Arial Narrow"/>
                <w:sz w:val="15"/>
                <w:szCs w:val="15"/>
              </w:rPr>
              <w:t>Rozvoj rodičovských zručností</w:t>
            </w:r>
          </w:p>
        </w:tc>
        <w:tc>
          <w:tcPr>
            <w:tcW w:w="2693" w:type="dxa"/>
          </w:tcPr>
          <w:p w14:paraId="0F80A3A9" w14:textId="77777777" w:rsidR="00AA20CF" w:rsidRPr="00140B99" w:rsidRDefault="00AA20CF" w:rsidP="00CF3F52">
            <w:pPr>
              <w:jc w:val="both"/>
              <w:rPr>
                <w:rFonts w:ascii="Arial Narrow" w:hAnsi="Arial Narrow"/>
                <w:sz w:val="15"/>
                <w:szCs w:val="15"/>
              </w:rPr>
            </w:pPr>
            <w:r w:rsidRPr="00140B99">
              <w:rPr>
                <w:rFonts w:ascii="Arial Narrow" w:hAnsi="Arial Narrow"/>
                <w:sz w:val="15"/>
                <w:szCs w:val="15"/>
              </w:rPr>
              <w:t>Cieľom opatrenia je zaviesť v systéme sociálnych služieb novú odbornú činnosť – rozvoj rodičovských zručností, zameranú na podporu rodičov detí v ranom veku a tehotných žien, ktorí sa ocitli v sociálne nepriaznivej situácií. Táto podpora sa bude poskytovať najmä v prirodzenom prostredí rodín, čím sa posilní preventívny prístup v systéme sociálnych služieb.</w:t>
            </w:r>
          </w:p>
          <w:p w14:paraId="55134390" w14:textId="77777777" w:rsidR="00AA20CF" w:rsidRDefault="00AA20CF" w:rsidP="00CF3F52">
            <w:pPr>
              <w:jc w:val="both"/>
              <w:rPr>
                <w:rFonts w:ascii="Arial Narrow" w:hAnsi="Arial Narrow"/>
                <w:sz w:val="15"/>
                <w:szCs w:val="15"/>
              </w:rPr>
            </w:pPr>
          </w:p>
          <w:p w14:paraId="5F13DBDA" w14:textId="77777777" w:rsidR="00AA20CF" w:rsidRDefault="00AA20CF" w:rsidP="00CF3F52">
            <w:pPr>
              <w:jc w:val="both"/>
              <w:rPr>
                <w:rFonts w:ascii="Arial Narrow" w:hAnsi="Arial Narrow"/>
                <w:sz w:val="15"/>
                <w:szCs w:val="15"/>
              </w:rPr>
            </w:pPr>
          </w:p>
          <w:p w14:paraId="17E633A8" w14:textId="77777777" w:rsidR="00AA20CF" w:rsidRDefault="00AA20CF" w:rsidP="00CF3F52">
            <w:pPr>
              <w:jc w:val="both"/>
              <w:rPr>
                <w:rFonts w:ascii="Arial Narrow" w:hAnsi="Arial Narrow"/>
                <w:sz w:val="15"/>
                <w:szCs w:val="15"/>
              </w:rPr>
            </w:pPr>
          </w:p>
          <w:p w14:paraId="7558785D" w14:textId="77777777" w:rsidR="00AA20CF" w:rsidRDefault="00AA20CF" w:rsidP="00CF3F52">
            <w:pPr>
              <w:jc w:val="both"/>
              <w:rPr>
                <w:rFonts w:ascii="Arial Narrow" w:hAnsi="Arial Narrow"/>
                <w:sz w:val="15"/>
                <w:szCs w:val="15"/>
              </w:rPr>
            </w:pPr>
          </w:p>
          <w:p w14:paraId="5E0E7ACC" w14:textId="77777777" w:rsidR="00AA20CF" w:rsidRDefault="00AA20CF" w:rsidP="00CF3F52">
            <w:pPr>
              <w:jc w:val="both"/>
              <w:rPr>
                <w:rFonts w:ascii="Arial Narrow" w:hAnsi="Arial Narrow"/>
                <w:sz w:val="15"/>
                <w:szCs w:val="15"/>
              </w:rPr>
            </w:pPr>
          </w:p>
          <w:p w14:paraId="6C89DD6A" w14:textId="77777777" w:rsidR="00AA20CF" w:rsidRPr="00A46BD9" w:rsidRDefault="00AA20CF" w:rsidP="00CF3F52">
            <w:pPr>
              <w:jc w:val="both"/>
              <w:rPr>
                <w:rFonts w:ascii="Arial Narrow" w:hAnsi="Arial Narrow"/>
                <w:sz w:val="15"/>
                <w:szCs w:val="15"/>
              </w:rPr>
            </w:pPr>
            <w:hyperlink r:id="rId78" w:history="1">
              <w:r w:rsidRPr="004F0956">
                <w:rPr>
                  <w:rStyle w:val="Hypertextovprepojenie"/>
                  <w:rFonts w:ascii="Arial Narrow" w:hAnsi="Arial Narrow"/>
                  <w:sz w:val="15"/>
                  <w:szCs w:val="15"/>
                </w:rPr>
                <w:t>Novela zákona o sociálnych službách</w:t>
              </w:r>
            </w:hyperlink>
            <w:r w:rsidRPr="00A46BD9">
              <w:rPr>
                <w:rFonts w:ascii="Arial Narrow" w:hAnsi="Arial Narrow"/>
                <w:sz w:val="15"/>
                <w:szCs w:val="15"/>
              </w:rPr>
              <w:t xml:space="preserve"> bola schválená s účinnosťou od 1. januára 2026.</w:t>
            </w:r>
          </w:p>
        </w:tc>
        <w:tc>
          <w:tcPr>
            <w:tcW w:w="737" w:type="dxa"/>
            <w:vAlign w:val="center"/>
          </w:tcPr>
          <w:p w14:paraId="00002EA3" w14:textId="77777777" w:rsidR="00AA20CF" w:rsidRPr="00EF7276" w:rsidRDefault="00AA20CF" w:rsidP="00CF3F52">
            <w:pPr>
              <w:jc w:val="center"/>
              <w:rPr>
                <w:rFonts w:ascii="Arial Narrow" w:hAnsi="Arial Narrow"/>
                <w:sz w:val="12"/>
                <w:szCs w:val="12"/>
              </w:rPr>
            </w:pPr>
          </w:p>
          <w:p w14:paraId="2209D1E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6DC61E4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CSR.2025.6.3</w:t>
            </w:r>
          </w:p>
        </w:tc>
        <w:tc>
          <w:tcPr>
            <w:tcW w:w="850" w:type="dxa"/>
            <w:vAlign w:val="center"/>
          </w:tcPr>
          <w:p w14:paraId="64835FA1" w14:textId="77777777" w:rsidR="00AA20CF" w:rsidRPr="00EF7276" w:rsidRDefault="00AA20CF" w:rsidP="00CF3F52">
            <w:pPr>
              <w:pStyle w:val="Default"/>
              <w:jc w:val="center"/>
              <w:rPr>
                <w:rFonts w:ascii="Arial Narrow" w:hAnsi="Arial Narrow"/>
                <w:sz w:val="12"/>
                <w:szCs w:val="12"/>
              </w:rPr>
            </w:pPr>
            <w:r w:rsidRPr="00EF7276">
              <w:rPr>
                <w:rFonts w:ascii="Arial Narrow" w:hAnsi="Arial Narrow" w:cs="Calibri"/>
                <w:sz w:val="12"/>
                <w:szCs w:val="12"/>
              </w:rPr>
              <w:t>Posilnenie sociálnej a hospodárskej odolnosti</w:t>
            </w:r>
          </w:p>
        </w:tc>
        <w:tc>
          <w:tcPr>
            <w:tcW w:w="567" w:type="dxa"/>
            <w:vAlign w:val="center"/>
          </w:tcPr>
          <w:p w14:paraId="1EF8905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3</w:t>
            </w:r>
          </w:p>
          <w:p w14:paraId="40C6F05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10</w:t>
            </w:r>
          </w:p>
        </w:tc>
        <w:tc>
          <w:tcPr>
            <w:tcW w:w="709" w:type="dxa"/>
            <w:vAlign w:val="center"/>
          </w:tcPr>
          <w:p w14:paraId="2AFF080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11</w:t>
            </w:r>
          </w:p>
        </w:tc>
        <w:tc>
          <w:tcPr>
            <w:tcW w:w="992" w:type="dxa"/>
            <w:vAlign w:val="center"/>
          </w:tcPr>
          <w:p w14:paraId="14E4E1B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Dokončené</w:t>
            </w:r>
          </w:p>
        </w:tc>
      </w:tr>
    </w:tbl>
    <w:p w14:paraId="5E000E01" w14:textId="77777777" w:rsidR="00AA20CF" w:rsidRPr="00A46BD9" w:rsidRDefault="00AA20CF" w:rsidP="00AA20CF">
      <w:pPr>
        <w:pStyle w:val="ifptext"/>
        <w:sectPr w:rsidR="00AA20CF" w:rsidRPr="00A46BD9" w:rsidSect="00AA20CF">
          <w:footerReference w:type="even" r:id="rId79"/>
          <w:footerReference w:type="default" r:id="rId80"/>
          <w:footerReference w:type="first" r:id="rId81"/>
          <w:pgSz w:w="11906" w:h="16838"/>
          <w:pgMar w:top="1417" w:right="1417" w:bottom="1417" w:left="1417" w:header="708" w:footer="397" w:gutter="0"/>
          <w:cols w:space="708"/>
          <w:docGrid w:linePitch="360"/>
        </w:sectPr>
      </w:pPr>
    </w:p>
    <w:p w14:paraId="43262CAE" w14:textId="6E444C61" w:rsidR="00AA20CF" w:rsidRPr="00A46BD9" w:rsidRDefault="00AA20CF" w:rsidP="00AA20CF">
      <w:pPr>
        <w:jc w:val="both"/>
        <w:rPr>
          <w:rFonts w:ascii="Arial Narrow" w:eastAsia="Calibri" w:hAnsi="Arial Narrow"/>
          <w:b/>
          <w:color w:val="2EAAE1"/>
        </w:rPr>
      </w:pPr>
      <w:bookmarkStart w:id="57" w:name="_Toc228177380"/>
      <w:r w:rsidRPr="00A46BD9">
        <w:rPr>
          <w:rFonts w:ascii="Arial Narrow" w:eastAsia="Arial Narrow" w:hAnsi="Arial Narrow" w:cs="Arial Narrow"/>
          <w:b/>
          <w:color w:val="2C9ADC"/>
          <w:bdr w:val="nil"/>
          <w:lang w:eastAsia="sk-SK"/>
        </w:rPr>
        <w:lastRenderedPageBreak/>
        <w:t xml:space="preserve">TABUĽKA </w:t>
      </w:r>
      <w:r w:rsidRPr="00A46BD9">
        <w:rPr>
          <w:rFonts w:ascii="Arial Narrow" w:eastAsia="Arial Narrow" w:hAnsi="Arial Narrow" w:cs="Arial Narrow"/>
          <w:b/>
          <w:color w:val="2C9ADC"/>
          <w:bdr w:val="nil"/>
          <w:lang w:eastAsia="sk-SK"/>
        </w:rPr>
        <w:fldChar w:fldCharType="begin"/>
      </w:r>
      <w:r w:rsidRPr="00A46BD9">
        <w:rPr>
          <w:rFonts w:ascii="Arial Narrow" w:eastAsia="Arial Narrow" w:hAnsi="Arial Narrow" w:cs="Arial Narrow"/>
          <w:b/>
          <w:color w:val="2C9ADC"/>
          <w:bdr w:val="nil"/>
          <w:lang w:eastAsia="sk-SK"/>
        </w:rPr>
        <w:instrText xml:space="preserve"> SEQ TABUĽKA \* ARABIC </w:instrText>
      </w:r>
      <w:r w:rsidRPr="00A46BD9">
        <w:rPr>
          <w:rFonts w:ascii="Arial Narrow" w:eastAsia="Arial Narrow" w:hAnsi="Arial Narrow" w:cs="Arial Narrow"/>
          <w:b/>
          <w:color w:val="2C9ADC"/>
          <w:bdr w:val="nil"/>
          <w:lang w:eastAsia="sk-SK"/>
        </w:rPr>
        <w:fldChar w:fldCharType="separate"/>
      </w:r>
      <w:r w:rsidR="008765E2">
        <w:rPr>
          <w:rFonts w:ascii="Arial Narrow" w:eastAsia="Arial Narrow" w:hAnsi="Arial Narrow" w:cs="Arial Narrow"/>
          <w:b/>
          <w:noProof/>
          <w:color w:val="2C9ADC"/>
          <w:bdr w:val="nil"/>
          <w:lang w:eastAsia="sk-SK"/>
        </w:rPr>
        <w:t>7</w:t>
      </w:r>
      <w:r w:rsidRPr="00A46BD9">
        <w:rPr>
          <w:rFonts w:ascii="Arial Narrow" w:eastAsia="Arial Narrow" w:hAnsi="Arial Narrow" w:cs="Arial Narrow"/>
          <w:b/>
          <w:color w:val="2C9ADC"/>
          <w:bdr w:val="nil"/>
          <w:lang w:eastAsia="sk-SK"/>
        </w:rPr>
        <w:fldChar w:fldCharType="end"/>
      </w:r>
      <w:r w:rsidRPr="00A46BD9">
        <w:rPr>
          <w:rFonts w:ascii="Arial Narrow" w:eastAsia="Calibri" w:hAnsi="Arial Narrow"/>
          <w:b/>
          <w:color w:val="2C9ADC"/>
        </w:rPr>
        <w:t xml:space="preserve"> – Pokrok pri reformách a investíciách nad rámec Plánu obnovy a odolnosti SR</w:t>
      </w:r>
      <w:bookmarkEnd w:id="57"/>
      <w:r w:rsidRPr="00A46BD9">
        <w:rPr>
          <w:rFonts w:ascii="Arial Narrow" w:eastAsia="Calibri" w:hAnsi="Arial Narrow"/>
          <w:b/>
          <w:color w:val="2C9ADC"/>
        </w:rPr>
        <w:t xml:space="preserve"> </w:t>
      </w:r>
    </w:p>
    <w:tbl>
      <w:tblPr>
        <w:tblStyle w:val="Mriekatabuky"/>
        <w:tblW w:w="9070" w:type="dxa"/>
        <w:tblInd w:w="-5" w:type="dxa"/>
        <w:tblBorders>
          <w:top w:val="single" w:sz="4" w:space="0" w:color="2EAAE1"/>
          <w:left w:val="single" w:sz="4" w:space="0" w:color="2EAAE1"/>
          <w:bottom w:val="single" w:sz="4" w:space="0" w:color="2EAAE1"/>
          <w:right w:val="single" w:sz="4" w:space="0" w:color="2EAAE1"/>
          <w:insideH w:val="single" w:sz="4" w:space="0" w:color="2EAAE1"/>
          <w:insideV w:val="single" w:sz="4" w:space="0" w:color="2EAAE1"/>
        </w:tblBorders>
        <w:tblLayout w:type="fixed"/>
        <w:tblLook w:val="04A0" w:firstRow="1" w:lastRow="0" w:firstColumn="1" w:lastColumn="0" w:noHBand="0" w:noVBand="1"/>
      </w:tblPr>
      <w:tblGrid>
        <w:gridCol w:w="283"/>
        <w:gridCol w:w="1247"/>
        <w:gridCol w:w="2693"/>
        <w:gridCol w:w="737"/>
        <w:gridCol w:w="992"/>
        <w:gridCol w:w="850"/>
        <w:gridCol w:w="567"/>
        <w:gridCol w:w="709"/>
        <w:gridCol w:w="992"/>
      </w:tblGrid>
      <w:tr w:rsidR="00AA20CF" w:rsidRPr="00A46BD9" w14:paraId="6A9D6507" w14:textId="77777777" w:rsidTr="00CF3F52">
        <w:trPr>
          <w:trHeight w:val="748"/>
        </w:trPr>
        <w:tc>
          <w:tcPr>
            <w:tcW w:w="283" w:type="dxa"/>
            <w:shd w:val="clear" w:color="auto" w:fill="2EAAE1"/>
            <w:vAlign w:val="center"/>
          </w:tcPr>
          <w:p w14:paraId="2A8CF3C4" w14:textId="77777777" w:rsidR="00AA20CF" w:rsidRPr="00A46BD9" w:rsidRDefault="00AA20CF" w:rsidP="00CF3F52">
            <w:pPr>
              <w:spacing w:line="140" w:lineRule="exact"/>
              <w:jc w:val="center"/>
              <w:rPr>
                <w:rFonts w:ascii="Arial Narrow" w:hAnsi="Arial Narrow"/>
                <w:b/>
                <w:color w:val="FFFFFF" w:themeColor="background1"/>
                <w:sz w:val="16"/>
                <w:szCs w:val="16"/>
              </w:rPr>
            </w:pPr>
          </w:p>
        </w:tc>
        <w:tc>
          <w:tcPr>
            <w:tcW w:w="1247" w:type="dxa"/>
            <w:shd w:val="clear" w:color="auto" w:fill="2EAAE1"/>
            <w:vAlign w:val="center"/>
          </w:tcPr>
          <w:p w14:paraId="7C7076E6"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Reforma/ Investícia</w:t>
            </w:r>
          </w:p>
        </w:tc>
        <w:tc>
          <w:tcPr>
            <w:tcW w:w="2693" w:type="dxa"/>
            <w:shd w:val="clear" w:color="auto" w:fill="2EAAE1"/>
            <w:vAlign w:val="center"/>
          </w:tcPr>
          <w:p w14:paraId="018E4773"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Popis opatrenia a stavu implementácie</w:t>
            </w:r>
          </w:p>
        </w:tc>
        <w:tc>
          <w:tcPr>
            <w:tcW w:w="737" w:type="dxa"/>
            <w:shd w:val="clear" w:color="auto" w:fill="2EAAE1"/>
            <w:vAlign w:val="center"/>
          </w:tcPr>
          <w:p w14:paraId="4A57BDD9"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POO/</w:t>
            </w:r>
          </w:p>
          <w:p w14:paraId="231B1B15"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PSK</w:t>
            </w:r>
          </w:p>
        </w:tc>
        <w:tc>
          <w:tcPr>
            <w:tcW w:w="992" w:type="dxa"/>
            <w:shd w:val="clear" w:color="auto" w:fill="2EAAE1"/>
            <w:vAlign w:val="center"/>
          </w:tcPr>
          <w:p w14:paraId="61EAAD20"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CSR</w:t>
            </w:r>
          </w:p>
        </w:tc>
        <w:tc>
          <w:tcPr>
            <w:tcW w:w="850" w:type="dxa"/>
            <w:shd w:val="clear" w:color="auto" w:fill="2EAAE1"/>
            <w:vAlign w:val="center"/>
          </w:tcPr>
          <w:p w14:paraId="03007CD2"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CP</w:t>
            </w:r>
          </w:p>
        </w:tc>
        <w:tc>
          <w:tcPr>
            <w:tcW w:w="567" w:type="dxa"/>
            <w:shd w:val="clear" w:color="auto" w:fill="2EAAE1"/>
            <w:vAlign w:val="center"/>
          </w:tcPr>
          <w:p w14:paraId="44C12FBF"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SDG</w:t>
            </w:r>
          </w:p>
        </w:tc>
        <w:tc>
          <w:tcPr>
            <w:tcW w:w="709" w:type="dxa"/>
            <w:shd w:val="clear" w:color="auto" w:fill="2EAAE1"/>
            <w:vAlign w:val="center"/>
          </w:tcPr>
          <w:p w14:paraId="425199B7"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EPSP</w:t>
            </w:r>
          </w:p>
        </w:tc>
        <w:tc>
          <w:tcPr>
            <w:tcW w:w="992" w:type="dxa"/>
            <w:shd w:val="clear" w:color="auto" w:fill="2EAAE1"/>
            <w:vAlign w:val="center"/>
          </w:tcPr>
          <w:p w14:paraId="4F82DE77" w14:textId="77777777" w:rsidR="00AA20CF" w:rsidRPr="00A46BD9" w:rsidRDefault="00AA20CF" w:rsidP="00CF3F52">
            <w:pPr>
              <w:jc w:val="center"/>
              <w:rPr>
                <w:rFonts w:ascii="Arial Narrow" w:hAnsi="Arial Narrow"/>
                <w:b/>
                <w:color w:val="FFFFFF" w:themeColor="background1"/>
                <w:sz w:val="18"/>
                <w:szCs w:val="18"/>
              </w:rPr>
            </w:pPr>
            <w:r w:rsidRPr="00A46BD9">
              <w:rPr>
                <w:rFonts w:ascii="Arial Narrow" w:hAnsi="Arial Narrow"/>
                <w:b/>
                <w:color w:val="FFFFFF" w:themeColor="background1"/>
                <w:sz w:val="18"/>
                <w:szCs w:val="18"/>
              </w:rPr>
              <w:t xml:space="preserve">Status </w:t>
            </w:r>
          </w:p>
        </w:tc>
      </w:tr>
      <w:tr w:rsidR="00AA20CF" w:rsidRPr="00A46BD9" w14:paraId="0362A145" w14:textId="77777777" w:rsidTr="00CF3F52">
        <w:trPr>
          <w:trHeight w:val="1207"/>
        </w:trPr>
        <w:tc>
          <w:tcPr>
            <w:tcW w:w="283" w:type="dxa"/>
            <w:vMerge w:val="restart"/>
            <w:shd w:val="clear" w:color="auto" w:fill="686767"/>
            <w:textDirection w:val="btLr"/>
            <w:vAlign w:val="center"/>
          </w:tcPr>
          <w:p w14:paraId="3339A9AA" w14:textId="77777777" w:rsidR="00AA20CF" w:rsidRPr="00A46BD9" w:rsidRDefault="00AA20CF" w:rsidP="00CF3F52">
            <w:pPr>
              <w:spacing w:line="140" w:lineRule="exact"/>
              <w:ind w:left="113" w:right="113"/>
              <w:jc w:val="center"/>
              <w:rPr>
                <w:rFonts w:ascii="Arial Narrow" w:hAnsi="Arial Narrow"/>
                <w:b/>
                <w:color w:val="FFFFFF" w:themeColor="background1"/>
                <w:sz w:val="16"/>
                <w:szCs w:val="16"/>
              </w:rPr>
            </w:pPr>
            <w:r w:rsidRPr="00A46BD9">
              <w:rPr>
                <w:rFonts w:ascii="Arial Narrow" w:hAnsi="Arial Narrow"/>
                <w:b/>
                <w:color w:val="FFFFFF" w:themeColor="background1"/>
                <w:sz w:val="16"/>
                <w:szCs w:val="16"/>
              </w:rPr>
              <w:t>Verejné financie</w:t>
            </w:r>
          </w:p>
          <w:p w14:paraId="462EBCB8" w14:textId="77777777" w:rsidR="00AA20CF" w:rsidRPr="00A46BD9" w:rsidRDefault="00AA20CF" w:rsidP="00CF3F52">
            <w:pPr>
              <w:spacing w:line="140" w:lineRule="exact"/>
              <w:ind w:left="113" w:right="113"/>
              <w:jc w:val="center"/>
              <w:rPr>
                <w:rFonts w:ascii="Arial Narrow" w:hAnsi="Arial Narrow"/>
                <w:b/>
                <w:color w:val="FFFFFF" w:themeColor="background1"/>
                <w:sz w:val="16"/>
                <w:szCs w:val="16"/>
              </w:rPr>
            </w:pPr>
          </w:p>
        </w:tc>
        <w:tc>
          <w:tcPr>
            <w:tcW w:w="1247" w:type="dxa"/>
            <w:vAlign w:val="center"/>
          </w:tcPr>
          <w:p w14:paraId="0A0AB025"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1:</w:t>
            </w:r>
          </w:p>
          <w:p w14:paraId="571431FD" w14:textId="77777777" w:rsidR="00AA20CF" w:rsidRPr="00A46BD9" w:rsidRDefault="00AA20CF" w:rsidP="00CF3F52">
            <w:pPr>
              <w:jc w:val="center"/>
              <w:rPr>
                <w:rFonts w:ascii="Arial Narrow" w:hAnsi="Arial Narrow"/>
                <w:sz w:val="15"/>
                <w:szCs w:val="15"/>
              </w:rPr>
            </w:pPr>
            <w:r w:rsidRPr="00A46BD9">
              <w:rPr>
                <w:rFonts w:ascii="Arial Narrow" w:hAnsi="Arial Narrow"/>
                <w:sz w:val="15"/>
                <w:szCs w:val="15"/>
              </w:rPr>
              <w:t xml:space="preserve">Implementácia tvorby rozpočtu na základe scenárov nezmenených politík </w:t>
            </w:r>
          </w:p>
        </w:tc>
        <w:tc>
          <w:tcPr>
            <w:tcW w:w="2693" w:type="dxa"/>
            <w:shd w:val="clear" w:color="auto" w:fill="FFFFFF" w:themeFill="background1"/>
          </w:tcPr>
          <w:p w14:paraId="3CCE99BE" w14:textId="6FAA1555" w:rsidR="00AA20CF" w:rsidRPr="00A46BD9" w:rsidRDefault="00AA20CF" w:rsidP="00CF3F52">
            <w:pPr>
              <w:tabs>
                <w:tab w:val="left" w:pos="1306"/>
              </w:tabs>
              <w:jc w:val="both"/>
              <w:rPr>
                <w:rFonts w:ascii="Arial Narrow" w:hAnsi="Arial Narrow"/>
                <w:sz w:val="15"/>
                <w:szCs w:val="15"/>
              </w:rPr>
            </w:pPr>
            <w:r w:rsidRPr="00A46BD9">
              <w:rPr>
                <w:rFonts w:ascii="Arial Narrow" w:hAnsi="Arial Narrow"/>
                <w:sz w:val="15"/>
                <w:szCs w:val="15"/>
              </w:rPr>
              <w:t>Cieľom opatrenia je plná implementácia rozpočtovania podľa scenárov nezmenených politík (NPC) ako východisk</w:t>
            </w:r>
            <w:r>
              <w:rPr>
                <w:rFonts w:ascii="Arial Narrow" w:hAnsi="Arial Narrow"/>
                <w:sz w:val="15"/>
                <w:szCs w:val="15"/>
              </w:rPr>
              <w:t>a</w:t>
            </w:r>
            <w:r w:rsidRPr="00A46BD9">
              <w:rPr>
                <w:rFonts w:ascii="Arial Narrow" w:hAnsi="Arial Narrow"/>
                <w:sz w:val="15"/>
                <w:szCs w:val="15"/>
              </w:rPr>
              <w:t xml:space="preserve"> pri tvorbe rozpočtu verejnej správy a výdavkových limitov</w:t>
            </w:r>
            <w:r w:rsidRPr="00DD0511">
              <w:rPr>
                <w:rFonts w:ascii="Arial Narrow" w:hAnsi="Arial Narrow"/>
                <w:sz w:val="15"/>
                <w:szCs w:val="15"/>
              </w:rPr>
              <w:t xml:space="preserve">. </w:t>
            </w:r>
            <w:r w:rsidRPr="00C70729">
              <w:rPr>
                <w:rFonts w:ascii="Arial Narrow" w:hAnsi="Arial Narrow"/>
                <w:sz w:val="15"/>
                <w:szCs w:val="15"/>
              </w:rPr>
              <w:t>NPC scenáre s</w:t>
            </w:r>
            <w:r>
              <w:rPr>
                <w:rFonts w:ascii="Arial Narrow" w:hAnsi="Arial Narrow"/>
                <w:sz w:val="15"/>
                <w:szCs w:val="15"/>
              </w:rPr>
              <w:t xml:space="preserve">a </w:t>
            </w:r>
            <w:r w:rsidRPr="00C70729">
              <w:rPr>
                <w:rFonts w:ascii="Arial Narrow" w:hAnsi="Arial Narrow"/>
                <w:sz w:val="15"/>
                <w:szCs w:val="15"/>
              </w:rPr>
              <w:t>už dnes vytvára</w:t>
            </w:r>
            <w:r>
              <w:rPr>
                <w:rFonts w:ascii="Arial Narrow" w:hAnsi="Arial Narrow"/>
                <w:sz w:val="15"/>
                <w:szCs w:val="15"/>
              </w:rPr>
              <w:t>jú</w:t>
            </w:r>
            <w:r w:rsidRPr="00C70729">
              <w:rPr>
                <w:rFonts w:ascii="Arial Narrow" w:hAnsi="Arial Narrow"/>
                <w:sz w:val="15"/>
                <w:szCs w:val="15"/>
              </w:rPr>
              <w:t xml:space="preserve"> pre každú etapu návrhu rozpočtu verejnej správy a sú zohľadňované pri nastavení čo najpresnejšej </w:t>
            </w:r>
            <w:r w:rsidRPr="004C0D40">
              <w:rPr>
                <w:rFonts w:ascii="Arial Narrow" w:hAnsi="Arial Narrow"/>
                <w:sz w:val="15"/>
                <w:szCs w:val="15"/>
              </w:rPr>
              <w:t>prevádzk</w:t>
            </w:r>
            <w:r>
              <w:rPr>
                <w:rFonts w:ascii="Arial Narrow" w:hAnsi="Arial Narrow"/>
                <w:sz w:val="15"/>
                <w:szCs w:val="15"/>
              </w:rPr>
              <w:t>ovej</w:t>
            </w:r>
            <w:r w:rsidRPr="0024302F">
              <w:rPr>
                <w:rFonts w:ascii="Arial Narrow" w:hAnsi="Arial Narrow"/>
                <w:sz w:val="15"/>
                <w:szCs w:val="15"/>
              </w:rPr>
              <w:t xml:space="preserve"> </w:t>
            </w:r>
            <w:r w:rsidRPr="00C70729">
              <w:rPr>
                <w:rFonts w:ascii="Arial Narrow" w:hAnsi="Arial Narrow"/>
                <w:sz w:val="15"/>
                <w:szCs w:val="15"/>
              </w:rPr>
              <w:t>bázy jednotlivých kapitol štátneho rozpočtu a subjektov verejnej správy. V niektorých prípadoch sa NPC scenáre priamo využívajú ako základná báza pri tvorbe návrhu rozpočtu, a to najmä pri</w:t>
            </w:r>
            <w:r w:rsidRPr="00DD0511">
              <w:rPr>
                <w:rFonts w:ascii="Arial Narrow" w:hAnsi="Arial Narrow"/>
                <w:i/>
                <w:iCs/>
                <w:sz w:val="15"/>
                <w:szCs w:val="15"/>
              </w:rPr>
              <w:t xml:space="preserve"> </w:t>
            </w:r>
            <w:r w:rsidRPr="00941176">
              <w:rPr>
                <w:rFonts w:ascii="Arial Narrow" w:hAnsi="Arial Narrow"/>
                <w:sz w:val="15"/>
                <w:szCs w:val="15"/>
              </w:rPr>
              <w:t>Sociálnej poisťovni</w:t>
            </w:r>
            <w:r w:rsidRPr="00C70729">
              <w:rPr>
                <w:rFonts w:ascii="Arial Narrow" w:hAnsi="Arial Narrow"/>
                <w:sz w:val="15"/>
                <w:szCs w:val="15"/>
              </w:rPr>
              <w:t xml:space="preserve">, </w:t>
            </w:r>
            <w:r w:rsidR="006C731E" w:rsidRPr="006C731E">
              <w:rPr>
                <w:rFonts w:ascii="Arial Narrow" w:hAnsi="Arial Narrow"/>
                <w:sz w:val="15"/>
                <w:szCs w:val="15"/>
              </w:rPr>
              <w:t>verejn</w:t>
            </w:r>
            <w:r w:rsidR="006C731E">
              <w:rPr>
                <w:rFonts w:ascii="Arial Narrow" w:hAnsi="Arial Narrow"/>
                <w:sz w:val="15"/>
                <w:szCs w:val="15"/>
              </w:rPr>
              <w:t>om</w:t>
            </w:r>
            <w:r w:rsidR="006C731E" w:rsidRPr="006C731E">
              <w:rPr>
                <w:rFonts w:ascii="Arial Narrow" w:hAnsi="Arial Narrow"/>
                <w:sz w:val="15"/>
                <w:szCs w:val="15"/>
              </w:rPr>
              <w:t xml:space="preserve"> zdravot</w:t>
            </w:r>
            <w:r w:rsidR="006C731E">
              <w:rPr>
                <w:rFonts w:ascii="Arial Narrow" w:hAnsi="Arial Narrow"/>
                <w:sz w:val="15"/>
                <w:szCs w:val="15"/>
              </w:rPr>
              <w:t>nom</w:t>
            </w:r>
            <w:r w:rsidR="006C731E" w:rsidRPr="006C731E">
              <w:rPr>
                <w:rFonts w:ascii="Arial Narrow" w:hAnsi="Arial Narrow"/>
                <w:sz w:val="15"/>
                <w:szCs w:val="15"/>
              </w:rPr>
              <w:t xml:space="preserve"> poiste</w:t>
            </w:r>
            <w:r w:rsidR="006C731E">
              <w:rPr>
                <w:rFonts w:ascii="Arial Narrow" w:hAnsi="Arial Narrow"/>
                <w:sz w:val="15"/>
                <w:szCs w:val="15"/>
              </w:rPr>
              <w:t>ní</w:t>
            </w:r>
            <w:r w:rsidRPr="00C70729">
              <w:rPr>
                <w:rFonts w:ascii="Arial Narrow" w:hAnsi="Arial Narrow"/>
                <w:sz w:val="15"/>
                <w:szCs w:val="15"/>
              </w:rPr>
              <w:t xml:space="preserve"> a železničných spoločnostiach.</w:t>
            </w:r>
          </w:p>
          <w:p w14:paraId="5CECD7E7" w14:textId="77777777" w:rsidR="00AA20CF" w:rsidRPr="00A46BD9" w:rsidRDefault="00AA20CF" w:rsidP="00CF3F52">
            <w:pPr>
              <w:tabs>
                <w:tab w:val="left" w:pos="1306"/>
              </w:tabs>
              <w:jc w:val="both"/>
              <w:rPr>
                <w:rFonts w:ascii="Arial Narrow" w:hAnsi="Arial Narrow"/>
                <w:sz w:val="15"/>
                <w:szCs w:val="15"/>
              </w:rPr>
            </w:pPr>
          </w:p>
          <w:p w14:paraId="05239682" w14:textId="77777777" w:rsidR="00AA20CF" w:rsidRPr="00A46BD9" w:rsidRDefault="00AA20CF" w:rsidP="00CF3F52">
            <w:pPr>
              <w:tabs>
                <w:tab w:val="left" w:pos="1306"/>
              </w:tabs>
              <w:jc w:val="both"/>
              <w:rPr>
                <w:rFonts w:ascii="Arial Narrow" w:hAnsi="Arial Narrow"/>
                <w:sz w:val="15"/>
                <w:szCs w:val="15"/>
              </w:rPr>
            </w:pPr>
            <w:r w:rsidRPr="00A46BD9">
              <w:rPr>
                <w:rFonts w:ascii="Arial Narrow" w:hAnsi="Arial Narrow"/>
                <w:sz w:val="15"/>
                <w:szCs w:val="15"/>
              </w:rPr>
              <w:t>Výraznejšie využívanie NPC scenárov naprieč celým rozpočtom verejnej správy je predmetom ďalšej diskusie a bude aj obsahom technickej spolupráce s Medzinárodným menovým fondom</w:t>
            </w:r>
            <w:r>
              <w:rPr>
                <w:rFonts w:ascii="Arial Narrow" w:hAnsi="Arial Narrow"/>
                <w:sz w:val="15"/>
                <w:szCs w:val="15"/>
              </w:rPr>
              <w:t>.</w:t>
            </w:r>
          </w:p>
        </w:tc>
        <w:tc>
          <w:tcPr>
            <w:tcW w:w="737" w:type="dxa"/>
            <w:vAlign w:val="center"/>
          </w:tcPr>
          <w:p w14:paraId="4151A7AF"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749AAFB9" w14:textId="77777777" w:rsidR="00AA20CF" w:rsidRDefault="00AA20CF" w:rsidP="00CF3F52">
            <w:pPr>
              <w:jc w:val="center"/>
              <w:rPr>
                <w:rFonts w:ascii="Arial Narrow" w:hAnsi="Arial Narrow"/>
                <w:sz w:val="12"/>
                <w:szCs w:val="12"/>
              </w:rPr>
            </w:pPr>
            <w:r w:rsidRPr="00F073EC">
              <w:rPr>
                <w:rFonts w:ascii="Arial Narrow" w:hAnsi="Arial Narrow"/>
                <w:sz w:val="12"/>
                <w:szCs w:val="12"/>
              </w:rPr>
              <w:t>CSR.2025.1.2</w:t>
            </w:r>
          </w:p>
          <w:p w14:paraId="6D545386" w14:textId="77777777" w:rsidR="00AA20CF" w:rsidRPr="00EF7276" w:rsidRDefault="00AA20CF" w:rsidP="00CF3F52">
            <w:pPr>
              <w:jc w:val="center"/>
              <w:rPr>
                <w:rFonts w:ascii="Arial Narrow" w:hAnsi="Arial Narrow"/>
                <w:color w:val="D08600"/>
                <w:sz w:val="12"/>
                <w:szCs w:val="12"/>
              </w:rPr>
            </w:pPr>
            <w:r w:rsidRPr="00EF7276">
              <w:rPr>
                <w:rFonts w:ascii="Arial Narrow" w:hAnsi="Arial Narrow"/>
                <w:sz w:val="12"/>
                <w:szCs w:val="12"/>
              </w:rPr>
              <w:t>CSR.2025.1.4</w:t>
            </w:r>
          </w:p>
        </w:tc>
        <w:tc>
          <w:tcPr>
            <w:tcW w:w="850" w:type="dxa"/>
            <w:vAlign w:val="center"/>
          </w:tcPr>
          <w:p w14:paraId="57153DAE" w14:textId="77777777" w:rsidR="00AA20CF" w:rsidRPr="00EF7276" w:rsidRDefault="00AA20CF" w:rsidP="00CF3F52">
            <w:pPr>
              <w:pStyle w:val="Default"/>
              <w:jc w:val="center"/>
              <w:rPr>
                <w:rFonts w:ascii="Arial Narrow" w:hAnsi="Arial Narrow" w:cstheme="minorBidi"/>
                <w:color w:val="D08600"/>
                <w:sz w:val="12"/>
                <w:szCs w:val="12"/>
              </w:rPr>
            </w:pPr>
            <w:r w:rsidRPr="00EF7276">
              <w:rPr>
                <w:rFonts w:ascii="Arial Narrow" w:hAnsi="Arial Narrow"/>
                <w:color w:val="auto"/>
                <w:sz w:val="12"/>
                <w:szCs w:val="12"/>
              </w:rPr>
              <w:t>Posilnenie sociálnej a hospodárskej odolnosti</w:t>
            </w:r>
          </w:p>
        </w:tc>
        <w:tc>
          <w:tcPr>
            <w:tcW w:w="567" w:type="dxa"/>
            <w:vAlign w:val="center"/>
          </w:tcPr>
          <w:p w14:paraId="64EC1BBE"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709" w:type="dxa"/>
            <w:vAlign w:val="center"/>
          </w:tcPr>
          <w:p w14:paraId="50F1389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5113E5C5" w14:textId="77777777" w:rsidR="00AA20CF" w:rsidRPr="00BC58AD" w:rsidRDefault="00AA20CF" w:rsidP="00CF3F52">
            <w:pPr>
              <w:jc w:val="center"/>
              <w:rPr>
                <w:rFonts w:ascii="Arial Narrow" w:hAnsi="Arial Narrow"/>
                <w:sz w:val="12"/>
                <w:szCs w:val="12"/>
              </w:rPr>
            </w:pPr>
            <w:r w:rsidRPr="00BC58AD">
              <w:rPr>
                <w:rFonts w:ascii="Arial Narrow" w:hAnsi="Arial Narrow"/>
                <w:sz w:val="12"/>
                <w:szCs w:val="12"/>
              </w:rPr>
              <w:t>Oneskorené</w:t>
            </w:r>
          </w:p>
        </w:tc>
      </w:tr>
      <w:tr w:rsidR="00AA20CF" w:rsidRPr="00A46BD9" w14:paraId="4302F731" w14:textId="77777777" w:rsidTr="00CF3F52">
        <w:trPr>
          <w:trHeight w:val="1207"/>
        </w:trPr>
        <w:tc>
          <w:tcPr>
            <w:tcW w:w="283" w:type="dxa"/>
            <w:vMerge/>
            <w:shd w:val="clear" w:color="auto" w:fill="686767"/>
            <w:vAlign w:val="center"/>
          </w:tcPr>
          <w:p w14:paraId="79D17A5A" w14:textId="77777777" w:rsidR="00AA20CF" w:rsidRPr="00A46BD9" w:rsidRDefault="00AA20CF" w:rsidP="00CF3F52">
            <w:pPr>
              <w:spacing w:line="140" w:lineRule="exact"/>
              <w:jc w:val="center"/>
              <w:rPr>
                <w:rFonts w:ascii="Arial Narrow" w:hAnsi="Arial Narrow"/>
                <w:b/>
                <w:sz w:val="16"/>
                <w:szCs w:val="16"/>
                <w:highlight w:val="yellow"/>
              </w:rPr>
            </w:pPr>
          </w:p>
        </w:tc>
        <w:tc>
          <w:tcPr>
            <w:tcW w:w="1247" w:type="dxa"/>
            <w:vAlign w:val="center"/>
          </w:tcPr>
          <w:p w14:paraId="744FC7ED"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 xml:space="preserve">Reforma 2: </w:t>
            </w:r>
          </w:p>
          <w:p w14:paraId="33B5CB68" w14:textId="77777777" w:rsidR="00AA20CF" w:rsidRPr="00A46BD9" w:rsidRDefault="00AA20CF" w:rsidP="00CF3F52">
            <w:pPr>
              <w:jc w:val="center"/>
              <w:rPr>
                <w:rFonts w:ascii="Arial Narrow" w:hAnsi="Arial Narrow"/>
                <w:sz w:val="15"/>
                <w:szCs w:val="15"/>
              </w:rPr>
            </w:pPr>
            <w:r w:rsidRPr="00A46BD9">
              <w:rPr>
                <w:rFonts w:ascii="Arial Narrow" w:hAnsi="Arial Narrow"/>
                <w:sz w:val="15"/>
                <w:szCs w:val="15"/>
              </w:rPr>
              <w:t>Pripraviť návrh novely ústavného zákona</w:t>
            </w:r>
          </w:p>
          <w:p w14:paraId="60491571" w14:textId="77777777" w:rsidR="00AA20CF" w:rsidRPr="00A46BD9" w:rsidRDefault="00AA20CF" w:rsidP="00CF3F52">
            <w:pPr>
              <w:jc w:val="center"/>
              <w:rPr>
                <w:rFonts w:ascii="Arial Narrow" w:hAnsi="Arial Narrow"/>
                <w:sz w:val="15"/>
                <w:szCs w:val="15"/>
              </w:rPr>
            </w:pPr>
            <w:r w:rsidRPr="00A46BD9">
              <w:rPr>
                <w:rFonts w:ascii="Arial Narrow" w:hAnsi="Arial Narrow"/>
                <w:sz w:val="15"/>
                <w:szCs w:val="15"/>
              </w:rPr>
              <w:t>o rozpočtovej zodpovednosti (úprava</w:t>
            </w:r>
          </w:p>
          <w:p w14:paraId="6EC886E2" w14:textId="77777777" w:rsidR="00AA20CF" w:rsidRPr="00A46BD9" w:rsidRDefault="00AA20CF" w:rsidP="00CF3F52">
            <w:pPr>
              <w:jc w:val="center"/>
              <w:rPr>
                <w:rFonts w:ascii="Arial Narrow" w:hAnsi="Arial Narrow"/>
                <w:b/>
                <w:sz w:val="15"/>
                <w:szCs w:val="15"/>
              </w:rPr>
            </w:pPr>
            <w:r w:rsidRPr="00A46BD9">
              <w:rPr>
                <w:rFonts w:ascii="Arial Narrow" w:hAnsi="Arial Narrow"/>
                <w:sz w:val="15"/>
                <w:szCs w:val="15"/>
              </w:rPr>
              <w:t>dlhovej brzdy)</w:t>
            </w:r>
          </w:p>
        </w:tc>
        <w:tc>
          <w:tcPr>
            <w:tcW w:w="2693" w:type="dxa"/>
          </w:tcPr>
          <w:p w14:paraId="1DEB8F74" w14:textId="77777777" w:rsidR="00AA20CF" w:rsidRPr="00BC58AD" w:rsidRDefault="00AA20CF" w:rsidP="00CF3F52">
            <w:pPr>
              <w:tabs>
                <w:tab w:val="left" w:pos="1306"/>
              </w:tabs>
              <w:jc w:val="both"/>
              <w:rPr>
                <w:rFonts w:ascii="Arial Narrow" w:hAnsi="Arial Narrow"/>
                <w:sz w:val="15"/>
                <w:szCs w:val="15"/>
              </w:rPr>
            </w:pPr>
            <w:r w:rsidRPr="00BC58AD">
              <w:rPr>
                <w:rFonts w:ascii="Arial Narrow" w:hAnsi="Arial Narrow"/>
                <w:sz w:val="15"/>
                <w:szCs w:val="15"/>
              </w:rPr>
              <w:t xml:space="preserve">Novela dlhovej brzdy je potrebná pre zabezpečenie predvídateľnej fiškálnej politiky. </w:t>
            </w:r>
            <w:r w:rsidRPr="00A8248D">
              <w:rPr>
                <w:rFonts w:ascii="Arial Narrow" w:hAnsi="Arial Narrow"/>
                <w:sz w:val="15"/>
                <w:szCs w:val="15"/>
              </w:rPr>
              <w:t xml:space="preserve">Bez jej prijatia by vláda SR musela na rok 2027 </w:t>
            </w:r>
            <w:r w:rsidRPr="00BC58AD">
              <w:rPr>
                <w:rFonts w:ascii="Arial Narrow" w:hAnsi="Arial Narrow"/>
                <w:sz w:val="15"/>
                <w:szCs w:val="15"/>
              </w:rPr>
              <w:t xml:space="preserve">pripraviť vyrovnaný rozpočet, čo by znamenalo náhlu a nadmerne reštriktívnu fiškálnu politiku s možným negatívnym dopadom na hospodársky rast. </w:t>
            </w:r>
          </w:p>
          <w:p w14:paraId="70EB18A6" w14:textId="77777777" w:rsidR="00AA20CF" w:rsidRPr="00BC58AD" w:rsidRDefault="00AA20CF" w:rsidP="00CF3F52">
            <w:pPr>
              <w:tabs>
                <w:tab w:val="left" w:pos="1306"/>
              </w:tabs>
              <w:jc w:val="both"/>
              <w:rPr>
                <w:rFonts w:ascii="Arial Narrow" w:hAnsi="Arial Narrow"/>
                <w:sz w:val="15"/>
                <w:szCs w:val="15"/>
              </w:rPr>
            </w:pPr>
          </w:p>
          <w:p w14:paraId="061D8B66" w14:textId="77777777" w:rsidR="00AA20CF" w:rsidRPr="00BC58AD" w:rsidRDefault="00AA20CF" w:rsidP="00CF3F52">
            <w:pPr>
              <w:tabs>
                <w:tab w:val="left" w:pos="1306"/>
              </w:tabs>
              <w:jc w:val="both"/>
              <w:rPr>
                <w:rFonts w:ascii="Arial Narrow" w:hAnsi="Arial Narrow"/>
                <w:sz w:val="15"/>
                <w:szCs w:val="15"/>
              </w:rPr>
            </w:pPr>
            <w:r>
              <w:rPr>
                <w:rFonts w:ascii="Arial Narrow" w:hAnsi="Arial Narrow"/>
                <w:sz w:val="15"/>
                <w:szCs w:val="15"/>
              </w:rPr>
              <w:t xml:space="preserve">V súvislosti s prípravou </w:t>
            </w:r>
            <w:r w:rsidRPr="00FF0123">
              <w:rPr>
                <w:rFonts w:ascii="Arial Narrow" w:hAnsi="Arial Narrow"/>
                <w:sz w:val="15"/>
                <w:szCs w:val="15"/>
              </w:rPr>
              <w:t>návrhu novely ústavného zákona prebiehajú odborné diskusie najmä o nastavení parametrov dlhovej brzdy, sankčných pásiem a sankčných opatrení. Na schválenie novely je potrebná ústavná väčšina.</w:t>
            </w:r>
          </w:p>
        </w:tc>
        <w:tc>
          <w:tcPr>
            <w:tcW w:w="737" w:type="dxa"/>
            <w:vAlign w:val="center"/>
          </w:tcPr>
          <w:p w14:paraId="36797B88"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6D84E213" w14:textId="77777777" w:rsidR="00AA20CF" w:rsidRPr="00EF7276" w:rsidRDefault="00AA20CF" w:rsidP="00CF3F52">
            <w:pPr>
              <w:jc w:val="center"/>
              <w:rPr>
                <w:rFonts w:ascii="Arial Narrow" w:hAnsi="Arial Narrow"/>
                <w:color w:val="D08600"/>
                <w:sz w:val="12"/>
                <w:szCs w:val="12"/>
              </w:rPr>
            </w:pPr>
            <w:r w:rsidRPr="00EF7276">
              <w:rPr>
                <w:rFonts w:ascii="Arial Narrow" w:hAnsi="Arial Narrow"/>
                <w:sz w:val="12"/>
                <w:szCs w:val="12"/>
              </w:rPr>
              <w:t>CSR.2025.1.2</w:t>
            </w:r>
          </w:p>
        </w:tc>
        <w:tc>
          <w:tcPr>
            <w:tcW w:w="850" w:type="dxa"/>
            <w:vAlign w:val="center"/>
          </w:tcPr>
          <w:p w14:paraId="1DE1F2A8" w14:textId="77777777" w:rsidR="00AA20CF" w:rsidRPr="00EF7276" w:rsidRDefault="00AA20CF" w:rsidP="00CF3F52">
            <w:pPr>
              <w:pStyle w:val="Default"/>
              <w:jc w:val="center"/>
              <w:rPr>
                <w:rFonts w:ascii="Arial Narrow" w:hAnsi="Arial Narrow" w:cstheme="minorBidi"/>
                <w:color w:val="D08600"/>
                <w:sz w:val="12"/>
                <w:szCs w:val="12"/>
              </w:rPr>
            </w:pPr>
            <w:r w:rsidRPr="00EF7276">
              <w:rPr>
                <w:rFonts w:ascii="Arial Narrow" w:hAnsi="Arial Narrow"/>
                <w:color w:val="auto"/>
                <w:sz w:val="12"/>
                <w:szCs w:val="12"/>
              </w:rPr>
              <w:t>Posilnenie sociálnej a hospodárskej odolnosti</w:t>
            </w:r>
          </w:p>
        </w:tc>
        <w:tc>
          <w:tcPr>
            <w:tcW w:w="567" w:type="dxa"/>
            <w:vAlign w:val="center"/>
          </w:tcPr>
          <w:p w14:paraId="0026E556" w14:textId="77777777" w:rsidR="00AA20CF" w:rsidRPr="00EF7276" w:rsidRDefault="00AA20CF" w:rsidP="00CF3F52">
            <w:pPr>
              <w:jc w:val="center"/>
              <w:rPr>
                <w:rFonts w:ascii="Arial Narrow" w:hAnsi="Arial Narrow"/>
                <w:color w:val="D08600"/>
                <w:sz w:val="12"/>
                <w:szCs w:val="12"/>
              </w:rPr>
            </w:pPr>
            <w:r w:rsidRPr="00EF7276">
              <w:rPr>
                <w:rFonts w:ascii="Arial Narrow" w:hAnsi="Arial Narrow"/>
                <w:sz w:val="12"/>
                <w:szCs w:val="12"/>
              </w:rPr>
              <w:t>Cieľ 8</w:t>
            </w:r>
          </w:p>
        </w:tc>
        <w:tc>
          <w:tcPr>
            <w:tcW w:w="709" w:type="dxa"/>
            <w:vAlign w:val="center"/>
          </w:tcPr>
          <w:p w14:paraId="6F38C099" w14:textId="77777777" w:rsidR="00AA20CF" w:rsidRPr="00EF7276" w:rsidRDefault="00AA20CF" w:rsidP="00CF3F52">
            <w:pPr>
              <w:jc w:val="center"/>
              <w:rPr>
                <w:rFonts w:ascii="Arial Narrow" w:hAnsi="Arial Narrow"/>
                <w:color w:val="D08600"/>
                <w:sz w:val="12"/>
                <w:szCs w:val="12"/>
              </w:rPr>
            </w:pPr>
            <w:r w:rsidRPr="00EF7276">
              <w:rPr>
                <w:rFonts w:ascii="Arial Narrow" w:hAnsi="Arial Narrow"/>
                <w:sz w:val="12"/>
                <w:szCs w:val="12"/>
              </w:rPr>
              <w:t>-</w:t>
            </w:r>
          </w:p>
        </w:tc>
        <w:tc>
          <w:tcPr>
            <w:tcW w:w="992" w:type="dxa"/>
            <w:vAlign w:val="center"/>
          </w:tcPr>
          <w:p w14:paraId="6F419BC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Oneskorené</w:t>
            </w:r>
          </w:p>
        </w:tc>
      </w:tr>
      <w:tr w:rsidR="00AA20CF" w:rsidRPr="00A46BD9" w14:paraId="41C9A2AE" w14:textId="77777777" w:rsidTr="00CF3F52">
        <w:trPr>
          <w:trHeight w:val="1207"/>
        </w:trPr>
        <w:tc>
          <w:tcPr>
            <w:tcW w:w="283" w:type="dxa"/>
            <w:vMerge/>
            <w:shd w:val="clear" w:color="auto" w:fill="686767"/>
            <w:vAlign w:val="center"/>
          </w:tcPr>
          <w:p w14:paraId="63D1E60B" w14:textId="77777777" w:rsidR="00AA20CF" w:rsidRPr="00A46BD9" w:rsidRDefault="00AA20CF" w:rsidP="00CF3F52">
            <w:pPr>
              <w:spacing w:line="140" w:lineRule="exact"/>
              <w:jc w:val="center"/>
              <w:rPr>
                <w:rFonts w:ascii="Arial Narrow" w:hAnsi="Arial Narrow"/>
                <w:b/>
                <w:sz w:val="16"/>
                <w:szCs w:val="16"/>
              </w:rPr>
            </w:pPr>
          </w:p>
        </w:tc>
        <w:tc>
          <w:tcPr>
            <w:tcW w:w="1247" w:type="dxa"/>
            <w:vMerge w:val="restart"/>
            <w:shd w:val="clear" w:color="auto" w:fill="FFFFFF" w:themeFill="background1"/>
            <w:vAlign w:val="center"/>
          </w:tcPr>
          <w:p w14:paraId="06732CA2" w14:textId="77777777" w:rsidR="00AA20CF" w:rsidRPr="007F2F5D" w:rsidRDefault="00AA20CF" w:rsidP="00CF3F52">
            <w:pPr>
              <w:jc w:val="center"/>
              <w:rPr>
                <w:rFonts w:ascii="Arial Narrow" w:hAnsi="Arial Narrow"/>
                <w:b/>
                <w:sz w:val="15"/>
                <w:szCs w:val="15"/>
              </w:rPr>
            </w:pPr>
            <w:r w:rsidRPr="007F2F5D">
              <w:rPr>
                <w:rFonts w:ascii="Arial Narrow" w:hAnsi="Arial Narrow"/>
                <w:b/>
                <w:sz w:val="15"/>
                <w:szCs w:val="15"/>
              </w:rPr>
              <w:t>Reforma 3:</w:t>
            </w:r>
          </w:p>
          <w:p w14:paraId="0B840744" w14:textId="77777777" w:rsidR="00AA20CF" w:rsidRPr="007F2F5D" w:rsidRDefault="00AA20CF" w:rsidP="00CF3F52">
            <w:pPr>
              <w:jc w:val="center"/>
              <w:rPr>
                <w:rFonts w:ascii="Arial Narrow" w:hAnsi="Arial Narrow"/>
                <w:b/>
                <w:sz w:val="15"/>
                <w:szCs w:val="15"/>
              </w:rPr>
            </w:pPr>
            <w:r w:rsidRPr="007F2F5D">
              <w:rPr>
                <w:rFonts w:ascii="Arial Narrow" w:hAnsi="Arial Narrow"/>
                <w:sz w:val="15"/>
                <w:szCs w:val="15"/>
              </w:rPr>
              <w:t>Zlepšenie efektívnosti výberu DPH</w:t>
            </w:r>
          </w:p>
        </w:tc>
        <w:tc>
          <w:tcPr>
            <w:tcW w:w="2693" w:type="dxa"/>
            <w:shd w:val="clear" w:color="auto" w:fill="FFFFFF" w:themeFill="background1"/>
          </w:tcPr>
          <w:p w14:paraId="631768F5" w14:textId="77777777" w:rsidR="00AA20CF" w:rsidRPr="00F230A1" w:rsidRDefault="00AA20CF" w:rsidP="00CF3F52">
            <w:pPr>
              <w:jc w:val="both"/>
              <w:rPr>
                <w:rFonts w:ascii="Arial Narrow" w:hAnsi="Arial Narrow"/>
                <w:sz w:val="15"/>
                <w:szCs w:val="15"/>
              </w:rPr>
            </w:pPr>
            <w:r>
              <w:rPr>
                <w:rFonts w:ascii="Arial Narrow" w:hAnsi="Arial Narrow"/>
                <w:sz w:val="15"/>
                <w:szCs w:val="15"/>
              </w:rPr>
              <w:t xml:space="preserve">a) </w:t>
            </w:r>
            <w:r w:rsidRPr="00F230A1">
              <w:rPr>
                <w:rFonts w:ascii="Arial Narrow" w:hAnsi="Arial Narrow"/>
                <w:sz w:val="15"/>
                <w:szCs w:val="15"/>
              </w:rPr>
              <w:t>Zavedenie softvérových upozornení v štýle „trikrát a dosť" s cieľom podporiť psychologický efekt plnenia daňových povinností.</w:t>
            </w:r>
          </w:p>
          <w:p w14:paraId="1422741F" w14:textId="77777777" w:rsidR="00AA20CF" w:rsidRPr="007F2F5D" w:rsidRDefault="00AA20CF" w:rsidP="00CF3F52">
            <w:pPr>
              <w:jc w:val="both"/>
              <w:rPr>
                <w:rFonts w:ascii="Arial Narrow" w:hAnsi="Arial Narrow"/>
                <w:sz w:val="15"/>
                <w:szCs w:val="15"/>
              </w:rPr>
            </w:pPr>
          </w:p>
          <w:p w14:paraId="08CD7912" w14:textId="77777777" w:rsidR="00AA20CF" w:rsidRPr="007F2F5D" w:rsidRDefault="00AA20CF" w:rsidP="00CF3F52">
            <w:pPr>
              <w:tabs>
                <w:tab w:val="left" w:pos="1306"/>
              </w:tabs>
              <w:jc w:val="both"/>
              <w:rPr>
                <w:rFonts w:ascii="Arial Narrow" w:hAnsi="Arial Narrow"/>
                <w:sz w:val="15"/>
                <w:szCs w:val="15"/>
              </w:rPr>
            </w:pPr>
            <w:r>
              <w:rPr>
                <w:rFonts w:ascii="Arial Narrow" w:hAnsi="Arial Narrow"/>
                <w:sz w:val="15"/>
                <w:szCs w:val="15"/>
              </w:rPr>
              <w:t>P</w:t>
            </w:r>
            <w:r w:rsidRPr="007F2F5D">
              <w:rPr>
                <w:rFonts w:ascii="Arial Narrow" w:hAnsi="Arial Narrow"/>
                <w:sz w:val="15"/>
                <w:szCs w:val="15"/>
              </w:rPr>
              <w:t>ripravuje</w:t>
            </w:r>
            <w:r>
              <w:rPr>
                <w:rFonts w:ascii="Arial Narrow" w:hAnsi="Arial Narrow"/>
                <w:sz w:val="15"/>
                <w:szCs w:val="15"/>
              </w:rPr>
              <w:t xml:space="preserve"> sa</w:t>
            </w:r>
            <w:r w:rsidRPr="007F2F5D">
              <w:rPr>
                <w:rFonts w:ascii="Arial Narrow" w:hAnsi="Arial Narrow"/>
                <w:sz w:val="15"/>
                <w:szCs w:val="15"/>
              </w:rPr>
              <w:t xml:space="preserve"> rozšírenie analytických kompetencií FS SR v </w:t>
            </w:r>
            <w:hyperlink r:id="rId82" w:history="1">
              <w:r w:rsidRPr="007F2F5D">
                <w:rPr>
                  <w:rStyle w:val="Hypertextovprepojenie"/>
                  <w:rFonts w:ascii="Arial Narrow" w:hAnsi="Arial Narrow"/>
                  <w:sz w:val="15"/>
                  <w:szCs w:val="15"/>
                </w:rPr>
                <w:t>zákone o finančnej správe</w:t>
              </w:r>
            </w:hyperlink>
            <w:r w:rsidRPr="007F2F5D">
              <w:rPr>
                <w:rFonts w:ascii="Arial Narrow" w:hAnsi="Arial Narrow"/>
                <w:sz w:val="15"/>
                <w:szCs w:val="15"/>
              </w:rPr>
              <w:t>, ktoré umožní ďalšie cielené zasielania upozornení na riziko porušovania daňových predpisov s plánovanou účinnosťou od 1. júna 2026.</w:t>
            </w:r>
          </w:p>
        </w:tc>
        <w:tc>
          <w:tcPr>
            <w:tcW w:w="737" w:type="dxa"/>
            <w:vMerge w:val="restart"/>
            <w:shd w:val="clear" w:color="auto" w:fill="FFFFFF" w:themeFill="background1"/>
            <w:vAlign w:val="center"/>
          </w:tcPr>
          <w:p w14:paraId="4DAA56AB"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w:t>
            </w:r>
          </w:p>
        </w:tc>
        <w:tc>
          <w:tcPr>
            <w:tcW w:w="992" w:type="dxa"/>
            <w:vMerge w:val="restart"/>
            <w:shd w:val="clear" w:color="auto" w:fill="FFFFFF" w:themeFill="background1"/>
            <w:vAlign w:val="center"/>
          </w:tcPr>
          <w:p w14:paraId="1ACBC1A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CSR.2025.1.5</w:t>
            </w:r>
          </w:p>
        </w:tc>
        <w:tc>
          <w:tcPr>
            <w:tcW w:w="850" w:type="dxa"/>
            <w:vMerge w:val="restart"/>
            <w:shd w:val="clear" w:color="auto" w:fill="FFFFFF" w:themeFill="background1"/>
            <w:vAlign w:val="center"/>
          </w:tcPr>
          <w:p w14:paraId="15CFF95C" w14:textId="77777777" w:rsidR="00AA20CF" w:rsidRPr="00EF7276" w:rsidRDefault="00AA20CF" w:rsidP="00CF3F52">
            <w:pPr>
              <w:pStyle w:val="Default"/>
              <w:jc w:val="center"/>
              <w:rPr>
                <w:rFonts w:ascii="Arial Narrow" w:hAnsi="Arial Narrow"/>
                <w:sz w:val="12"/>
                <w:szCs w:val="12"/>
              </w:rPr>
            </w:pPr>
            <w:r w:rsidRPr="00EF7276">
              <w:rPr>
                <w:rFonts w:ascii="Arial Narrow" w:hAnsi="Arial Narrow" w:cstheme="minorBidi"/>
                <w:color w:val="auto"/>
                <w:sz w:val="12"/>
                <w:szCs w:val="12"/>
              </w:rPr>
              <w:t>Spravodlivá digitálna transformácia</w:t>
            </w:r>
          </w:p>
        </w:tc>
        <w:tc>
          <w:tcPr>
            <w:tcW w:w="567" w:type="dxa"/>
            <w:vMerge w:val="restart"/>
            <w:shd w:val="clear" w:color="auto" w:fill="FFFFFF" w:themeFill="background1"/>
            <w:vAlign w:val="center"/>
          </w:tcPr>
          <w:p w14:paraId="669DF6EA"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16</w:t>
            </w:r>
          </w:p>
        </w:tc>
        <w:tc>
          <w:tcPr>
            <w:tcW w:w="709" w:type="dxa"/>
            <w:vMerge w:val="restart"/>
            <w:shd w:val="clear" w:color="auto" w:fill="FFFFFF" w:themeFill="background1"/>
            <w:vAlign w:val="center"/>
          </w:tcPr>
          <w:p w14:paraId="55166D9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shd w:val="clear" w:color="auto" w:fill="FFFFFF" w:themeFill="background1"/>
            <w:vAlign w:val="center"/>
          </w:tcPr>
          <w:p w14:paraId="5875FF2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550CF90F" w14:textId="77777777" w:rsidTr="00CF3F52">
        <w:trPr>
          <w:trHeight w:val="1207"/>
        </w:trPr>
        <w:tc>
          <w:tcPr>
            <w:tcW w:w="283" w:type="dxa"/>
            <w:vMerge/>
            <w:shd w:val="clear" w:color="auto" w:fill="686767"/>
            <w:vAlign w:val="center"/>
          </w:tcPr>
          <w:p w14:paraId="6F72B331" w14:textId="77777777" w:rsidR="00AA20CF" w:rsidRPr="00A46BD9" w:rsidRDefault="00AA20CF" w:rsidP="00CF3F52">
            <w:pPr>
              <w:spacing w:line="140" w:lineRule="exact"/>
              <w:jc w:val="center"/>
              <w:rPr>
                <w:rFonts w:ascii="Arial Narrow" w:hAnsi="Arial Narrow"/>
                <w:b/>
                <w:sz w:val="16"/>
                <w:szCs w:val="16"/>
              </w:rPr>
            </w:pPr>
          </w:p>
        </w:tc>
        <w:tc>
          <w:tcPr>
            <w:tcW w:w="1247" w:type="dxa"/>
            <w:vMerge/>
            <w:shd w:val="clear" w:color="auto" w:fill="FFFFFF" w:themeFill="background1"/>
            <w:vAlign w:val="center"/>
          </w:tcPr>
          <w:p w14:paraId="1E5151AB" w14:textId="77777777" w:rsidR="00AA20CF" w:rsidRPr="007F2F5D" w:rsidRDefault="00AA20CF" w:rsidP="00CF3F52">
            <w:pPr>
              <w:jc w:val="center"/>
              <w:rPr>
                <w:rFonts w:ascii="Arial Narrow" w:hAnsi="Arial Narrow"/>
                <w:b/>
                <w:sz w:val="15"/>
                <w:szCs w:val="15"/>
              </w:rPr>
            </w:pPr>
          </w:p>
        </w:tc>
        <w:tc>
          <w:tcPr>
            <w:tcW w:w="2693" w:type="dxa"/>
            <w:shd w:val="clear" w:color="auto" w:fill="FFFFFF" w:themeFill="background1"/>
          </w:tcPr>
          <w:p w14:paraId="30B6D222" w14:textId="77777777" w:rsidR="00AA20CF" w:rsidRDefault="00AA20CF" w:rsidP="00CF3F52">
            <w:pPr>
              <w:jc w:val="both"/>
              <w:rPr>
                <w:rFonts w:ascii="Arial Narrow" w:hAnsi="Arial Narrow"/>
                <w:sz w:val="15"/>
                <w:szCs w:val="15"/>
              </w:rPr>
            </w:pPr>
            <w:r>
              <w:rPr>
                <w:rFonts w:ascii="Arial Narrow" w:hAnsi="Arial Narrow"/>
                <w:sz w:val="15"/>
                <w:szCs w:val="15"/>
              </w:rPr>
              <w:t xml:space="preserve">b) </w:t>
            </w:r>
            <w:r w:rsidRPr="006A5048">
              <w:rPr>
                <w:rFonts w:ascii="Arial Narrow" w:hAnsi="Arial Narrow"/>
                <w:sz w:val="15"/>
                <w:szCs w:val="15"/>
              </w:rPr>
              <w:t>Legislatívne definovanie daňového podvodu s cieľom jednoduchšieho vyhodnotenia účasti na podvode.</w:t>
            </w:r>
          </w:p>
          <w:p w14:paraId="70A820FD" w14:textId="77777777" w:rsidR="00AA20CF" w:rsidRDefault="00AA20CF" w:rsidP="00CF3F52">
            <w:pPr>
              <w:jc w:val="both"/>
              <w:rPr>
                <w:rFonts w:ascii="Arial Narrow" w:hAnsi="Arial Narrow"/>
                <w:sz w:val="15"/>
                <w:szCs w:val="15"/>
              </w:rPr>
            </w:pPr>
          </w:p>
          <w:p w14:paraId="7D06846A" w14:textId="77777777" w:rsidR="00AA20CF" w:rsidRPr="007F2F5D" w:rsidRDefault="00AA20CF" w:rsidP="00CF3F52">
            <w:pPr>
              <w:jc w:val="both"/>
              <w:rPr>
                <w:rFonts w:ascii="Arial Narrow" w:hAnsi="Arial Narrow"/>
                <w:sz w:val="15"/>
                <w:szCs w:val="15"/>
              </w:rPr>
            </w:pPr>
            <w:r w:rsidRPr="007F2F5D">
              <w:rPr>
                <w:rFonts w:ascii="Arial Narrow" w:hAnsi="Arial Narrow"/>
                <w:sz w:val="15"/>
                <w:szCs w:val="15"/>
              </w:rPr>
              <w:t>Po vyhodnotení návrhu legislatívneho definovania daňového podvodu sa MF SR rozhodlo nepokračovať v príprave tejto legislatívnej úpravy.</w:t>
            </w:r>
          </w:p>
        </w:tc>
        <w:tc>
          <w:tcPr>
            <w:tcW w:w="737" w:type="dxa"/>
            <w:vMerge/>
            <w:shd w:val="clear" w:color="auto" w:fill="FFFFFF" w:themeFill="background1"/>
            <w:vAlign w:val="center"/>
          </w:tcPr>
          <w:p w14:paraId="7E12D61B" w14:textId="77777777" w:rsidR="00AA20CF" w:rsidRPr="00EF7276" w:rsidRDefault="00AA20CF" w:rsidP="00CF3F52">
            <w:pPr>
              <w:tabs>
                <w:tab w:val="left" w:pos="1306"/>
              </w:tabs>
              <w:jc w:val="center"/>
              <w:rPr>
                <w:rFonts w:ascii="Arial Narrow" w:hAnsi="Arial Narrow"/>
                <w:sz w:val="12"/>
                <w:szCs w:val="12"/>
              </w:rPr>
            </w:pPr>
          </w:p>
        </w:tc>
        <w:tc>
          <w:tcPr>
            <w:tcW w:w="992" w:type="dxa"/>
            <w:vMerge/>
            <w:shd w:val="clear" w:color="auto" w:fill="FFFFFF" w:themeFill="background1"/>
            <w:vAlign w:val="center"/>
          </w:tcPr>
          <w:p w14:paraId="33ACD6E6" w14:textId="77777777" w:rsidR="00AA20CF" w:rsidRPr="00EF7276" w:rsidRDefault="00AA20CF" w:rsidP="00CF3F52">
            <w:pPr>
              <w:jc w:val="center"/>
              <w:rPr>
                <w:rFonts w:ascii="Arial Narrow" w:hAnsi="Arial Narrow"/>
                <w:sz w:val="12"/>
                <w:szCs w:val="12"/>
              </w:rPr>
            </w:pPr>
          </w:p>
        </w:tc>
        <w:tc>
          <w:tcPr>
            <w:tcW w:w="850" w:type="dxa"/>
            <w:vMerge/>
            <w:shd w:val="clear" w:color="auto" w:fill="FFFFFF" w:themeFill="background1"/>
            <w:vAlign w:val="center"/>
          </w:tcPr>
          <w:p w14:paraId="08BD1099" w14:textId="77777777" w:rsidR="00AA20CF" w:rsidRPr="00EF7276" w:rsidRDefault="00AA20CF" w:rsidP="00CF3F52">
            <w:pPr>
              <w:pStyle w:val="Default"/>
              <w:jc w:val="center"/>
              <w:rPr>
                <w:rFonts w:ascii="Arial Narrow" w:hAnsi="Arial Narrow" w:cstheme="minorBidi"/>
                <w:color w:val="auto"/>
                <w:sz w:val="12"/>
                <w:szCs w:val="12"/>
              </w:rPr>
            </w:pPr>
          </w:p>
        </w:tc>
        <w:tc>
          <w:tcPr>
            <w:tcW w:w="567" w:type="dxa"/>
            <w:vMerge/>
            <w:shd w:val="clear" w:color="auto" w:fill="FFFFFF" w:themeFill="background1"/>
            <w:vAlign w:val="center"/>
          </w:tcPr>
          <w:p w14:paraId="5832654B" w14:textId="77777777" w:rsidR="00AA20CF" w:rsidRPr="00EF7276" w:rsidRDefault="00AA20CF" w:rsidP="00CF3F52">
            <w:pPr>
              <w:jc w:val="center"/>
              <w:rPr>
                <w:rFonts w:ascii="Arial Narrow" w:hAnsi="Arial Narrow"/>
                <w:sz w:val="12"/>
                <w:szCs w:val="12"/>
              </w:rPr>
            </w:pPr>
          </w:p>
        </w:tc>
        <w:tc>
          <w:tcPr>
            <w:tcW w:w="709" w:type="dxa"/>
            <w:vMerge/>
            <w:shd w:val="clear" w:color="auto" w:fill="FFFFFF" w:themeFill="background1"/>
            <w:vAlign w:val="center"/>
          </w:tcPr>
          <w:p w14:paraId="2064D26D" w14:textId="77777777" w:rsidR="00AA20CF" w:rsidRPr="00EF7276" w:rsidRDefault="00AA20CF" w:rsidP="00CF3F52">
            <w:pPr>
              <w:jc w:val="center"/>
              <w:rPr>
                <w:rFonts w:ascii="Arial Narrow" w:hAnsi="Arial Narrow"/>
                <w:sz w:val="12"/>
                <w:szCs w:val="12"/>
              </w:rPr>
            </w:pPr>
          </w:p>
        </w:tc>
        <w:tc>
          <w:tcPr>
            <w:tcW w:w="992" w:type="dxa"/>
            <w:shd w:val="clear" w:color="auto" w:fill="FFFFFF" w:themeFill="background1"/>
            <w:vAlign w:val="center"/>
          </w:tcPr>
          <w:p w14:paraId="56E973D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Nedokončené</w:t>
            </w:r>
          </w:p>
        </w:tc>
      </w:tr>
      <w:tr w:rsidR="00AA20CF" w:rsidRPr="00A46BD9" w14:paraId="42564CEA" w14:textId="77777777" w:rsidTr="00CF3F52">
        <w:trPr>
          <w:trHeight w:val="132"/>
        </w:trPr>
        <w:tc>
          <w:tcPr>
            <w:tcW w:w="283" w:type="dxa"/>
            <w:vMerge/>
            <w:shd w:val="clear" w:color="auto" w:fill="686767"/>
            <w:vAlign w:val="center"/>
          </w:tcPr>
          <w:p w14:paraId="6DBB9002" w14:textId="77777777" w:rsidR="00AA20CF" w:rsidRPr="00A46BD9" w:rsidRDefault="00AA20CF" w:rsidP="00CF3F52">
            <w:pPr>
              <w:spacing w:line="140" w:lineRule="exact"/>
              <w:jc w:val="center"/>
              <w:rPr>
                <w:rFonts w:ascii="Arial Narrow" w:hAnsi="Arial Narrow"/>
                <w:b/>
                <w:sz w:val="16"/>
                <w:szCs w:val="16"/>
              </w:rPr>
            </w:pPr>
          </w:p>
        </w:tc>
        <w:tc>
          <w:tcPr>
            <w:tcW w:w="1247" w:type="dxa"/>
            <w:vAlign w:val="center"/>
          </w:tcPr>
          <w:p w14:paraId="4F909B94"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4:</w:t>
            </w:r>
          </w:p>
          <w:p w14:paraId="79AD6A88" w14:textId="77777777" w:rsidR="00AA20CF" w:rsidRPr="00A46BD9" w:rsidRDefault="00AA20CF" w:rsidP="00CF3F52">
            <w:pPr>
              <w:jc w:val="center"/>
              <w:rPr>
                <w:rFonts w:ascii="Arial Narrow" w:hAnsi="Arial Narrow"/>
                <w:b/>
                <w:sz w:val="15"/>
                <w:szCs w:val="15"/>
                <w:highlight w:val="yellow"/>
              </w:rPr>
            </w:pPr>
            <w:r w:rsidRPr="00A46BD9">
              <w:rPr>
                <w:rFonts w:ascii="Arial Narrow" w:hAnsi="Arial Narrow"/>
                <w:sz w:val="15"/>
                <w:szCs w:val="15"/>
              </w:rPr>
              <w:t>Zefektívnenie procesov vymáhania daňových nedoplatkov</w:t>
            </w:r>
          </w:p>
        </w:tc>
        <w:tc>
          <w:tcPr>
            <w:tcW w:w="2693" w:type="dxa"/>
          </w:tcPr>
          <w:p w14:paraId="0CDCE795"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Zákon o správe daní sa novelizuje s cieľom zvýšiť efektivitu vymáhania nedoplatkov zavedením inovatívnych zákonných nástrojov a modernizáciou tých existujúcich.</w:t>
            </w:r>
          </w:p>
          <w:p w14:paraId="11AD027E" w14:textId="77777777" w:rsidR="00AA20CF" w:rsidRPr="00A46BD9" w:rsidRDefault="00AA20CF" w:rsidP="00CF3F52">
            <w:pPr>
              <w:jc w:val="both"/>
              <w:rPr>
                <w:rFonts w:ascii="Arial Narrow" w:hAnsi="Arial Narrow"/>
                <w:sz w:val="15"/>
                <w:szCs w:val="15"/>
              </w:rPr>
            </w:pPr>
          </w:p>
          <w:p w14:paraId="35455A90"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Od 1. januára 2026 nadobudla účinnosť </w:t>
            </w:r>
            <w:hyperlink r:id="rId83" w:history="1">
              <w:r w:rsidRPr="00A46BD9">
                <w:rPr>
                  <w:rStyle w:val="Hypertextovprepojenie"/>
                  <w:rFonts w:ascii="Arial Narrow" w:hAnsi="Arial Narrow"/>
                  <w:sz w:val="15"/>
                  <w:szCs w:val="15"/>
                </w:rPr>
                <w:t>novela Daňového poriadku</w:t>
              </w:r>
            </w:hyperlink>
            <w:r w:rsidRPr="00A46BD9">
              <w:rPr>
                <w:rFonts w:ascii="Arial Narrow" w:hAnsi="Arial Narrow"/>
                <w:sz w:val="15"/>
                <w:szCs w:val="15"/>
              </w:rPr>
              <w:t>, ktorá zavádza výnimku z miestnej príslušnosti správcu dane pri vedení daňového exekučného konania a zriaďovaní záložného práva. Úprava umožňuje flexibilnejšie prerozdelenie prípadov medzi pracoviskami F</w:t>
            </w:r>
            <w:r>
              <w:rPr>
                <w:rFonts w:ascii="Arial Narrow" w:hAnsi="Arial Narrow"/>
                <w:sz w:val="15"/>
                <w:szCs w:val="15"/>
              </w:rPr>
              <w:t>S</w:t>
            </w:r>
            <w:r w:rsidRPr="00A46BD9">
              <w:rPr>
                <w:rFonts w:ascii="Arial Narrow" w:hAnsi="Arial Narrow"/>
                <w:sz w:val="15"/>
                <w:szCs w:val="15"/>
              </w:rPr>
              <w:t xml:space="preserve"> SR podľa ich kapacít a potenciálu vymožiteľnosti, čím sa </w:t>
            </w:r>
            <w:r>
              <w:rPr>
                <w:rFonts w:ascii="Arial Narrow" w:hAnsi="Arial Narrow"/>
                <w:sz w:val="15"/>
                <w:szCs w:val="15"/>
              </w:rPr>
              <w:t>cieli zvýšenie</w:t>
            </w:r>
            <w:r w:rsidRPr="00A46BD9">
              <w:rPr>
                <w:rFonts w:ascii="Arial Narrow" w:hAnsi="Arial Narrow"/>
                <w:sz w:val="15"/>
                <w:szCs w:val="15"/>
              </w:rPr>
              <w:t xml:space="preserve"> efe</w:t>
            </w:r>
            <w:r>
              <w:rPr>
                <w:rFonts w:ascii="Arial Narrow" w:hAnsi="Arial Narrow"/>
                <w:sz w:val="15"/>
                <w:szCs w:val="15"/>
              </w:rPr>
              <w:t>ktivity</w:t>
            </w:r>
            <w:r w:rsidRPr="00A46BD9">
              <w:rPr>
                <w:rFonts w:ascii="Arial Narrow" w:hAnsi="Arial Narrow"/>
                <w:sz w:val="15"/>
                <w:szCs w:val="15"/>
              </w:rPr>
              <w:t xml:space="preserve"> vymáhania nedoplatkov.</w:t>
            </w:r>
            <w:r w:rsidRPr="00A46BD9">
              <w:t xml:space="preserve"> </w:t>
            </w:r>
            <w:r w:rsidRPr="00A46BD9">
              <w:rPr>
                <w:rFonts w:ascii="Arial Narrow" w:hAnsi="Arial Narrow"/>
                <w:sz w:val="15"/>
                <w:szCs w:val="15"/>
              </w:rPr>
              <w:t>Opatrenie zároveň</w:t>
            </w:r>
            <w:r>
              <w:rPr>
                <w:rFonts w:ascii="Arial Narrow" w:hAnsi="Arial Narrow"/>
                <w:sz w:val="15"/>
                <w:szCs w:val="15"/>
              </w:rPr>
              <w:t xml:space="preserve"> podporujú </w:t>
            </w:r>
            <w:r w:rsidRPr="00A46BD9">
              <w:rPr>
                <w:rFonts w:ascii="Arial Narrow" w:hAnsi="Arial Narrow"/>
                <w:sz w:val="15"/>
                <w:szCs w:val="15"/>
              </w:rPr>
              <w:t>nelegislatívn</w:t>
            </w:r>
            <w:r>
              <w:rPr>
                <w:rFonts w:ascii="Arial Narrow" w:hAnsi="Arial Narrow"/>
                <w:sz w:val="15"/>
                <w:szCs w:val="15"/>
              </w:rPr>
              <w:t>e</w:t>
            </w:r>
            <w:r w:rsidRPr="00A46BD9">
              <w:rPr>
                <w:rFonts w:ascii="Arial Narrow" w:hAnsi="Arial Narrow"/>
                <w:sz w:val="15"/>
                <w:szCs w:val="15"/>
              </w:rPr>
              <w:t xml:space="preserve"> </w:t>
            </w:r>
            <w:r>
              <w:rPr>
                <w:rFonts w:ascii="Arial Narrow" w:hAnsi="Arial Narrow"/>
                <w:sz w:val="15"/>
                <w:szCs w:val="15"/>
              </w:rPr>
              <w:t>nástroje</w:t>
            </w:r>
            <w:r w:rsidRPr="00A46BD9">
              <w:rPr>
                <w:rFonts w:ascii="Arial Narrow" w:hAnsi="Arial Narrow"/>
                <w:sz w:val="15"/>
                <w:szCs w:val="15"/>
              </w:rPr>
              <w:t>, najmä špecializáci</w:t>
            </w:r>
            <w:r>
              <w:rPr>
                <w:rFonts w:ascii="Arial Narrow" w:hAnsi="Arial Narrow"/>
                <w:sz w:val="15"/>
                <w:szCs w:val="15"/>
              </w:rPr>
              <w:t>a</w:t>
            </w:r>
            <w:r w:rsidRPr="00A46BD9">
              <w:rPr>
                <w:rFonts w:ascii="Arial Narrow" w:hAnsi="Arial Narrow"/>
                <w:sz w:val="15"/>
                <w:szCs w:val="15"/>
              </w:rPr>
              <w:t xml:space="preserve"> exekučných tímov a rozvoj IT podpory procesov vymáhania.</w:t>
            </w:r>
            <w:r w:rsidRPr="00DC1A58">
              <w:t xml:space="preserve"> </w:t>
            </w:r>
            <w:r w:rsidRPr="00DC1A58">
              <w:rPr>
                <w:rFonts w:ascii="Arial Narrow" w:hAnsi="Arial Narrow"/>
                <w:sz w:val="15"/>
                <w:szCs w:val="15"/>
              </w:rPr>
              <w:t xml:space="preserve">Na prijatú novelu majú nadviazať aj </w:t>
            </w:r>
            <w:hyperlink r:id="rId84" w:history="1">
              <w:r w:rsidRPr="00DC1A58">
                <w:rPr>
                  <w:rStyle w:val="Hypertextovprepojenie"/>
                  <w:rFonts w:ascii="Arial Narrow" w:hAnsi="Arial Narrow"/>
                  <w:sz w:val="15"/>
                  <w:szCs w:val="15"/>
                </w:rPr>
                <w:t>ďalšie legislatívne úpravy</w:t>
              </w:r>
            </w:hyperlink>
            <w:r w:rsidRPr="00DC1A58">
              <w:rPr>
                <w:rFonts w:ascii="Arial Narrow" w:hAnsi="Arial Narrow"/>
                <w:sz w:val="15"/>
                <w:szCs w:val="15"/>
              </w:rPr>
              <w:t xml:space="preserve"> zamerané na zvýšenie efektivity vymáhania daňových nedoplatkov.</w:t>
            </w:r>
          </w:p>
        </w:tc>
        <w:tc>
          <w:tcPr>
            <w:tcW w:w="737" w:type="dxa"/>
            <w:vAlign w:val="center"/>
          </w:tcPr>
          <w:p w14:paraId="40B02865"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410A7B9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CSR.2025.1.5</w:t>
            </w:r>
          </w:p>
        </w:tc>
        <w:tc>
          <w:tcPr>
            <w:tcW w:w="850" w:type="dxa"/>
            <w:vAlign w:val="center"/>
          </w:tcPr>
          <w:p w14:paraId="4A351678" w14:textId="77777777" w:rsidR="00AA20CF" w:rsidRPr="00EF7276" w:rsidRDefault="00AA20CF" w:rsidP="00CF3F52">
            <w:pPr>
              <w:pStyle w:val="Default"/>
              <w:jc w:val="center"/>
              <w:rPr>
                <w:rFonts w:ascii="Arial Narrow" w:hAnsi="Arial Narrow"/>
                <w:sz w:val="12"/>
                <w:szCs w:val="12"/>
              </w:rPr>
            </w:pPr>
            <w:r w:rsidRPr="00EF7276">
              <w:rPr>
                <w:rFonts w:ascii="Arial Narrow" w:hAnsi="Arial Narrow" w:cstheme="minorBidi"/>
                <w:color w:val="auto"/>
                <w:sz w:val="12"/>
                <w:szCs w:val="12"/>
              </w:rPr>
              <w:t>Spravodlivá digitálna transformácia</w:t>
            </w:r>
          </w:p>
        </w:tc>
        <w:tc>
          <w:tcPr>
            <w:tcW w:w="567" w:type="dxa"/>
            <w:vAlign w:val="center"/>
          </w:tcPr>
          <w:p w14:paraId="71ABCAAA"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16</w:t>
            </w:r>
          </w:p>
        </w:tc>
        <w:tc>
          <w:tcPr>
            <w:tcW w:w="709" w:type="dxa"/>
            <w:vAlign w:val="center"/>
          </w:tcPr>
          <w:p w14:paraId="668ACA2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75791CE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Dokončené</w:t>
            </w:r>
          </w:p>
        </w:tc>
      </w:tr>
      <w:tr w:rsidR="00AA20CF" w:rsidRPr="00A46BD9" w14:paraId="3AA9A7BE" w14:textId="77777777" w:rsidTr="00CF3F52">
        <w:trPr>
          <w:trHeight w:val="263"/>
        </w:trPr>
        <w:tc>
          <w:tcPr>
            <w:tcW w:w="283" w:type="dxa"/>
            <w:vMerge w:val="restart"/>
            <w:shd w:val="clear" w:color="auto" w:fill="1AA380"/>
            <w:textDirection w:val="btLr"/>
            <w:vAlign w:val="center"/>
          </w:tcPr>
          <w:p w14:paraId="03D1910B" w14:textId="77777777" w:rsidR="00AA20CF" w:rsidRPr="00A46BD9" w:rsidRDefault="00AA20CF" w:rsidP="00CF3F52">
            <w:pPr>
              <w:spacing w:line="140" w:lineRule="exact"/>
              <w:ind w:left="113" w:right="113"/>
              <w:jc w:val="center"/>
              <w:rPr>
                <w:rFonts w:ascii="Arial Narrow" w:hAnsi="Arial Narrow"/>
                <w:b/>
                <w:color w:val="FFFFFF" w:themeColor="background1"/>
                <w:sz w:val="16"/>
                <w:szCs w:val="16"/>
              </w:rPr>
            </w:pPr>
            <w:r w:rsidRPr="00A46BD9">
              <w:rPr>
                <w:rFonts w:ascii="Arial Narrow" w:hAnsi="Arial Narrow"/>
                <w:b/>
                <w:color w:val="FFFFFF" w:themeColor="background1"/>
                <w:sz w:val="16"/>
                <w:szCs w:val="16"/>
              </w:rPr>
              <w:lastRenderedPageBreak/>
              <w:t>Zelená transformácia</w:t>
            </w:r>
          </w:p>
        </w:tc>
        <w:tc>
          <w:tcPr>
            <w:tcW w:w="1247" w:type="dxa"/>
            <w:vAlign w:val="center"/>
          </w:tcPr>
          <w:p w14:paraId="19B5F2EB" w14:textId="77777777" w:rsidR="00AA20CF" w:rsidRPr="00A46BD9" w:rsidRDefault="00AA20CF" w:rsidP="00CF3F52">
            <w:pPr>
              <w:jc w:val="center"/>
              <w:rPr>
                <w:rFonts w:ascii="Arial Narrow" w:hAnsi="Arial Narrow"/>
                <w:sz w:val="15"/>
                <w:szCs w:val="15"/>
              </w:rPr>
            </w:pPr>
            <w:r w:rsidRPr="00A46BD9">
              <w:rPr>
                <w:rFonts w:ascii="Arial Narrow" w:hAnsi="Arial Narrow"/>
                <w:b/>
                <w:sz w:val="15"/>
                <w:szCs w:val="15"/>
              </w:rPr>
              <w:t>Reforma 7:</w:t>
            </w:r>
          </w:p>
          <w:p w14:paraId="7434E361" w14:textId="77777777" w:rsidR="00AA20CF" w:rsidRPr="00A46BD9" w:rsidRDefault="00AA20CF" w:rsidP="00CF3F52">
            <w:pPr>
              <w:jc w:val="center"/>
              <w:rPr>
                <w:rFonts w:ascii="Arial Narrow" w:hAnsi="Arial Narrow"/>
                <w:b/>
                <w:sz w:val="15"/>
                <w:szCs w:val="15"/>
              </w:rPr>
            </w:pPr>
            <w:r w:rsidRPr="00A46BD9">
              <w:rPr>
                <w:rFonts w:ascii="Arial Narrow" w:hAnsi="Arial Narrow"/>
                <w:sz w:val="15"/>
                <w:szCs w:val="15"/>
              </w:rPr>
              <w:t>Aktualizácia Národnej biodiverzitnej stratégie a akčného plánu (NBSAP) do roku 2030</w:t>
            </w:r>
          </w:p>
        </w:tc>
        <w:tc>
          <w:tcPr>
            <w:tcW w:w="2693" w:type="dxa"/>
          </w:tcPr>
          <w:p w14:paraId="2C04016B"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Cieľom aktualizovanej NBSAP je vytvoriť ucelený súbor aktivít a opatrení pre zastavenie straty biodiverzity a urýchlene prechodu na zelenú ekonomiku, ktorá efektívnejšie využíva prírodné zdroje.</w:t>
            </w:r>
          </w:p>
          <w:p w14:paraId="30B71F0B" w14:textId="77777777" w:rsidR="00AA20CF" w:rsidRPr="00A46BD9" w:rsidRDefault="00AA20CF" w:rsidP="00CF3F52">
            <w:pPr>
              <w:jc w:val="both"/>
              <w:rPr>
                <w:rFonts w:ascii="Arial Narrow" w:hAnsi="Arial Narrow"/>
                <w:sz w:val="15"/>
                <w:szCs w:val="15"/>
              </w:rPr>
            </w:pPr>
          </w:p>
          <w:p w14:paraId="7C2EB32C"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Termín predloženia materiálu na rokovanie vlády SR bol oproti pôvodnému harmonogramu posunutý z decembra 2025 na december 2026. MŽP SR v súčasnosti finalizuje proces strategického environmentálneho hodnotenia (SEA). Po jeho ukončení bude materiál predložený na medzirezortné pripomienkové konanie.</w:t>
            </w:r>
          </w:p>
        </w:tc>
        <w:tc>
          <w:tcPr>
            <w:tcW w:w="737" w:type="dxa"/>
            <w:vAlign w:val="center"/>
          </w:tcPr>
          <w:p w14:paraId="269C9872"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609111D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CSR.2025.5.11</w:t>
            </w:r>
          </w:p>
        </w:tc>
        <w:tc>
          <w:tcPr>
            <w:tcW w:w="850" w:type="dxa"/>
            <w:vAlign w:val="center"/>
          </w:tcPr>
          <w:p w14:paraId="38659F46" w14:textId="77777777" w:rsidR="00AA20CF" w:rsidRPr="00EF7276" w:rsidRDefault="00AA20CF" w:rsidP="00CF3F52">
            <w:pPr>
              <w:pStyle w:val="Default"/>
              <w:jc w:val="center"/>
              <w:rPr>
                <w:rFonts w:ascii="Arial Narrow" w:hAnsi="Arial Narrow"/>
                <w:sz w:val="12"/>
                <w:szCs w:val="12"/>
              </w:rPr>
            </w:pPr>
            <w:r w:rsidRPr="00EF7276">
              <w:rPr>
                <w:rFonts w:ascii="Arial Narrow" w:hAnsi="Arial Narrow" w:cstheme="minorBidi"/>
                <w:color w:val="auto"/>
                <w:sz w:val="12"/>
                <w:szCs w:val="12"/>
              </w:rPr>
              <w:t>Spravodlivá zelená transformácia</w:t>
            </w:r>
          </w:p>
        </w:tc>
        <w:tc>
          <w:tcPr>
            <w:tcW w:w="567" w:type="dxa"/>
            <w:vAlign w:val="center"/>
          </w:tcPr>
          <w:p w14:paraId="2D9C0F2E"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11</w:t>
            </w:r>
          </w:p>
          <w:p w14:paraId="56FF2DE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12</w:t>
            </w:r>
          </w:p>
          <w:p w14:paraId="168FE63C"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13</w:t>
            </w:r>
          </w:p>
          <w:p w14:paraId="298048F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14</w:t>
            </w:r>
          </w:p>
          <w:p w14:paraId="397B016B"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15</w:t>
            </w:r>
          </w:p>
          <w:p w14:paraId="3EF244BB"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16</w:t>
            </w:r>
          </w:p>
        </w:tc>
        <w:tc>
          <w:tcPr>
            <w:tcW w:w="709" w:type="dxa"/>
            <w:vAlign w:val="center"/>
          </w:tcPr>
          <w:p w14:paraId="6F43921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0E49A77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Oneskorené</w:t>
            </w:r>
          </w:p>
        </w:tc>
      </w:tr>
      <w:tr w:rsidR="00AA20CF" w:rsidRPr="00A46BD9" w14:paraId="3963AA27" w14:textId="77777777" w:rsidTr="00CF3F52">
        <w:trPr>
          <w:trHeight w:val="263"/>
        </w:trPr>
        <w:tc>
          <w:tcPr>
            <w:tcW w:w="283" w:type="dxa"/>
            <w:vMerge/>
            <w:shd w:val="clear" w:color="auto" w:fill="1AA380"/>
            <w:textDirection w:val="btLr"/>
            <w:vAlign w:val="center"/>
          </w:tcPr>
          <w:p w14:paraId="1994EA02" w14:textId="77777777" w:rsidR="00AA20CF" w:rsidRPr="00A46BD9" w:rsidRDefault="00AA20CF" w:rsidP="00CF3F52">
            <w:pPr>
              <w:spacing w:line="140" w:lineRule="exact"/>
              <w:ind w:left="113" w:right="113"/>
              <w:jc w:val="center"/>
              <w:rPr>
                <w:rFonts w:ascii="Arial Narrow" w:hAnsi="Arial Narrow"/>
                <w:b/>
                <w:color w:val="FFFFFF" w:themeColor="background1"/>
                <w:sz w:val="16"/>
                <w:szCs w:val="16"/>
              </w:rPr>
            </w:pPr>
          </w:p>
        </w:tc>
        <w:tc>
          <w:tcPr>
            <w:tcW w:w="1247" w:type="dxa"/>
            <w:vMerge w:val="restart"/>
            <w:vAlign w:val="center"/>
          </w:tcPr>
          <w:p w14:paraId="00E21B3C" w14:textId="77777777" w:rsidR="00AA20CF" w:rsidRPr="00A46BD9" w:rsidRDefault="00AA20CF" w:rsidP="00CF3F52">
            <w:pPr>
              <w:jc w:val="center"/>
              <w:rPr>
                <w:rFonts w:ascii="Arial Narrow" w:hAnsi="Arial Narrow"/>
                <w:sz w:val="15"/>
                <w:szCs w:val="15"/>
              </w:rPr>
            </w:pPr>
            <w:r w:rsidRPr="00A46BD9">
              <w:rPr>
                <w:rFonts w:ascii="Arial Narrow" w:hAnsi="Arial Narrow"/>
                <w:b/>
                <w:sz w:val="15"/>
                <w:szCs w:val="15"/>
              </w:rPr>
              <w:t>Reforma 8:</w:t>
            </w:r>
          </w:p>
          <w:p w14:paraId="7D3B6B5D" w14:textId="77777777" w:rsidR="00AA20CF" w:rsidRPr="00A46BD9" w:rsidRDefault="00AA20CF" w:rsidP="00CF3F52">
            <w:pPr>
              <w:jc w:val="center"/>
              <w:rPr>
                <w:rFonts w:ascii="Arial Narrow" w:hAnsi="Arial Narrow"/>
                <w:b/>
                <w:sz w:val="15"/>
                <w:szCs w:val="15"/>
              </w:rPr>
            </w:pPr>
            <w:r w:rsidRPr="00A46BD9">
              <w:rPr>
                <w:rFonts w:ascii="Arial Narrow" w:hAnsi="Arial Narrow"/>
                <w:sz w:val="15"/>
                <w:szCs w:val="15"/>
              </w:rPr>
              <w:t>Revízia platieb a poplatkov za užívanie vôd</w:t>
            </w:r>
          </w:p>
        </w:tc>
        <w:tc>
          <w:tcPr>
            <w:tcW w:w="2693" w:type="dxa"/>
          </w:tcPr>
          <w:p w14:paraId="6B92D32F" w14:textId="77777777" w:rsidR="00AA20CF" w:rsidRDefault="00AA20CF" w:rsidP="00CF3F52">
            <w:pPr>
              <w:jc w:val="both"/>
              <w:rPr>
                <w:rFonts w:ascii="Arial Narrow" w:hAnsi="Arial Narrow"/>
                <w:sz w:val="15"/>
                <w:szCs w:val="15"/>
              </w:rPr>
            </w:pPr>
            <w:r>
              <w:rPr>
                <w:rFonts w:ascii="Arial Narrow" w:hAnsi="Arial Narrow"/>
                <w:sz w:val="15"/>
                <w:szCs w:val="15"/>
              </w:rPr>
              <w:t>a) N</w:t>
            </w:r>
            <w:r w:rsidRPr="00EE4439">
              <w:rPr>
                <w:rFonts w:ascii="Arial Narrow" w:hAnsi="Arial Narrow"/>
                <w:sz w:val="15"/>
                <w:szCs w:val="15"/>
              </w:rPr>
              <w:t xml:space="preserve">ovela vodného zákona má priniesť spravodlivé a adresné spoplatňovanie vodohospodárskych služieb na základe </w:t>
            </w:r>
            <w:r w:rsidRPr="00552E7A">
              <w:rPr>
                <w:rFonts w:ascii="Arial Narrow" w:hAnsi="Arial Narrow"/>
                <w:sz w:val="15"/>
                <w:szCs w:val="15"/>
              </w:rPr>
              <w:t>princípu</w:t>
            </w:r>
            <w:r w:rsidRPr="00043686">
              <w:rPr>
                <w:rFonts w:ascii="Arial Narrow" w:hAnsi="Arial Narrow"/>
                <w:sz w:val="15"/>
                <w:szCs w:val="15"/>
              </w:rPr>
              <w:t> „užívateľ a znečisťovateľ platí“</w:t>
            </w:r>
            <w:r>
              <w:rPr>
                <w:rFonts w:ascii="Arial Narrow" w:hAnsi="Arial Narrow"/>
                <w:sz w:val="15"/>
                <w:szCs w:val="15"/>
              </w:rPr>
              <w:t>.</w:t>
            </w:r>
          </w:p>
          <w:p w14:paraId="7ABC95F3" w14:textId="77777777" w:rsidR="00AA20CF" w:rsidRDefault="00AA20CF" w:rsidP="00CF3F52">
            <w:pPr>
              <w:jc w:val="both"/>
              <w:rPr>
                <w:rFonts w:ascii="Arial Narrow" w:hAnsi="Arial Narrow"/>
                <w:sz w:val="15"/>
                <w:szCs w:val="15"/>
              </w:rPr>
            </w:pPr>
          </w:p>
          <w:p w14:paraId="2FD1906D" w14:textId="0AF14809" w:rsidR="00AA20CF" w:rsidRPr="00A46BD9" w:rsidRDefault="00AA20CF" w:rsidP="00CF3F52">
            <w:pPr>
              <w:jc w:val="both"/>
              <w:rPr>
                <w:rFonts w:ascii="Arial Narrow" w:hAnsi="Arial Narrow"/>
                <w:sz w:val="15"/>
                <w:szCs w:val="15"/>
              </w:rPr>
            </w:pPr>
            <w:hyperlink r:id="rId85" w:history="1">
              <w:r w:rsidRPr="003F6671">
                <w:rPr>
                  <w:rStyle w:val="Hypertextovprepojenie"/>
                  <w:rFonts w:ascii="Arial Narrow" w:hAnsi="Arial Narrow"/>
                  <w:sz w:val="15"/>
                  <w:szCs w:val="15"/>
                </w:rPr>
                <w:t>Návrh novely zákona o vodách</w:t>
              </w:r>
            </w:hyperlink>
            <w:r w:rsidRPr="003F6671">
              <w:rPr>
                <w:rFonts w:ascii="Arial Narrow" w:hAnsi="Arial Narrow"/>
                <w:sz w:val="15"/>
                <w:szCs w:val="15"/>
              </w:rPr>
              <w:t xml:space="preserve"> </w:t>
            </w:r>
            <w:r w:rsidR="00A50F87">
              <w:rPr>
                <w:rFonts w:ascii="Arial Narrow" w:hAnsi="Arial Narrow"/>
                <w:sz w:val="15"/>
                <w:szCs w:val="15"/>
              </w:rPr>
              <w:t>bol predložený do MPK a </w:t>
            </w:r>
            <w:r w:rsidR="006C731E" w:rsidRPr="006C731E">
              <w:rPr>
                <w:rFonts w:ascii="Arial Narrow" w:hAnsi="Arial Narrow"/>
                <w:sz w:val="15"/>
                <w:szCs w:val="15"/>
              </w:rPr>
              <w:t>momentálne</w:t>
            </w:r>
            <w:r w:rsidR="00A50F87">
              <w:rPr>
                <w:rFonts w:ascii="Arial Narrow" w:hAnsi="Arial Narrow"/>
                <w:sz w:val="15"/>
                <w:szCs w:val="15"/>
              </w:rPr>
              <w:t xml:space="preserve"> prebieha</w:t>
            </w:r>
            <w:r w:rsidR="006C731E" w:rsidRPr="006C731E">
              <w:rPr>
                <w:rFonts w:ascii="Arial Narrow" w:hAnsi="Arial Narrow"/>
                <w:sz w:val="15"/>
                <w:szCs w:val="15"/>
              </w:rPr>
              <w:t xml:space="preserve"> rozporové konani</w:t>
            </w:r>
            <w:r w:rsidR="00A50F87">
              <w:rPr>
                <w:rFonts w:ascii="Arial Narrow" w:hAnsi="Arial Narrow"/>
                <w:sz w:val="15"/>
                <w:szCs w:val="15"/>
              </w:rPr>
              <w:t>e.</w:t>
            </w:r>
            <w:r w:rsidRPr="003F6671">
              <w:rPr>
                <w:rFonts w:ascii="Arial Narrow" w:hAnsi="Arial Narrow"/>
                <w:sz w:val="15"/>
                <w:szCs w:val="15"/>
              </w:rPr>
              <w:t xml:space="preserve"> Na základe vyhodnotenia pripomienok sa však z návrhu plánuj</w:t>
            </w:r>
            <w:r>
              <w:rPr>
                <w:rFonts w:ascii="Arial Narrow" w:hAnsi="Arial Narrow"/>
                <w:sz w:val="15"/>
                <w:szCs w:val="15"/>
              </w:rPr>
              <w:t>ú</w:t>
            </w:r>
            <w:r w:rsidRPr="003F6671">
              <w:rPr>
                <w:rFonts w:ascii="Arial Narrow" w:hAnsi="Arial Narrow"/>
                <w:sz w:val="15"/>
                <w:szCs w:val="15"/>
              </w:rPr>
              <w:t xml:space="preserve"> vypustiť pôvodne navrhované ustanovenia týkajúce sa znižovania limitných hodnôt pre spoplatnenie odberov a vypúšťania vôd.</w:t>
            </w:r>
          </w:p>
        </w:tc>
        <w:tc>
          <w:tcPr>
            <w:tcW w:w="737" w:type="dxa"/>
            <w:vMerge w:val="restart"/>
            <w:vAlign w:val="center"/>
          </w:tcPr>
          <w:p w14:paraId="159E76E6"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w:t>
            </w:r>
          </w:p>
        </w:tc>
        <w:tc>
          <w:tcPr>
            <w:tcW w:w="992" w:type="dxa"/>
            <w:vMerge w:val="restart"/>
            <w:vAlign w:val="center"/>
          </w:tcPr>
          <w:p w14:paraId="7B440C19"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CSR.2025.1.3</w:t>
            </w:r>
          </w:p>
          <w:p w14:paraId="7C91244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 xml:space="preserve">  CSR.2025.5.11</w:t>
            </w:r>
          </w:p>
        </w:tc>
        <w:tc>
          <w:tcPr>
            <w:tcW w:w="850" w:type="dxa"/>
            <w:vMerge w:val="restart"/>
            <w:vAlign w:val="center"/>
          </w:tcPr>
          <w:p w14:paraId="672981BF" w14:textId="77777777" w:rsidR="00AA20CF" w:rsidRPr="00EF7276" w:rsidRDefault="00AA20CF" w:rsidP="00CF3F52">
            <w:pPr>
              <w:pStyle w:val="Default"/>
              <w:jc w:val="center"/>
              <w:rPr>
                <w:rFonts w:ascii="Arial Narrow" w:hAnsi="Arial Narrow"/>
                <w:sz w:val="12"/>
                <w:szCs w:val="12"/>
              </w:rPr>
            </w:pPr>
            <w:r w:rsidRPr="00EF7276">
              <w:rPr>
                <w:rFonts w:ascii="Arial Narrow" w:hAnsi="Arial Narrow" w:cstheme="minorBidi"/>
                <w:color w:val="auto"/>
                <w:sz w:val="12"/>
                <w:szCs w:val="12"/>
              </w:rPr>
              <w:t>Spravodlivá zelená transformácia</w:t>
            </w:r>
          </w:p>
        </w:tc>
        <w:tc>
          <w:tcPr>
            <w:tcW w:w="567" w:type="dxa"/>
            <w:vMerge w:val="restart"/>
            <w:vAlign w:val="center"/>
          </w:tcPr>
          <w:p w14:paraId="3E63610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6</w:t>
            </w:r>
          </w:p>
          <w:p w14:paraId="058DAE2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12</w:t>
            </w:r>
          </w:p>
          <w:p w14:paraId="275DA2AC"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13</w:t>
            </w:r>
          </w:p>
          <w:p w14:paraId="4E3657EE"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14</w:t>
            </w:r>
          </w:p>
        </w:tc>
        <w:tc>
          <w:tcPr>
            <w:tcW w:w="709" w:type="dxa"/>
            <w:vMerge w:val="restart"/>
            <w:vAlign w:val="center"/>
          </w:tcPr>
          <w:p w14:paraId="15D82F3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2197033B"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Nedokončené</w:t>
            </w:r>
          </w:p>
        </w:tc>
      </w:tr>
      <w:tr w:rsidR="00AA20CF" w:rsidRPr="006462AB" w14:paraId="4AA253CA" w14:textId="77777777" w:rsidTr="00CF3F52">
        <w:trPr>
          <w:trHeight w:val="263"/>
        </w:trPr>
        <w:tc>
          <w:tcPr>
            <w:tcW w:w="283" w:type="dxa"/>
            <w:vMerge/>
            <w:shd w:val="clear" w:color="auto" w:fill="1AA380"/>
            <w:textDirection w:val="btLr"/>
            <w:vAlign w:val="center"/>
          </w:tcPr>
          <w:p w14:paraId="3F836B17" w14:textId="77777777" w:rsidR="00AA20CF" w:rsidRPr="00541544" w:rsidRDefault="00AA20CF" w:rsidP="00CF3F52">
            <w:pPr>
              <w:spacing w:line="140" w:lineRule="exact"/>
              <w:ind w:left="113" w:right="113"/>
              <w:jc w:val="center"/>
              <w:rPr>
                <w:rFonts w:ascii="Arial Narrow" w:hAnsi="Arial Narrow"/>
                <w:b/>
                <w:color w:val="FFFFFF" w:themeColor="background1"/>
                <w:sz w:val="16"/>
                <w:szCs w:val="16"/>
              </w:rPr>
            </w:pPr>
          </w:p>
        </w:tc>
        <w:tc>
          <w:tcPr>
            <w:tcW w:w="1247" w:type="dxa"/>
            <w:vMerge/>
            <w:vAlign w:val="center"/>
          </w:tcPr>
          <w:p w14:paraId="2FB031CA" w14:textId="77777777" w:rsidR="00AA20CF" w:rsidRPr="001D7D38" w:rsidRDefault="00AA20CF" w:rsidP="00CF3F52">
            <w:pPr>
              <w:jc w:val="center"/>
              <w:rPr>
                <w:rFonts w:ascii="Arial Narrow" w:hAnsi="Arial Narrow"/>
                <w:b/>
                <w:sz w:val="15"/>
                <w:szCs w:val="15"/>
              </w:rPr>
            </w:pPr>
          </w:p>
        </w:tc>
        <w:tc>
          <w:tcPr>
            <w:tcW w:w="2693" w:type="dxa"/>
          </w:tcPr>
          <w:p w14:paraId="1572E375" w14:textId="77777777" w:rsidR="00AA20CF" w:rsidRPr="000309F4" w:rsidRDefault="00AA20CF" w:rsidP="00CF3F52">
            <w:pPr>
              <w:jc w:val="both"/>
              <w:rPr>
                <w:rFonts w:ascii="Arial Narrow" w:hAnsi="Arial Narrow"/>
                <w:sz w:val="15"/>
                <w:szCs w:val="15"/>
              </w:rPr>
            </w:pPr>
            <w:r>
              <w:rPr>
                <w:rFonts w:ascii="Arial Narrow" w:hAnsi="Arial Narrow"/>
                <w:sz w:val="15"/>
                <w:szCs w:val="15"/>
              </w:rPr>
              <w:t xml:space="preserve">b) </w:t>
            </w:r>
            <w:r w:rsidRPr="000309F4">
              <w:rPr>
                <w:rFonts w:ascii="Arial Narrow" w:hAnsi="Arial Narrow"/>
                <w:sz w:val="15"/>
                <w:szCs w:val="15"/>
              </w:rPr>
              <w:t xml:space="preserve">V súlade s </w:t>
            </w:r>
            <w:hyperlink r:id="rId86" w:history="1">
              <w:r w:rsidRPr="000309F4">
                <w:rPr>
                  <w:rStyle w:val="Hypertextovprepojenie"/>
                  <w:rFonts w:ascii="Arial Narrow" w:hAnsi="Arial Narrow"/>
                  <w:sz w:val="15"/>
                  <w:szCs w:val="15"/>
                </w:rPr>
                <w:t>Koncepciou vodnej politiky</w:t>
              </w:r>
            </w:hyperlink>
            <w:r w:rsidRPr="000309F4">
              <w:rPr>
                <w:rFonts w:ascii="Arial Narrow" w:hAnsi="Arial Narrow"/>
                <w:sz w:val="15"/>
                <w:szCs w:val="15"/>
              </w:rPr>
              <w:t xml:space="preserve"> </w:t>
            </w:r>
            <w:r>
              <w:rPr>
                <w:rFonts w:ascii="Arial Narrow" w:hAnsi="Arial Narrow"/>
                <w:sz w:val="15"/>
                <w:szCs w:val="15"/>
              </w:rPr>
              <w:t xml:space="preserve">bude schválená </w:t>
            </w:r>
            <w:r w:rsidRPr="00932D75">
              <w:rPr>
                <w:rFonts w:ascii="Arial Narrow" w:hAnsi="Arial Narrow"/>
                <w:sz w:val="15"/>
                <w:szCs w:val="15"/>
              </w:rPr>
              <w:t xml:space="preserve">novela </w:t>
            </w:r>
            <w:hyperlink r:id="rId87" w:history="1">
              <w:r w:rsidRPr="00932D75">
                <w:rPr>
                  <w:rStyle w:val="Hypertextovprepojenie"/>
                  <w:rFonts w:ascii="Arial Narrow" w:hAnsi="Arial Narrow"/>
                  <w:sz w:val="15"/>
                  <w:szCs w:val="15"/>
                </w:rPr>
                <w:t>nariadenia vlády o poplatkoch za užívanie vôd</w:t>
              </w:r>
            </w:hyperlink>
            <w:r>
              <w:rPr>
                <w:rFonts w:ascii="Arial Narrow" w:hAnsi="Arial Narrow"/>
                <w:sz w:val="15"/>
                <w:szCs w:val="15"/>
              </w:rPr>
              <w:t xml:space="preserve">, </w:t>
            </w:r>
            <w:r w:rsidRPr="0078043B">
              <w:rPr>
                <w:rFonts w:ascii="Arial Narrow" w:hAnsi="Arial Narrow"/>
                <w:sz w:val="15"/>
                <w:szCs w:val="15"/>
              </w:rPr>
              <w:t xml:space="preserve">ktorá </w:t>
            </w:r>
            <w:r w:rsidRPr="00043686">
              <w:rPr>
                <w:rFonts w:ascii="Arial Narrow" w:hAnsi="Arial Narrow"/>
                <w:sz w:val="15"/>
                <w:szCs w:val="15"/>
              </w:rPr>
              <w:t>zvýši mieru zohľadnenia environmentálnych nákladov</w:t>
            </w:r>
            <w:r>
              <w:rPr>
                <w:rFonts w:ascii="Arial Narrow" w:hAnsi="Arial Narrow"/>
                <w:sz w:val="15"/>
                <w:szCs w:val="15"/>
              </w:rPr>
              <w:t>.</w:t>
            </w:r>
          </w:p>
          <w:p w14:paraId="738CC782" w14:textId="77777777" w:rsidR="00AA20CF" w:rsidRDefault="00AA20CF" w:rsidP="00CF3F52">
            <w:pPr>
              <w:jc w:val="both"/>
              <w:rPr>
                <w:rFonts w:ascii="Arial Narrow" w:hAnsi="Arial Narrow"/>
                <w:sz w:val="15"/>
                <w:szCs w:val="15"/>
              </w:rPr>
            </w:pPr>
          </w:p>
          <w:p w14:paraId="7ACEB56B" w14:textId="77777777" w:rsidR="00AA20CF" w:rsidRPr="001D7D38" w:rsidRDefault="00AA20CF" w:rsidP="00CF3F52">
            <w:pPr>
              <w:jc w:val="both"/>
              <w:rPr>
                <w:rFonts w:ascii="Arial Narrow" w:hAnsi="Arial Narrow"/>
                <w:sz w:val="15"/>
                <w:szCs w:val="15"/>
              </w:rPr>
            </w:pPr>
            <w:r>
              <w:rPr>
                <w:rFonts w:ascii="Arial Narrow" w:hAnsi="Arial Narrow"/>
                <w:sz w:val="15"/>
                <w:szCs w:val="15"/>
              </w:rPr>
              <w:t xml:space="preserve">MŽP SR </w:t>
            </w:r>
            <w:r w:rsidRPr="00CE1144">
              <w:rPr>
                <w:rFonts w:ascii="Arial Narrow" w:hAnsi="Arial Narrow"/>
                <w:sz w:val="15"/>
                <w:szCs w:val="15"/>
              </w:rPr>
              <w:t>pokračuje</w:t>
            </w:r>
            <w:r>
              <w:rPr>
                <w:rFonts w:ascii="Arial Narrow" w:hAnsi="Arial Narrow"/>
                <w:sz w:val="15"/>
                <w:szCs w:val="15"/>
              </w:rPr>
              <w:t xml:space="preserve"> v</w:t>
            </w:r>
            <w:r w:rsidRPr="00CE1144">
              <w:rPr>
                <w:rFonts w:ascii="Arial Narrow" w:hAnsi="Arial Narrow"/>
                <w:sz w:val="15"/>
                <w:szCs w:val="15"/>
              </w:rPr>
              <w:t xml:space="preserve"> diskusi</w:t>
            </w:r>
            <w:r>
              <w:rPr>
                <w:rFonts w:ascii="Arial Narrow" w:hAnsi="Arial Narrow"/>
                <w:sz w:val="15"/>
                <w:szCs w:val="15"/>
              </w:rPr>
              <w:t>ách</w:t>
            </w:r>
            <w:r w:rsidRPr="00CE1144">
              <w:rPr>
                <w:rFonts w:ascii="Arial Narrow" w:hAnsi="Arial Narrow"/>
                <w:sz w:val="15"/>
                <w:szCs w:val="15"/>
              </w:rPr>
              <w:t xml:space="preserve"> k návrhu </w:t>
            </w:r>
            <w:r>
              <w:rPr>
                <w:rFonts w:ascii="Arial Narrow" w:hAnsi="Arial Narrow"/>
                <w:sz w:val="15"/>
                <w:szCs w:val="15"/>
              </w:rPr>
              <w:t xml:space="preserve">znenia tejto </w:t>
            </w:r>
            <w:r w:rsidRPr="00CE1144">
              <w:rPr>
                <w:rFonts w:ascii="Arial Narrow" w:hAnsi="Arial Narrow"/>
                <w:sz w:val="15"/>
                <w:szCs w:val="15"/>
              </w:rPr>
              <w:t>novely</w:t>
            </w:r>
            <w:r>
              <w:rPr>
                <w:rFonts w:ascii="Arial Narrow" w:hAnsi="Arial Narrow"/>
                <w:sz w:val="15"/>
                <w:szCs w:val="15"/>
              </w:rPr>
              <w:t>.</w:t>
            </w:r>
          </w:p>
        </w:tc>
        <w:tc>
          <w:tcPr>
            <w:tcW w:w="737" w:type="dxa"/>
            <w:vMerge/>
            <w:vAlign w:val="center"/>
          </w:tcPr>
          <w:p w14:paraId="6712B8FD" w14:textId="77777777" w:rsidR="00AA20CF" w:rsidRPr="00EF7276" w:rsidRDefault="00AA20CF" w:rsidP="00CF3F52">
            <w:pPr>
              <w:tabs>
                <w:tab w:val="left" w:pos="1306"/>
              </w:tabs>
              <w:jc w:val="center"/>
              <w:rPr>
                <w:rFonts w:ascii="Arial Narrow" w:hAnsi="Arial Narrow"/>
                <w:sz w:val="12"/>
                <w:szCs w:val="12"/>
              </w:rPr>
            </w:pPr>
          </w:p>
        </w:tc>
        <w:tc>
          <w:tcPr>
            <w:tcW w:w="992" w:type="dxa"/>
            <w:vMerge/>
            <w:vAlign w:val="center"/>
          </w:tcPr>
          <w:p w14:paraId="544FAA22" w14:textId="77777777" w:rsidR="00AA20CF" w:rsidRPr="00EF7276" w:rsidRDefault="00AA20CF" w:rsidP="00CF3F52">
            <w:pPr>
              <w:jc w:val="center"/>
              <w:rPr>
                <w:rFonts w:ascii="Arial Narrow" w:hAnsi="Arial Narrow"/>
                <w:sz w:val="12"/>
                <w:szCs w:val="12"/>
              </w:rPr>
            </w:pPr>
          </w:p>
        </w:tc>
        <w:tc>
          <w:tcPr>
            <w:tcW w:w="850" w:type="dxa"/>
            <w:vMerge/>
            <w:vAlign w:val="center"/>
          </w:tcPr>
          <w:p w14:paraId="0F3ECD98" w14:textId="77777777" w:rsidR="00AA20CF" w:rsidRPr="00EF7276" w:rsidRDefault="00AA20CF" w:rsidP="00CF3F52">
            <w:pPr>
              <w:pStyle w:val="Default"/>
              <w:jc w:val="center"/>
              <w:rPr>
                <w:rFonts w:ascii="Arial Narrow" w:hAnsi="Arial Narrow" w:cstheme="minorBidi"/>
                <w:color w:val="auto"/>
                <w:sz w:val="12"/>
                <w:szCs w:val="12"/>
              </w:rPr>
            </w:pPr>
          </w:p>
        </w:tc>
        <w:tc>
          <w:tcPr>
            <w:tcW w:w="567" w:type="dxa"/>
            <w:vMerge/>
            <w:vAlign w:val="center"/>
          </w:tcPr>
          <w:p w14:paraId="776201A1" w14:textId="77777777" w:rsidR="00AA20CF" w:rsidRPr="00EF7276" w:rsidRDefault="00AA20CF" w:rsidP="00CF3F52">
            <w:pPr>
              <w:jc w:val="center"/>
              <w:rPr>
                <w:rFonts w:ascii="Arial Narrow" w:hAnsi="Arial Narrow"/>
                <w:sz w:val="12"/>
                <w:szCs w:val="12"/>
              </w:rPr>
            </w:pPr>
          </w:p>
        </w:tc>
        <w:tc>
          <w:tcPr>
            <w:tcW w:w="709" w:type="dxa"/>
            <w:vMerge/>
            <w:vAlign w:val="center"/>
          </w:tcPr>
          <w:p w14:paraId="05E56D49" w14:textId="77777777" w:rsidR="00AA20CF" w:rsidRPr="00EF7276" w:rsidRDefault="00AA20CF" w:rsidP="00CF3F52">
            <w:pPr>
              <w:jc w:val="center"/>
              <w:rPr>
                <w:rFonts w:ascii="Arial Narrow" w:hAnsi="Arial Narrow"/>
                <w:sz w:val="12"/>
                <w:szCs w:val="12"/>
              </w:rPr>
            </w:pPr>
          </w:p>
        </w:tc>
        <w:tc>
          <w:tcPr>
            <w:tcW w:w="992" w:type="dxa"/>
            <w:vAlign w:val="center"/>
          </w:tcPr>
          <w:p w14:paraId="4D9E3D4B"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Oneskorené</w:t>
            </w:r>
          </w:p>
        </w:tc>
      </w:tr>
      <w:tr w:rsidR="00AA20CF" w:rsidRPr="00A46BD9" w14:paraId="488A8E3A" w14:textId="77777777" w:rsidTr="00CF3F52">
        <w:trPr>
          <w:trHeight w:val="263"/>
        </w:trPr>
        <w:tc>
          <w:tcPr>
            <w:tcW w:w="283" w:type="dxa"/>
            <w:vMerge/>
            <w:shd w:val="clear" w:color="auto" w:fill="1AA380"/>
            <w:textDirection w:val="btLr"/>
            <w:vAlign w:val="center"/>
          </w:tcPr>
          <w:p w14:paraId="50755BA7" w14:textId="77777777" w:rsidR="00AA20CF" w:rsidRPr="00A46BD9" w:rsidRDefault="00AA20CF" w:rsidP="00CF3F52">
            <w:pPr>
              <w:spacing w:line="140" w:lineRule="exact"/>
              <w:ind w:left="113" w:right="113"/>
              <w:jc w:val="center"/>
              <w:rPr>
                <w:rFonts w:ascii="Arial Narrow" w:hAnsi="Arial Narrow"/>
                <w:b/>
                <w:color w:val="FFFFFF" w:themeColor="background1"/>
                <w:sz w:val="16"/>
                <w:szCs w:val="16"/>
              </w:rPr>
            </w:pPr>
          </w:p>
        </w:tc>
        <w:tc>
          <w:tcPr>
            <w:tcW w:w="1247" w:type="dxa"/>
            <w:vAlign w:val="center"/>
          </w:tcPr>
          <w:p w14:paraId="4149E564" w14:textId="77777777" w:rsidR="00AA20CF" w:rsidRPr="00A46BD9" w:rsidRDefault="00AA20CF" w:rsidP="00CF3F52">
            <w:pPr>
              <w:jc w:val="center"/>
              <w:rPr>
                <w:rFonts w:ascii="Arial Narrow" w:hAnsi="Arial Narrow"/>
                <w:sz w:val="15"/>
                <w:szCs w:val="15"/>
              </w:rPr>
            </w:pPr>
            <w:r w:rsidRPr="00A46BD9">
              <w:rPr>
                <w:rFonts w:ascii="Arial Narrow" w:hAnsi="Arial Narrow"/>
                <w:b/>
                <w:sz w:val="15"/>
                <w:szCs w:val="15"/>
              </w:rPr>
              <w:t>Reforma 9:</w:t>
            </w:r>
          </w:p>
          <w:p w14:paraId="4AF2115B" w14:textId="77777777" w:rsidR="00AA20CF" w:rsidRPr="00A46BD9" w:rsidRDefault="00AA20CF" w:rsidP="00CF3F52">
            <w:pPr>
              <w:jc w:val="center"/>
              <w:rPr>
                <w:rFonts w:ascii="Arial Narrow" w:hAnsi="Arial Narrow"/>
                <w:b/>
                <w:sz w:val="15"/>
                <w:szCs w:val="15"/>
              </w:rPr>
            </w:pPr>
            <w:r w:rsidRPr="00A46BD9">
              <w:rPr>
                <w:rFonts w:ascii="Arial Narrow" w:hAnsi="Arial Narrow"/>
                <w:sz w:val="15"/>
                <w:szCs w:val="15"/>
              </w:rPr>
              <w:t>Stratégia a akčný plán odpadového hospodárstva</w:t>
            </w:r>
          </w:p>
        </w:tc>
        <w:tc>
          <w:tcPr>
            <w:tcW w:w="2693" w:type="dxa"/>
          </w:tcPr>
          <w:p w14:paraId="4390BCB4"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Stratégia a akčný plán určia ciele a opatrenia v oblasti odpadového hospodárstva na obdobie 10 až 15 rokov, so zameraním na zvýšenie recyklácie a zníženie skládkovania komunálneho odpadu.</w:t>
            </w:r>
          </w:p>
          <w:p w14:paraId="22A42DC5" w14:textId="77777777" w:rsidR="00AA20CF" w:rsidRPr="00A46BD9" w:rsidRDefault="00AA20CF" w:rsidP="00CF3F52">
            <w:pPr>
              <w:jc w:val="both"/>
              <w:rPr>
                <w:rFonts w:ascii="Arial Narrow" w:hAnsi="Arial Narrow"/>
                <w:sz w:val="15"/>
                <w:szCs w:val="15"/>
              </w:rPr>
            </w:pPr>
          </w:p>
          <w:p w14:paraId="0F7C9305" w14:textId="77777777" w:rsidR="00AA20CF" w:rsidRPr="00A46BD9" w:rsidRDefault="00AA20CF" w:rsidP="00CF3F52">
            <w:pPr>
              <w:jc w:val="both"/>
              <w:rPr>
                <w:rFonts w:ascii="Arial Narrow" w:hAnsi="Arial Narrow"/>
                <w:sz w:val="15"/>
                <w:szCs w:val="15"/>
              </w:rPr>
            </w:pPr>
            <w:hyperlink r:id="rId88" w:history="1">
              <w:r w:rsidRPr="00A46BD9">
                <w:rPr>
                  <w:rStyle w:val="Hypertextovprepojenie"/>
                  <w:rFonts w:ascii="Arial Narrow" w:hAnsi="Arial Narrow"/>
                  <w:sz w:val="15"/>
                  <w:szCs w:val="15"/>
                </w:rPr>
                <w:t>Stratégia odpadového hospodárstva SR do roku 2035</w:t>
              </w:r>
            </w:hyperlink>
            <w:r w:rsidRPr="00A46BD9">
              <w:rPr>
                <w:rFonts w:ascii="Arial Narrow" w:hAnsi="Arial Narrow"/>
                <w:sz w:val="15"/>
                <w:szCs w:val="15"/>
              </w:rPr>
              <w:t>, ktorá obsahuje aj súbor konkrétnych opatrení, bola 13. januára 2026 schválená vládou SR.</w:t>
            </w:r>
          </w:p>
        </w:tc>
        <w:tc>
          <w:tcPr>
            <w:tcW w:w="737" w:type="dxa"/>
            <w:vAlign w:val="center"/>
          </w:tcPr>
          <w:p w14:paraId="3920DFFD"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3D3DB71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CSR.2025.5.10</w:t>
            </w:r>
          </w:p>
        </w:tc>
        <w:tc>
          <w:tcPr>
            <w:tcW w:w="850" w:type="dxa"/>
            <w:vAlign w:val="center"/>
          </w:tcPr>
          <w:p w14:paraId="03A5C074" w14:textId="77777777" w:rsidR="00AA20CF" w:rsidRPr="00EF7276" w:rsidRDefault="00AA20CF" w:rsidP="00CF3F52">
            <w:pPr>
              <w:pStyle w:val="Default"/>
              <w:jc w:val="center"/>
              <w:rPr>
                <w:rFonts w:ascii="Arial Narrow" w:hAnsi="Arial Narrow"/>
                <w:sz w:val="12"/>
                <w:szCs w:val="12"/>
              </w:rPr>
            </w:pPr>
            <w:r w:rsidRPr="00EF7276">
              <w:rPr>
                <w:rFonts w:ascii="Arial Narrow" w:hAnsi="Arial Narrow" w:cstheme="minorBidi"/>
                <w:color w:val="auto"/>
                <w:sz w:val="12"/>
                <w:szCs w:val="12"/>
              </w:rPr>
              <w:t>Spravodlivá zelená transformácia</w:t>
            </w:r>
          </w:p>
        </w:tc>
        <w:tc>
          <w:tcPr>
            <w:tcW w:w="567" w:type="dxa"/>
            <w:vAlign w:val="center"/>
          </w:tcPr>
          <w:p w14:paraId="08D4E67B"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11</w:t>
            </w:r>
          </w:p>
          <w:p w14:paraId="6A9AA2F8"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12</w:t>
            </w:r>
          </w:p>
          <w:p w14:paraId="496AFD5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15</w:t>
            </w:r>
          </w:p>
        </w:tc>
        <w:tc>
          <w:tcPr>
            <w:tcW w:w="709" w:type="dxa"/>
            <w:vAlign w:val="center"/>
          </w:tcPr>
          <w:p w14:paraId="2885554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1E2690B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0194D4E1" w14:textId="77777777" w:rsidTr="00CF3F52">
        <w:trPr>
          <w:trHeight w:val="263"/>
        </w:trPr>
        <w:tc>
          <w:tcPr>
            <w:tcW w:w="283" w:type="dxa"/>
            <w:vMerge/>
            <w:shd w:val="clear" w:color="auto" w:fill="1AA380"/>
            <w:textDirection w:val="btLr"/>
            <w:vAlign w:val="center"/>
          </w:tcPr>
          <w:p w14:paraId="067F276F" w14:textId="77777777" w:rsidR="00AA20CF" w:rsidRPr="00A46BD9" w:rsidRDefault="00AA20CF" w:rsidP="00CF3F52">
            <w:pPr>
              <w:spacing w:line="140" w:lineRule="exact"/>
              <w:ind w:left="113" w:right="113"/>
              <w:jc w:val="center"/>
              <w:rPr>
                <w:rFonts w:ascii="Arial Narrow" w:hAnsi="Arial Narrow"/>
                <w:b/>
                <w:color w:val="FFFFFF" w:themeColor="background1"/>
                <w:sz w:val="16"/>
                <w:szCs w:val="16"/>
              </w:rPr>
            </w:pPr>
          </w:p>
        </w:tc>
        <w:tc>
          <w:tcPr>
            <w:tcW w:w="1247" w:type="dxa"/>
            <w:vAlign w:val="center"/>
          </w:tcPr>
          <w:p w14:paraId="57187110"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10:</w:t>
            </w:r>
          </w:p>
          <w:p w14:paraId="5FB6654D" w14:textId="77777777" w:rsidR="00AA20CF" w:rsidRPr="00A46BD9" w:rsidRDefault="00AA20CF" w:rsidP="00CF3F52">
            <w:pPr>
              <w:jc w:val="center"/>
              <w:rPr>
                <w:rFonts w:ascii="Arial Narrow" w:hAnsi="Arial Narrow"/>
                <w:b/>
                <w:sz w:val="15"/>
                <w:szCs w:val="15"/>
              </w:rPr>
            </w:pPr>
            <w:r w:rsidRPr="00A46BD9">
              <w:rPr>
                <w:rFonts w:ascii="Arial Narrow" w:hAnsi="Arial Narrow"/>
                <w:sz w:val="15"/>
                <w:szCs w:val="15"/>
              </w:rPr>
              <w:t>Zefektívnenie poskytovania podpory z Environmentálneho fondu</w:t>
            </w:r>
          </w:p>
        </w:tc>
        <w:tc>
          <w:tcPr>
            <w:tcW w:w="2693" w:type="dxa"/>
          </w:tcPr>
          <w:p w14:paraId="735929CA" w14:textId="77777777" w:rsidR="00AA20CF" w:rsidRDefault="00AA20CF" w:rsidP="00CF3F52">
            <w:pPr>
              <w:jc w:val="both"/>
              <w:rPr>
                <w:rFonts w:ascii="Arial Narrow" w:hAnsi="Arial Narrow"/>
                <w:sz w:val="15"/>
                <w:szCs w:val="15"/>
              </w:rPr>
            </w:pPr>
            <w:r w:rsidRPr="00A46BD9">
              <w:rPr>
                <w:rFonts w:ascii="Arial Narrow" w:hAnsi="Arial Narrow"/>
                <w:sz w:val="15"/>
                <w:szCs w:val="15"/>
              </w:rPr>
              <w:t>Novelizácia zákona o environmentálnom fonde prinesie zefektívnenie jeho činnosti a umožní flexibilnejšie reagovať na požiadavky príjemcov podpory.</w:t>
            </w:r>
          </w:p>
          <w:p w14:paraId="3EA51D06"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 </w:t>
            </w:r>
          </w:p>
          <w:p w14:paraId="5F5745B8" w14:textId="6EC4C24B"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Vláda SR schválila 1. októbra 2025 </w:t>
            </w:r>
            <w:hyperlink r:id="rId89" w:history="1">
              <w:r w:rsidRPr="00A46BD9">
                <w:rPr>
                  <w:rStyle w:val="Hypertextovprepojenie"/>
                  <w:rFonts w:ascii="Arial Narrow" w:hAnsi="Arial Narrow"/>
                  <w:sz w:val="15"/>
                  <w:szCs w:val="15"/>
                </w:rPr>
                <w:t>návrh nového zákona o Environmentálnom fonde</w:t>
              </w:r>
            </w:hyperlink>
            <w:r w:rsidRPr="00A46BD9">
              <w:rPr>
                <w:rFonts w:ascii="Arial Narrow" w:hAnsi="Arial Narrow"/>
                <w:sz w:val="15"/>
                <w:szCs w:val="15"/>
              </w:rPr>
              <w:t xml:space="preserve">. Návrh zákona je v súčasnosti prerokúvaný v NR SR v druhom čítaní a jeho schválenie sa očakáva v priebehu </w:t>
            </w:r>
            <w:r w:rsidR="006C731E">
              <w:rPr>
                <w:rFonts w:ascii="Arial Narrow" w:hAnsi="Arial Narrow"/>
                <w:sz w:val="15"/>
                <w:szCs w:val="15"/>
              </w:rPr>
              <w:t>druhého</w:t>
            </w:r>
            <w:r w:rsidRPr="00A46BD9">
              <w:rPr>
                <w:rFonts w:ascii="Arial Narrow" w:hAnsi="Arial Narrow"/>
                <w:sz w:val="15"/>
                <w:szCs w:val="15"/>
              </w:rPr>
              <w:t xml:space="preserve"> štvrťroka 2026.</w:t>
            </w:r>
          </w:p>
        </w:tc>
        <w:tc>
          <w:tcPr>
            <w:tcW w:w="737" w:type="dxa"/>
            <w:vAlign w:val="center"/>
          </w:tcPr>
          <w:p w14:paraId="321A9C2E"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41E65F9C"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CSR.2025.5.1</w:t>
            </w:r>
          </w:p>
          <w:p w14:paraId="3DEEC7C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CSR.2025.5.2</w:t>
            </w:r>
          </w:p>
          <w:p w14:paraId="0C72EA8C"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CSR.2025.5.3</w:t>
            </w:r>
          </w:p>
          <w:p w14:paraId="2F9CBAC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CSR.2025.5.5</w:t>
            </w:r>
          </w:p>
          <w:p w14:paraId="2AB532F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CSR.2025.5.7</w:t>
            </w:r>
          </w:p>
          <w:p w14:paraId="046FFD3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 xml:space="preserve">  CSR.2025.5.10</w:t>
            </w:r>
          </w:p>
          <w:p w14:paraId="5751697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 xml:space="preserve">  CSR.2025.5.11</w:t>
            </w:r>
          </w:p>
        </w:tc>
        <w:tc>
          <w:tcPr>
            <w:tcW w:w="850" w:type="dxa"/>
            <w:vAlign w:val="center"/>
          </w:tcPr>
          <w:p w14:paraId="6947CF32" w14:textId="77777777" w:rsidR="00AA20CF" w:rsidRPr="00EF7276" w:rsidRDefault="00AA20CF" w:rsidP="00CF3F52">
            <w:pPr>
              <w:pStyle w:val="Default"/>
              <w:jc w:val="center"/>
              <w:rPr>
                <w:rFonts w:ascii="Arial Narrow" w:hAnsi="Arial Narrow" w:cstheme="minorBidi"/>
                <w:color w:val="auto"/>
                <w:sz w:val="12"/>
                <w:szCs w:val="12"/>
              </w:rPr>
            </w:pPr>
            <w:r w:rsidRPr="00EF7276">
              <w:rPr>
                <w:rFonts w:ascii="Arial Narrow" w:hAnsi="Arial Narrow" w:cstheme="minorBidi"/>
                <w:color w:val="auto"/>
                <w:sz w:val="12"/>
                <w:szCs w:val="12"/>
              </w:rPr>
              <w:t>Spravodlivá zelená transformácia;</w:t>
            </w:r>
          </w:p>
          <w:p w14:paraId="02E4B09F" w14:textId="77777777" w:rsidR="00AA20CF" w:rsidRPr="00EF7276" w:rsidRDefault="00AA20CF" w:rsidP="00CF3F52">
            <w:pPr>
              <w:pStyle w:val="Default"/>
              <w:jc w:val="center"/>
              <w:rPr>
                <w:rFonts w:ascii="Arial Narrow" w:hAnsi="Arial Narrow"/>
                <w:sz w:val="12"/>
                <w:szCs w:val="12"/>
              </w:rPr>
            </w:pPr>
            <w:r w:rsidRPr="00EF7276">
              <w:rPr>
                <w:rFonts w:ascii="Arial Narrow" w:hAnsi="Arial Narrow" w:cstheme="minorBidi"/>
                <w:color w:val="auto"/>
                <w:sz w:val="12"/>
                <w:szCs w:val="12"/>
              </w:rPr>
              <w:t>Zabezpečenie energetickej bezpečnosti</w:t>
            </w:r>
          </w:p>
        </w:tc>
        <w:tc>
          <w:tcPr>
            <w:tcW w:w="567" w:type="dxa"/>
            <w:vAlign w:val="center"/>
          </w:tcPr>
          <w:p w14:paraId="1A58761E"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6</w:t>
            </w:r>
          </w:p>
          <w:p w14:paraId="4EB812C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p w14:paraId="06B5176A"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11</w:t>
            </w:r>
          </w:p>
          <w:p w14:paraId="6C4FFD0B"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12</w:t>
            </w:r>
          </w:p>
          <w:p w14:paraId="53AB9065"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13</w:t>
            </w:r>
          </w:p>
          <w:p w14:paraId="77CF673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14</w:t>
            </w:r>
          </w:p>
          <w:p w14:paraId="6AB72109"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15</w:t>
            </w:r>
          </w:p>
        </w:tc>
        <w:tc>
          <w:tcPr>
            <w:tcW w:w="709" w:type="dxa"/>
            <w:vAlign w:val="center"/>
          </w:tcPr>
          <w:p w14:paraId="0E7B4CE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2B41422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Oneskorené</w:t>
            </w:r>
          </w:p>
        </w:tc>
      </w:tr>
      <w:tr w:rsidR="00AA20CF" w:rsidRPr="00A46BD9" w14:paraId="3CF1B964" w14:textId="77777777" w:rsidTr="00CF3F52">
        <w:trPr>
          <w:trHeight w:val="263"/>
        </w:trPr>
        <w:tc>
          <w:tcPr>
            <w:tcW w:w="283" w:type="dxa"/>
            <w:vMerge/>
            <w:shd w:val="clear" w:color="auto" w:fill="1AA380"/>
            <w:textDirection w:val="btLr"/>
            <w:vAlign w:val="center"/>
          </w:tcPr>
          <w:p w14:paraId="45B75A02" w14:textId="77777777" w:rsidR="00AA20CF" w:rsidRPr="00A46BD9" w:rsidRDefault="00AA20CF" w:rsidP="00CF3F52">
            <w:pPr>
              <w:spacing w:line="140" w:lineRule="exact"/>
              <w:ind w:left="113" w:right="113"/>
              <w:jc w:val="center"/>
              <w:rPr>
                <w:rFonts w:ascii="Arial Narrow" w:hAnsi="Arial Narrow"/>
                <w:b/>
                <w:color w:val="FFFFFF" w:themeColor="background1"/>
                <w:sz w:val="16"/>
                <w:szCs w:val="16"/>
              </w:rPr>
            </w:pPr>
          </w:p>
        </w:tc>
        <w:tc>
          <w:tcPr>
            <w:tcW w:w="1247" w:type="dxa"/>
            <w:vAlign w:val="center"/>
          </w:tcPr>
          <w:p w14:paraId="2604E741"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Investícia 1:</w:t>
            </w:r>
          </w:p>
          <w:p w14:paraId="25287677" w14:textId="77777777" w:rsidR="00AA20CF" w:rsidRPr="00A46BD9" w:rsidRDefault="00AA20CF" w:rsidP="00CF3F52">
            <w:pPr>
              <w:jc w:val="center"/>
              <w:rPr>
                <w:rFonts w:ascii="Arial Narrow" w:hAnsi="Arial Narrow"/>
                <w:b/>
                <w:sz w:val="15"/>
                <w:szCs w:val="15"/>
              </w:rPr>
            </w:pPr>
            <w:r w:rsidRPr="00A46BD9">
              <w:rPr>
                <w:rFonts w:ascii="Arial Narrow" w:hAnsi="Arial Narrow"/>
                <w:sz w:val="15"/>
                <w:szCs w:val="15"/>
              </w:rPr>
              <w:t>Schéma štátnej pomoci na dekarbonizáciu priemyslu</w:t>
            </w:r>
          </w:p>
        </w:tc>
        <w:tc>
          <w:tcPr>
            <w:tcW w:w="2693" w:type="dxa"/>
          </w:tcPr>
          <w:p w14:paraId="1C558282"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Zámerom </w:t>
            </w:r>
            <w:hyperlink r:id="rId90" w:history="1">
              <w:r w:rsidRPr="00A46BD9">
                <w:rPr>
                  <w:rStyle w:val="Hypertextovprepojenie"/>
                  <w:rFonts w:ascii="Arial Narrow" w:hAnsi="Arial Narrow"/>
                  <w:sz w:val="15"/>
                  <w:szCs w:val="15"/>
                </w:rPr>
                <w:t>schémy</w:t>
              </w:r>
            </w:hyperlink>
            <w:r w:rsidRPr="00A46BD9">
              <w:rPr>
                <w:rFonts w:ascii="Arial Narrow" w:hAnsi="Arial Narrow"/>
                <w:sz w:val="15"/>
                <w:szCs w:val="15"/>
              </w:rPr>
              <w:t xml:space="preserve"> Modernizačného fondu je prispieť k zníženiu emisii skleníkových plynov cez podporu projektov, ktoré povedú k úsporám primárnej energie, zníženiu konečnej spotreby energie a zavedú používanie vyspelých environmentálnych technológií do priemyselnej výroby.</w:t>
            </w:r>
          </w:p>
          <w:p w14:paraId="177C6F73" w14:textId="77777777" w:rsidR="00AA20CF" w:rsidRPr="00A46BD9" w:rsidRDefault="00AA20CF" w:rsidP="00CF3F52">
            <w:pPr>
              <w:jc w:val="both"/>
              <w:rPr>
                <w:rFonts w:ascii="Arial Narrow" w:hAnsi="Arial Narrow"/>
                <w:sz w:val="15"/>
                <w:szCs w:val="15"/>
              </w:rPr>
            </w:pPr>
          </w:p>
          <w:p w14:paraId="1BCC476D" w14:textId="55E2CE0C"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V rámci </w:t>
            </w:r>
            <w:hyperlink r:id="rId91" w:history="1">
              <w:r w:rsidRPr="00A46BD9">
                <w:rPr>
                  <w:rStyle w:val="Hypertextovprepojenie"/>
                  <w:rFonts w:ascii="Arial Narrow" w:hAnsi="Arial Narrow"/>
                  <w:sz w:val="15"/>
                  <w:szCs w:val="15"/>
                </w:rPr>
                <w:t>prvej výzvy</w:t>
              </w:r>
            </w:hyperlink>
            <w:r w:rsidRPr="00A46BD9">
              <w:rPr>
                <w:rFonts w:ascii="Arial Narrow" w:hAnsi="Arial Narrow"/>
                <w:sz w:val="15"/>
                <w:szCs w:val="15"/>
              </w:rPr>
              <w:t xml:space="preserve"> boli podpísané zmluvy so 4 prijímateľmi vo výške takmer 141 mil. eur. </w:t>
            </w:r>
            <w:r w:rsidR="00BD517A">
              <w:rPr>
                <w:rFonts w:ascii="Arial Narrow" w:hAnsi="Arial Narrow"/>
                <w:sz w:val="15"/>
                <w:szCs w:val="15"/>
              </w:rPr>
              <w:t xml:space="preserve">V </w:t>
            </w:r>
            <w:hyperlink r:id="rId92" w:history="1">
              <w:r w:rsidR="00BD517A">
                <w:rPr>
                  <w:rStyle w:val="Hypertextovprepojenie"/>
                  <w:rFonts w:ascii="Arial Narrow" w:hAnsi="Arial Narrow"/>
                  <w:sz w:val="15"/>
                  <w:szCs w:val="15"/>
                </w:rPr>
                <w:t>druhej výzve</w:t>
              </w:r>
            </w:hyperlink>
            <w:r w:rsidRPr="00A46BD9">
              <w:rPr>
                <w:rFonts w:ascii="Arial Narrow" w:hAnsi="Arial Narrow"/>
                <w:sz w:val="15"/>
                <w:szCs w:val="15"/>
              </w:rPr>
              <w:t xml:space="preserve"> </w:t>
            </w:r>
            <w:r w:rsidR="006D6DB9" w:rsidRPr="006D6DB9">
              <w:rPr>
                <w:rFonts w:ascii="Arial Narrow" w:hAnsi="Arial Narrow"/>
                <w:sz w:val="15"/>
                <w:szCs w:val="15"/>
              </w:rPr>
              <w:t>boli podpísané zmluvy s 5 prijímateľmi v</w:t>
            </w:r>
            <w:r w:rsidR="00BD517A">
              <w:rPr>
                <w:rFonts w:ascii="Arial Narrow" w:hAnsi="Arial Narrow"/>
                <w:sz w:val="15"/>
                <w:szCs w:val="15"/>
              </w:rPr>
              <w:t xml:space="preserve"> objeme približne </w:t>
            </w:r>
            <w:r w:rsidR="006D6DB9" w:rsidRPr="006D6DB9">
              <w:rPr>
                <w:rFonts w:ascii="Arial Narrow" w:hAnsi="Arial Narrow"/>
                <w:sz w:val="15"/>
                <w:szCs w:val="15"/>
              </w:rPr>
              <w:t>242 mil. eur</w:t>
            </w:r>
            <w:r w:rsidRPr="00A46BD9">
              <w:rPr>
                <w:rFonts w:ascii="Arial Narrow" w:hAnsi="Arial Narrow"/>
                <w:sz w:val="15"/>
                <w:szCs w:val="15"/>
              </w:rPr>
              <w:t xml:space="preserve">. </w:t>
            </w:r>
            <w:hyperlink r:id="rId93" w:history="1">
              <w:r w:rsidR="00BD517A" w:rsidRPr="00BD517A">
                <w:rPr>
                  <w:rStyle w:val="Hypertextovprepojenie"/>
                  <w:rFonts w:ascii="Arial Narrow" w:hAnsi="Arial Narrow"/>
                  <w:sz w:val="15"/>
                  <w:szCs w:val="15"/>
                </w:rPr>
                <w:t>Tretia výzva</w:t>
              </w:r>
            </w:hyperlink>
            <w:r w:rsidR="00BD517A" w:rsidRPr="00BD517A">
              <w:rPr>
                <w:rFonts w:ascii="Arial Narrow" w:hAnsi="Arial Narrow"/>
                <w:sz w:val="15"/>
                <w:szCs w:val="15"/>
              </w:rPr>
              <w:t xml:space="preserve"> bola vyhlásená 1. apríla 2026</w:t>
            </w:r>
            <w:r w:rsidR="00BD517A">
              <w:rPr>
                <w:rFonts w:ascii="Arial Narrow" w:hAnsi="Arial Narrow"/>
                <w:sz w:val="15"/>
                <w:szCs w:val="15"/>
              </w:rPr>
              <w:t xml:space="preserve"> a</w:t>
            </w:r>
            <w:r w:rsidR="00BD517A">
              <w:rPr>
                <w:rFonts w:ascii="Segoe UI" w:hAnsi="Segoe UI" w:cs="Segoe UI"/>
                <w:sz w:val="18"/>
                <w:szCs w:val="18"/>
              </w:rPr>
              <w:t xml:space="preserve"> </w:t>
            </w:r>
            <w:r w:rsidR="00BD517A" w:rsidRPr="00BD517A">
              <w:rPr>
                <w:rFonts w:ascii="Arial Narrow" w:hAnsi="Arial Narrow"/>
                <w:sz w:val="15"/>
                <w:szCs w:val="15"/>
              </w:rPr>
              <w:t>jej uzávierk</w:t>
            </w:r>
            <w:r w:rsidR="00BD517A">
              <w:rPr>
                <w:rFonts w:ascii="Arial Narrow" w:hAnsi="Arial Narrow"/>
                <w:sz w:val="15"/>
                <w:szCs w:val="15"/>
              </w:rPr>
              <w:t>a</w:t>
            </w:r>
            <w:r w:rsidR="00BD517A" w:rsidRPr="00BD517A">
              <w:rPr>
                <w:rFonts w:ascii="Arial Narrow" w:hAnsi="Arial Narrow"/>
                <w:sz w:val="15"/>
                <w:szCs w:val="15"/>
              </w:rPr>
              <w:t xml:space="preserve"> je</w:t>
            </w:r>
            <w:r w:rsidR="00BD517A">
              <w:rPr>
                <w:rFonts w:ascii="Arial Narrow" w:hAnsi="Arial Narrow"/>
                <w:sz w:val="15"/>
                <w:szCs w:val="15"/>
              </w:rPr>
              <w:t xml:space="preserve"> určená na</w:t>
            </w:r>
            <w:r w:rsidR="00BD517A" w:rsidRPr="00BD517A">
              <w:rPr>
                <w:rFonts w:ascii="Arial Narrow" w:hAnsi="Arial Narrow"/>
                <w:sz w:val="15"/>
                <w:szCs w:val="15"/>
              </w:rPr>
              <w:t xml:space="preserve"> </w:t>
            </w:r>
            <w:r w:rsidR="00BD517A">
              <w:rPr>
                <w:rFonts w:ascii="Arial Narrow" w:hAnsi="Arial Narrow"/>
                <w:sz w:val="15"/>
                <w:szCs w:val="15"/>
              </w:rPr>
              <w:t xml:space="preserve">1. </w:t>
            </w:r>
            <w:r w:rsidR="00BD517A" w:rsidRPr="00BD517A">
              <w:rPr>
                <w:rFonts w:ascii="Arial Narrow" w:hAnsi="Arial Narrow"/>
                <w:sz w:val="15"/>
                <w:szCs w:val="15"/>
              </w:rPr>
              <w:t>jún</w:t>
            </w:r>
            <w:r w:rsidR="00BD517A">
              <w:rPr>
                <w:rFonts w:ascii="Arial Narrow" w:hAnsi="Arial Narrow"/>
                <w:sz w:val="15"/>
                <w:szCs w:val="15"/>
              </w:rPr>
              <w:t>a</w:t>
            </w:r>
            <w:r w:rsidR="00BD517A" w:rsidRPr="00BD517A">
              <w:rPr>
                <w:rFonts w:ascii="Arial Narrow" w:hAnsi="Arial Narrow"/>
                <w:sz w:val="15"/>
                <w:szCs w:val="15"/>
              </w:rPr>
              <w:t xml:space="preserve"> 2026.</w:t>
            </w:r>
          </w:p>
        </w:tc>
        <w:tc>
          <w:tcPr>
            <w:tcW w:w="737" w:type="dxa"/>
            <w:vAlign w:val="center"/>
          </w:tcPr>
          <w:p w14:paraId="06DCE05E"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6298195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CSR.2025.5.1</w:t>
            </w:r>
          </w:p>
          <w:p w14:paraId="0011ECD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CSR.2025.5.3</w:t>
            </w:r>
          </w:p>
        </w:tc>
        <w:tc>
          <w:tcPr>
            <w:tcW w:w="850" w:type="dxa"/>
            <w:vAlign w:val="center"/>
          </w:tcPr>
          <w:p w14:paraId="4AB89939"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Spravodlivá zelená transformácia;</w:t>
            </w:r>
          </w:p>
          <w:p w14:paraId="26DB0FBA" w14:textId="77777777" w:rsidR="00AA20CF" w:rsidRPr="00EF7276" w:rsidRDefault="00AA20CF" w:rsidP="00CF3F52">
            <w:pPr>
              <w:pStyle w:val="Default"/>
              <w:jc w:val="center"/>
              <w:rPr>
                <w:rFonts w:ascii="Arial Narrow" w:hAnsi="Arial Narrow"/>
                <w:sz w:val="12"/>
                <w:szCs w:val="12"/>
              </w:rPr>
            </w:pPr>
            <w:r w:rsidRPr="00EF7276">
              <w:rPr>
                <w:rFonts w:ascii="Arial Narrow" w:hAnsi="Arial Narrow" w:cstheme="minorBidi"/>
                <w:color w:val="auto"/>
                <w:sz w:val="12"/>
                <w:szCs w:val="12"/>
              </w:rPr>
              <w:t>Zabezpečenie energetickej bezpečnosti</w:t>
            </w:r>
          </w:p>
        </w:tc>
        <w:tc>
          <w:tcPr>
            <w:tcW w:w="567" w:type="dxa"/>
            <w:vAlign w:val="center"/>
          </w:tcPr>
          <w:p w14:paraId="3CF728E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p w14:paraId="70E86FE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12</w:t>
            </w:r>
          </w:p>
          <w:p w14:paraId="20197F75"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13</w:t>
            </w:r>
          </w:p>
        </w:tc>
        <w:tc>
          <w:tcPr>
            <w:tcW w:w="709" w:type="dxa"/>
            <w:vAlign w:val="center"/>
          </w:tcPr>
          <w:p w14:paraId="0D3B684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3B1C04D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Oneskorené</w:t>
            </w:r>
          </w:p>
        </w:tc>
      </w:tr>
      <w:tr w:rsidR="00AA20CF" w:rsidRPr="00A46BD9" w14:paraId="279B4F66" w14:textId="77777777" w:rsidTr="00CF3F52">
        <w:trPr>
          <w:trHeight w:val="263"/>
        </w:trPr>
        <w:tc>
          <w:tcPr>
            <w:tcW w:w="283" w:type="dxa"/>
            <w:vMerge/>
            <w:shd w:val="clear" w:color="auto" w:fill="1AA380"/>
            <w:textDirection w:val="btLr"/>
            <w:vAlign w:val="center"/>
          </w:tcPr>
          <w:p w14:paraId="206207A6" w14:textId="77777777" w:rsidR="00AA20CF" w:rsidRPr="00A46BD9" w:rsidRDefault="00AA20CF" w:rsidP="00CF3F52">
            <w:pPr>
              <w:spacing w:line="140" w:lineRule="exact"/>
              <w:ind w:left="113" w:right="113"/>
              <w:jc w:val="center"/>
              <w:rPr>
                <w:rFonts w:ascii="Arial Narrow" w:hAnsi="Arial Narrow"/>
                <w:b/>
                <w:color w:val="FFFFFF" w:themeColor="background1"/>
                <w:sz w:val="16"/>
                <w:szCs w:val="16"/>
              </w:rPr>
            </w:pPr>
          </w:p>
        </w:tc>
        <w:tc>
          <w:tcPr>
            <w:tcW w:w="1247" w:type="dxa"/>
            <w:vAlign w:val="center"/>
          </w:tcPr>
          <w:p w14:paraId="6BCC285E"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Investícia 2:</w:t>
            </w:r>
          </w:p>
          <w:p w14:paraId="12359FC7" w14:textId="77777777" w:rsidR="00AA20CF" w:rsidRPr="00A46BD9" w:rsidRDefault="00AA20CF" w:rsidP="00CF3F52">
            <w:pPr>
              <w:jc w:val="center"/>
              <w:rPr>
                <w:rFonts w:ascii="Arial Narrow" w:hAnsi="Arial Narrow"/>
                <w:b/>
                <w:sz w:val="15"/>
                <w:szCs w:val="15"/>
              </w:rPr>
            </w:pPr>
            <w:r w:rsidRPr="00A46BD9">
              <w:rPr>
                <w:rFonts w:ascii="Arial Narrow" w:hAnsi="Arial Narrow"/>
                <w:sz w:val="15"/>
                <w:szCs w:val="15"/>
              </w:rPr>
              <w:t>Podpora udržateľnej dopravy</w:t>
            </w:r>
          </w:p>
        </w:tc>
        <w:tc>
          <w:tcPr>
            <w:tcW w:w="2693" w:type="dxa"/>
          </w:tcPr>
          <w:p w14:paraId="2E3F5210"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Z Programu Slovensko bola na podporu udržateľnej multimodálnej mestskej mobility vyčlenená alokácia 891 mil. eur. Na rozvoj železničnej verejnej osobnej dopravy bude smerovať 686 mil. eur.</w:t>
            </w:r>
          </w:p>
          <w:p w14:paraId="4E3BEF34" w14:textId="77777777" w:rsidR="00AA20CF" w:rsidRPr="00A46BD9" w:rsidRDefault="00AA20CF" w:rsidP="00CF3F52">
            <w:pPr>
              <w:jc w:val="both"/>
              <w:rPr>
                <w:rFonts w:ascii="Arial Narrow" w:hAnsi="Arial Narrow"/>
                <w:sz w:val="15"/>
                <w:szCs w:val="15"/>
              </w:rPr>
            </w:pPr>
          </w:p>
          <w:p w14:paraId="6C546AFD"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Na podporu udržateľnej dopravy vyhlásilo MD SR k februáru 2026 celkovo 16 výziev v hodnote takmer 1,5 miliardy eur. Podporené projekty sa zameriavajú napríklad na vytvorenie integrovaných dopravných systémov, výstavbu záchytných parkovísk na vstupoch do miest či nákup električiek, </w:t>
            </w:r>
            <w:r w:rsidRPr="00A46BD9">
              <w:rPr>
                <w:rFonts w:ascii="Arial Narrow" w:hAnsi="Arial Narrow"/>
                <w:sz w:val="15"/>
                <w:szCs w:val="15"/>
              </w:rPr>
              <w:lastRenderedPageBreak/>
              <w:t>trolejbusov, ekologických autobusov a hybridných elektrických vlakových jednotiek. Financie smerujú aj na modernizáciu železníc, železničných staníc, elektrifikáciu tratí a zabezpečenie interoperability so systémami iných krajín EÚ.</w:t>
            </w:r>
          </w:p>
        </w:tc>
        <w:tc>
          <w:tcPr>
            <w:tcW w:w="737" w:type="dxa"/>
            <w:vAlign w:val="center"/>
          </w:tcPr>
          <w:p w14:paraId="7D996896"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lastRenderedPageBreak/>
              <w:t>PSK</w:t>
            </w:r>
          </w:p>
        </w:tc>
        <w:tc>
          <w:tcPr>
            <w:tcW w:w="992" w:type="dxa"/>
            <w:vAlign w:val="center"/>
          </w:tcPr>
          <w:p w14:paraId="014E4C4A"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CSR.2025.5.8</w:t>
            </w:r>
          </w:p>
          <w:p w14:paraId="33D167DC"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CSR.2025.5.9</w:t>
            </w:r>
          </w:p>
        </w:tc>
        <w:tc>
          <w:tcPr>
            <w:tcW w:w="850" w:type="dxa"/>
            <w:vAlign w:val="center"/>
          </w:tcPr>
          <w:p w14:paraId="038A2683" w14:textId="77777777" w:rsidR="00AA20CF" w:rsidRPr="00EF7276" w:rsidRDefault="00AA20CF" w:rsidP="00CF3F52">
            <w:pPr>
              <w:pStyle w:val="Default"/>
              <w:jc w:val="center"/>
              <w:rPr>
                <w:rFonts w:ascii="Arial Narrow" w:hAnsi="Arial Narrow"/>
                <w:sz w:val="12"/>
                <w:szCs w:val="12"/>
              </w:rPr>
            </w:pPr>
            <w:r w:rsidRPr="00EF7276">
              <w:rPr>
                <w:rFonts w:ascii="Arial Narrow" w:hAnsi="Arial Narrow"/>
                <w:sz w:val="12"/>
                <w:szCs w:val="12"/>
              </w:rPr>
              <w:t>Spravodlivá zelená transformácia; Posilnenie sociálnej a hospodárskej odolnosti</w:t>
            </w:r>
          </w:p>
        </w:tc>
        <w:tc>
          <w:tcPr>
            <w:tcW w:w="567" w:type="dxa"/>
            <w:vAlign w:val="center"/>
          </w:tcPr>
          <w:p w14:paraId="65F4286C"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p w14:paraId="62BF9B99"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11</w:t>
            </w:r>
          </w:p>
          <w:p w14:paraId="6BC1355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13</w:t>
            </w:r>
          </w:p>
        </w:tc>
        <w:tc>
          <w:tcPr>
            <w:tcW w:w="709" w:type="dxa"/>
            <w:vAlign w:val="center"/>
          </w:tcPr>
          <w:p w14:paraId="6E29297E"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20</w:t>
            </w:r>
          </w:p>
        </w:tc>
        <w:tc>
          <w:tcPr>
            <w:tcW w:w="992" w:type="dxa"/>
            <w:vAlign w:val="center"/>
          </w:tcPr>
          <w:p w14:paraId="3C29B89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5366B433" w14:textId="77777777" w:rsidTr="00CF3F52">
        <w:trPr>
          <w:trHeight w:val="263"/>
        </w:trPr>
        <w:tc>
          <w:tcPr>
            <w:tcW w:w="283" w:type="dxa"/>
            <w:vMerge/>
            <w:shd w:val="clear" w:color="auto" w:fill="1AA380"/>
            <w:textDirection w:val="btLr"/>
            <w:vAlign w:val="center"/>
          </w:tcPr>
          <w:p w14:paraId="0C41CE08" w14:textId="77777777" w:rsidR="00AA20CF" w:rsidRPr="00A46BD9" w:rsidRDefault="00AA20CF" w:rsidP="00CF3F52">
            <w:pPr>
              <w:spacing w:line="140" w:lineRule="exact"/>
              <w:ind w:left="113" w:right="113"/>
              <w:jc w:val="center"/>
              <w:rPr>
                <w:rFonts w:ascii="Arial Narrow" w:hAnsi="Arial Narrow"/>
                <w:b/>
                <w:color w:val="FFFFFF" w:themeColor="background1"/>
                <w:sz w:val="16"/>
                <w:szCs w:val="16"/>
              </w:rPr>
            </w:pPr>
          </w:p>
        </w:tc>
        <w:tc>
          <w:tcPr>
            <w:tcW w:w="1247" w:type="dxa"/>
            <w:vAlign w:val="center"/>
          </w:tcPr>
          <w:p w14:paraId="5389B171"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12:</w:t>
            </w:r>
          </w:p>
          <w:p w14:paraId="64692027" w14:textId="77777777" w:rsidR="00AA20CF" w:rsidRPr="00A46BD9" w:rsidRDefault="00AA20CF" w:rsidP="00CF3F52">
            <w:pPr>
              <w:jc w:val="center"/>
              <w:rPr>
                <w:rFonts w:ascii="Arial Narrow" w:hAnsi="Arial Narrow"/>
                <w:b/>
                <w:sz w:val="15"/>
                <w:szCs w:val="15"/>
              </w:rPr>
            </w:pPr>
            <w:r w:rsidRPr="00A46BD9">
              <w:rPr>
                <w:rFonts w:ascii="Arial Narrow" w:hAnsi="Arial Narrow"/>
                <w:sz w:val="15"/>
                <w:szCs w:val="15"/>
              </w:rPr>
              <w:t>Sociálno-klimatický fond</w:t>
            </w:r>
          </w:p>
        </w:tc>
        <w:tc>
          <w:tcPr>
            <w:tcW w:w="2693" w:type="dxa"/>
          </w:tcPr>
          <w:p w14:paraId="30036BC9"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Cieľom fondu je kompenzovať sociálne dopady zavedenia obchodovania s emisiami v sektoroch budov a cestnej dopravy (ETS 2) od roku 2027 pre najzraniteľnejšie skupiny. Členské štáty musia na čerpanie prostriedkov predložiť do konca júna 2025 sociálno-klimatický plán. Vykonávanie fondu je plánované na roky 2026 až 2032 a jeho čerpanie bude podmienené transpozíciou všetkých častí </w:t>
            </w:r>
            <w:hyperlink r:id="rId94" w:history="1">
              <w:r w:rsidRPr="00A46BD9">
                <w:rPr>
                  <w:rStyle w:val="Hypertextovprepojenie"/>
                  <w:rFonts w:ascii="Arial Narrow" w:hAnsi="Arial Narrow"/>
                  <w:sz w:val="15"/>
                  <w:szCs w:val="15"/>
                </w:rPr>
                <w:t>smernice EÚ</w:t>
              </w:r>
            </w:hyperlink>
            <w:r w:rsidRPr="00A46BD9">
              <w:rPr>
                <w:rFonts w:ascii="Arial Narrow" w:hAnsi="Arial Narrow"/>
                <w:sz w:val="15"/>
                <w:szCs w:val="15"/>
              </w:rPr>
              <w:t>.</w:t>
            </w:r>
          </w:p>
          <w:p w14:paraId="0E4ABBEA" w14:textId="77777777" w:rsidR="00AA20CF" w:rsidRPr="00A46BD9" w:rsidRDefault="00AA20CF" w:rsidP="00CF3F52">
            <w:pPr>
              <w:jc w:val="both"/>
              <w:rPr>
                <w:rFonts w:ascii="Arial Narrow" w:hAnsi="Arial Narrow"/>
                <w:sz w:val="15"/>
                <w:szCs w:val="15"/>
              </w:rPr>
            </w:pPr>
          </w:p>
          <w:p w14:paraId="6417B4D5" w14:textId="77777777" w:rsidR="00AA20CF" w:rsidRPr="00A46BD9" w:rsidRDefault="00AA20CF" w:rsidP="00CF3F52">
            <w:pPr>
              <w:jc w:val="both"/>
              <w:rPr>
                <w:rFonts w:ascii="Arial Narrow" w:hAnsi="Arial Narrow"/>
                <w:sz w:val="15"/>
                <w:szCs w:val="15"/>
              </w:rPr>
            </w:pPr>
            <w:hyperlink r:id="rId95" w:history="1">
              <w:r w:rsidRPr="00A46BD9">
                <w:rPr>
                  <w:rStyle w:val="Hypertextovprepojenie"/>
                  <w:rFonts w:ascii="Arial Narrow" w:hAnsi="Arial Narrow"/>
                  <w:sz w:val="15"/>
                  <w:szCs w:val="15"/>
                </w:rPr>
                <w:t>Návrh sociálno-klimatického plánu</w:t>
              </w:r>
            </w:hyperlink>
            <w:r w:rsidRPr="00A46BD9">
              <w:rPr>
                <w:sz w:val="15"/>
                <w:szCs w:val="15"/>
              </w:rPr>
              <w:t xml:space="preserve"> </w:t>
            </w:r>
            <w:r w:rsidRPr="00C70729">
              <w:rPr>
                <w:rFonts w:ascii="Arial Narrow" w:hAnsi="Arial Narrow"/>
                <w:sz w:val="15"/>
                <w:szCs w:val="15"/>
              </w:rPr>
              <w:t xml:space="preserve">je v procese prípravy. </w:t>
            </w:r>
            <w:r w:rsidRPr="0087356D">
              <w:rPr>
                <w:rFonts w:ascii="Arial Narrow" w:hAnsi="Arial Narrow"/>
                <w:sz w:val="15"/>
                <w:szCs w:val="15"/>
              </w:rPr>
              <w:t>Od júla 2025 prebiehaj</w:t>
            </w:r>
            <w:r w:rsidRPr="00A46BD9">
              <w:rPr>
                <w:rFonts w:ascii="Arial Narrow" w:hAnsi="Arial Narrow"/>
                <w:sz w:val="15"/>
                <w:szCs w:val="15"/>
              </w:rPr>
              <w:t>ú k návrhu neformálne konzultácie s EK. Schválenie plánu zo strany EK je predpokladom čerpania prostriedkov zo Sociálno-klimatického fondu a je podmienené dokončením transpozície smernice EÚ o ETS 2, ktorá na národnej úrovni zatiaľ nebola dokončená.</w:t>
            </w:r>
          </w:p>
        </w:tc>
        <w:tc>
          <w:tcPr>
            <w:tcW w:w="737" w:type="dxa"/>
            <w:vAlign w:val="center"/>
          </w:tcPr>
          <w:p w14:paraId="7C812B63"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026A7745"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CSR.2025.1.8</w:t>
            </w:r>
          </w:p>
          <w:p w14:paraId="496E40B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CSR.2025.5.1</w:t>
            </w:r>
          </w:p>
          <w:p w14:paraId="25B6BF7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CSR.2025.5.3</w:t>
            </w:r>
          </w:p>
          <w:p w14:paraId="6EDB640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CSR.2025.5.6</w:t>
            </w:r>
          </w:p>
          <w:p w14:paraId="71989AA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CSR.2025.5.7</w:t>
            </w:r>
          </w:p>
          <w:p w14:paraId="0671271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CSR.2025.5.8</w:t>
            </w:r>
          </w:p>
          <w:p w14:paraId="3DF4BED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CSR.2025.5.9</w:t>
            </w:r>
          </w:p>
        </w:tc>
        <w:tc>
          <w:tcPr>
            <w:tcW w:w="850" w:type="dxa"/>
            <w:vAlign w:val="center"/>
          </w:tcPr>
          <w:p w14:paraId="714B48FA" w14:textId="77777777" w:rsidR="00AA20CF" w:rsidRPr="00EF7276" w:rsidRDefault="00AA20CF" w:rsidP="00CF3F52">
            <w:pPr>
              <w:pStyle w:val="Default"/>
              <w:jc w:val="center"/>
              <w:rPr>
                <w:rFonts w:ascii="Arial Narrow" w:hAnsi="Arial Narrow" w:cstheme="minorBidi"/>
                <w:color w:val="auto"/>
                <w:sz w:val="12"/>
                <w:szCs w:val="12"/>
              </w:rPr>
            </w:pPr>
            <w:r w:rsidRPr="00EF7276">
              <w:rPr>
                <w:rFonts w:ascii="Arial Narrow" w:hAnsi="Arial Narrow" w:cstheme="minorBidi"/>
                <w:color w:val="auto"/>
                <w:sz w:val="12"/>
                <w:szCs w:val="12"/>
              </w:rPr>
              <w:t>Spravodlivá zelená transformácia;</w:t>
            </w:r>
            <w:r w:rsidRPr="00EF7276">
              <w:rPr>
                <w:rFonts w:ascii="Arial Narrow" w:hAnsi="Arial Narrow"/>
                <w:sz w:val="12"/>
                <w:szCs w:val="12"/>
              </w:rPr>
              <w:t xml:space="preserve"> Posilnenie sociálnej a hospodárskej odolnosti</w:t>
            </w:r>
          </w:p>
          <w:p w14:paraId="703B8219" w14:textId="77777777" w:rsidR="00AA20CF" w:rsidRPr="00EF7276" w:rsidRDefault="00AA20CF" w:rsidP="00CF3F52">
            <w:pPr>
              <w:pStyle w:val="Default"/>
              <w:jc w:val="center"/>
              <w:rPr>
                <w:rFonts w:ascii="Arial Narrow" w:hAnsi="Arial Narrow"/>
                <w:sz w:val="12"/>
                <w:szCs w:val="12"/>
              </w:rPr>
            </w:pPr>
          </w:p>
        </w:tc>
        <w:tc>
          <w:tcPr>
            <w:tcW w:w="567" w:type="dxa"/>
            <w:vAlign w:val="center"/>
          </w:tcPr>
          <w:p w14:paraId="35FAECD9"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w:t>
            </w:r>
          </w:p>
          <w:p w14:paraId="765D0CBB"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7</w:t>
            </w:r>
          </w:p>
          <w:p w14:paraId="6ABE6235"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p w14:paraId="24CA8A4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10</w:t>
            </w:r>
          </w:p>
          <w:p w14:paraId="0926DB4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11</w:t>
            </w:r>
          </w:p>
          <w:p w14:paraId="32B5CE7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13</w:t>
            </w:r>
          </w:p>
        </w:tc>
        <w:tc>
          <w:tcPr>
            <w:tcW w:w="709" w:type="dxa"/>
            <w:vAlign w:val="center"/>
          </w:tcPr>
          <w:p w14:paraId="03BF59A5"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19</w:t>
            </w:r>
          </w:p>
          <w:p w14:paraId="5EDEC65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20</w:t>
            </w:r>
          </w:p>
        </w:tc>
        <w:tc>
          <w:tcPr>
            <w:tcW w:w="992" w:type="dxa"/>
            <w:vAlign w:val="center"/>
          </w:tcPr>
          <w:p w14:paraId="236ACDD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1E484399" w14:textId="77777777" w:rsidTr="00CF3F52">
        <w:trPr>
          <w:trHeight w:val="263"/>
        </w:trPr>
        <w:tc>
          <w:tcPr>
            <w:tcW w:w="283" w:type="dxa"/>
            <w:vMerge/>
            <w:shd w:val="clear" w:color="auto" w:fill="1AA380"/>
            <w:textDirection w:val="btLr"/>
            <w:vAlign w:val="center"/>
          </w:tcPr>
          <w:p w14:paraId="261BEA3C" w14:textId="77777777" w:rsidR="00AA20CF" w:rsidRPr="00A46BD9" w:rsidRDefault="00AA20CF" w:rsidP="00CF3F52">
            <w:pPr>
              <w:spacing w:line="140" w:lineRule="exact"/>
              <w:ind w:left="113" w:right="113"/>
              <w:jc w:val="center"/>
              <w:rPr>
                <w:rFonts w:ascii="Arial Narrow" w:hAnsi="Arial Narrow"/>
                <w:b/>
                <w:sz w:val="16"/>
                <w:szCs w:val="16"/>
              </w:rPr>
            </w:pPr>
          </w:p>
        </w:tc>
        <w:tc>
          <w:tcPr>
            <w:tcW w:w="1247" w:type="dxa"/>
            <w:vAlign w:val="center"/>
          </w:tcPr>
          <w:p w14:paraId="17F5D43E"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Investícia 12:</w:t>
            </w:r>
          </w:p>
          <w:p w14:paraId="4CDC1D33" w14:textId="77777777" w:rsidR="00AA20CF" w:rsidRPr="00A46BD9" w:rsidRDefault="00AA20CF" w:rsidP="00CF3F52">
            <w:pPr>
              <w:jc w:val="center"/>
              <w:rPr>
                <w:rFonts w:ascii="Arial Narrow" w:hAnsi="Arial Narrow"/>
                <w:b/>
                <w:sz w:val="15"/>
                <w:szCs w:val="15"/>
              </w:rPr>
            </w:pPr>
            <w:r w:rsidRPr="00A46BD9">
              <w:rPr>
                <w:rFonts w:ascii="Arial Narrow" w:hAnsi="Arial Narrow"/>
                <w:sz w:val="15"/>
                <w:szCs w:val="15"/>
              </w:rPr>
              <w:t>Zelená energia pre domácnosti a podniky</w:t>
            </w:r>
          </w:p>
        </w:tc>
        <w:tc>
          <w:tcPr>
            <w:tcW w:w="2693" w:type="dxa"/>
          </w:tcPr>
          <w:p w14:paraId="3358FCBA"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Podpora inštalácie OZE sa realizuje formou poukážok pre domácnosti aj podniky:</w:t>
            </w:r>
          </w:p>
          <w:p w14:paraId="77E4452E"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1) Projekt </w:t>
            </w:r>
            <w:hyperlink r:id="rId96" w:anchor="zelena-domacnostiam" w:history="1">
              <w:r w:rsidRPr="00A46BD9">
                <w:rPr>
                  <w:rStyle w:val="Hypertextovprepojenie"/>
                  <w:rFonts w:ascii="Arial Narrow" w:hAnsi="Arial Narrow"/>
                  <w:sz w:val="15"/>
                  <w:szCs w:val="15"/>
                </w:rPr>
                <w:t>Zelená domácnostiam</w:t>
              </w:r>
            </w:hyperlink>
            <w:r w:rsidRPr="00A46BD9">
              <w:rPr>
                <w:rFonts w:ascii="Arial Narrow" w:hAnsi="Arial Narrow"/>
                <w:sz w:val="15"/>
                <w:szCs w:val="15"/>
              </w:rPr>
              <w:t xml:space="preserve"> (107,7 mil. eur) umožňuje domácnostiam získať 50 % príspevok na zelené technológie, ako napríklad tepelné čerpadlá, fotovoltika či veterné turbíny.</w:t>
            </w:r>
          </w:p>
          <w:p w14:paraId="0B3EFF35"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2) Projekt </w:t>
            </w:r>
            <w:hyperlink r:id="rId97" w:anchor="zelena-domacnostiam" w:history="1">
              <w:r w:rsidRPr="00A46BD9">
                <w:rPr>
                  <w:rStyle w:val="Hypertextovprepojenie"/>
                  <w:rFonts w:ascii="Arial Narrow" w:hAnsi="Arial Narrow"/>
                  <w:sz w:val="15"/>
                  <w:szCs w:val="15"/>
                </w:rPr>
                <w:t>Zelená solidarita</w:t>
              </w:r>
            </w:hyperlink>
            <w:r w:rsidRPr="00A46BD9">
              <w:rPr>
                <w:rFonts w:ascii="Arial Narrow" w:hAnsi="Arial Narrow"/>
                <w:sz w:val="15"/>
                <w:szCs w:val="15"/>
              </w:rPr>
              <w:t xml:space="preserve"> (28,4 mil. eur) je určená nízkopríjmovým domácnostiam, ktoré môžu získať až 90 % podporu na fotovoltiku, kolektory a biomasu.</w:t>
            </w:r>
          </w:p>
          <w:p w14:paraId="0AD153B9"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3) Projekt </w:t>
            </w:r>
            <w:hyperlink r:id="rId98" w:history="1">
              <w:r w:rsidRPr="00A46BD9">
                <w:rPr>
                  <w:rStyle w:val="Hypertextovprepojenie"/>
                  <w:rFonts w:ascii="Arial Narrow" w:hAnsi="Arial Narrow"/>
                  <w:sz w:val="15"/>
                  <w:szCs w:val="15"/>
                </w:rPr>
                <w:t>Zelená podnikom</w:t>
              </w:r>
            </w:hyperlink>
            <w:r w:rsidRPr="00A46BD9">
              <w:rPr>
                <w:rFonts w:ascii="Arial Narrow" w:hAnsi="Arial Narrow"/>
                <w:sz w:val="15"/>
                <w:szCs w:val="15"/>
              </w:rPr>
              <w:t xml:space="preserve"> (66,6 mil. eur) poskytuje podporu MSP na zariadenia na výrobu tepla, chladu či elektriny, ako aj na energetické audity s návrhmi úspor a využitia OZE.</w:t>
            </w:r>
          </w:p>
          <w:p w14:paraId="1B858DEA" w14:textId="77777777" w:rsidR="00AA20CF" w:rsidRPr="00A46BD9" w:rsidRDefault="00AA20CF" w:rsidP="00CF3F52">
            <w:pPr>
              <w:jc w:val="both"/>
              <w:rPr>
                <w:rFonts w:ascii="Arial Narrow" w:hAnsi="Arial Narrow"/>
                <w:sz w:val="15"/>
                <w:szCs w:val="15"/>
              </w:rPr>
            </w:pPr>
          </w:p>
          <w:p w14:paraId="6DA21C34"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1) V projekte Zelená domácnostiam bolo k prvému štvrťroku 2026 podporených viac ako 32 tisíc inštalácií zariadení na využívanie obnoviteľných zdrojov energie v domácnostiach, čím sa inštalovaný výkon zvýšil o viac ako 253 MW. Všetky prostriedky určené na príspevky pre domácnosti sú už zazmluvnené. </w:t>
            </w:r>
          </w:p>
          <w:p w14:paraId="7F20DAB1"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2) V projekte Zelená solidarita bolo k prvému štvrťroku 2026 podporených viac ako 1000 inštalácií zariadení na využívanie OZE v nízkopríjmových domácnostiach s celkovým inštalovaným výkonom 6,8 MW. Prijímanie, posudzovanie a zazmluvňovanie žiadostí naďalej prebieha.</w:t>
            </w:r>
          </w:p>
          <w:p w14:paraId="2A72B668"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3) V projekte Zelená podnikom bola v roku 2025 spustená prvá etapa podpory využívania OZE v podnikoch. Predložených bolo viac ako 1 200 žiadostí od MSP na inštaláciu zariadení s celkovým výkonom viac ako 154 MW. V prvom štvrťroku 2026 prebieha ich hodnotenie a postupné zazmluvňovanie</w:t>
            </w:r>
          </w:p>
        </w:tc>
        <w:tc>
          <w:tcPr>
            <w:tcW w:w="737" w:type="dxa"/>
            <w:vAlign w:val="center"/>
          </w:tcPr>
          <w:p w14:paraId="0DCC823C"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PSK</w:t>
            </w:r>
          </w:p>
        </w:tc>
        <w:tc>
          <w:tcPr>
            <w:tcW w:w="992" w:type="dxa"/>
            <w:vAlign w:val="center"/>
          </w:tcPr>
          <w:p w14:paraId="79ACF21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CSR.2025.5.1</w:t>
            </w:r>
          </w:p>
          <w:p w14:paraId="7AD0425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CSR.2025.5.3</w:t>
            </w:r>
          </w:p>
          <w:p w14:paraId="228D98F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CSR.2025.5.5</w:t>
            </w:r>
          </w:p>
          <w:p w14:paraId="2D31E65E"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CSR.2025.5.7</w:t>
            </w:r>
          </w:p>
        </w:tc>
        <w:tc>
          <w:tcPr>
            <w:tcW w:w="850" w:type="dxa"/>
            <w:vAlign w:val="center"/>
          </w:tcPr>
          <w:p w14:paraId="6E5F652F" w14:textId="77777777" w:rsidR="00AA20CF" w:rsidRPr="00EF7276" w:rsidRDefault="00AA20CF" w:rsidP="00CF3F52">
            <w:pPr>
              <w:pStyle w:val="Default"/>
              <w:jc w:val="center"/>
              <w:rPr>
                <w:rFonts w:ascii="Arial Narrow" w:hAnsi="Arial Narrow" w:cstheme="minorBidi"/>
                <w:color w:val="auto"/>
                <w:sz w:val="12"/>
                <w:szCs w:val="12"/>
              </w:rPr>
            </w:pPr>
            <w:r w:rsidRPr="00EF7276">
              <w:rPr>
                <w:rFonts w:ascii="Arial Narrow" w:hAnsi="Arial Narrow"/>
                <w:sz w:val="12"/>
                <w:szCs w:val="12"/>
              </w:rPr>
              <w:t>Spravodlivá zelená transformácia; Zabezpečenie energetickej bezpečnosti</w:t>
            </w:r>
          </w:p>
        </w:tc>
        <w:tc>
          <w:tcPr>
            <w:tcW w:w="567" w:type="dxa"/>
            <w:vAlign w:val="center"/>
          </w:tcPr>
          <w:p w14:paraId="5CB9AF6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7</w:t>
            </w:r>
          </w:p>
          <w:p w14:paraId="5A8A57C8"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p w14:paraId="0856864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11</w:t>
            </w:r>
          </w:p>
          <w:p w14:paraId="7A6AE80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13</w:t>
            </w:r>
          </w:p>
        </w:tc>
        <w:tc>
          <w:tcPr>
            <w:tcW w:w="709" w:type="dxa"/>
            <w:vAlign w:val="center"/>
          </w:tcPr>
          <w:p w14:paraId="72533265"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7CC14A3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49176124" w14:textId="77777777" w:rsidTr="00CF3F52">
        <w:trPr>
          <w:trHeight w:val="263"/>
        </w:trPr>
        <w:tc>
          <w:tcPr>
            <w:tcW w:w="283" w:type="dxa"/>
            <w:vMerge/>
            <w:shd w:val="clear" w:color="auto" w:fill="1AA380"/>
            <w:vAlign w:val="center"/>
          </w:tcPr>
          <w:p w14:paraId="5555F98E" w14:textId="77777777" w:rsidR="00AA20CF" w:rsidRPr="00A46BD9" w:rsidRDefault="00AA20CF" w:rsidP="00CF3F52">
            <w:pPr>
              <w:spacing w:line="140" w:lineRule="exact"/>
              <w:jc w:val="center"/>
              <w:rPr>
                <w:rFonts w:ascii="Arial Narrow" w:hAnsi="Arial Narrow"/>
                <w:b/>
                <w:sz w:val="16"/>
                <w:szCs w:val="16"/>
              </w:rPr>
            </w:pPr>
          </w:p>
        </w:tc>
        <w:tc>
          <w:tcPr>
            <w:tcW w:w="1247" w:type="dxa"/>
            <w:vAlign w:val="center"/>
          </w:tcPr>
          <w:p w14:paraId="5E53A688"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Investícia 13:</w:t>
            </w:r>
          </w:p>
          <w:p w14:paraId="4A28A977" w14:textId="77777777" w:rsidR="00AA20CF" w:rsidRPr="00A46BD9" w:rsidRDefault="00AA20CF" w:rsidP="00CF3F52">
            <w:pPr>
              <w:jc w:val="center"/>
              <w:rPr>
                <w:rFonts w:ascii="Arial Narrow" w:hAnsi="Arial Narrow"/>
                <w:b/>
                <w:sz w:val="15"/>
                <w:szCs w:val="15"/>
              </w:rPr>
            </w:pPr>
            <w:r w:rsidRPr="00A46BD9">
              <w:rPr>
                <w:rFonts w:ascii="Arial Narrow" w:hAnsi="Arial Narrow"/>
                <w:sz w:val="15"/>
                <w:szCs w:val="15"/>
              </w:rPr>
              <w:t>Posilňovanie kapacít a dátovej infraštruktúry pre regionálnu energetiku</w:t>
            </w:r>
          </w:p>
        </w:tc>
        <w:tc>
          <w:tcPr>
            <w:tcW w:w="2693" w:type="dxa"/>
          </w:tcPr>
          <w:p w14:paraId="14FA0FF4"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 1) Projekt </w:t>
            </w:r>
            <w:hyperlink r:id="rId99" w:history="1">
              <w:r w:rsidRPr="00A46BD9">
                <w:rPr>
                  <w:rStyle w:val="Hypertextovprepojenie"/>
                  <w:rFonts w:ascii="Arial Narrow" w:hAnsi="Arial Narrow"/>
                  <w:sz w:val="15"/>
                  <w:szCs w:val="15"/>
                </w:rPr>
                <w:t>Kapacity pre regióny</w:t>
              </w:r>
            </w:hyperlink>
            <w:r w:rsidRPr="00A46BD9">
              <w:rPr>
                <w:rFonts w:ascii="Arial Narrow" w:hAnsi="Arial Narrow"/>
                <w:sz w:val="15"/>
                <w:szCs w:val="15"/>
              </w:rPr>
              <w:t xml:space="preserve"> (47,1 mil. eur) podporuje vytvorenie odborných tímov a siete regionálnych centier udržateľnej energetiky, ktoré budú na úrovni samosprávnych krajov koordinovať opatrenia na znižovanie energetickej náročnosti a zvyšovanie energetickej sebestačnosti. </w:t>
            </w:r>
          </w:p>
          <w:p w14:paraId="5842AF53"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2) Projekt </w:t>
            </w:r>
            <w:hyperlink r:id="rId100" w:history="1">
              <w:r w:rsidRPr="00A46BD9">
                <w:rPr>
                  <w:rStyle w:val="Hypertextovprepojenie"/>
                  <w:rFonts w:ascii="Arial Narrow" w:hAnsi="Arial Narrow"/>
                  <w:sz w:val="15"/>
                  <w:szCs w:val="15"/>
                </w:rPr>
                <w:t>Rozšírenie informačného systému energetickej efektívnost</w:t>
              </w:r>
            </w:hyperlink>
            <w:r w:rsidRPr="00A46BD9">
              <w:rPr>
                <w:rFonts w:ascii="Arial Narrow" w:hAnsi="Arial Narrow"/>
                <w:sz w:val="15"/>
                <w:szCs w:val="15"/>
              </w:rPr>
              <w:t>i (18,7 mil. eur) podporuje nástroje na zber, analýzu a využitie dát z rôznych sektorov na kvalifikované energetické a dekarbonizačné plánovanie v regiónoch.</w:t>
            </w:r>
          </w:p>
          <w:p w14:paraId="114CD906" w14:textId="77777777" w:rsidR="00AA20CF" w:rsidRPr="00A46BD9" w:rsidRDefault="00AA20CF" w:rsidP="00CF3F52">
            <w:pPr>
              <w:jc w:val="both"/>
              <w:rPr>
                <w:rFonts w:ascii="Arial Narrow" w:hAnsi="Arial Narrow"/>
                <w:sz w:val="15"/>
                <w:szCs w:val="15"/>
              </w:rPr>
            </w:pPr>
          </w:p>
          <w:p w14:paraId="4C2E74CD"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Spustenie oboch projektov je oneskorené. V súčasnosti prebieha prehodnotenie ich </w:t>
            </w:r>
            <w:r w:rsidRPr="00A46BD9">
              <w:rPr>
                <w:rFonts w:ascii="Arial Narrow" w:hAnsi="Arial Narrow"/>
                <w:sz w:val="15"/>
                <w:szCs w:val="15"/>
              </w:rPr>
              <w:lastRenderedPageBreak/>
              <w:t xml:space="preserve">zamerania s cieľom zohľadniť nové úlohy a povinnosti vyplývajúce zo </w:t>
            </w:r>
            <w:hyperlink r:id="rId101" w:history="1">
              <w:r w:rsidRPr="00A46BD9">
                <w:rPr>
                  <w:rStyle w:val="Hypertextovprepojenie"/>
                  <w:rFonts w:ascii="Arial Narrow" w:hAnsi="Arial Narrow"/>
                  <w:sz w:val="15"/>
                  <w:szCs w:val="15"/>
                </w:rPr>
                <w:t>smernice EÚ o energetickej efektívnosti</w:t>
              </w:r>
            </w:hyperlink>
            <w:r w:rsidRPr="00A46BD9">
              <w:rPr>
                <w:rFonts w:ascii="Arial Narrow" w:hAnsi="Arial Narrow"/>
                <w:sz w:val="15"/>
                <w:szCs w:val="15"/>
              </w:rPr>
              <w:t>.</w:t>
            </w:r>
          </w:p>
        </w:tc>
        <w:tc>
          <w:tcPr>
            <w:tcW w:w="737" w:type="dxa"/>
            <w:vAlign w:val="center"/>
          </w:tcPr>
          <w:p w14:paraId="2D43AA1A"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lastRenderedPageBreak/>
              <w:t>PSK</w:t>
            </w:r>
          </w:p>
        </w:tc>
        <w:tc>
          <w:tcPr>
            <w:tcW w:w="992" w:type="dxa"/>
            <w:vAlign w:val="center"/>
          </w:tcPr>
          <w:p w14:paraId="17E161D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CSR.2025.5.1</w:t>
            </w:r>
          </w:p>
          <w:p w14:paraId="3C72558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CSR.2025.5.5</w:t>
            </w:r>
          </w:p>
          <w:p w14:paraId="09473A1E"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CSR.2025.5.7</w:t>
            </w:r>
          </w:p>
        </w:tc>
        <w:tc>
          <w:tcPr>
            <w:tcW w:w="850" w:type="dxa"/>
            <w:vAlign w:val="center"/>
          </w:tcPr>
          <w:p w14:paraId="0C8D34DE" w14:textId="77777777" w:rsidR="00AA20CF" w:rsidRPr="00EF7276" w:rsidRDefault="00AA20CF" w:rsidP="00CF3F52">
            <w:pPr>
              <w:pStyle w:val="Default"/>
              <w:jc w:val="center"/>
              <w:rPr>
                <w:rFonts w:ascii="Arial Narrow" w:hAnsi="Arial Narrow"/>
                <w:sz w:val="12"/>
                <w:szCs w:val="12"/>
              </w:rPr>
            </w:pPr>
            <w:r w:rsidRPr="00EF7276">
              <w:rPr>
                <w:rFonts w:ascii="Arial Narrow" w:hAnsi="Arial Narrow"/>
                <w:sz w:val="12"/>
                <w:szCs w:val="12"/>
              </w:rPr>
              <w:t>Spravodlivá zelená transformácia;</w:t>
            </w:r>
          </w:p>
          <w:p w14:paraId="2031E352" w14:textId="77777777" w:rsidR="00AA20CF" w:rsidRPr="00EF7276" w:rsidRDefault="00AA20CF" w:rsidP="00CF3F52">
            <w:pPr>
              <w:pStyle w:val="Default"/>
              <w:jc w:val="center"/>
              <w:rPr>
                <w:rFonts w:ascii="Arial Narrow" w:hAnsi="Arial Narrow" w:cstheme="minorBidi"/>
                <w:color w:val="auto"/>
                <w:sz w:val="12"/>
                <w:szCs w:val="12"/>
              </w:rPr>
            </w:pPr>
            <w:r w:rsidRPr="00EF7276">
              <w:rPr>
                <w:rFonts w:ascii="Arial Narrow" w:hAnsi="Arial Narrow" w:cstheme="minorBidi"/>
                <w:color w:val="auto"/>
                <w:sz w:val="12"/>
                <w:szCs w:val="12"/>
              </w:rPr>
              <w:t>Zabezpečenie energetickej bezpečnosti;</w:t>
            </w:r>
          </w:p>
          <w:p w14:paraId="34EA7CE2" w14:textId="77777777" w:rsidR="00AA20CF" w:rsidRPr="00EF7276" w:rsidRDefault="00AA20CF" w:rsidP="00CF3F52">
            <w:pPr>
              <w:pStyle w:val="Default"/>
              <w:jc w:val="center"/>
              <w:rPr>
                <w:rFonts w:ascii="Arial Narrow" w:hAnsi="Arial Narrow" w:cstheme="minorBidi"/>
                <w:color w:val="auto"/>
                <w:sz w:val="12"/>
                <w:szCs w:val="12"/>
              </w:rPr>
            </w:pPr>
            <w:r w:rsidRPr="00EF7276">
              <w:rPr>
                <w:rFonts w:ascii="Arial Narrow" w:hAnsi="Arial Narrow"/>
                <w:sz w:val="12"/>
                <w:szCs w:val="12"/>
              </w:rPr>
              <w:t>Spravodlivá digitálna transformácia</w:t>
            </w:r>
          </w:p>
        </w:tc>
        <w:tc>
          <w:tcPr>
            <w:tcW w:w="567" w:type="dxa"/>
            <w:vAlign w:val="center"/>
          </w:tcPr>
          <w:p w14:paraId="22C5B78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7</w:t>
            </w:r>
          </w:p>
          <w:p w14:paraId="161D9BB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p w14:paraId="08EAA84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11</w:t>
            </w:r>
          </w:p>
          <w:p w14:paraId="2D4555A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13</w:t>
            </w:r>
          </w:p>
        </w:tc>
        <w:tc>
          <w:tcPr>
            <w:tcW w:w="709" w:type="dxa"/>
            <w:vAlign w:val="center"/>
          </w:tcPr>
          <w:p w14:paraId="57F3963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36D5F4A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Oneskorené</w:t>
            </w:r>
          </w:p>
        </w:tc>
      </w:tr>
      <w:tr w:rsidR="00AA20CF" w:rsidRPr="00A46BD9" w14:paraId="0B327384" w14:textId="77777777" w:rsidTr="00CF3F52">
        <w:trPr>
          <w:trHeight w:val="263"/>
        </w:trPr>
        <w:tc>
          <w:tcPr>
            <w:tcW w:w="283" w:type="dxa"/>
            <w:vMerge/>
            <w:shd w:val="clear" w:color="auto" w:fill="1AA380"/>
            <w:vAlign w:val="center"/>
          </w:tcPr>
          <w:p w14:paraId="20F67DF1" w14:textId="77777777" w:rsidR="00AA20CF" w:rsidRPr="00A46BD9" w:rsidRDefault="00AA20CF" w:rsidP="00CF3F52">
            <w:pPr>
              <w:spacing w:line="140" w:lineRule="exact"/>
              <w:jc w:val="center"/>
              <w:rPr>
                <w:rFonts w:ascii="Arial Narrow" w:hAnsi="Arial Narrow"/>
                <w:b/>
                <w:sz w:val="16"/>
                <w:szCs w:val="16"/>
              </w:rPr>
            </w:pPr>
          </w:p>
        </w:tc>
        <w:tc>
          <w:tcPr>
            <w:tcW w:w="1247" w:type="dxa"/>
            <w:vAlign w:val="center"/>
          </w:tcPr>
          <w:p w14:paraId="2B4A548D"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Investícia 14:</w:t>
            </w:r>
          </w:p>
          <w:p w14:paraId="5D9A826F" w14:textId="77777777" w:rsidR="00AA20CF" w:rsidRPr="00A46BD9" w:rsidRDefault="00AA20CF" w:rsidP="00CF3F52">
            <w:pPr>
              <w:jc w:val="center"/>
              <w:rPr>
                <w:rFonts w:ascii="Arial Narrow" w:hAnsi="Arial Narrow"/>
                <w:b/>
                <w:sz w:val="15"/>
                <w:szCs w:val="15"/>
              </w:rPr>
            </w:pPr>
            <w:r w:rsidRPr="00A46BD9">
              <w:rPr>
                <w:rFonts w:ascii="Arial Narrow" w:hAnsi="Arial Narrow"/>
                <w:sz w:val="15"/>
                <w:szCs w:val="15"/>
              </w:rPr>
              <w:t>Znižovanie energetickej náročnosti verejných budov</w:t>
            </w:r>
          </w:p>
        </w:tc>
        <w:tc>
          <w:tcPr>
            <w:tcW w:w="2693" w:type="dxa"/>
          </w:tcPr>
          <w:p w14:paraId="0B8AB4AB"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Cieľom výziev SIEA je obnova verejných budov so zameraním  na energetickú efektívnosť, vrátane možnosti integrácie OZE a zelených adaptačných opatrení.</w:t>
            </w:r>
          </w:p>
          <w:p w14:paraId="6341BD84" w14:textId="77777777" w:rsidR="00AA20CF" w:rsidRPr="00A46BD9" w:rsidRDefault="00AA20CF" w:rsidP="00CF3F52">
            <w:pPr>
              <w:jc w:val="both"/>
              <w:rPr>
                <w:rFonts w:ascii="Arial Narrow" w:hAnsi="Arial Narrow"/>
                <w:sz w:val="15"/>
                <w:szCs w:val="15"/>
              </w:rPr>
            </w:pPr>
          </w:p>
          <w:p w14:paraId="6C105009"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Vyhlásených bolo viacero </w:t>
            </w:r>
            <w:hyperlink r:id="rId102" w:history="1">
              <w:r w:rsidRPr="00A46BD9">
                <w:rPr>
                  <w:rStyle w:val="Hypertextovprepojenie"/>
                  <w:rFonts w:ascii="Arial Narrow" w:hAnsi="Arial Narrow"/>
                  <w:sz w:val="15"/>
                  <w:szCs w:val="15"/>
                </w:rPr>
                <w:t>výziev</w:t>
              </w:r>
            </w:hyperlink>
            <w:r w:rsidRPr="00A46BD9">
              <w:rPr>
                <w:rFonts w:ascii="Arial Narrow" w:hAnsi="Arial Narrow"/>
                <w:sz w:val="15"/>
                <w:szCs w:val="15"/>
              </w:rPr>
              <w:t xml:space="preserve"> s alokáciou cez 300 mil. eur</w:t>
            </w:r>
            <w:r w:rsidRPr="00A46BD9">
              <w:t xml:space="preserve"> </w:t>
            </w:r>
            <w:r w:rsidRPr="00A46BD9">
              <w:rPr>
                <w:rFonts w:ascii="Arial Narrow" w:hAnsi="Arial Narrow"/>
                <w:sz w:val="15"/>
                <w:szCs w:val="15"/>
              </w:rPr>
              <w:t>zameraných na znižovanie energetickej náročnosti verejných budov. V súčasnosti prebieha vyhodnocovanie a zazmluvňovanie projektov. Na základe predložených žiadostí možno očakávať obnovu približne 595 tisíc m² verejných budov, úsporu primárnej energie približne 71 tisíc MWh ročne a zvýšenie inštalovaného výkonu OZE o približne 13 MW.</w:t>
            </w:r>
          </w:p>
        </w:tc>
        <w:tc>
          <w:tcPr>
            <w:tcW w:w="737" w:type="dxa"/>
            <w:vAlign w:val="center"/>
          </w:tcPr>
          <w:p w14:paraId="48DB565D"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PSK</w:t>
            </w:r>
          </w:p>
        </w:tc>
        <w:tc>
          <w:tcPr>
            <w:tcW w:w="992" w:type="dxa"/>
            <w:vAlign w:val="center"/>
          </w:tcPr>
          <w:p w14:paraId="218D199C"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CSR.2025.5.1</w:t>
            </w:r>
          </w:p>
          <w:p w14:paraId="3D1C37C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CSR.2025.5.5</w:t>
            </w:r>
          </w:p>
          <w:p w14:paraId="7E93EF4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CSR.2025.5.7</w:t>
            </w:r>
          </w:p>
        </w:tc>
        <w:tc>
          <w:tcPr>
            <w:tcW w:w="850" w:type="dxa"/>
            <w:vAlign w:val="center"/>
          </w:tcPr>
          <w:p w14:paraId="0C4E9264" w14:textId="77777777" w:rsidR="00AA20CF" w:rsidRPr="00EF7276" w:rsidRDefault="00AA20CF" w:rsidP="00CF3F52">
            <w:pPr>
              <w:pStyle w:val="Default"/>
              <w:jc w:val="center"/>
              <w:rPr>
                <w:rFonts w:ascii="Arial Narrow" w:hAnsi="Arial Narrow"/>
                <w:sz w:val="12"/>
                <w:szCs w:val="12"/>
              </w:rPr>
            </w:pPr>
            <w:r w:rsidRPr="00EF7276">
              <w:rPr>
                <w:rFonts w:ascii="Arial Narrow" w:hAnsi="Arial Narrow"/>
                <w:sz w:val="12"/>
                <w:szCs w:val="12"/>
              </w:rPr>
              <w:t>Spravodlivá zelená transformácia;</w:t>
            </w:r>
          </w:p>
          <w:p w14:paraId="3D52D0E2" w14:textId="77777777" w:rsidR="00AA20CF" w:rsidRPr="00EF7276" w:rsidRDefault="00AA20CF" w:rsidP="00CF3F52">
            <w:pPr>
              <w:pStyle w:val="Default"/>
              <w:jc w:val="center"/>
              <w:rPr>
                <w:rFonts w:ascii="Arial Narrow" w:hAnsi="Arial Narrow" w:cstheme="minorBidi"/>
                <w:color w:val="auto"/>
                <w:sz w:val="12"/>
                <w:szCs w:val="12"/>
              </w:rPr>
            </w:pPr>
            <w:r w:rsidRPr="00EF7276">
              <w:rPr>
                <w:rFonts w:ascii="Arial Narrow" w:hAnsi="Arial Narrow"/>
                <w:sz w:val="12"/>
                <w:szCs w:val="12"/>
              </w:rPr>
              <w:t>Zabezpečenie energetickej bezpečnosti</w:t>
            </w:r>
          </w:p>
        </w:tc>
        <w:tc>
          <w:tcPr>
            <w:tcW w:w="567" w:type="dxa"/>
            <w:vAlign w:val="center"/>
          </w:tcPr>
          <w:p w14:paraId="2D243DA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7</w:t>
            </w:r>
          </w:p>
          <w:p w14:paraId="625EEBF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p w14:paraId="6E8E4B1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11</w:t>
            </w:r>
          </w:p>
          <w:p w14:paraId="63E2FF8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13</w:t>
            </w:r>
          </w:p>
        </w:tc>
        <w:tc>
          <w:tcPr>
            <w:tcW w:w="709" w:type="dxa"/>
            <w:vAlign w:val="center"/>
          </w:tcPr>
          <w:p w14:paraId="1671BFFA"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24DE9CC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6F2D412D" w14:textId="77777777" w:rsidTr="00CF3F52">
        <w:trPr>
          <w:trHeight w:val="263"/>
        </w:trPr>
        <w:tc>
          <w:tcPr>
            <w:tcW w:w="283" w:type="dxa"/>
            <w:vMerge w:val="restart"/>
            <w:shd w:val="clear" w:color="auto" w:fill="F2CA6D"/>
            <w:textDirection w:val="btLr"/>
            <w:vAlign w:val="center"/>
          </w:tcPr>
          <w:p w14:paraId="298638EA" w14:textId="77777777" w:rsidR="00AA20CF" w:rsidRPr="00A46BD9" w:rsidRDefault="00AA20CF" w:rsidP="00CF3F52">
            <w:pPr>
              <w:spacing w:line="140" w:lineRule="exact"/>
              <w:ind w:left="113" w:right="113"/>
              <w:jc w:val="center"/>
              <w:rPr>
                <w:rFonts w:ascii="Arial Narrow" w:hAnsi="Arial Narrow"/>
                <w:b/>
                <w:color w:val="FFFFFF" w:themeColor="background1"/>
                <w:sz w:val="16"/>
                <w:szCs w:val="16"/>
              </w:rPr>
            </w:pPr>
            <w:r w:rsidRPr="00A46BD9">
              <w:rPr>
                <w:rFonts w:ascii="Arial Narrow" w:hAnsi="Arial Narrow"/>
                <w:b/>
                <w:color w:val="FFFFFF" w:themeColor="background1"/>
                <w:sz w:val="16"/>
                <w:szCs w:val="16"/>
              </w:rPr>
              <w:t>Vzdelávanie</w:t>
            </w:r>
          </w:p>
        </w:tc>
        <w:tc>
          <w:tcPr>
            <w:tcW w:w="1247" w:type="dxa"/>
            <w:vAlign w:val="center"/>
          </w:tcPr>
          <w:p w14:paraId="1D42380F"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13:</w:t>
            </w:r>
          </w:p>
          <w:p w14:paraId="106D6321" w14:textId="77777777" w:rsidR="00AA20CF" w:rsidRPr="00A46BD9" w:rsidRDefault="00AA20CF" w:rsidP="00CF3F52">
            <w:pPr>
              <w:jc w:val="center"/>
              <w:rPr>
                <w:rFonts w:ascii="Arial Narrow" w:hAnsi="Arial Narrow"/>
                <w:b/>
                <w:sz w:val="15"/>
                <w:szCs w:val="15"/>
              </w:rPr>
            </w:pPr>
            <w:r w:rsidRPr="00A46BD9">
              <w:rPr>
                <w:rFonts w:ascii="Arial Narrow" w:hAnsi="Arial Narrow"/>
                <w:sz w:val="15"/>
                <w:szCs w:val="15"/>
              </w:rPr>
              <w:t>Optimalizácia siete škôl a školských zariadení pre potreby 21. storočia</w:t>
            </w:r>
          </w:p>
        </w:tc>
        <w:tc>
          <w:tcPr>
            <w:tcW w:w="2693" w:type="dxa"/>
          </w:tcPr>
          <w:p w14:paraId="4F80ADFF"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Optimalizácia umožní zvýšiť efektívnosť, účelnosť a kvalitu vzdelávania v regionálnom  školstve. Opatrenie zavedie transparentné kritériá pre zriaďovateľov škôl, </w:t>
            </w:r>
            <w:r>
              <w:rPr>
                <w:rFonts w:ascii="Arial Narrow" w:hAnsi="Arial Narrow"/>
                <w:sz w:val="15"/>
                <w:szCs w:val="15"/>
              </w:rPr>
              <w:t xml:space="preserve">upraví </w:t>
            </w:r>
            <w:r w:rsidRPr="00A46BD9">
              <w:rPr>
                <w:rFonts w:ascii="Arial Narrow" w:hAnsi="Arial Narrow"/>
                <w:sz w:val="15"/>
                <w:szCs w:val="15"/>
              </w:rPr>
              <w:t xml:space="preserve">pravidlá pre zaradenie a vyraďovanie škôl zo siete a posilní postavenie </w:t>
            </w:r>
            <w:r>
              <w:rPr>
                <w:rFonts w:ascii="Arial Narrow" w:hAnsi="Arial Narrow"/>
                <w:sz w:val="15"/>
                <w:szCs w:val="15"/>
              </w:rPr>
              <w:t xml:space="preserve">Štátnej školskej inšpekcie, ako aj </w:t>
            </w:r>
            <w:r w:rsidRPr="00A46BD9">
              <w:rPr>
                <w:rFonts w:ascii="Arial Narrow" w:hAnsi="Arial Narrow"/>
                <w:sz w:val="15"/>
                <w:szCs w:val="15"/>
              </w:rPr>
              <w:t>podporu škôl a učiteľov.</w:t>
            </w:r>
          </w:p>
          <w:p w14:paraId="169FF4A5" w14:textId="77777777" w:rsidR="00AA20CF" w:rsidRPr="00A46BD9" w:rsidRDefault="00AA20CF" w:rsidP="00CF3F52">
            <w:pPr>
              <w:jc w:val="both"/>
              <w:rPr>
                <w:rFonts w:ascii="Arial Narrow" w:hAnsi="Arial Narrow"/>
                <w:sz w:val="15"/>
                <w:szCs w:val="15"/>
              </w:rPr>
            </w:pPr>
          </w:p>
          <w:p w14:paraId="11790BBA"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V roku 2025 bola</w:t>
            </w:r>
            <w:r>
              <w:rPr>
                <w:rFonts w:ascii="Arial Narrow" w:hAnsi="Arial Narrow"/>
                <w:sz w:val="15"/>
                <w:szCs w:val="15"/>
              </w:rPr>
              <w:t xml:space="preserve"> zverejnená</w:t>
            </w:r>
            <w:r w:rsidRPr="00A46BD9">
              <w:rPr>
                <w:rFonts w:ascii="Arial Narrow" w:hAnsi="Arial Narrow"/>
                <w:sz w:val="15"/>
                <w:szCs w:val="15"/>
              </w:rPr>
              <w:t xml:space="preserve"> </w:t>
            </w:r>
            <w:hyperlink r:id="rId103" w:history="1">
              <w:r w:rsidRPr="00A26B82">
                <w:rPr>
                  <w:rStyle w:val="Hypertextovprepojenie"/>
                  <w:rFonts w:ascii="Arial Narrow" w:hAnsi="Arial Narrow"/>
                  <w:sz w:val="15"/>
                  <w:szCs w:val="15"/>
                </w:rPr>
                <w:t>Záverečná správa Revízie výdavkov na ZŠ a SŠ</w:t>
              </w:r>
            </w:hyperlink>
            <w:r w:rsidRPr="00A46BD9">
              <w:rPr>
                <w:rFonts w:ascii="Arial Narrow" w:hAnsi="Arial Narrow"/>
                <w:sz w:val="15"/>
                <w:szCs w:val="15"/>
              </w:rPr>
              <w:t xml:space="preserve">, ktorá navrhuje zmenu pravidiel pre zaraďovanie a vyraďovanie škôl zo siete. Došlo tiež </w:t>
            </w:r>
            <w:r w:rsidRPr="00ED7B21">
              <w:rPr>
                <w:rFonts w:ascii="Arial Narrow" w:hAnsi="Arial Narrow"/>
                <w:sz w:val="15"/>
                <w:szCs w:val="15"/>
              </w:rPr>
              <w:t>k úprave veľkostného koeficientu pri financovaní</w:t>
            </w:r>
            <w:r w:rsidRPr="00A46BD9">
              <w:rPr>
                <w:rFonts w:ascii="Arial Narrow" w:hAnsi="Arial Narrow"/>
                <w:sz w:val="15"/>
                <w:szCs w:val="15"/>
              </w:rPr>
              <w:t>, ktor</w:t>
            </w:r>
            <w:r>
              <w:rPr>
                <w:rFonts w:ascii="Arial Narrow" w:hAnsi="Arial Narrow"/>
                <w:sz w:val="15"/>
                <w:szCs w:val="15"/>
              </w:rPr>
              <w:t>á</w:t>
            </w:r>
            <w:r w:rsidRPr="00A46BD9">
              <w:rPr>
                <w:rFonts w:ascii="Arial Narrow" w:hAnsi="Arial Narrow"/>
                <w:sz w:val="15"/>
                <w:szCs w:val="15"/>
              </w:rPr>
              <w:t xml:space="preserve"> má vplyv na fungovanie malých škôl. </w:t>
            </w:r>
            <w:r w:rsidRPr="0081071F">
              <w:rPr>
                <w:rFonts w:ascii="Arial Narrow" w:hAnsi="Arial Narrow"/>
                <w:sz w:val="15"/>
                <w:szCs w:val="15"/>
              </w:rPr>
              <w:t>V spolupráci s dotknutými aktérmi, najmä zástupcami samospráv</w:t>
            </w:r>
            <w:r>
              <w:rPr>
                <w:rFonts w:ascii="Arial Narrow" w:hAnsi="Arial Narrow"/>
                <w:sz w:val="15"/>
                <w:szCs w:val="15"/>
              </w:rPr>
              <w:t xml:space="preserve"> a </w:t>
            </w:r>
            <w:r w:rsidRPr="0081071F">
              <w:rPr>
                <w:rFonts w:ascii="Arial Narrow" w:hAnsi="Arial Narrow"/>
                <w:sz w:val="15"/>
                <w:szCs w:val="15"/>
              </w:rPr>
              <w:t xml:space="preserve">rôznych zriaďovateľov škôl, </w:t>
            </w:r>
            <w:r w:rsidRPr="00922B23">
              <w:rPr>
                <w:rFonts w:ascii="Arial Narrow" w:hAnsi="Arial Narrow"/>
                <w:sz w:val="15"/>
                <w:szCs w:val="15"/>
              </w:rPr>
              <w:t>MŠVVM SR</w:t>
            </w:r>
            <w:r w:rsidRPr="0081071F">
              <w:rPr>
                <w:rFonts w:ascii="Arial Narrow" w:hAnsi="Arial Narrow"/>
                <w:sz w:val="15"/>
                <w:szCs w:val="15"/>
              </w:rPr>
              <w:t xml:space="preserve"> pripravuje metodiku racionalizačných opatrení a hľadá zhodu na nových pravidlách fungovania siete škôl.</w:t>
            </w:r>
          </w:p>
        </w:tc>
        <w:tc>
          <w:tcPr>
            <w:tcW w:w="737" w:type="dxa"/>
            <w:vAlign w:val="center"/>
          </w:tcPr>
          <w:p w14:paraId="6BC3915F"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48ACC93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CSR.2025.1.4</w:t>
            </w:r>
          </w:p>
          <w:p w14:paraId="27AF5B5B"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CSR.2025.3.6</w:t>
            </w:r>
          </w:p>
          <w:p w14:paraId="0D5083E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CSR.2025.6.4</w:t>
            </w:r>
          </w:p>
        </w:tc>
        <w:tc>
          <w:tcPr>
            <w:tcW w:w="850" w:type="dxa"/>
            <w:vAlign w:val="center"/>
          </w:tcPr>
          <w:p w14:paraId="64E0361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Posilnenie sociálnej a hospodárskej odolnosti</w:t>
            </w:r>
          </w:p>
        </w:tc>
        <w:tc>
          <w:tcPr>
            <w:tcW w:w="567" w:type="dxa"/>
            <w:vAlign w:val="center"/>
          </w:tcPr>
          <w:p w14:paraId="0886F02A"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4</w:t>
            </w:r>
          </w:p>
          <w:p w14:paraId="3BB8216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16</w:t>
            </w:r>
          </w:p>
        </w:tc>
        <w:tc>
          <w:tcPr>
            <w:tcW w:w="709" w:type="dxa"/>
            <w:vAlign w:val="center"/>
          </w:tcPr>
          <w:p w14:paraId="21E60AFE"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1</w:t>
            </w:r>
          </w:p>
        </w:tc>
        <w:tc>
          <w:tcPr>
            <w:tcW w:w="992" w:type="dxa"/>
            <w:vAlign w:val="center"/>
          </w:tcPr>
          <w:p w14:paraId="114069F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42107C01" w14:textId="77777777" w:rsidTr="00CF3F52">
        <w:trPr>
          <w:trHeight w:val="263"/>
        </w:trPr>
        <w:tc>
          <w:tcPr>
            <w:tcW w:w="283" w:type="dxa"/>
            <w:vMerge/>
            <w:shd w:val="clear" w:color="auto" w:fill="F2CA6D"/>
            <w:textDirection w:val="btLr"/>
            <w:vAlign w:val="center"/>
          </w:tcPr>
          <w:p w14:paraId="362A5A80" w14:textId="77777777" w:rsidR="00AA20CF" w:rsidRPr="00A46BD9" w:rsidRDefault="00AA20CF" w:rsidP="00CF3F52">
            <w:pPr>
              <w:spacing w:line="140" w:lineRule="exact"/>
              <w:ind w:left="113" w:right="113"/>
              <w:jc w:val="center"/>
              <w:rPr>
                <w:rFonts w:ascii="Arial Narrow" w:hAnsi="Arial Narrow"/>
                <w:b/>
                <w:color w:val="FFFFFF" w:themeColor="background1"/>
                <w:sz w:val="16"/>
                <w:szCs w:val="16"/>
              </w:rPr>
            </w:pPr>
          </w:p>
        </w:tc>
        <w:tc>
          <w:tcPr>
            <w:tcW w:w="1247" w:type="dxa"/>
            <w:vAlign w:val="center"/>
          </w:tcPr>
          <w:p w14:paraId="11DEC3C8" w14:textId="77777777" w:rsidR="00AA20CF" w:rsidRDefault="00AA20CF" w:rsidP="00CF3F52">
            <w:pPr>
              <w:jc w:val="center"/>
              <w:rPr>
                <w:rFonts w:ascii="Arial Narrow" w:hAnsi="Arial Narrow"/>
                <w:b/>
                <w:sz w:val="15"/>
                <w:szCs w:val="15"/>
              </w:rPr>
            </w:pPr>
            <w:r>
              <w:rPr>
                <w:rFonts w:ascii="Arial Narrow" w:hAnsi="Arial Narrow"/>
                <w:b/>
                <w:sz w:val="15"/>
                <w:szCs w:val="15"/>
              </w:rPr>
              <w:t>Reforma 14:</w:t>
            </w:r>
          </w:p>
          <w:p w14:paraId="2A099CFC" w14:textId="77777777" w:rsidR="00AA20CF" w:rsidRPr="00C70729" w:rsidRDefault="00AA20CF" w:rsidP="00CF3F52">
            <w:pPr>
              <w:jc w:val="center"/>
              <w:rPr>
                <w:rFonts w:ascii="Arial Narrow" w:hAnsi="Arial Narrow"/>
                <w:bCs/>
                <w:sz w:val="15"/>
                <w:szCs w:val="15"/>
              </w:rPr>
            </w:pPr>
            <w:r>
              <w:rPr>
                <w:rFonts w:ascii="Arial Narrow" w:hAnsi="Arial Narrow"/>
                <w:bCs/>
                <w:sz w:val="15"/>
                <w:szCs w:val="15"/>
              </w:rPr>
              <w:t>Zefektívnenie procesov vysokých škôl</w:t>
            </w:r>
          </w:p>
        </w:tc>
        <w:tc>
          <w:tcPr>
            <w:tcW w:w="2693" w:type="dxa"/>
          </w:tcPr>
          <w:p w14:paraId="4DD83468" w14:textId="77777777" w:rsidR="00AA20CF" w:rsidRPr="00AE4AE9" w:rsidRDefault="00AA20CF" w:rsidP="00CF3F52">
            <w:pPr>
              <w:jc w:val="both"/>
              <w:rPr>
                <w:rFonts w:ascii="Arial Narrow" w:hAnsi="Arial Narrow"/>
                <w:sz w:val="15"/>
                <w:szCs w:val="15"/>
              </w:rPr>
            </w:pPr>
            <w:r w:rsidRPr="00AE4AE9">
              <w:rPr>
                <w:rFonts w:ascii="Arial Narrow" w:hAnsi="Arial Narrow"/>
                <w:sz w:val="15"/>
                <w:szCs w:val="15"/>
              </w:rPr>
              <w:t>V spolupráci s vysokými školami a</w:t>
            </w:r>
            <w:r>
              <w:rPr>
                <w:rFonts w:ascii="Arial Narrow" w:hAnsi="Arial Narrow"/>
                <w:sz w:val="15"/>
                <w:szCs w:val="15"/>
              </w:rPr>
              <w:t> </w:t>
            </w:r>
            <w:r w:rsidRPr="00AE4AE9">
              <w:rPr>
                <w:rFonts w:ascii="Arial Narrow" w:hAnsi="Arial Narrow"/>
                <w:sz w:val="15"/>
                <w:szCs w:val="15"/>
              </w:rPr>
              <w:t>ich</w:t>
            </w:r>
            <w:r>
              <w:rPr>
                <w:rFonts w:ascii="Arial Narrow" w:hAnsi="Arial Narrow"/>
                <w:sz w:val="15"/>
                <w:szCs w:val="15"/>
              </w:rPr>
              <w:t xml:space="preserve"> </w:t>
            </w:r>
            <w:r w:rsidRPr="00AE4AE9">
              <w:rPr>
                <w:rFonts w:ascii="Arial Narrow" w:hAnsi="Arial Narrow"/>
                <w:sz w:val="15"/>
                <w:szCs w:val="15"/>
              </w:rPr>
              <w:t>reprezentáciami sa zlepšia neefektívne</w:t>
            </w:r>
            <w:r>
              <w:rPr>
                <w:rFonts w:ascii="Arial Narrow" w:hAnsi="Arial Narrow"/>
                <w:sz w:val="15"/>
                <w:szCs w:val="15"/>
              </w:rPr>
              <w:t xml:space="preserve"> </w:t>
            </w:r>
            <w:r w:rsidRPr="00AE4AE9">
              <w:rPr>
                <w:rFonts w:ascii="Arial Narrow" w:hAnsi="Arial Narrow"/>
                <w:sz w:val="15"/>
                <w:szCs w:val="15"/>
              </w:rPr>
              <w:t>procesy, najmä vo vzťahoch so štátnymi</w:t>
            </w:r>
            <w:r>
              <w:rPr>
                <w:rFonts w:ascii="Arial Narrow" w:hAnsi="Arial Narrow"/>
                <w:sz w:val="15"/>
                <w:szCs w:val="15"/>
              </w:rPr>
              <w:t xml:space="preserve"> </w:t>
            </w:r>
            <w:r w:rsidRPr="00AE4AE9">
              <w:rPr>
                <w:rFonts w:ascii="Arial Narrow" w:hAnsi="Arial Narrow"/>
                <w:sz w:val="15"/>
                <w:szCs w:val="15"/>
              </w:rPr>
              <w:t>orgánmi (výber členov správnej rady,</w:t>
            </w:r>
            <w:r>
              <w:rPr>
                <w:rFonts w:ascii="Arial Narrow" w:hAnsi="Arial Narrow"/>
                <w:sz w:val="15"/>
                <w:szCs w:val="15"/>
              </w:rPr>
              <w:t xml:space="preserve"> </w:t>
            </w:r>
            <w:r w:rsidRPr="00AE4AE9">
              <w:rPr>
                <w:rFonts w:ascii="Arial Narrow" w:hAnsi="Arial Narrow"/>
                <w:sz w:val="15"/>
                <w:szCs w:val="15"/>
              </w:rPr>
              <w:t>schvaľovanie dlhodobých zámerov vysokých</w:t>
            </w:r>
          </w:p>
          <w:p w14:paraId="7A5F50D8" w14:textId="77777777" w:rsidR="00AA20CF" w:rsidRDefault="00AA20CF" w:rsidP="00CF3F52">
            <w:pPr>
              <w:jc w:val="both"/>
              <w:rPr>
                <w:rFonts w:ascii="Arial Narrow" w:hAnsi="Arial Narrow"/>
                <w:sz w:val="15"/>
                <w:szCs w:val="15"/>
              </w:rPr>
            </w:pPr>
            <w:r w:rsidRPr="00AE4AE9">
              <w:rPr>
                <w:rFonts w:ascii="Arial Narrow" w:hAnsi="Arial Narrow"/>
                <w:sz w:val="15"/>
                <w:szCs w:val="15"/>
              </w:rPr>
              <w:t>škôl a iné).</w:t>
            </w:r>
          </w:p>
          <w:p w14:paraId="35AD7138" w14:textId="77777777" w:rsidR="00AA20CF" w:rsidRDefault="00AA20CF" w:rsidP="00CF3F52">
            <w:pPr>
              <w:jc w:val="both"/>
              <w:rPr>
                <w:rFonts w:ascii="Arial Narrow" w:hAnsi="Arial Narrow"/>
                <w:sz w:val="15"/>
                <w:szCs w:val="15"/>
              </w:rPr>
            </w:pPr>
          </w:p>
          <w:p w14:paraId="59DD49D5" w14:textId="77777777" w:rsidR="00AA20CF" w:rsidRPr="00A46BD9" w:rsidRDefault="00AA20CF" w:rsidP="00CF3F52">
            <w:pPr>
              <w:jc w:val="both"/>
              <w:rPr>
                <w:rFonts w:ascii="Arial Narrow" w:hAnsi="Arial Narrow"/>
                <w:sz w:val="15"/>
                <w:szCs w:val="15"/>
              </w:rPr>
            </w:pPr>
            <w:r w:rsidRPr="00AE4AE9">
              <w:rPr>
                <w:rFonts w:ascii="Arial Narrow" w:hAnsi="Arial Narrow"/>
                <w:sz w:val="15"/>
                <w:szCs w:val="15"/>
              </w:rPr>
              <w:t xml:space="preserve">Opatrenie </w:t>
            </w:r>
            <w:r>
              <w:rPr>
                <w:rFonts w:ascii="Arial Narrow" w:hAnsi="Arial Narrow"/>
                <w:sz w:val="15"/>
                <w:szCs w:val="15"/>
              </w:rPr>
              <w:t xml:space="preserve">sa premietlo do prijatia </w:t>
            </w:r>
            <w:r w:rsidRPr="00AE4AE9">
              <w:rPr>
                <w:rFonts w:ascii="Arial Narrow" w:hAnsi="Arial Narrow"/>
                <w:sz w:val="15"/>
                <w:szCs w:val="15"/>
              </w:rPr>
              <w:t xml:space="preserve">nového </w:t>
            </w:r>
            <w:hyperlink r:id="rId104" w:history="1">
              <w:r w:rsidRPr="00BB280D">
                <w:rPr>
                  <w:rStyle w:val="Hypertextovprepojenie"/>
                  <w:rFonts w:ascii="Arial Narrow" w:hAnsi="Arial Narrow"/>
                  <w:sz w:val="15"/>
                  <w:szCs w:val="15"/>
                </w:rPr>
                <w:t>zákona o vysokých školách</w:t>
              </w:r>
            </w:hyperlink>
            <w:r>
              <w:rPr>
                <w:rFonts w:ascii="Arial Narrow" w:hAnsi="Arial Narrow"/>
                <w:sz w:val="15"/>
                <w:szCs w:val="15"/>
              </w:rPr>
              <w:t>, ktorý</w:t>
            </w:r>
            <w:r w:rsidRPr="00AE4AE9">
              <w:rPr>
                <w:rFonts w:ascii="Arial Narrow" w:hAnsi="Arial Narrow"/>
                <w:sz w:val="15"/>
                <w:szCs w:val="15"/>
              </w:rPr>
              <w:t xml:space="preserve"> nadobu</w:t>
            </w:r>
            <w:r>
              <w:rPr>
                <w:rFonts w:ascii="Arial Narrow" w:hAnsi="Arial Narrow"/>
                <w:sz w:val="15"/>
                <w:szCs w:val="15"/>
              </w:rPr>
              <w:t>dne</w:t>
            </w:r>
            <w:r w:rsidRPr="00AE4AE9">
              <w:rPr>
                <w:rFonts w:ascii="Arial Narrow" w:hAnsi="Arial Narrow"/>
                <w:sz w:val="15"/>
                <w:szCs w:val="15"/>
              </w:rPr>
              <w:t xml:space="preserve"> účinnosť 1.</w:t>
            </w:r>
            <w:r>
              <w:rPr>
                <w:rFonts w:ascii="Arial Narrow" w:hAnsi="Arial Narrow"/>
                <w:sz w:val="15"/>
                <w:szCs w:val="15"/>
              </w:rPr>
              <w:t>septembra</w:t>
            </w:r>
            <w:r w:rsidRPr="00AE4AE9">
              <w:rPr>
                <w:rFonts w:ascii="Arial Narrow" w:hAnsi="Arial Narrow"/>
                <w:sz w:val="15"/>
                <w:szCs w:val="15"/>
              </w:rPr>
              <w:t xml:space="preserve"> 2026. Zákon prináša zásadnú modernizáciu</w:t>
            </w:r>
            <w:r>
              <w:rPr>
                <w:rFonts w:ascii="Arial Narrow" w:hAnsi="Arial Narrow"/>
                <w:sz w:val="15"/>
                <w:szCs w:val="15"/>
              </w:rPr>
              <w:t xml:space="preserve"> systému</w:t>
            </w:r>
            <w:r w:rsidRPr="00AE4AE9">
              <w:rPr>
                <w:rFonts w:ascii="Arial Narrow" w:hAnsi="Arial Narrow"/>
                <w:sz w:val="15"/>
                <w:szCs w:val="15"/>
              </w:rPr>
              <w:t xml:space="preserve">, vyššiu flexibilitu štúdia a jednoduchšie pravidlá. </w:t>
            </w:r>
          </w:p>
        </w:tc>
        <w:tc>
          <w:tcPr>
            <w:tcW w:w="737" w:type="dxa"/>
            <w:vAlign w:val="center"/>
          </w:tcPr>
          <w:p w14:paraId="19665E14" w14:textId="77777777" w:rsidR="00AA20CF" w:rsidRPr="00EF7276" w:rsidRDefault="00AA20CF" w:rsidP="00CF3F52">
            <w:pPr>
              <w:tabs>
                <w:tab w:val="left" w:pos="1306"/>
              </w:tabs>
              <w:jc w:val="center"/>
              <w:rPr>
                <w:rFonts w:ascii="Arial Narrow" w:hAnsi="Arial Narrow"/>
                <w:sz w:val="12"/>
                <w:szCs w:val="12"/>
              </w:rPr>
            </w:pPr>
            <w:r>
              <w:rPr>
                <w:rFonts w:ascii="Arial Narrow" w:hAnsi="Arial Narrow"/>
                <w:sz w:val="12"/>
                <w:szCs w:val="12"/>
              </w:rPr>
              <w:t>-</w:t>
            </w:r>
          </w:p>
        </w:tc>
        <w:tc>
          <w:tcPr>
            <w:tcW w:w="992" w:type="dxa"/>
            <w:vAlign w:val="center"/>
          </w:tcPr>
          <w:p w14:paraId="0733D5BF" w14:textId="77777777" w:rsidR="00AA20CF" w:rsidRDefault="00AA20CF" w:rsidP="00CF3F52">
            <w:pPr>
              <w:jc w:val="center"/>
              <w:rPr>
                <w:rFonts w:ascii="Arial Narrow" w:hAnsi="Arial Narrow"/>
                <w:sz w:val="12"/>
                <w:szCs w:val="12"/>
              </w:rPr>
            </w:pPr>
            <w:r>
              <w:rPr>
                <w:rFonts w:ascii="Arial Narrow" w:hAnsi="Arial Narrow"/>
                <w:sz w:val="12"/>
                <w:szCs w:val="12"/>
              </w:rPr>
              <w:t>CSR.2025.6.6</w:t>
            </w:r>
          </w:p>
          <w:p w14:paraId="6A9BC7DE" w14:textId="77777777" w:rsidR="00AA20CF" w:rsidRPr="00EF7276" w:rsidRDefault="00AA20CF" w:rsidP="00CF3F52">
            <w:pPr>
              <w:jc w:val="center"/>
              <w:rPr>
                <w:rFonts w:ascii="Arial Narrow" w:hAnsi="Arial Narrow"/>
                <w:sz w:val="12"/>
                <w:szCs w:val="12"/>
              </w:rPr>
            </w:pPr>
            <w:r>
              <w:rPr>
                <w:rFonts w:ascii="Arial Narrow" w:hAnsi="Arial Narrow"/>
                <w:sz w:val="12"/>
                <w:szCs w:val="12"/>
              </w:rPr>
              <w:t>CSR.2025.6.7</w:t>
            </w:r>
          </w:p>
        </w:tc>
        <w:tc>
          <w:tcPr>
            <w:tcW w:w="850" w:type="dxa"/>
            <w:vAlign w:val="center"/>
          </w:tcPr>
          <w:p w14:paraId="754F746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Posilnenie sociálnej a hospodárskej odolnosti</w:t>
            </w:r>
          </w:p>
        </w:tc>
        <w:tc>
          <w:tcPr>
            <w:tcW w:w="567" w:type="dxa"/>
            <w:vAlign w:val="center"/>
          </w:tcPr>
          <w:p w14:paraId="04325F3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4</w:t>
            </w:r>
          </w:p>
          <w:p w14:paraId="1B7B0D0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 xml:space="preserve">Cieľ </w:t>
            </w:r>
            <w:r>
              <w:rPr>
                <w:rFonts w:ascii="Arial Narrow" w:hAnsi="Arial Narrow"/>
                <w:sz w:val="12"/>
                <w:szCs w:val="12"/>
              </w:rPr>
              <w:t>9</w:t>
            </w:r>
          </w:p>
        </w:tc>
        <w:tc>
          <w:tcPr>
            <w:tcW w:w="709" w:type="dxa"/>
            <w:vAlign w:val="center"/>
          </w:tcPr>
          <w:p w14:paraId="5AB0B0A5"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1</w:t>
            </w:r>
          </w:p>
          <w:p w14:paraId="47758C9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 xml:space="preserve">Zásada </w:t>
            </w:r>
            <w:r>
              <w:rPr>
                <w:rFonts w:ascii="Arial Narrow" w:hAnsi="Arial Narrow"/>
                <w:sz w:val="12"/>
                <w:szCs w:val="12"/>
              </w:rPr>
              <w:t>8</w:t>
            </w:r>
          </w:p>
        </w:tc>
        <w:tc>
          <w:tcPr>
            <w:tcW w:w="992" w:type="dxa"/>
            <w:vAlign w:val="center"/>
          </w:tcPr>
          <w:p w14:paraId="03A09212" w14:textId="77777777" w:rsidR="00AA20CF" w:rsidRPr="00EF7276" w:rsidRDefault="00AA20CF" w:rsidP="00CF3F52">
            <w:pPr>
              <w:jc w:val="center"/>
              <w:rPr>
                <w:rFonts w:ascii="Arial Narrow" w:hAnsi="Arial Narrow"/>
                <w:sz w:val="12"/>
                <w:szCs w:val="12"/>
              </w:rPr>
            </w:pPr>
            <w:r>
              <w:rPr>
                <w:rFonts w:ascii="Arial Narrow" w:hAnsi="Arial Narrow"/>
                <w:sz w:val="12"/>
                <w:szCs w:val="12"/>
              </w:rPr>
              <w:t>Dokončené</w:t>
            </w:r>
          </w:p>
        </w:tc>
      </w:tr>
      <w:tr w:rsidR="00AA20CF" w:rsidRPr="00A46BD9" w14:paraId="1A833F45" w14:textId="77777777" w:rsidTr="00CF3F52">
        <w:trPr>
          <w:trHeight w:val="263"/>
        </w:trPr>
        <w:tc>
          <w:tcPr>
            <w:tcW w:w="283" w:type="dxa"/>
            <w:vMerge/>
            <w:shd w:val="clear" w:color="auto" w:fill="F2CA6D"/>
            <w:vAlign w:val="center"/>
          </w:tcPr>
          <w:p w14:paraId="0D720670" w14:textId="77777777" w:rsidR="00AA20CF" w:rsidRPr="00A46BD9" w:rsidRDefault="00AA20CF" w:rsidP="00CF3F52">
            <w:pPr>
              <w:spacing w:line="140" w:lineRule="exact"/>
              <w:jc w:val="center"/>
              <w:rPr>
                <w:rFonts w:ascii="Arial Narrow" w:hAnsi="Arial Narrow"/>
                <w:b/>
                <w:sz w:val="16"/>
                <w:szCs w:val="16"/>
              </w:rPr>
            </w:pPr>
          </w:p>
        </w:tc>
        <w:tc>
          <w:tcPr>
            <w:tcW w:w="1247" w:type="dxa"/>
            <w:vAlign w:val="center"/>
          </w:tcPr>
          <w:p w14:paraId="6A6DA285"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16</w:t>
            </w:r>
          </w:p>
          <w:p w14:paraId="0B00AC20"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 xml:space="preserve"> Investícia 3:</w:t>
            </w:r>
          </w:p>
          <w:p w14:paraId="33D7F901" w14:textId="77777777" w:rsidR="00AA20CF" w:rsidRPr="00A46BD9" w:rsidRDefault="00AA20CF" w:rsidP="00CF3F52">
            <w:pPr>
              <w:jc w:val="center"/>
              <w:rPr>
                <w:rFonts w:ascii="Arial Narrow" w:hAnsi="Arial Narrow"/>
                <w:b/>
                <w:sz w:val="15"/>
                <w:szCs w:val="15"/>
              </w:rPr>
            </w:pPr>
            <w:r w:rsidRPr="00A46BD9">
              <w:rPr>
                <w:rFonts w:ascii="Arial Narrow" w:hAnsi="Arial Narrow"/>
                <w:sz w:val="15"/>
                <w:szCs w:val="15"/>
              </w:rPr>
              <w:t>Podpora a optimalizácia špeciálnych výchovných zariadení (ŠVZ)</w:t>
            </w:r>
          </w:p>
        </w:tc>
        <w:tc>
          <w:tcPr>
            <w:tcW w:w="2693" w:type="dxa"/>
          </w:tcPr>
          <w:p w14:paraId="7F7869BC"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Opatrenia smerujú k zlepšeniu podmienok ŠVZ </w:t>
            </w:r>
            <w:r w:rsidRPr="00197135">
              <w:rPr>
                <w:rFonts w:ascii="Arial Narrow" w:hAnsi="Arial Narrow"/>
                <w:sz w:val="15"/>
                <w:szCs w:val="15"/>
              </w:rPr>
              <w:t>prostredníctvom modernizácie infraštruktúry, posilnenia odborného personálu a zavedenia štandardov, zároveň s dôrazom na inklúziu a</w:t>
            </w:r>
            <w:r>
              <w:rPr>
                <w:rFonts w:ascii="Arial Narrow" w:hAnsi="Arial Narrow"/>
                <w:sz w:val="15"/>
                <w:szCs w:val="15"/>
              </w:rPr>
              <w:t> </w:t>
            </w:r>
            <w:r w:rsidRPr="00197135">
              <w:rPr>
                <w:rFonts w:ascii="Arial Narrow" w:hAnsi="Arial Narrow"/>
                <w:sz w:val="15"/>
                <w:szCs w:val="15"/>
              </w:rPr>
              <w:t>desegregáciu</w:t>
            </w:r>
            <w:r>
              <w:rPr>
                <w:rFonts w:ascii="Arial Narrow" w:hAnsi="Arial Narrow"/>
                <w:sz w:val="15"/>
                <w:szCs w:val="15"/>
              </w:rPr>
              <w:t>.</w:t>
            </w:r>
          </w:p>
          <w:p w14:paraId="497D5159" w14:textId="77777777" w:rsidR="00AA20CF" w:rsidRPr="00A46BD9" w:rsidRDefault="00AA20CF" w:rsidP="00CF3F52">
            <w:pPr>
              <w:jc w:val="both"/>
              <w:rPr>
                <w:rFonts w:ascii="Arial Narrow" w:hAnsi="Arial Narrow"/>
                <w:sz w:val="15"/>
                <w:szCs w:val="15"/>
              </w:rPr>
            </w:pPr>
          </w:p>
          <w:p w14:paraId="67A6AD81"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ŠVZ priebežne dostávajú finančné prostriedky z MŠVVM SR na rekonštrukcie a modernizáciu. Tri zariadenia boli pre nevyhovujúce podmienky vyradené zo siete, </w:t>
            </w:r>
            <w:r>
              <w:rPr>
                <w:rFonts w:ascii="Arial Narrow" w:hAnsi="Arial Narrow"/>
                <w:sz w:val="15"/>
                <w:szCs w:val="15"/>
              </w:rPr>
              <w:t>pripravuje sa jedno nové centrum</w:t>
            </w:r>
            <w:r w:rsidRPr="00A46BD9">
              <w:rPr>
                <w:rFonts w:ascii="Arial Narrow" w:hAnsi="Arial Narrow"/>
                <w:sz w:val="15"/>
                <w:szCs w:val="15"/>
              </w:rPr>
              <w:t xml:space="preserve"> </w:t>
            </w:r>
            <w:r>
              <w:rPr>
                <w:rFonts w:ascii="Arial Narrow" w:hAnsi="Arial Narrow"/>
                <w:sz w:val="15"/>
                <w:szCs w:val="15"/>
              </w:rPr>
              <w:t xml:space="preserve">a </w:t>
            </w:r>
            <w:r w:rsidRPr="00A46BD9">
              <w:rPr>
                <w:rFonts w:ascii="Arial Narrow" w:hAnsi="Arial Narrow"/>
                <w:sz w:val="15"/>
                <w:szCs w:val="15"/>
              </w:rPr>
              <w:t xml:space="preserve">zároveň bola vyhlásená </w:t>
            </w:r>
            <w:hyperlink r:id="rId105" w:history="1">
              <w:r w:rsidRPr="00D67D1C">
                <w:rPr>
                  <w:rStyle w:val="Hypertextovprepojenie"/>
                  <w:rFonts w:ascii="Arial Narrow" w:hAnsi="Arial Narrow"/>
                  <w:sz w:val="15"/>
                  <w:szCs w:val="15"/>
                </w:rPr>
                <w:t>výzva</w:t>
              </w:r>
            </w:hyperlink>
            <w:r w:rsidRPr="00A46BD9">
              <w:rPr>
                <w:rFonts w:ascii="Arial Narrow" w:hAnsi="Arial Narrow"/>
                <w:sz w:val="15"/>
                <w:szCs w:val="15"/>
              </w:rPr>
              <w:t xml:space="preserve"> </w:t>
            </w:r>
            <w:r>
              <w:rPr>
                <w:rFonts w:ascii="Arial Narrow" w:hAnsi="Arial Narrow"/>
                <w:sz w:val="15"/>
                <w:szCs w:val="15"/>
              </w:rPr>
              <w:t>na zlepšenie podmienok</w:t>
            </w:r>
            <w:r w:rsidRPr="00A46BD9">
              <w:rPr>
                <w:rFonts w:ascii="Arial Narrow" w:hAnsi="Arial Narrow"/>
                <w:sz w:val="15"/>
                <w:szCs w:val="15"/>
              </w:rPr>
              <w:t xml:space="preserve"> pre </w:t>
            </w:r>
            <w:r>
              <w:rPr>
                <w:rFonts w:ascii="Arial Narrow" w:hAnsi="Arial Narrow"/>
                <w:sz w:val="15"/>
                <w:szCs w:val="15"/>
              </w:rPr>
              <w:t>reintegráciu detí z reedukačných centier.</w:t>
            </w:r>
            <w:r w:rsidRPr="00A46BD9">
              <w:rPr>
                <w:rFonts w:ascii="Arial Narrow" w:hAnsi="Arial Narrow"/>
                <w:sz w:val="15"/>
                <w:szCs w:val="15"/>
              </w:rPr>
              <w:t xml:space="preserve"> Dokončila sa komplexná revízia systému a personál ŠVZ získal nárok na nový </w:t>
            </w:r>
            <w:hyperlink r:id="rId106" w:history="1">
              <w:r w:rsidRPr="00A46BD9">
                <w:rPr>
                  <w:rStyle w:val="Hypertextovprepojenie"/>
                  <w:rFonts w:ascii="Arial Narrow" w:hAnsi="Arial Narrow"/>
                  <w:sz w:val="15"/>
                  <w:szCs w:val="15"/>
                </w:rPr>
                <w:t>kompenzačný príspevok</w:t>
              </w:r>
            </w:hyperlink>
            <w:r w:rsidRPr="00A46BD9">
              <w:rPr>
                <w:rFonts w:ascii="Arial Narrow" w:hAnsi="Arial Narrow"/>
                <w:sz w:val="15"/>
                <w:szCs w:val="15"/>
              </w:rPr>
              <w:t xml:space="preserve">. </w:t>
            </w:r>
            <w:hyperlink r:id="rId107" w:history="1">
              <w:r w:rsidRPr="00A46BD9">
                <w:rPr>
                  <w:rStyle w:val="Hypertextovprepojenie"/>
                  <w:rFonts w:ascii="Arial Narrow" w:hAnsi="Arial Narrow"/>
                  <w:sz w:val="15"/>
                  <w:szCs w:val="15"/>
                </w:rPr>
                <w:t>Legislatívne</w:t>
              </w:r>
            </w:hyperlink>
            <w:r w:rsidRPr="00A46BD9">
              <w:rPr>
                <w:rFonts w:ascii="Arial Narrow" w:hAnsi="Arial Narrow"/>
                <w:sz w:val="15"/>
                <w:szCs w:val="15"/>
              </w:rPr>
              <w:t xml:space="preserve"> sa </w:t>
            </w:r>
            <w:r>
              <w:rPr>
                <w:rFonts w:ascii="Arial Narrow" w:hAnsi="Arial Narrow"/>
                <w:sz w:val="15"/>
                <w:szCs w:val="15"/>
              </w:rPr>
              <w:t xml:space="preserve">zároveň </w:t>
            </w:r>
            <w:r w:rsidRPr="00A46BD9">
              <w:rPr>
                <w:rFonts w:ascii="Arial Narrow" w:hAnsi="Arial Narrow"/>
                <w:sz w:val="15"/>
                <w:szCs w:val="15"/>
              </w:rPr>
              <w:t>zaviedol nárok na platené voľno a povinný odborný výcvik.</w:t>
            </w:r>
          </w:p>
        </w:tc>
        <w:tc>
          <w:tcPr>
            <w:tcW w:w="737" w:type="dxa"/>
            <w:vAlign w:val="center"/>
          </w:tcPr>
          <w:p w14:paraId="005B1678"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41799C9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CSR.2025.6.5</w:t>
            </w:r>
          </w:p>
        </w:tc>
        <w:tc>
          <w:tcPr>
            <w:tcW w:w="850" w:type="dxa"/>
            <w:vAlign w:val="center"/>
          </w:tcPr>
          <w:p w14:paraId="7178F9A9"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Posilnenie sociálnej a hospodárskej odolnosti</w:t>
            </w:r>
          </w:p>
        </w:tc>
        <w:tc>
          <w:tcPr>
            <w:tcW w:w="567" w:type="dxa"/>
            <w:vAlign w:val="center"/>
          </w:tcPr>
          <w:p w14:paraId="490EC87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4</w:t>
            </w:r>
          </w:p>
          <w:p w14:paraId="572CA79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10</w:t>
            </w:r>
          </w:p>
          <w:p w14:paraId="67260E1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16</w:t>
            </w:r>
          </w:p>
        </w:tc>
        <w:tc>
          <w:tcPr>
            <w:tcW w:w="709" w:type="dxa"/>
            <w:vAlign w:val="center"/>
          </w:tcPr>
          <w:p w14:paraId="39F7781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1</w:t>
            </w:r>
          </w:p>
          <w:p w14:paraId="65C6441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3</w:t>
            </w:r>
          </w:p>
          <w:p w14:paraId="022E583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4</w:t>
            </w:r>
          </w:p>
        </w:tc>
        <w:tc>
          <w:tcPr>
            <w:tcW w:w="992" w:type="dxa"/>
            <w:vAlign w:val="center"/>
          </w:tcPr>
          <w:p w14:paraId="46FAB1C9"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037A0283" w14:textId="77777777" w:rsidTr="00CF3F52">
        <w:trPr>
          <w:trHeight w:val="263"/>
        </w:trPr>
        <w:tc>
          <w:tcPr>
            <w:tcW w:w="283" w:type="dxa"/>
            <w:vMerge/>
            <w:shd w:val="clear" w:color="auto" w:fill="F2CA6D"/>
            <w:vAlign w:val="center"/>
          </w:tcPr>
          <w:p w14:paraId="381EFCFA" w14:textId="77777777" w:rsidR="00AA20CF" w:rsidRPr="00A46BD9" w:rsidRDefault="00AA20CF" w:rsidP="00CF3F52">
            <w:pPr>
              <w:spacing w:line="140" w:lineRule="exact"/>
              <w:jc w:val="center"/>
              <w:rPr>
                <w:rFonts w:ascii="Arial Narrow" w:hAnsi="Arial Narrow"/>
                <w:b/>
                <w:sz w:val="16"/>
                <w:szCs w:val="16"/>
              </w:rPr>
            </w:pPr>
          </w:p>
        </w:tc>
        <w:tc>
          <w:tcPr>
            <w:tcW w:w="1247" w:type="dxa"/>
            <w:vAlign w:val="center"/>
          </w:tcPr>
          <w:p w14:paraId="17DBE488"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21:</w:t>
            </w:r>
          </w:p>
          <w:p w14:paraId="69DAE37C" w14:textId="77777777" w:rsidR="00AA20CF" w:rsidRPr="00A46BD9" w:rsidRDefault="00AA20CF" w:rsidP="00CF3F52">
            <w:pPr>
              <w:jc w:val="center"/>
              <w:rPr>
                <w:rFonts w:ascii="Arial Narrow" w:hAnsi="Arial Narrow"/>
                <w:sz w:val="15"/>
                <w:szCs w:val="15"/>
              </w:rPr>
            </w:pPr>
            <w:r w:rsidRPr="00A46BD9">
              <w:rPr>
                <w:rFonts w:ascii="Arial Narrow" w:hAnsi="Arial Narrow"/>
                <w:sz w:val="15"/>
                <w:szCs w:val="15"/>
              </w:rPr>
              <w:t>Zabezpečenie kapacít pre digitálnu transformáciu v základných školách</w:t>
            </w:r>
          </w:p>
        </w:tc>
        <w:tc>
          <w:tcPr>
            <w:tcW w:w="2693" w:type="dxa"/>
          </w:tcPr>
          <w:p w14:paraId="0D560117"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Cieľom opatrenia je zabezpečiť udržateľnosť digitálnej transformácie základných škôl stabilizáciou pozície digitálneho koordinátora a legislatívnym ukotvením správcu školskej siete.</w:t>
            </w:r>
          </w:p>
          <w:p w14:paraId="37747831" w14:textId="77777777" w:rsidR="00AA20CF" w:rsidRPr="00A46BD9" w:rsidRDefault="00AA20CF" w:rsidP="00CF3F52">
            <w:pPr>
              <w:jc w:val="both"/>
              <w:rPr>
                <w:rFonts w:ascii="Arial Narrow" w:hAnsi="Arial Narrow"/>
                <w:sz w:val="15"/>
                <w:szCs w:val="15"/>
              </w:rPr>
            </w:pPr>
          </w:p>
          <w:p w14:paraId="0A33C96B"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Pozícia školského digitálneho koordinátora je financovaná do augusta 2026 z </w:t>
            </w:r>
            <w:hyperlink r:id="rId108" w:history="1">
              <w:r w:rsidRPr="00A46BD9">
                <w:rPr>
                  <w:rStyle w:val="Hypertextovprepojenie"/>
                  <w:rFonts w:ascii="Arial Narrow" w:hAnsi="Arial Narrow"/>
                  <w:sz w:val="15"/>
                  <w:szCs w:val="15"/>
                </w:rPr>
                <w:t>národného projektu</w:t>
              </w:r>
            </w:hyperlink>
            <w:r w:rsidRPr="00A46BD9">
              <w:rPr>
                <w:rFonts w:ascii="Arial Narrow" w:hAnsi="Arial Narrow"/>
                <w:sz w:val="15"/>
                <w:szCs w:val="15"/>
              </w:rPr>
              <w:t xml:space="preserve">, pričom pokrytie úväzkov je garantované do konca roka 2026. Pripravuje sa pokračovanie financovania zo štátneho rozpočtu v súlade s Plánom zodpovedného </w:t>
            </w:r>
            <w:r w:rsidRPr="00A46BD9">
              <w:rPr>
                <w:rFonts w:ascii="Arial Narrow" w:hAnsi="Arial Narrow"/>
                <w:sz w:val="15"/>
                <w:szCs w:val="15"/>
              </w:rPr>
              <w:lastRenderedPageBreak/>
              <w:t>využívania AI. Naďalej prebieha príprava legislatívneho vymedzenia úlohy správcu školskej siete.</w:t>
            </w:r>
          </w:p>
        </w:tc>
        <w:tc>
          <w:tcPr>
            <w:tcW w:w="737" w:type="dxa"/>
            <w:vAlign w:val="center"/>
          </w:tcPr>
          <w:p w14:paraId="7FC2CAA2"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lastRenderedPageBreak/>
              <w:t>PSK</w:t>
            </w:r>
          </w:p>
        </w:tc>
        <w:tc>
          <w:tcPr>
            <w:tcW w:w="992" w:type="dxa"/>
            <w:vAlign w:val="center"/>
          </w:tcPr>
          <w:p w14:paraId="6EE4B4F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CSR.2025.4.1</w:t>
            </w:r>
          </w:p>
          <w:p w14:paraId="56FF5B58"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CSR.2025.6.4</w:t>
            </w:r>
          </w:p>
          <w:p w14:paraId="1D60234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CSR.2025.6.7</w:t>
            </w:r>
          </w:p>
          <w:p w14:paraId="0C36FCC5" w14:textId="77777777" w:rsidR="00AA20CF" w:rsidRPr="00EF7276" w:rsidRDefault="00AA20CF" w:rsidP="00CF3F52">
            <w:pPr>
              <w:jc w:val="center"/>
              <w:rPr>
                <w:rFonts w:ascii="Arial Narrow" w:hAnsi="Arial Narrow"/>
                <w:sz w:val="12"/>
                <w:szCs w:val="12"/>
              </w:rPr>
            </w:pPr>
          </w:p>
          <w:p w14:paraId="348BC318" w14:textId="77777777" w:rsidR="00AA20CF" w:rsidRPr="00EF7276" w:rsidRDefault="00AA20CF" w:rsidP="00CF3F52">
            <w:pPr>
              <w:jc w:val="center"/>
              <w:rPr>
                <w:rFonts w:ascii="Arial Narrow" w:hAnsi="Arial Narrow"/>
                <w:sz w:val="12"/>
                <w:szCs w:val="12"/>
              </w:rPr>
            </w:pPr>
          </w:p>
        </w:tc>
        <w:tc>
          <w:tcPr>
            <w:tcW w:w="850" w:type="dxa"/>
            <w:vAlign w:val="center"/>
          </w:tcPr>
          <w:p w14:paraId="70C84C0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Spravodlivá digitálna transformácia</w:t>
            </w:r>
          </w:p>
        </w:tc>
        <w:tc>
          <w:tcPr>
            <w:tcW w:w="567" w:type="dxa"/>
            <w:vAlign w:val="center"/>
          </w:tcPr>
          <w:p w14:paraId="4F19A05A"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4</w:t>
            </w:r>
          </w:p>
        </w:tc>
        <w:tc>
          <w:tcPr>
            <w:tcW w:w="709" w:type="dxa"/>
            <w:vAlign w:val="center"/>
          </w:tcPr>
          <w:p w14:paraId="2529879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1</w:t>
            </w:r>
          </w:p>
          <w:p w14:paraId="454499F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20</w:t>
            </w:r>
          </w:p>
        </w:tc>
        <w:tc>
          <w:tcPr>
            <w:tcW w:w="992" w:type="dxa"/>
            <w:vAlign w:val="center"/>
          </w:tcPr>
          <w:p w14:paraId="73D3128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37FF81EF" w14:textId="77777777" w:rsidTr="00CF3F52">
        <w:trPr>
          <w:trHeight w:val="263"/>
        </w:trPr>
        <w:tc>
          <w:tcPr>
            <w:tcW w:w="283" w:type="dxa"/>
            <w:vMerge/>
            <w:shd w:val="clear" w:color="auto" w:fill="F2CA6D"/>
            <w:vAlign w:val="center"/>
          </w:tcPr>
          <w:p w14:paraId="7ABF03AC" w14:textId="77777777" w:rsidR="00AA20CF" w:rsidRPr="00A46BD9" w:rsidRDefault="00AA20CF" w:rsidP="00CF3F52">
            <w:pPr>
              <w:spacing w:line="140" w:lineRule="exact"/>
              <w:jc w:val="center"/>
              <w:rPr>
                <w:rFonts w:ascii="Arial Narrow" w:hAnsi="Arial Narrow"/>
                <w:b/>
                <w:sz w:val="16"/>
                <w:szCs w:val="16"/>
              </w:rPr>
            </w:pPr>
          </w:p>
        </w:tc>
        <w:tc>
          <w:tcPr>
            <w:tcW w:w="1247" w:type="dxa"/>
            <w:vAlign w:val="center"/>
          </w:tcPr>
          <w:p w14:paraId="0CFCE482"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Investícia 15:</w:t>
            </w:r>
          </w:p>
          <w:p w14:paraId="5CD70EFD" w14:textId="77777777" w:rsidR="00AA20CF" w:rsidRPr="00A46BD9" w:rsidRDefault="00AA20CF" w:rsidP="00CF3F52">
            <w:pPr>
              <w:jc w:val="center"/>
              <w:rPr>
                <w:rFonts w:ascii="Arial Narrow" w:hAnsi="Arial Narrow"/>
                <w:b/>
                <w:sz w:val="15"/>
                <w:szCs w:val="15"/>
              </w:rPr>
            </w:pPr>
            <w:r w:rsidRPr="00A46BD9">
              <w:rPr>
                <w:rFonts w:ascii="Arial Narrow" w:hAnsi="Arial Narrow"/>
                <w:sz w:val="15"/>
                <w:szCs w:val="15"/>
              </w:rPr>
              <w:t>Budovanie digitálnej infraštruktúry škôl</w:t>
            </w:r>
          </w:p>
        </w:tc>
        <w:tc>
          <w:tcPr>
            <w:tcW w:w="2693" w:type="dxa"/>
          </w:tcPr>
          <w:p w14:paraId="4166EFDA"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Cieľom je vybudovať modernú digitálnu infraštruktúru na školách vrátane jej prevádzky a centrálneho riadenia, a to prostredníctvom inštalácie školských sietí prepojených na národný centrálny uzol</w:t>
            </w:r>
            <w:r>
              <w:rPr>
                <w:rFonts w:ascii="Arial Narrow" w:hAnsi="Arial Narrow"/>
                <w:sz w:val="15"/>
                <w:szCs w:val="15"/>
              </w:rPr>
              <w:t xml:space="preserve"> (NCU)</w:t>
            </w:r>
            <w:r w:rsidRPr="00A46BD9">
              <w:rPr>
                <w:rFonts w:ascii="Arial Narrow" w:hAnsi="Arial Narrow"/>
                <w:sz w:val="15"/>
                <w:szCs w:val="15"/>
              </w:rPr>
              <w:t xml:space="preserve"> pre správu a bezpečnosť celej siete.</w:t>
            </w:r>
          </w:p>
          <w:p w14:paraId="250C6646" w14:textId="77777777" w:rsidR="00AA20CF" w:rsidRPr="00A46BD9" w:rsidRDefault="00AA20CF" w:rsidP="00CF3F52">
            <w:pPr>
              <w:jc w:val="both"/>
              <w:rPr>
                <w:rFonts w:ascii="Arial Narrow" w:hAnsi="Arial Narrow"/>
                <w:sz w:val="15"/>
                <w:szCs w:val="15"/>
              </w:rPr>
            </w:pPr>
          </w:p>
          <w:p w14:paraId="67BC4A5E" w14:textId="77777777" w:rsidR="00AA20CF" w:rsidRPr="00A46BD9" w:rsidRDefault="00AA20CF" w:rsidP="00CF3F52">
            <w:pPr>
              <w:jc w:val="both"/>
              <w:rPr>
                <w:rFonts w:ascii="Arial Narrow" w:hAnsi="Arial Narrow"/>
                <w:sz w:val="15"/>
                <w:szCs w:val="15"/>
              </w:rPr>
            </w:pPr>
            <w:hyperlink r:id="rId109" w:history="1">
              <w:r w:rsidRPr="00A46BD9">
                <w:rPr>
                  <w:rStyle w:val="Hypertextovprepojenie"/>
                  <w:rFonts w:ascii="Arial Narrow" w:hAnsi="Arial Narrow"/>
                  <w:sz w:val="15"/>
                  <w:szCs w:val="15"/>
                </w:rPr>
                <w:t>Investície</w:t>
              </w:r>
            </w:hyperlink>
            <w:r w:rsidRPr="00A46BD9">
              <w:rPr>
                <w:rFonts w:ascii="Arial Narrow" w:hAnsi="Arial Narrow"/>
                <w:sz w:val="15"/>
                <w:szCs w:val="15"/>
              </w:rPr>
              <w:t xml:space="preserve"> (cez 100 mil. eur) sú </w:t>
            </w:r>
            <w:r>
              <w:rPr>
                <w:rFonts w:ascii="Arial Narrow" w:hAnsi="Arial Narrow"/>
                <w:sz w:val="15"/>
                <w:szCs w:val="15"/>
              </w:rPr>
              <w:t>financované</w:t>
            </w:r>
            <w:r w:rsidRPr="00A46BD9">
              <w:rPr>
                <w:rFonts w:ascii="Arial Narrow" w:hAnsi="Arial Narrow"/>
                <w:sz w:val="15"/>
                <w:szCs w:val="15"/>
              </w:rPr>
              <w:t xml:space="preserve"> z európskych zdrojov a štátneho rozpočtu, </w:t>
            </w:r>
            <w:r w:rsidRPr="00384567">
              <w:rPr>
                <w:rFonts w:ascii="Arial Narrow" w:hAnsi="Arial Narrow"/>
                <w:sz w:val="15"/>
                <w:szCs w:val="15"/>
              </w:rPr>
              <w:t>pričom prevádzka je zabezpečená najmenej na päť rokov</w:t>
            </w:r>
            <w:r w:rsidRPr="00A46BD9">
              <w:rPr>
                <w:rFonts w:ascii="Arial Narrow" w:hAnsi="Arial Narrow"/>
                <w:sz w:val="15"/>
                <w:szCs w:val="15"/>
              </w:rPr>
              <w:t>. K 24. februáru 2026 bolo dokončených 30 % inštalácií digitálnej infraštruktúry a pripojenia škôl na NCÚ,</w:t>
            </w:r>
            <w:r>
              <w:rPr>
                <w:rFonts w:ascii="Arial Narrow" w:hAnsi="Arial Narrow"/>
                <w:sz w:val="15"/>
                <w:szCs w:val="15"/>
              </w:rPr>
              <w:t xml:space="preserve"> pričom</w:t>
            </w:r>
            <w:r w:rsidRPr="00A46BD9">
              <w:rPr>
                <w:rFonts w:ascii="Arial Narrow" w:hAnsi="Arial Narrow"/>
                <w:sz w:val="15"/>
                <w:szCs w:val="15"/>
              </w:rPr>
              <w:t xml:space="preserve"> súbežne sa buduje NCÚ </w:t>
            </w:r>
            <w:r>
              <w:rPr>
                <w:rFonts w:ascii="Arial Narrow" w:hAnsi="Arial Narrow"/>
                <w:sz w:val="15"/>
                <w:szCs w:val="15"/>
              </w:rPr>
              <w:t>na</w:t>
            </w:r>
            <w:r w:rsidRPr="00A46BD9">
              <w:rPr>
                <w:rFonts w:ascii="Arial Narrow" w:hAnsi="Arial Narrow"/>
                <w:sz w:val="15"/>
                <w:szCs w:val="15"/>
              </w:rPr>
              <w:t xml:space="preserve"> centralizovanú správu a zabezpečenie siete. Prioritou je dokončenie základného štandardu DigiEdu, následne</w:t>
            </w:r>
            <w:r>
              <w:rPr>
                <w:rFonts w:ascii="Arial Narrow" w:hAnsi="Arial Narrow"/>
                <w:sz w:val="15"/>
                <w:szCs w:val="15"/>
              </w:rPr>
              <w:t xml:space="preserve"> </w:t>
            </w:r>
            <w:r w:rsidRPr="00A46BD9">
              <w:rPr>
                <w:rFonts w:ascii="Arial Narrow" w:hAnsi="Arial Narrow"/>
                <w:sz w:val="15"/>
                <w:szCs w:val="15"/>
              </w:rPr>
              <w:t>budú realizova</w:t>
            </w:r>
            <w:r>
              <w:rPr>
                <w:rFonts w:ascii="Arial Narrow" w:hAnsi="Arial Narrow"/>
                <w:sz w:val="15"/>
                <w:szCs w:val="15"/>
              </w:rPr>
              <w:t>né</w:t>
            </w:r>
            <w:r w:rsidRPr="00A46BD9">
              <w:rPr>
                <w:rFonts w:ascii="Arial Narrow" w:hAnsi="Arial Narrow"/>
                <w:sz w:val="15"/>
                <w:szCs w:val="15"/>
              </w:rPr>
              <w:t xml:space="preserve"> vyššie štandardy a rozširovanie konceptu na všetky úrovne vzdelávania.</w:t>
            </w:r>
          </w:p>
        </w:tc>
        <w:tc>
          <w:tcPr>
            <w:tcW w:w="737" w:type="dxa"/>
            <w:vAlign w:val="center"/>
          </w:tcPr>
          <w:p w14:paraId="3D7DE82B"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POO/PSK</w:t>
            </w:r>
          </w:p>
        </w:tc>
        <w:tc>
          <w:tcPr>
            <w:tcW w:w="992" w:type="dxa"/>
            <w:vAlign w:val="center"/>
          </w:tcPr>
          <w:p w14:paraId="2240824E"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br/>
              <w:t>CSR.2025.4.1</w:t>
            </w:r>
          </w:p>
          <w:p w14:paraId="1FD3A528"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CSR.2025.6.4</w:t>
            </w:r>
          </w:p>
        </w:tc>
        <w:tc>
          <w:tcPr>
            <w:tcW w:w="850" w:type="dxa"/>
            <w:vAlign w:val="center"/>
          </w:tcPr>
          <w:p w14:paraId="1573B990" w14:textId="77777777" w:rsidR="00AA20CF" w:rsidRPr="00EF7276" w:rsidRDefault="00AA20CF" w:rsidP="00CF3F52">
            <w:pPr>
              <w:pStyle w:val="Default"/>
              <w:jc w:val="center"/>
              <w:rPr>
                <w:rFonts w:ascii="Arial Narrow" w:hAnsi="Arial Narrow"/>
                <w:sz w:val="12"/>
                <w:szCs w:val="12"/>
              </w:rPr>
            </w:pPr>
            <w:r w:rsidRPr="00EF7276">
              <w:rPr>
                <w:rFonts w:ascii="Arial Narrow" w:hAnsi="Arial Narrow"/>
                <w:sz w:val="12"/>
                <w:szCs w:val="12"/>
              </w:rPr>
              <w:t>Spravodlivá digitálna transformácia; Posilnenie sociálnej a hospodárskej odolnosti</w:t>
            </w:r>
          </w:p>
          <w:p w14:paraId="13A28E79" w14:textId="77777777" w:rsidR="00AA20CF" w:rsidRPr="00EF7276" w:rsidRDefault="00AA20CF" w:rsidP="00CF3F52">
            <w:pPr>
              <w:jc w:val="center"/>
              <w:rPr>
                <w:rFonts w:ascii="Arial Narrow" w:hAnsi="Arial Narrow"/>
                <w:sz w:val="12"/>
                <w:szCs w:val="12"/>
              </w:rPr>
            </w:pPr>
          </w:p>
        </w:tc>
        <w:tc>
          <w:tcPr>
            <w:tcW w:w="567" w:type="dxa"/>
            <w:vAlign w:val="center"/>
          </w:tcPr>
          <w:p w14:paraId="5E408488"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4</w:t>
            </w:r>
          </w:p>
          <w:p w14:paraId="6C2947AB"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tc>
        <w:tc>
          <w:tcPr>
            <w:tcW w:w="709" w:type="dxa"/>
            <w:vAlign w:val="center"/>
          </w:tcPr>
          <w:p w14:paraId="06AF6B6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1</w:t>
            </w:r>
          </w:p>
        </w:tc>
        <w:tc>
          <w:tcPr>
            <w:tcW w:w="992" w:type="dxa"/>
            <w:vAlign w:val="center"/>
          </w:tcPr>
          <w:p w14:paraId="12B800B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6EF5DF82" w14:textId="77777777" w:rsidTr="00CF3F52">
        <w:trPr>
          <w:trHeight w:val="263"/>
        </w:trPr>
        <w:tc>
          <w:tcPr>
            <w:tcW w:w="283" w:type="dxa"/>
            <w:vMerge/>
            <w:shd w:val="clear" w:color="auto" w:fill="F2CA6D"/>
            <w:vAlign w:val="center"/>
          </w:tcPr>
          <w:p w14:paraId="60287C6C" w14:textId="77777777" w:rsidR="00AA20CF" w:rsidRPr="00A46BD9" w:rsidRDefault="00AA20CF" w:rsidP="00CF3F52">
            <w:pPr>
              <w:spacing w:line="140" w:lineRule="exact"/>
              <w:jc w:val="center"/>
              <w:rPr>
                <w:rFonts w:ascii="Arial Narrow" w:hAnsi="Arial Narrow"/>
                <w:b/>
                <w:sz w:val="16"/>
                <w:szCs w:val="16"/>
              </w:rPr>
            </w:pPr>
          </w:p>
        </w:tc>
        <w:tc>
          <w:tcPr>
            <w:tcW w:w="1247" w:type="dxa"/>
            <w:vAlign w:val="center"/>
          </w:tcPr>
          <w:p w14:paraId="0C3A29D5"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19:</w:t>
            </w:r>
          </w:p>
          <w:p w14:paraId="2E6387C1" w14:textId="77777777" w:rsidR="00AA20CF" w:rsidRPr="00A46BD9" w:rsidRDefault="00AA20CF" w:rsidP="00CF3F52">
            <w:pPr>
              <w:jc w:val="center"/>
              <w:rPr>
                <w:rFonts w:ascii="Arial Narrow" w:hAnsi="Arial Narrow"/>
                <w:b/>
                <w:sz w:val="15"/>
                <w:szCs w:val="15"/>
              </w:rPr>
            </w:pPr>
            <w:r w:rsidRPr="00A46BD9">
              <w:rPr>
                <w:rFonts w:ascii="Arial Narrow" w:hAnsi="Arial Narrow"/>
                <w:sz w:val="15"/>
                <w:szCs w:val="15"/>
              </w:rPr>
              <w:t>Akčný plán informatizácie a digitálnej transformácie vzdelávania v SR na obdobie 2025 – 2027</w:t>
            </w:r>
          </w:p>
        </w:tc>
        <w:tc>
          <w:tcPr>
            <w:tcW w:w="2693" w:type="dxa"/>
          </w:tcPr>
          <w:p w14:paraId="3B5BB382"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Cieľom Akčného plánu je modernizácia slovenského školstva prostredníctvom systematickej digitalizácie vzdelávacieho prostredia. Plán nadväzuje na </w:t>
            </w:r>
            <w:hyperlink r:id="rId110" w:history="1">
              <w:r w:rsidRPr="00A46BD9">
                <w:rPr>
                  <w:rStyle w:val="Hypertextovprepojenie"/>
                  <w:rFonts w:ascii="Arial Narrow" w:hAnsi="Arial Narrow"/>
                  <w:sz w:val="15"/>
                  <w:szCs w:val="15"/>
                </w:rPr>
                <w:t>Program informatizácie školstva do roku 2030</w:t>
              </w:r>
            </w:hyperlink>
            <w:r w:rsidRPr="00A46BD9">
              <w:rPr>
                <w:rFonts w:ascii="Arial Narrow" w:hAnsi="Arial Narrow"/>
                <w:sz w:val="15"/>
                <w:szCs w:val="15"/>
              </w:rPr>
              <w:t xml:space="preserve"> a je súčasťou širšej </w:t>
            </w:r>
            <w:hyperlink r:id="rId111" w:history="1">
              <w:r w:rsidRPr="00A46BD9">
                <w:rPr>
                  <w:rStyle w:val="Hypertextovprepojenie"/>
                  <w:rFonts w:ascii="Arial Narrow" w:hAnsi="Arial Narrow"/>
                  <w:sz w:val="15"/>
                  <w:szCs w:val="15"/>
                </w:rPr>
                <w:t>Stratégie digitálnej transformácie Slovenska do roku 2030</w:t>
              </w:r>
            </w:hyperlink>
            <w:r w:rsidRPr="00A46BD9">
              <w:rPr>
                <w:rFonts w:ascii="Arial Narrow" w:hAnsi="Arial Narrow"/>
                <w:sz w:val="15"/>
                <w:szCs w:val="15"/>
              </w:rPr>
              <w:t xml:space="preserve">. Zameriava sa na zavedenie jednotných štandardov digitálneho vybavenia pre všetky úrovne škôl. Zároveň podporuje tvorbu udržateľných plánov digitalizácie, rozvoj digitálnych zručností žiakov a učiteľov, </w:t>
            </w:r>
            <w:r>
              <w:rPr>
                <w:rFonts w:ascii="Arial Narrow" w:hAnsi="Arial Narrow"/>
                <w:sz w:val="15"/>
                <w:szCs w:val="15"/>
              </w:rPr>
              <w:t>využívanie</w:t>
            </w:r>
            <w:r w:rsidRPr="00A46BD9">
              <w:rPr>
                <w:rFonts w:ascii="Arial Narrow" w:hAnsi="Arial Narrow"/>
                <w:sz w:val="15"/>
                <w:szCs w:val="15"/>
              </w:rPr>
              <w:t xml:space="preserve"> asistenčných technológií a zabezpečenie prístupnosti elektronických výstupov. </w:t>
            </w:r>
          </w:p>
          <w:p w14:paraId="48024523" w14:textId="77777777" w:rsidR="00AA20CF" w:rsidRPr="00A46BD9" w:rsidRDefault="00AA20CF" w:rsidP="00CF3F52">
            <w:pPr>
              <w:jc w:val="both"/>
              <w:rPr>
                <w:rFonts w:ascii="Arial Narrow" w:hAnsi="Arial Narrow"/>
                <w:sz w:val="15"/>
                <w:szCs w:val="15"/>
              </w:rPr>
            </w:pPr>
          </w:p>
          <w:p w14:paraId="1A23316D" w14:textId="77777777" w:rsidR="00AA20CF" w:rsidRPr="00A46BD9" w:rsidRDefault="00AA20CF" w:rsidP="00CF3F52">
            <w:pPr>
              <w:jc w:val="both"/>
              <w:rPr>
                <w:rFonts w:ascii="Arial Narrow" w:hAnsi="Arial Narrow"/>
                <w:sz w:val="15"/>
                <w:szCs w:val="15"/>
              </w:rPr>
            </w:pPr>
            <w:hyperlink r:id="rId112" w:history="1">
              <w:r w:rsidRPr="00A46BD9">
                <w:rPr>
                  <w:rStyle w:val="Hypertextovprepojenie"/>
                  <w:rFonts w:ascii="Arial Narrow" w:hAnsi="Arial Narrow"/>
                  <w:sz w:val="15"/>
                  <w:szCs w:val="15"/>
                </w:rPr>
                <w:t>Akčný plán</w:t>
              </w:r>
            </w:hyperlink>
            <w:r w:rsidRPr="00A46BD9">
              <w:rPr>
                <w:rFonts w:ascii="Arial Narrow" w:hAnsi="Arial Narrow"/>
                <w:sz w:val="15"/>
                <w:szCs w:val="15"/>
              </w:rPr>
              <w:t xml:space="preserve"> bol zverejnený  15. januára 2025</w:t>
            </w:r>
            <w:r>
              <w:rPr>
                <w:rFonts w:ascii="Arial Narrow" w:hAnsi="Arial Narrow"/>
                <w:sz w:val="15"/>
                <w:szCs w:val="15"/>
              </w:rPr>
              <w:t xml:space="preserve"> a </w:t>
            </w:r>
            <w:r w:rsidRPr="00A46BD9">
              <w:rPr>
                <w:rFonts w:ascii="Arial Narrow" w:hAnsi="Arial Narrow"/>
                <w:sz w:val="15"/>
                <w:szCs w:val="15"/>
              </w:rPr>
              <w:t>realizácia</w:t>
            </w:r>
            <w:r>
              <w:rPr>
                <w:rFonts w:ascii="Arial Narrow" w:hAnsi="Arial Narrow"/>
                <w:sz w:val="15"/>
                <w:szCs w:val="15"/>
              </w:rPr>
              <w:t xml:space="preserve"> </w:t>
            </w:r>
            <w:r w:rsidRPr="00A46BD9">
              <w:rPr>
                <w:rFonts w:ascii="Arial Narrow" w:hAnsi="Arial Narrow"/>
                <w:sz w:val="15"/>
                <w:szCs w:val="15"/>
              </w:rPr>
              <w:t>opatrení sa začala v 1. štvrťrok</w:t>
            </w:r>
            <w:r>
              <w:rPr>
                <w:rFonts w:ascii="Arial Narrow" w:hAnsi="Arial Narrow"/>
                <w:sz w:val="15"/>
                <w:szCs w:val="15"/>
              </w:rPr>
              <w:t>u</w:t>
            </w:r>
            <w:r w:rsidRPr="00A46BD9">
              <w:rPr>
                <w:rFonts w:ascii="Arial Narrow" w:hAnsi="Arial Narrow"/>
                <w:sz w:val="15"/>
                <w:szCs w:val="15"/>
              </w:rPr>
              <w:t xml:space="preserve"> 2025. Aktuálne prebieha príprava štandardov digitálneho vybavenia a plánovanie projektov na modernizáciu školskej infraštruktúry. Sú</w:t>
            </w:r>
            <w:r>
              <w:rPr>
                <w:rFonts w:ascii="Arial Narrow" w:hAnsi="Arial Narrow"/>
                <w:sz w:val="15"/>
                <w:szCs w:val="15"/>
              </w:rPr>
              <w:t>bežne</w:t>
            </w:r>
            <w:r w:rsidRPr="00A46BD9">
              <w:rPr>
                <w:rFonts w:ascii="Arial Narrow" w:hAnsi="Arial Narrow"/>
                <w:sz w:val="15"/>
                <w:szCs w:val="15"/>
              </w:rPr>
              <w:t xml:space="preserve"> sa pripravujú metodické a vzdelávacie aktivity</w:t>
            </w:r>
            <w:r>
              <w:rPr>
                <w:rFonts w:ascii="Arial Narrow" w:hAnsi="Arial Narrow"/>
                <w:sz w:val="15"/>
                <w:szCs w:val="15"/>
              </w:rPr>
              <w:t xml:space="preserve"> </w:t>
            </w:r>
            <w:r w:rsidRPr="00A46BD9">
              <w:rPr>
                <w:rFonts w:ascii="Arial Narrow" w:hAnsi="Arial Narrow"/>
                <w:sz w:val="15"/>
                <w:szCs w:val="15"/>
              </w:rPr>
              <w:t>vrátane pilotnej podpory digitálnych koordinátorov a zverejňovania digitálnych vzdelávacích materiálov.</w:t>
            </w:r>
          </w:p>
        </w:tc>
        <w:tc>
          <w:tcPr>
            <w:tcW w:w="737" w:type="dxa"/>
            <w:vAlign w:val="center"/>
          </w:tcPr>
          <w:p w14:paraId="532BD0A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PSK</w:t>
            </w:r>
          </w:p>
          <w:p w14:paraId="52F171E3" w14:textId="77777777" w:rsidR="00AA20CF" w:rsidRPr="00EF7276" w:rsidRDefault="00AA20CF" w:rsidP="00CF3F52">
            <w:pPr>
              <w:tabs>
                <w:tab w:val="left" w:pos="1306"/>
              </w:tabs>
              <w:jc w:val="center"/>
              <w:rPr>
                <w:rFonts w:ascii="Arial Narrow" w:hAnsi="Arial Narrow"/>
                <w:sz w:val="12"/>
                <w:szCs w:val="12"/>
              </w:rPr>
            </w:pPr>
          </w:p>
        </w:tc>
        <w:tc>
          <w:tcPr>
            <w:tcW w:w="992" w:type="dxa"/>
            <w:vAlign w:val="center"/>
          </w:tcPr>
          <w:p w14:paraId="13AAE0AB"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CSR.2025.4.1</w:t>
            </w:r>
          </w:p>
          <w:p w14:paraId="1D79B36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CSR.2025.4.3</w:t>
            </w:r>
          </w:p>
          <w:p w14:paraId="60E326A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CSR.2025.6.4</w:t>
            </w:r>
          </w:p>
          <w:p w14:paraId="054E475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CSR.2025.6.7</w:t>
            </w:r>
          </w:p>
        </w:tc>
        <w:tc>
          <w:tcPr>
            <w:tcW w:w="850" w:type="dxa"/>
            <w:vAlign w:val="center"/>
          </w:tcPr>
          <w:p w14:paraId="271354FB"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Spravodlivá digitálna transformácia; Posilnenie sociálnej a hospodárskej odolnosti</w:t>
            </w:r>
          </w:p>
          <w:p w14:paraId="2BAFF781" w14:textId="77777777" w:rsidR="00AA20CF" w:rsidRPr="00EF7276" w:rsidRDefault="00AA20CF" w:rsidP="00CF3F52">
            <w:pPr>
              <w:jc w:val="center"/>
              <w:rPr>
                <w:rFonts w:ascii="Arial Narrow" w:hAnsi="Arial Narrow"/>
                <w:sz w:val="12"/>
                <w:szCs w:val="12"/>
              </w:rPr>
            </w:pPr>
          </w:p>
        </w:tc>
        <w:tc>
          <w:tcPr>
            <w:tcW w:w="567" w:type="dxa"/>
            <w:vAlign w:val="center"/>
          </w:tcPr>
          <w:p w14:paraId="18B6CCE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4</w:t>
            </w:r>
          </w:p>
          <w:p w14:paraId="37E0A1B9"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10</w:t>
            </w:r>
          </w:p>
        </w:tc>
        <w:tc>
          <w:tcPr>
            <w:tcW w:w="709" w:type="dxa"/>
            <w:vAlign w:val="center"/>
          </w:tcPr>
          <w:p w14:paraId="3FA9193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1</w:t>
            </w:r>
          </w:p>
          <w:p w14:paraId="55381E4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3</w:t>
            </w:r>
          </w:p>
          <w:p w14:paraId="64ED78F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20</w:t>
            </w:r>
          </w:p>
        </w:tc>
        <w:tc>
          <w:tcPr>
            <w:tcW w:w="992" w:type="dxa"/>
            <w:vAlign w:val="center"/>
          </w:tcPr>
          <w:p w14:paraId="0546249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1E1A1B08" w14:textId="77777777" w:rsidTr="00CF3F52">
        <w:trPr>
          <w:trHeight w:val="263"/>
        </w:trPr>
        <w:tc>
          <w:tcPr>
            <w:tcW w:w="283" w:type="dxa"/>
            <w:vMerge/>
            <w:shd w:val="clear" w:color="auto" w:fill="F2CA6D"/>
            <w:vAlign w:val="center"/>
          </w:tcPr>
          <w:p w14:paraId="698C82B3" w14:textId="77777777" w:rsidR="00AA20CF" w:rsidRPr="00A46BD9" w:rsidRDefault="00AA20CF" w:rsidP="00CF3F52">
            <w:pPr>
              <w:spacing w:line="140" w:lineRule="exact"/>
              <w:jc w:val="center"/>
              <w:rPr>
                <w:rFonts w:ascii="Arial Narrow" w:hAnsi="Arial Narrow"/>
                <w:b/>
                <w:sz w:val="16"/>
                <w:szCs w:val="16"/>
              </w:rPr>
            </w:pPr>
          </w:p>
        </w:tc>
        <w:tc>
          <w:tcPr>
            <w:tcW w:w="1247" w:type="dxa"/>
            <w:vAlign w:val="center"/>
          </w:tcPr>
          <w:p w14:paraId="4E7EEC43"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20:</w:t>
            </w:r>
          </w:p>
          <w:p w14:paraId="763A9B01" w14:textId="77777777" w:rsidR="00AA20CF" w:rsidRPr="00A46BD9" w:rsidRDefault="00AA20CF" w:rsidP="00CF3F52">
            <w:pPr>
              <w:jc w:val="center"/>
              <w:rPr>
                <w:rFonts w:ascii="Arial Narrow" w:hAnsi="Arial Narrow"/>
                <w:b/>
                <w:sz w:val="15"/>
                <w:szCs w:val="15"/>
              </w:rPr>
            </w:pPr>
            <w:r w:rsidRPr="00A46BD9">
              <w:rPr>
                <w:rFonts w:ascii="Arial Narrow" w:hAnsi="Arial Narrow"/>
                <w:sz w:val="15"/>
                <w:szCs w:val="15"/>
              </w:rPr>
              <w:t>Podpora inovácií vo vzdelávaní</w:t>
            </w:r>
          </w:p>
        </w:tc>
        <w:tc>
          <w:tcPr>
            <w:tcW w:w="2693" w:type="dxa"/>
          </w:tcPr>
          <w:p w14:paraId="41597F4E"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Cieľom je rozšíriť overené inovatívne vzdelávacie prístupy do škôl cez stabilný mechanizmus spolupráce so strategickými partnermi a financovanie ich systematick</w:t>
            </w:r>
            <w:r>
              <w:rPr>
                <w:rFonts w:ascii="Arial Narrow" w:hAnsi="Arial Narrow"/>
                <w:sz w:val="15"/>
                <w:szCs w:val="15"/>
              </w:rPr>
              <w:t>ej</w:t>
            </w:r>
            <w:r w:rsidRPr="00A46BD9">
              <w:rPr>
                <w:rFonts w:ascii="Arial Narrow" w:hAnsi="Arial Narrow"/>
                <w:sz w:val="15"/>
                <w:szCs w:val="15"/>
              </w:rPr>
              <w:t xml:space="preserve"> implementáci</w:t>
            </w:r>
            <w:r>
              <w:rPr>
                <w:rFonts w:ascii="Arial Narrow" w:hAnsi="Arial Narrow"/>
                <w:sz w:val="15"/>
                <w:szCs w:val="15"/>
              </w:rPr>
              <w:t>e</w:t>
            </w:r>
            <w:r w:rsidRPr="00A46BD9">
              <w:rPr>
                <w:rFonts w:ascii="Arial Narrow" w:hAnsi="Arial Narrow"/>
                <w:sz w:val="15"/>
                <w:szCs w:val="15"/>
              </w:rPr>
              <w:t>.</w:t>
            </w:r>
          </w:p>
          <w:p w14:paraId="2175BC9D" w14:textId="77777777" w:rsidR="00AA20CF" w:rsidRPr="00A46BD9" w:rsidRDefault="00AA20CF" w:rsidP="00CF3F52">
            <w:pPr>
              <w:jc w:val="both"/>
              <w:rPr>
                <w:rFonts w:ascii="Arial Narrow" w:hAnsi="Arial Narrow"/>
                <w:sz w:val="15"/>
                <w:szCs w:val="15"/>
              </w:rPr>
            </w:pPr>
          </w:p>
          <w:p w14:paraId="3CD18E61"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V rokoch 2023 a 2024 boli realizované dodatočné výzvy (</w:t>
            </w:r>
            <w:hyperlink r:id="rId113" w:history="1">
              <w:r w:rsidRPr="00A46BD9">
                <w:rPr>
                  <w:rStyle w:val="Hypertextovprepojenie"/>
                  <w:rFonts w:ascii="Arial Narrow" w:hAnsi="Arial Narrow"/>
                  <w:sz w:val="15"/>
                  <w:szCs w:val="15"/>
                </w:rPr>
                <w:t>950 tis. eur v roku 2023</w:t>
              </w:r>
            </w:hyperlink>
            <w:r w:rsidRPr="00A46BD9">
              <w:rPr>
                <w:rFonts w:ascii="Arial Narrow" w:hAnsi="Arial Narrow"/>
                <w:sz w:val="15"/>
                <w:szCs w:val="15"/>
              </w:rPr>
              <w:t xml:space="preserve"> a </w:t>
            </w:r>
            <w:hyperlink r:id="rId114" w:history="1">
              <w:r w:rsidRPr="00A46BD9">
                <w:rPr>
                  <w:rStyle w:val="Hypertextovprepojenie"/>
                  <w:rFonts w:ascii="Arial Narrow" w:hAnsi="Arial Narrow"/>
                  <w:sz w:val="15"/>
                  <w:szCs w:val="15"/>
                </w:rPr>
                <w:t>1,4 mil. eur v roku 2024</w:t>
              </w:r>
            </w:hyperlink>
            <w:r w:rsidRPr="00A46BD9">
              <w:rPr>
                <w:rFonts w:ascii="Arial Narrow" w:hAnsi="Arial Narrow"/>
                <w:sz w:val="15"/>
                <w:szCs w:val="15"/>
              </w:rPr>
              <w:t xml:space="preserve">). Vo februári 2026 bola schválená </w:t>
            </w:r>
            <w:hyperlink r:id="rId115" w:history="1">
              <w:r w:rsidRPr="00A17E7A">
                <w:rPr>
                  <w:rStyle w:val="Hypertextovprepojenie"/>
                  <w:rFonts w:ascii="Arial Narrow" w:hAnsi="Arial Narrow"/>
                  <w:sz w:val="15"/>
                  <w:szCs w:val="15"/>
                </w:rPr>
                <w:t>smernica o podpore inovácií vo výchove a vzdelávaní</w:t>
              </w:r>
            </w:hyperlink>
            <w:r w:rsidRPr="00A46BD9">
              <w:rPr>
                <w:rFonts w:ascii="Arial Narrow" w:hAnsi="Arial Narrow"/>
                <w:sz w:val="15"/>
                <w:szCs w:val="15"/>
              </w:rPr>
              <w:t xml:space="preserve">, ktorá nahrádza pôvodný koncept memoránd so strategickými partnermi a vytvára systematický rámec pre podporu inovatívnych prístupov v školách. </w:t>
            </w:r>
            <w:r w:rsidRPr="004725CD">
              <w:rPr>
                <w:rFonts w:ascii="Arial Narrow" w:hAnsi="Arial Narrow"/>
                <w:sz w:val="15"/>
                <w:szCs w:val="15"/>
              </w:rPr>
              <w:t>MŠVVM SR</w:t>
            </w:r>
            <w:r w:rsidRPr="00A46BD9">
              <w:rPr>
                <w:rFonts w:ascii="Arial Narrow" w:hAnsi="Arial Narrow"/>
                <w:sz w:val="15"/>
                <w:szCs w:val="15"/>
              </w:rPr>
              <w:t xml:space="preserve"> vyhlási výzvu na zápis do zoznamu v 1. štvrťroku 2026 a finančnú výzvu pre zapísané subjekty v 2. štvrťroku 2026.</w:t>
            </w:r>
          </w:p>
        </w:tc>
        <w:tc>
          <w:tcPr>
            <w:tcW w:w="737" w:type="dxa"/>
            <w:vAlign w:val="center"/>
          </w:tcPr>
          <w:p w14:paraId="4E4FF3AF"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6C444F3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CSR.2025.3.6</w:t>
            </w:r>
          </w:p>
          <w:p w14:paraId="13A1197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CSR.2025.6.4</w:t>
            </w:r>
          </w:p>
          <w:p w14:paraId="265A2A78"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CSR.2025.6.5</w:t>
            </w:r>
          </w:p>
          <w:p w14:paraId="6C1C015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CSR.2025.6.7</w:t>
            </w:r>
          </w:p>
        </w:tc>
        <w:tc>
          <w:tcPr>
            <w:tcW w:w="850" w:type="dxa"/>
            <w:vAlign w:val="center"/>
          </w:tcPr>
          <w:p w14:paraId="096BD527" w14:textId="77777777" w:rsidR="00AA20CF" w:rsidRPr="00EF7276" w:rsidRDefault="00AA20CF" w:rsidP="00CF3F52">
            <w:pPr>
              <w:pStyle w:val="Default"/>
              <w:jc w:val="center"/>
              <w:rPr>
                <w:rFonts w:ascii="Arial Narrow" w:hAnsi="Arial Narrow"/>
                <w:sz w:val="12"/>
                <w:szCs w:val="12"/>
              </w:rPr>
            </w:pPr>
            <w:r w:rsidRPr="00EF7276">
              <w:rPr>
                <w:rFonts w:ascii="Arial Narrow" w:hAnsi="Arial Narrow"/>
                <w:sz w:val="12"/>
                <w:szCs w:val="12"/>
              </w:rPr>
              <w:t>Spravodlivá digitálna transformácia; Posilnenie sociálnej a hospodárskej odolnosti;</w:t>
            </w:r>
          </w:p>
          <w:p w14:paraId="08DCE05C" w14:textId="77777777" w:rsidR="00AA20CF" w:rsidRPr="00EF7276" w:rsidRDefault="00AA20CF" w:rsidP="00CF3F52">
            <w:pPr>
              <w:jc w:val="center"/>
              <w:rPr>
                <w:rFonts w:ascii="Arial Narrow" w:hAnsi="Arial Narrow"/>
                <w:sz w:val="12"/>
                <w:szCs w:val="12"/>
              </w:rPr>
            </w:pPr>
          </w:p>
        </w:tc>
        <w:tc>
          <w:tcPr>
            <w:tcW w:w="567" w:type="dxa"/>
            <w:vAlign w:val="center"/>
          </w:tcPr>
          <w:p w14:paraId="1C97DCD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4</w:t>
            </w:r>
          </w:p>
          <w:p w14:paraId="08FF555C"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10</w:t>
            </w:r>
          </w:p>
        </w:tc>
        <w:tc>
          <w:tcPr>
            <w:tcW w:w="709" w:type="dxa"/>
            <w:vAlign w:val="center"/>
          </w:tcPr>
          <w:p w14:paraId="467A619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1</w:t>
            </w:r>
          </w:p>
          <w:p w14:paraId="5FFDEBE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3</w:t>
            </w:r>
          </w:p>
        </w:tc>
        <w:tc>
          <w:tcPr>
            <w:tcW w:w="992" w:type="dxa"/>
            <w:vAlign w:val="center"/>
          </w:tcPr>
          <w:p w14:paraId="2B4F591B"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1CE63BDA" w14:textId="77777777" w:rsidTr="00CF3F52">
        <w:trPr>
          <w:trHeight w:val="263"/>
        </w:trPr>
        <w:tc>
          <w:tcPr>
            <w:tcW w:w="283" w:type="dxa"/>
            <w:vMerge w:val="restart"/>
            <w:shd w:val="clear" w:color="auto" w:fill="E85477"/>
            <w:textDirection w:val="btLr"/>
            <w:vAlign w:val="center"/>
          </w:tcPr>
          <w:p w14:paraId="6A8BBA8D" w14:textId="77777777" w:rsidR="00AA20CF" w:rsidRPr="00A46BD9" w:rsidRDefault="00AA20CF" w:rsidP="00CF3F52">
            <w:pPr>
              <w:spacing w:line="140" w:lineRule="exact"/>
              <w:ind w:left="113" w:right="113"/>
              <w:jc w:val="center"/>
              <w:rPr>
                <w:rFonts w:ascii="Arial Narrow" w:hAnsi="Arial Narrow"/>
                <w:b/>
                <w:sz w:val="16"/>
                <w:szCs w:val="16"/>
              </w:rPr>
            </w:pPr>
            <w:r w:rsidRPr="00043686">
              <w:rPr>
                <w:rFonts w:ascii="Arial Narrow" w:hAnsi="Arial Narrow"/>
                <w:b/>
                <w:color w:val="FFFFFF" w:themeColor="background1"/>
                <w:sz w:val="16"/>
                <w:szCs w:val="16"/>
              </w:rPr>
              <w:t>Produktivita</w:t>
            </w:r>
          </w:p>
        </w:tc>
        <w:tc>
          <w:tcPr>
            <w:tcW w:w="1247" w:type="dxa"/>
            <w:vAlign w:val="center"/>
          </w:tcPr>
          <w:p w14:paraId="0D80995A"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23:</w:t>
            </w:r>
          </w:p>
          <w:p w14:paraId="1987DB47" w14:textId="77777777" w:rsidR="00AA20CF" w:rsidRPr="00A46BD9" w:rsidRDefault="00AA20CF" w:rsidP="00CF3F52">
            <w:pPr>
              <w:jc w:val="center"/>
              <w:rPr>
                <w:rFonts w:ascii="Arial Narrow" w:hAnsi="Arial Narrow"/>
                <w:sz w:val="15"/>
                <w:szCs w:val="15"/>
              </w:rPr>
            </w:pPr>
            <w:r w:rsidRPr="00A46BD9">
              <w:rPr>
                <w:rFonts w:ascii="Arial Narrow" w:hAnsi="Arial Narrow"/>
                <w:sz w:val="15"/>
                <w:szCs w:val="15"/>
              </w:rPr>
              <w:t>Implementácia opatrení v zmysle Stratégie a akčného plánu na zlepšenie postavenia Slovenska v indexe digitálnej ekonomiky a spoločnosti (DESI)</w:t>
            </w:r>
          </w:p>
        </w:tc>
        <w:tc>
          <w:tcPr>
            <w:tcW w:w="2693" w:type="dxa"/>
          </w:tcPr>
          <w:p w14:paraId="0BF3F482"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Cieľom </w:t>
            </w:r>
            <w:hyperlink r:id="rId116" w:history="1">
              <w:r w:rsidRPr="00A46BD9">
                <w:rPr>
                  <w:rStyle w:val="Hypertextovprepojenie"/>
                  <w:rFonts w:ascii="Arial Narrow" w:hAnsi="Arial Narrow"/>
                  <w:sz w:val="15"/>
                  <w:szCs w:val="15"/>
                </w:rPr>
                <w:t>opatrení</w:t>
              </w:r>
            </w:hyperlink>
            <w:r w:rsidRPr="00A46BD9">
              <w:rPr>
                <w:rStyle w:val="Hypertextovprepojenie"/>
                <w:rFonts w:ascii="Arial Narrow" w:hAnsi="Arial Narrow"/>
                <w:sz w:val="15"/>
                <w:szCs w:val="15"/>
              </w:rPr>
              <w:t xml:space="preserve"> </w:t>
            </w:r>
            <w:r w:rsidRPr="00A46BD9">
              <w:rPr>
                <w:rFonts w:ascii="Arial Narrow" w:hAnsi="Arial Narrow"/>
                <w:sz w:val="15"/>
                <w:szCs w:val="15"/>
              </w:rPr>
              <w:t>je zlepšiť postavenie SR v indexe DESI, aby sa nachádzalo aspoň v strede rebríčka.</w:t>
            </w:r>
          </w:p>
          <w:p w14:paraId="28F7DE2B" w14:textId="77777777" w:rsidR="00AA20CF" w:rsidRPr="00A46BD9" w:rsidRDefault="00AA20CF" w:rsidP="00CF3F52">
            <w:pPr>
              <w:jc w:val="both"/>
              <w:rPr>
                <w:rFonts w:ascii="Arial Narrow" w:hAnsi="Arial Narrow"/>
                <w:sz w:val="15"/>
                <w:szCs w:val="15"/>
              </w:rPr>
            </w:pPr>
          </w:p>
          <w:p w14:paraId="4812E147"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Implementácia opatrení Stratégie DESI bola ukončená</w:t>
            </w:r>
            <w:r>
              <w:rPr>
                <w:rFonts w:ascii="Arial Narrow" w:hAnsi="Arial Narrow"/>
                <w:sz w:val="15"/>
                <w:szCs w:val="15"/>
              </w:rPr>
              <w:t xml:space="preserve">, pričom </w:t>
            </w:r>
            <w:r w:rsidRPr="00A46BD9">
              <w:rPr>
                <w:rFonts w:ascii="Arial Narrow" w:hAnsi="Arial Narrow"/>
                <w:sz w:val="15"/>
                <w:szCs w:val="15"/>
              </w:rPr>
              <w:t>väčšina opatrení bola zrealizovaná podľa stanovených cieľov a míľnikov.</w:t>
            </w:r>
            <w:r>
              <w:t xml:space="preserve"> </w:t>
            </w:r>
            <w:r w:rsidRPr="002C4235">
              <w:rPr>
                <w:rFonts w:ascii="Arial Narrow" w:hAnsi="Arial Narrow"/>
                <w:sz w:val="15"/>
                <w:szCs w:val="15"/>
              </w:rPr>
              <w:t>Opatreni</w:t>
            </w:r>
            <w:r>
              <w:rPr>
                <w:rFonts w:ascii="Arial Narrow" w:hAnsi="Arial Narrow"/>
                <w:sz w:val="15"/>
                <w:szCs w:val="15"/>
              </w:rPr>
              <w:t>a</w:t>
            </w:r>
            <w:r w:rsidRPr="002C4235">
              <w:rPr>
                <w:rFonts w:ascii="Arial Narrow" w:hAnsi="Arial Narrow"/>
                <w:sz w:val="15"/>
                <w:szCs w:val="15"/>
              </w:rPr>
              <w:t xml:space="preserve"> prispeli k vytvoreniu predpokladov pre zlepšenie postavenia SR v indexe DESI, najmä v oblastiach ľudského kapitálu a</w:t>
            </w:r>
            <w:r>
              <w:rPr>
                <w:rFonts w:ascii="Arial Narrow" w:hAnsi="Arial Narrow"/>
                <w:sz w:val="15"/>
                <w:szCs w:val="15"/>
              </w:rPr>
              <w:t> </w:t>
            </w:r>
            <w:r w:rsidRPr="002C4235">
              <w:rPr>
                <w:rFonts w:ascii="Arial Narrow" w:hAnsi="Arial Narrow"/>
                <w:sz w:val="15"/>
                <w:szCs w:val="15"/>
              </w:rPr>
              <w:t>konektivity</w:t>
            </w:r>
            <w:r>
              <w:rPr>
                <w:rFonts w:ascii="Arial Narrow" w:hAnsi="Arial Narrow"/>
                <w:sz w:val="15"/>
                <w:szCs w:val="15"/>
              </w:rPr>
              <w:t>.</w:t>
            </w:r>
            <w:r w:rsidRPr="002C4235">
              <w:rPr>
                <w:rFonts w:ascii="Arial Narrow" w:hAnsi="Arial Narrow"/>
                <w:sz w:val="15"/>
                <w:szCs w:val="15"/>
              </w:rPr>
              <w:t xml:space="preserve"> </w:t>
            </w:r>
            <w:r>
              <w:rPr>
                <w:rFonts w:ascii="Arial Narrow" w:hAnsi="Arial Narrow"/>
                <w:sz w:val="15"/>
                <w:szCs w:val="15"/>
              </w:rPr>
              <w:t>V</w:t>
            </w:r>
            <w:r w:rsidRPr="002C4235">
              <w:rPr>
                <w:rFonts w:ascii="Arial Narrow" w:hAnsi="Arial Narrow"/>
                <w:sz w:val="15"/>
                <w:szCs w:val="15"/>
              </w:rPr>
              <w:t>ýraznejší posun v celkovom umiestnení sa však zatiaľ neprejavil</w:t>
            </w:r>
            <w:r>
              <w:rPr>
                <w:rFonts w:ascii="Arial Narrow" w:hAnsi="Arial Narrow"/>
                <w:sz w:val="15"/>
                <w:szCs w:val="15"/>
              </w:rPr>
              <w:t>, čiastočne aj v dôsledku zmeny metodiky a oneskoreného zberu dát</w:t>
            </w:r>
            <w:r w:rsidRPr="002C4235">
              <w:rPr>
                <w:rFonts w:ascii="Arial Narrow" w:hAnsi="Arial Narrow"/>
                <w:sz w:val="15"/>
                <w:szCs w:val="15"/>
              </w:rPr>
              <w:t>.</w:t>
            </w:r>
            <w:r w:rsidRPr="00A46BD9">
              <w:rPr>
                <w:rFonts w:ascii="Arial Narrow" w:hAnsi="Arial Narrow"/>
                <w:sz w:val="15"/>
                <w:szCs w:val="15"/>
              </w:rPr>
              <w:t xml:space="preserve"> </w:t>
            </w:r>
            <w:hyperlink r:id="rId117" w:history="1">
              <w:r w:rsidRPr="0091337E">
                <w:rPr>
                  <w:rStyle w:val="Hypertextovprepojenie"/>
                  <w:rFonts w:ascii="Arial Narrow" w:hAnsi="Arial Narrow"/>
                  <w:sz w:val="15"/>
                  <w:szCs w:val="15"/>
                </w:rPr>
                <w:t>Finálna informácia o plnení stratégie</w:t>
              </w:r>
            </w:hyperlink>
            <w:r w:rsidRPr="00A46BD9">
              <w:rPr>
                <w:rFonts w:ascii="Arial Narrow" w:hAnsi="Arial Narrow"/>
                <w:sz w:val="15"/>
                <w:szCs w:val="15"/>
              </w:rPr>
              <w:t xml:space="preserve"> bola predložená v</w:t>
            </w:r>
            <w:r>
              <w:rPr>
                <w:rFonts w:ascii="Arial Narrow" w:hAnsi="Arial Narrow"/>
                <w:sz w:val="15"/>
                <w:szCs w:val="15"/>
              </w:rPr>
              <w:t> októbri</w:t>
            </w:r>
            <w:r w:rsidRPr="00A46BD9">
              <w:rPr>
                <w:rFonts w:ascii="Arial Narrow" w:hAnsi="Arial Narrow"/>
                <w:sz w:val="15"/>
                <w:szCs w:val="15"/>
              </w:rPr>
              <w:t xml:space="preserve"> 2025. V oblasti konektivity bol napríklad realizovaný geografický prieskum </w:t>
            </w:r>
            <w:r w:rsidRPr="00A46BD9">
              <w:rPr>
                <w:rFonts w:ascii="Arial Narrow" w:hAnsi="Arial Narrow"/>
                <w:sz w:val="15"/>
                <w:szCs w:val="15"/>
              </w:rPr>
              <w:lastRenderedPageBreak/>
              <w:t xml:space="preserve">infraštruktúry, zatiaľ čo v oblasti ľudského kapitálu bol realizovaný </w:t>
            </w:r>
            <w:hyperlink r:id="rId118" w:history="1">
              <w:r w:rsidRPr="00A46BD9">
                <w:rPr>
                  <w:rStyle w:val="Hypertextovprepojenie"/>
                  <w:rFonts w:ascii="Arial Narrow" w:hAnsi="Arial Narrow"/>
                  <w:sz w:val="15"/>
                  <w:szCs w:val="15"/>
                </w:rPr>
                <w:t>projekt digitálnych zručností seniorov</w:t>
              </w:r>
            </w:hyperlink>
            <w:r w:rsidRPr="00A46BD9">
              <w:rPr>
                <w:rFonts w:ascii="Arial Narrow" w:hAnsi="Arial Narrow"/>
                <w:sz w:val="15"/>
                <w:szCs w:val="15"/>
              </w:rPr>
              <w:t xml:space="preserve"> (vyškolených viac ako 30</w:t>
            </w:r>
            <w:r>
              <w:rPr>
                <w:rFonts w:ascii="Arial Narrow" w:hAnsi="Arial Narrow"/>
                <w:sz w:val="15"/>
                <w:szCs w:val="15"/>
              </w:rPr>
              <w:t xml:space="preserve"> tis.</w:t>
            </w:r>
            <w:r w:rsidRPr="00A46BD9">
              <w:rPr>
                <w:rFonts w:ascii="Arial Narrow" w:hAnsi="Arial Narrow"/>
                <w:sz w:val="15"/>
                <w:szCs w:val="15"/>
              </w:rPr>
              <w:t xml:space="preserve"> osôb), v rámci ktorého vznikla aj </w:t>
            </w:r>
            <w:hyperlink r:id="rId119" w:history="1">
              <w:r w:rsidRPr="00A46BD9">
                <w:rPr>
                  <w:rStyle w:val="Hypertextovprepojenie"/>
                  <w:rFonts w:ascii="Arial Narrow" w:hAnsi="Arial Narrow"/>
                  <w:sz w:val="15"/>
                  <w:szCs w:val="15"/>
                </w:rPr>
                <w:t>vzdelávacia aplikácia</w:t>
              </w:r>
            </w:hyperlink>
            <w:r w:rsidRPr="00A46BD9">
              <w:rPr>
                <w:rFonts w:ascii="Arial Narrow" w:hAnsi="Arial Narrow"/>
                <w:sz w:val="15"/>
                <w:szCs w:val="15"/>
              </w:rPr>
              <w:t xml:space="preserve"> na rozvoj digitálnych zručností seniorov a znevýhodnených osôb</w:t>
            </w:r>
            <w:r>
              <w:rPr>
                <w:rFonts w:ascii="Arial Narrow" w:hAnsi="Arial Narrow"/>
                <w:sz w:val="15"/>
                <w:szCs w:val="15"/>
              </w:rPr>
              <w:t xml:space="preserve">. </w:t>
            </w:r>
            <w:r w:rsidRPr="00CC10C9">
              <w:rPr>
                <w:rFonts w:ascii="Arial Narrow" w:hAnsi="Arial Narrow"/>
                <w:sz w:val="15"/>
                <w:szCs w:val="15"/>
              </w:rPr>
              <w:t>Európska komisia</w:t>
            </w:r>
            <w:r>
              <w:rPr>
                <w:rFonts w:ascii="Arial Narrow" w:hAnsi="Arial Narrow"/>
                <w:sz w:val="15"/>
                <w:szCs w:val="15"/>
              </w:rPr>
              <w:t xml:space="preserve"> (EK) zároveň</w:t>
            </w:r>
            <w:r w:rsidRPr="00CC10C9">
              <w:rPr>
                <w:rFonts w:ascii="Arial Narrow" w:hAnsi="Arial Narrow"/>
                <w:sz w:val="15"/>
                <w:szCs w:val="15"/>
              </w:rPr>
              <w:t xml:space="preserve"> integrovala metodiku DESI do monitorovania cieľov Digitálnej dekády</w:t>
            </w:r>
            <w:r>
              <w:rPr>
                <w:rFonts w:ascii="Arial Narrow" w:hAnsi="Arial Narrow"/>
                <w:sz w:val="15"/>
                <w:szCs w:val="15"/>
              </w:rPr>
              <w:t>, takže ď</w:t>
            </w:r>
            <w:r w:rsidRPr="00CC10C9">
              <w:rPr>
                <w:rFonts w:ascii="Arial Narrow" w:hAnsi="Arial Narrow"/>
                <w:sz w:val="15"/>
                <w:szCs w:val="15"/>
              </w:rPr>
              <w:t xml:space="preserve">alšie sledovanie pokroku bude </w:t>
            </w:r>
            <w:r>
              <w:rPr>
                <w:rFonts w:ascii="Arial Narrow" w:hAnsi="Arial Narrow"/>
                <w:sz w:val="15"/>
                <w:szCs w:val="15"/>
              </w:rPr>
              <w:t>prebiehať v rámci</w:t>
            </w:r>
            <w:r w:rsidRPr="00CC10C9">
              <w:rPr>
                <w:rFonts w:ascii="Arial Narrow" w:hAnsi="Arial Narrow"/>
                <w:sz w:val="15"/>
                <w:szCs w:val="15"/>
              </w:rPr>
              <w:t xml:space="preserve"> Vnútroštátn</w:t>
            </w:r>
            <w:r>
              <w:rPr>
                <w:rFonts w:ascii="Arial Narrow" w:hAnsi="Arial Narrow"/>
                <w:sz w:val="15"/>
                <w:szCs w:val="15"/>
              </w:rPr>
              <w:t>eho</w:t>
            </w:r>
            <w:r w:rsidRPr="00CC10C9">
              <w:rPr>
                <w:rFonts w:ascii="Arial Narrow" w:hAnsi="Arial Narrow"/>
                <w:sz w:val="15"/>
                <w:szCs w:val="15"/>
              </w:rPr>
              <w:t xml:space="preserve"> plán</w:t>
            </w:r>
            <w:r>
              <w:rPr>
                <w:rFonts w:ascii="Arial Narrow" w:hAnsi="Arial Narrow"/>
                <w:sz w:val="15"/>
                <w:szCs w:val="15"/>
              </w:rPr>
              <w:t>u</w:t>
            </w:r>
            <w:r w:rsidRPr="00CC10C9">
              <w:rPr>
                <w:rFonts w:ascii="Arial Narrow" w:hAnsi="Arial Narrow"/>
                <w:sz w:val="15"/>
                <w:szCs w:val="15"/>
              </w:rPr>
              <w:t xml:space="preserve"> Digitálnej dekády SR.</w:t>
            </w:r>
          </w:p>
        </w:tc>
        <w:tc>
          <w:tcPr>
            <w:tcW w:w="737" w:type="dxa"/>
            <w:vAlign w:val="center"/>
          </w:tcPr>
          <w:p w14:paraId="1759297A"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lastRenderedPageBreak/>
              <w:t>POO/PSK</w:t>
            </w:r>
          </w:p>
        </w:tc>
        <w:tc>
          <w:tcPr>
            <w:tcW w:w="992" w:type="dxa"/>
            <w:vAlign w:val="center"/>
          </w:tcPr>
          <w:p w14:paraId="5298E82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CSR.2025.4.1</w:t>
            </w:r>
            <w:r w:rsidRPr="00EF7276">
              <w:rPr>
                <w:rFonts w:ascii="Arial Narrow" w:hAnsi="Arial Narrow"/>
                <w:sz w:val="12"/>
                <w:szCs w:val="12"/>
              </w:rPr>
              <w:br/>
              <w:t>CSR.2025.6.6</w:t>
            </w:r>
          </w:p>
        </w:tc>
        <w:tc>
          <w:tcPr>
            <w:tcW w:w="850" w:type="dxa"/>
            <w:vAlign w:val="center"/>
          </w:tcPr>
          <w:p w14:paraId="4F0E771B" w14:textId="77777777" w:rsidR="00AA20CF" w:rsidRPr="00EF7276" w:rsidRDefault="00AA20CF" w:rsidP="00CF3F52">
            <w:pPr>
              <w:pStyle w:val="Default"/>
              <w:jc w:val="center"/>
              <w:rPr>
                <w:rFonts w:ascii="Arial Narrow" w:hAnsi="Arial Narrow" w:cstheme="minorBidi"/>
                <w:color w:val="auto"/>
                <w:sz w:val="12"/>
                <w:szCs w:val="12"/>
              </w:rPr>
            </w:pPr>
            <w:r w:rsidRPr="00EF7276">
              <w:rPr>
                <w:rFonts w:ascii="Arial Narrow" w:hAnsi="Arial Narrow" w:cstheme="minorBidi"/>
                <w:color w:val="auto"/>
                <w:sz w:val="12"/>
                <w:szCs w:val="12"/>
              </w:rPr>
              <w:t xml:space="preserve">Spravodlivá digitálna transformácia; </w:t>
            </w:r>
            <w:r w:rsidRPr="00EF7276">
              <w:rPr>
                <w:rFonts w:ascii="Arial Narrow" w:hAnsi="Arial Narrow"/>
                <w:sz w:val="12"/>
                <w:szCs w:val="12"/>
              </w:rPr>
              <w:t>Posilnenie sociálnej a hospodárskej odolnosti</w:t>
            </w:r>
          </w:p>
        </w:tc>
        <w:tc>
          <w:tcPr>
            <w:tcW w:w="567" w:type="dxa"/>
            <w:vAlign w:val="center"/>
          </w:tcPr>
          <w:p w14:paraId="78FC325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4</w:t>
            </w:r>
          </w:p>
          <w:p w14:paraId="7E23B37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tc>
        <w:tc>
          <w:tcPr>
            <w:tcW w:w="709" w:type="dxa"/>
            <w:vAlign w:val="center"/>
          </w:tcPr>
          <w:p w14:paraId="3AA85B8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1</w:t>
            </w:r>
          </w:p>
          <w:p w14:paraId="67CD3E8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2</w:t>
            </w:r>
          </w:p>
          <w:p w14:paraId="47E3FEF5"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20</w:t>
            </w:r>
          </w:p>
        </w:tc>
        <w:tc>
          <w:tcPr>
            <w:tcW w:w="992" w:type="dxa"/>
            <w:vAlign w:val="center"/>
          </w:tcPr>
          <w:p w14:paraId="10B8CEE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Dokončené</w:t>
            </w:r>
          </w:p>
        </w:tc>
      </w:tr>
      <w:tr w:rsidR="00AA20CF" w:rsidRPr="00A46BD9" w14:paraId="6631C619" w14:textId="77777777" w:rsidTr="00CF3F52">
        <w:trPr>
          <w:trHeight w:val="263"/>
        </w:trPr>
        <w:tc>
          <w:tcPr>
            <w:tcW w:w="283" w:type="dxa"/>
            <w:vMerge/>
            <w:shd w:val="clear" w:color="auto" w:fill="E85477"/>
            <w:vAlign w:val="center"/>
          </w:tcPr>
          <w:p w14:paraId="4792DC0F" w14:textId="77777777" w:rsidR="00AA20CF" w:rsidRPr="00A46BD9" w:rsidRDefault="00AA20CF" w:rsidP="00CF3F52">
            <w:pPr>
              <w:spacing w:line="140" w:lineRule="exact"/>
              <w:jc w:val="center"/>
              <w:rPr>
                <w:rFonts w:ascii="Arial Narrow" w:hAnsi="Arial Narrow"/>
                <w:b/>
                <w:sz w:val="16"/>
                <w:szCs w:val="16"/>
              </w:rPr>
            </w:pPr>
          </w:p>
        </w:tc>
        <w:tc>
          <w:tcPr>
            <w:tcW w:w="1247" w:type="dxa"/>
            <w:vAlign w:val="center"/>
          </w:tcPr>
          <w:p w14:paraId="6810F853"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24:</w:t>
            </w:r>
          </w:p>
          <w:p w14:paraId="6E136FED" w14:textId="77777777" w:rsidR="00AA20CF" w:rsidRPr="00A46BD9" w:rsidRDefault="00AA20CF" w:rsidP="00CF3F52">
            <w:pPr>
              <w:jc w:val="center"/>
              <w:rPr>
                <w:rFonts w:ascii="Arial Narrow" w:hAnsi="Arial Narrow"/>
                <w:sz w:val="15"/>
                <w:szCs w:val="15"/>
              </w:rPr>
            </w:pPr>
            <w:r w:rsidRPr="00A46BD9">
              <w:rPr>
                <w:rFonts w:ascii="Arial Narrow" w:hAnsi="Arial Narrow"/>
                <w:sz w:val="15"/>
                <w:szCs w:val="15"/>
              </w:rPr>
              <w:t>Vnútroštátny plán Digitálnej dekády SR</w:t>
            </w:r>
          </w:p>
        </w:tc>
        <w:tc>
          <w:tcPr>
            <w:tcW w:w="2693" w:type="dxa"/>
          </w:tcPr>
          <w:p w14:paraId="7AB9C6E3" w14:textId="77777777" w:rsidR="00AA20CF" w:rsidRPr="00A46BD9" w:rsidRDefault="00AA20CF" w:rsidP="00CF3F52">
            <w:pPr>
              <w:jc w:val="both"/>
              <w:rPr>
                <w:rFonts w:ascii="Arial Narrow" w:hAnsi="Arial Narrow"/>
                <w:sz w:val="15"/>
                <w:szCs w:val="15"/>
              </w:rPr>
            </w:pPr>
            <w:hyperlink r:id="rId120" w:history="1">
              <w:r w:rsidRPr="00A46BD9">
                <w:rPr>
                  <w:rStyle w:val="Hypertextovprepojenie"/>
                  <w:rFonts w:ascii="Arial Narrow" w:hAnsi="Arial Narrow"/>
                  <w:sz w:val="15"/>
                  <w:szCs w:val="15"/>
                </w:rPr>
                <w:t>Vnútroštátny plán Digitálnej dekády Slovenskej republiky</w:t>
              </w:r>
            </w:hyperlink>
            <w:r w:rsidRPr="00A46BD9">
              <w:rPr>
                <w:rFonts w:ascii="Arial Narrow" w:hAnsi="Arial Narrow"/>
                <w:sz w:val="15"/>
                <w:szCs w:val="15"/>
              </w:rPr>
              <w:t xml:space="preserve"> je strešným dokumentom sumarizujúcim aktivity SR na napĺňanie digitálnych  cieľov EÚ.</w:t>
            </w:r>
          </w:p>
          <w:p w14:paraId="440FF2F8" w14:textId="77777777" w:rsidR="00AA20CF" w:rsidRPr="00A46BD9" w:rsidRDefault="00AA20CF" w:rsidP="00CF3F52">
            <w:pPr>
              <w:jc w:val="both"/>
              <w:rPr>
                <w:rFonts w:ascii="Arial Narrow" w:hAnsi="Arial Narrow"/>
                <w:sz w:val="15"/>
                <w:szCs w:val="15"/>
              </w:rPr>
            </w:pPr>
          </w:p>
          <w:p w14:paraId="32E8DB5A"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Vláda SR schválila 17. decembra 2025 </w:t>
            </w:r>
            <w:hyperlink r:id="rId121" w:history="1">
              <w:r w:rsidRPr="00F11EE3">
                <w:rPr>
                  <w:rStyle w:val="Hypertextovprepojenie"/>
                  <w:rFonts w:ascii="Arial Narrow" w:hAnsi="Arial Narrow"/>
                  <w:sz w:val="15"/>
                  <w:szCs w:val="15"/>
                </w:rPr>
                <w:t>Informáciu o plnení opatrení plánu</w:t>
              </w:r>
            </w:hyperlink>
            <w:r w:rsidRPr="00A46BD9">
              <w:rPr>
                <w:rFonts w:ascii="Arial Narrow" w:hAnsi="Arial Narrow"/>
                <w:sz w:val="15"/>
                <w:szCs w:val="15"/>
              </w:rPr>
              <w:t>. Realizácia opatrení prebieha v súlade s plánom, pričom časť opatrení je už v implementácii (napr. v oblasti digitálnych zručností zraniteľných skupín či digitalizácie práce s mládežou), pri iných prebiehajú prípravné fázy a pri dlhodobých opatreniach je začiatok plnenia nastavený na rok 2027. Pokrok je priebežne monitorovaný prostredníctvom pravidelných odpočtov vláde SR.</w:t>
            </w:r>
            <w:r>
              <w:rPr>
                <w:rFonts w:ascii="Arial Narrow" w:hAnsi="Arial Narrow"/>
                <w:sz w:val="15"/>
                <w:szCs w:val="15"/>
              </w:rPr>
              <w:t xml:space="preserve"> V</w:t>
            </w:r>
            <w:r w:rsidRPr="00587F96">
              <w:rPr>
                <w:rFonts w:ascii="Arial Narrow" w:hAnsi="Arial Narrow"/>
                <w:sz w:val="15"/>
                <w:szCs w:val="15"/>
              </w:rPr>
              <w:t xml:space="preserve"> súlade s požiadavkami </w:t>
            </w:r>
            <w:r>
              <w:rPr>
                <w:rFonts w:ascii="Arial Narrow" w:hAnsi="Arial Narrow"/>
                <w:sz w:val="15"/>
                <w:szCs w:val="15"/>
              </w:rPr>
              <w:t>EK</w:t>
            </w:r>
            <w:r w:rsidRPr="00587F96">
              <w:rPr>
                <w:rFonts w:ascii="Arial Narrow" w:hAnsi="Arial Narrow"/>
                <w:sz w:val="15"/>
                <w:szCs w:val="15"/>
              </w:rPr>
              <w:t xml:space="preserve"> </w:t>
            </w:r>
            <w:r>
              <w:rPr>
                <w:rFonts w:ascii="Arial Narrow" w:hAnsi="Arial Narrow"/>
                <w:sz w:val="15"/>
                <w:szCs w:val="15"/>
              </w:rPr>
              <w:t xml:space="preserve">sa </w:t>
            </w:r>
            <w:r w:rsidRPr="00587F96">
              <w:rPr>
                <w:rFonts w:ascii="Arial Narrow" w:hAnsi="Arial Narrow"/>
                <w:sz w:val="15"/>
                <w:szCs w:val="15"/>
              </w:rPr>
              <w:t>pripravuje pravideln</w:t>
            </w:r>
            <w:r>
              <w:rPr>
                <w:rFonts w:ascii="Arial Narrow" w:hAnsi="Arial Narrow"/>
                <w:sz w:val="15"/>
                <w:szCs w:val="15"/>
              </w:rPr>
              <w:t>á</w:t>
            </w:r>
            <w:r w:rsidRPr="00587F96">
              <w:rPr>
                <w:rFonts w:ascii="Arial Narrow" w:hAnsi="Arial Narrow"/>
                <w:sz w:val="15"/>
                <w:szCs w:val="15"/>
              </w:rPr>
              <w:t xml:space="preserve"> aktualizáci</w:t>
            </w:r>
            <w:r>
              <w:rPr>
                <w:rFonts w:ascii="Arial Narrow" w:hAnsi="Arial Narrow"/>
                <w:sz w:val="15"/>
                <w:szCs w:val="15"/>
              </w:rPr>
              <w:t>a</w:t>
            </w:r>
            <w:r w:rsidRPr="00587F96">
              <w:rPr>
                <w:rFonts w:ascii="Arial Narrow" w:hAnsi="Arial Narrow"/>
                <w:sz w:val="15"/>
                <w:szCs w:val="15"/>
              </w:rPr>
              <w:t xml:space="preserve"> </w:t>
            </w:r>
            <w:r>
              <w:rPr>
                <w:rFonts w:ascii="Arial Narrow" w:hAnsi="Arial Narrow"/>
                <w:sz w:val="15"/>
                <w:szCs w:val="15"/>
              </w:rPr>
              <w:t>plánu</w:t>
            </w:r>
            <w:r w:rsidRPr="00587F96">
              <w:rPr>
                <w:rFonts w:ascii="Arial Narrow" w:hAnsi="Arial Narrow"/>
                <w:sz w:val="15"/>
                <w:szCs w:val="15"/>
              </w:rPr>
              <w:t>, ktorá zohľadní doterajší vývoj a odporúčania</w:t>
            </w:r>
            <w:r>
              <w:rPr>
                <w:rFonts w:ascii="Arial Narrow" w:hAnsi="Arial Narrow"/>
                <w:sz w:val="15"/>
                <w:szCs w:val="15"/>
              </w:rPr>
              <w:t xml:space="preserve"> EK</w:t>
            </w:r>
            <w:r w:rsidRPr="00587F96">
              <w:rPr>
                <w:rFonts w:ascii="Arial Narrow" w:hAnsi="Arial Narrow"/>
                <w:sz w:val="15"/>
                <w:szCs w:val="15"/>
              </w:rPr>
              <w:t>.</w:t>
            </w:r>
          </w:p>
        </w:tc>
        <w:tc>
          <w:tcPr>
            <w:tcW w:w="737" w:type="dxa"/>
            <w:vAlign w:val="center"/>
          </w:tcPr>
          <w:p w14:paraId="2A33DB92"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PSK</w:t>
            </w:r>
          </w:p>
        </w:tc>
        <w:tc>
          <w:tcPr>
            <w:tcW w:w="992" w:type="dxa"/>
            <w:vAlign w:val="center"/>
          </w:tcPr>
          <w:p w14:paraId="227B3BA5" w14:textId="77777777" w:rsidR="00AA20CF" w:rsidRPr="00EF7276" w:rsidRDefault="00AA20CF" w:rsidP="00CF3F52">
            <w:pPr>
              <w:pStyle w:val="Default"/>
              <w:jc w:val="center"/>
              <w:rPr>
                <w:rFonts w:ascii="Arial Narrow" w:hAnsi="Arial Narrow" w:cstheme="minorBidi"/>
                <w:color w:val="auto"/>
                <w:sz w:val="12"/>
                <w:szCs w:val="12"/>
              </w:rPr>
            </w:pPr>
            <w:r w:rsidRPr="00EF7276">
              <w:rPr>
                <w:rFonts w:ascii="Arial Narrow" w:hAnsi="Arial Narrow" w:cstheme="minorBidi"/>
                <w:color w:val="auto"/>
                <w:sz w:val="12"/>
                <w:szCs w:val="12"/>
              </w:rPr>
              <w:t>CSR.2025.4.1</w:t>
            </w:r>
          </w:p>
          <w:p w14:paraId="6CABE6FB"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CSR.2025.4.3</w:t>
            </w:r>
          </w:p>
          <w:p w14:paraId="19C9145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CSR.2025.6.6</w:t>
            </w:r>
          </w:p>
        </w:tc>
        <w:tc>
          <w:tcPr>
            <w:tcW w:w="850" w:type="dxa"/>
            <w:vAlign w:val="center"/>
          </w:tcPr>
          <w:p w14:paraId="521CEE8B" w14:textId="77777777" w:rsidR="00AA20CF" w:rsidRPr="00EF7276" w:rsidRDefault="00AA20CF" w:rsidP="00CF3F52">
            <w:pPr>
              <w:pStyle w:val="Default"/>
              <w:jc w:val="center"/>
              <w:rPr>
                <w:rFonts w:ascii="Arial Narrow" w:hAnsi="Arial Narrow" w:cstheme="minorBidi"/>
                <w:color w:val="auto"/>
                <w:sz w:val="12"/>
                <w:szCs w:val="12"/>
              </w:rPr>
            </w:pPr>
            <w:r w:rsidRPr="00EF7276">
              <w:rPr>
                <w:rFonts w:ascii="Arial Narrow" w:hAnsi="Arial Narrow" w:cstheme="minorBidi"/>
                <w:color w:val="auto"/>
                <w:sz w:val="12"/>
                <w:szCs w:val="12"/>
              </w:rPr>
              <w:t xml:space="preserve">Spravodlivá digitálna transformácia; </w:t>
            </w:r>
            <w:r w:rsidRPr="00EF7276">
              <w:rPr>
                <w:rFonts w:ascii="Arial Narrow" w:hAnsi="Arial Narrow"/>
                <w:sz w:val="12"/>
                <w:szCs w:val="12"/>
              </w:rPr>
              <w:t>Posilnenie sociálnej a hospodárskej odolnosti</w:t>
            </w:r>
          </w:p>
        </w:tc>
        <w:tc>
          <w:tcPr>
            <w:tcW w:w="567" w:type="dxa"/>
            <w:vAlign w:val="center"/>
          </w:tcPr>
          <w:p w14:paraId="3AF82E2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4</w:t>
            </w:r>
          </w:p>
          <w:p w14:paraId="5E0F57F9"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8</w:t>
            </w:r>
          </w:p>
          <w:p w14:paraId="0DAEC21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tc>
        <w:tc>
          <w:tcPr>
            <w:tcW w:w="709" w:type="dxa"/>
            <w:vAlign w:val="center"/>
          </w:tcPr>
          <w:p w14:paraId="04582BD9"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1</w:t>
            </w:r>
          </w:p>
          <w:p w14:paraId="4596C83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4</w:t>
            </w:r>
          </w:p>
          <w:p w14:paraId="448CFD5E"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20</w:t>
            </w:r>
          </w:p>
          <w:p w14:paraId="6FE0C8E0" w14:textId="77777777" w:rsidR="00AA20CF" w:rsidRPr="00EF7276" w:rsidRDefault="00AA20CF" w:rsidP="00CF3F52">
            <w:pPr>
              <w:jc w:val="center"/>
              <w:rPr>
                <w:rFonts w:ascii="Arial Narrow" w:hAnsi="Arial Narrow"/>
                <w:sz w:val="12"/>
                <w:szCs w:val="12"/>
              </w:rPr>
            </w:pPr>
          </w:p>
        </w:tc>
        <w:tc>
          <w:tcPr>
            <w:tcW w:w="992" w:type="dxa"/>
            <w:vAlign w:val="center"/>
          </w:tcPr>
          <w:p w14:paraId="1D872F6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6C5A44CA" w14:textId="77777777" w:rsidTr="00CF3F52">
        <w:trPr>
          <w:trHeight w:val="263"/>
        </w:trPr>
        <w:tc>
          <w:tcPr>
            <w:tcW w:w="283" w:type="dxa"/>
            <w:vMerge/>
            <w:shd w:val="clear" w:color="auto" w:fill="E85477"/>
            <w:vAlign w:val="center"/>
          </w:tcPr>
          <w:p w14:paraId="1E89A4D2" w14:textId="77777777" w:rsidR="00AA20CF" w:rsidRPr="00A46BD9" w:rsidRDefault="00AA20CF" w:rsidP="00CF3F52">
            <w:pPr>
              <w:spacing w:line="140" w:lineRule="exact"/>
              <w:jc w:val="center"/>
              <w:rPr>
                <w:rFonts w:ascii="Arial Narrow" w:hAnsi="Arial Narrow"/>
                <w:b/>
                <w:sz w:val="16"/>
                <w:szCs w:val="16"/>
              </w:rPr>
            </w:pPr>
          </w:p>
        </w:tc>
        <w:tc>
          <w:tcPr>
            <w:tcW w:w="1247" w:type="dxa"/>
            <w:vAlign w:val="center"/>
          </w:tcPr>
          <w:p w14:paraId="2184C9CF"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Investícia 16:</w:t>
            </w:r>
          </w:p>
          <w:p w14:paraId="7E3EC28B" w14:textId="77777777" w:rsidR="00AA20CF" w:rsidRPr="00A46BD9" w:rsidRDefault="00AA20CF" w:rsidP="00CF3F52">
            <w:pPr>
              <w:jc w:val="center"/>
              <w:rPr>
                <w:rFonts w:ascii="Arial Narrow" w:hAnsi="Arial Narrow"/>
                <w:sz w:val="15"/>
                <w:szCs w:val="15"/>
              </w:rPr>
            </w:pPr>
            <w:r w:rsidRPr="00A46BD9">
              <w:rPr>
                <w:rFonts w:ascii="Arial Narrow" w:hAnsi="Arial Narrow"/>
                <w:sz w:val="15"/>
                <w:szCs w:val="15"/>
              </w:rPr>
              <w:t>Podpora inovácií, rozvoja a </w:t>
            </w:r>
          </w:p>
          <w:p w14:paraId="48BA3F1D" w14:textId="77777777" w:rsidR="00AA20CF" w:rsidRPr="00A46BD9" w:rsidRDefault="00AA20CF" w:rsidP="00CF3F52">
            <w:pPr>
              <w:jc w:val="center"/>
              <w:rPr>
                <w:rFonts w:ascii="Arial Narrow" w:hAnsi="Arial Narrow"/>
                <w:b/>
                <w:sz w:val="15"/>
                <w:szCs w:val="15"/>
              </w:rPr>
            </w:pPr>
            <w:r w:rsidRPr="00A46BD9">
              <w:rPr>
                <w:rFonts w:ascii="Arial Narrow" w:hAnsi="Arial Narrow"/>
                <w:sz w:val="15"/>
                <w:szCs w:val="15"/>
              </w:rPr>
              <w:t>internacionalizácie podnikov</w:t>
            </w:r>
          </w:p>
        </w:tc>
        <w:tc>
          <w:tcPr>
            <w:tcW w:w="2693" w:type="dxa"/>
          </w:tcPr>
          <w:p w14:paraId="2C1415AD"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Zámerom MH SR a organizácii v jeho pôsobnosti je poskytnúť podnikom podporu na zvýšenie ich konkurencieschopnosti:</w:t>
            </w:r>
          </w:p>
          <w:p w14:paraId="19905508"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(1) Podpora priemyselného výskumu, experimentálneho vývoja a inovácií formou dopytových výziev, inovačných poukážok a expertných služieb.</w:t>
            </w:r>
          </w:p>
          <w:p w14:paraId="511ADCD0"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2) Podpora internacionalizácie a rozvoja  MSP formou poukážok a expertných služieb.</w:t>
            </w:r>
          </w:p>
          <w:p w14:paraId="0E95E74A"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3) Podpora investícií v podnikoch vo forme návratnej pomoci.</w:t>
            </w:r>
          </w:p>
          <w:p w14:paraId="27D6BF8D" w14:textId="77777777" w:rsidR="00AA20CF" w:rsidRPr="00A46BD9" w:rsidRDefault="00AA20CF" w:rsidP="00CF3F52">
            <w:pPr>
              <w:jc w:val="both"/>
              <w:rPr>
                <w:rFonts w:ascii="Arial Narrow" w:hAnsi="Arial Narrow"/>
                <w:sz w:val="15"/>
                <w:szCs w:val="15"/>
              </w:rPr>
            </w:pPr>
          </w:p>
          <w:p w14:paraId="747F4A81"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(1) V rámci </w:t>
            </w:r>
            <w:hyperlink r:id="rId122" w:history="1">
              <w:r w:rsidRPr="00A46BD9">
                <w:rPr>
                  <w:rStyle w:val="Hypertextovprepojenie"/>
                  <w:rFonts w:ascii="Arial Narrow" w:hAnsi="Arial Narrow"/>
                  <w:sz w:val="15"/>
                  <w:szCs w:val="15"/>
                </w:rPr>
                <w:t>troch výziev</w:t>
              </w:r>
            </w:hyperlink>
            <w:r w:rsidRPr="00A46BD9">
              <w:t xml:space="preserve"> </w:t>
            </w:r>
            <w:r w:rsidRPr="00A46BD9">
              <w:rPr>
                <w:rFonts w:ascii="Arial Narrow" w:hAnsi="Arial Narrow"/>
                <w:sz w:val="15"/>
                <w:szCs w:val="15"/>
              </w:rPr>
              <w:t>MH SR (77 mil. eur) na podporu priemyselného výskumu a experimentálneho vývoja</w:t>
            </w:r>
            <w:r w:rsidRPr="00A46BD9">
              <w:t xml:space="preserve"> </w:t>
            </w:r>
            <w:r w:rsidRPr="00A46BD9">
              <w:rPr>
                <w:rFonts w:ascii="Arial Narrow" w:hAnsi="Arial Narrow"/>
                <w:sz w:val="15"/>
                <w:szCs w:val="15"/>
              </w:rPr>
              <w:t xml:space="preserve">bolo </w:t>
            </w:r>
            <w:r>
              <w:rPr>
                <w:rFonts w:ascii="Arial Narrow" w:hAnsi="Arial Narrow"/>
                <w:sz w:val="15"/>
                <w:szCs w:val="15"/>
              </w:rPr>
              <w:t>celkovo</w:t>
            </w:r>
            <w:r w:rsidRPr="00A46BD9">
              <w:rPr>
                <w:rFonts w:ascii="Arial Narrow" w:hAnsi="Arial Narrow"/>
                <w:sz w:val="15"/>
                <w:szCs w:val="15"/>
              </w:rPr>
              <w:t xml:space="preserve"> predložených 227 žiadostí o nenávratný finančný príspevok v celkovej výške približne 263 mil. eur. SIEA prostredníctvom projektu </w:t>
            </w:r>
            <w:hyperlink r:id="rId123" w:history="1">
              <w:r w:rsidRPr="00A46BD9">
                <w:rPr>
                  <w:rStyle w:val="Hypertextovprepojenie"/>
                  <w:rFonts w:ascii="Arial Narrow" w:hAnsi="Arial Narrow"/>
                  <w:sz w:val="15"/>
                  <w:szCs w:val="15"/>
                </w:rPr>
                <w:t>Zvýšenie inovačnej výkonnosti slovenskej ekonomiky 2</w:t>
              </w:r>
            </w:hyperlink>
            <w:r w:rsidRPr="00A46BD9">
              <w:t xml:space="preserve"> </w:t>
            </w:r>
            <w:r w:rsidRPr="00A46BD9">
              <w:rPr>
                <w:rFonts w:ascii="Arial Narrow" w:hAnsi="Arial Narrow"/>
                <w:sz w:val="15"/>
                <w:szCs w:val="15"/>
              </w:rPr>
              <w:t xml:space="preserve">vyhlásila viaceré </w:t>
            </w:r>
            <w:hyperlink r:id="rId124" w:history="1">
              <w:r w:rsidRPr="00A46BD9">
                <w:rPr>
                  <w:rStyle w:val="Hypertextovprepojenie"/>
                  <w:rFonts w:ascii="Arial Narrow" w:hAnsi="Arial Narrow"/>
                  <w:sz w:val="15"/>
                  <w:szCs w:val="15"/>
                </w:rPr>
                <w:t>výzvy</w:t>
              </w:r>
            </w:hyperlink>
            <w:r w:rsidRPr="00A46BD9">
              <w:rPr>
                <w:rFonts w:ascii="Arial Narrow" w:hAnsi="Arial Narrow"/>
                <w:sz w:val="15"/>
                <w:szCs w:val="15"/>
              </w:rPr>
              <w:t xml:space="preserve">  na inovačné poukážky (</w:t>
            </w:r>
            <w:r>
              <w:rPr>
                <w:rFonts w:ascii="Arial Narrow" w:hAnsi="Arial Narrow"/>
                <w:sz w:val="15"/>
                <w:szCs w:val="15"/>
              </w:rPr>
              <w:t>8</w:t>
            </w:r>
            <w:r w:rsidRPr="00A46BD9">
              <w:rPr>
                <w:rFonts w:ascii="Arial Narrow" w:hAnsi="Arial Narrow"/>
                <w:sz w:val="15"/>
                <w:szCs w:val="15"/>
              </w:rPr>
              <w:t>,3 mil. eur) zamerané napríklad na ochranu duševného vlastníctva, certifikáciu výrobkov</w:t>
            </w:r>
            <w:r>
              <w:rPr>
                <w:rFonts w:ascii="Arial Narrow" w:hAnsi="Arial Narrow"/>
                <w:sz w:val="15"/>
                <w:szCs w:val="15"/>
              </w:rPr>
              <w:t xml:space="preserve">, </w:t>
            </w:r>
            <w:r w:rsidRPr="00242999">
              <w:rPr>
                <w:rFonts w:ascii="Arial Narrow" w:hAnsi="Arial Narrow"/>
                <w:sz w:val="15"/>
                <w:szCs w:val="15"/>
              </w:rPr>
              <w:t xml:space="preserve">poradenstvo pri príprave žiadosti do schémy </w:t>
            </w:r>
            <w:hyperlink r:id="rId125" w:history="1">
              <w:r w:rsidRPr="00AB0F89">
                <w:rPr>
                  <w:rStyle w:val="Hypertextovprepojenie"/>
                  <w:rFonts w:ascii="Arial Narrow" w:hAnsi="Arial Narrow"/>
                  <w:sz w:val="15"/>
                  <w:szCs w:val="15"/>
                </w:rPr>
                <w:t>EIC Accelerator</w:t>
              </w:r>
            </w:hyperlink>
            <w:r>
              <w:rPr>
                <w:rFonts w:ascii="Arial Narrow" w:hAnsi="Arial Narrow"/>
                <w:sz w:val="15"/>
                <w:szCs w:val="15"/>
              </w:rPr>
              <w:t>,</w:t>
            </w:r>
            <w:r w:rsidRPr="00A46BD9">
              <w:rPr>
                <w:rFonts w:ascii="Arial Narrow" w:hAnsi="Arial Narrow"/>
                <w:sz w:val="15"/>
                <w:szCs w:val="15"/>
              </w:rPr>
              <w:t xml:space="preserve"> či podporu robotizácie a automatizácie v priemysle.</w:t>
            </w:r>
          </w:p>
          <w:p w14:paraId="525A1F3D"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(2) Slovak Business Agency v rámci projektu </w:t>
            </w:r>
            <w:hyperlink r:id="rId126" w:history="1">
              <w:r w:rsidRPr="00A46BD9">
                <w:rPr>
                  <w:rStyle w:val="Hypertextovprepojenie"/>
                  <w:rFonts w:ascii="Arial Narrow" w:hAnsi="Arial Narrow"/>
                  <w:sz w:val="15"/>
                  <w:szCs w:val="15"/>
                </w:rPr>
                <w:t>Horizontálna podpora malého a stredného podnikania</w:t>
              </w:r>
            </w:hyperlink>
            <w:r w:rsidRPr="00A46BD9">
              <w:rPr>
                <w:rFonts w:ascii="Arial Narrow" w:hAnsi="Arial Narrow"/>
                <w:sz w:val="15"/>
                <w:szCs w:val="15"/>
              </w:rPr>
              <w:t xml:space="preserve"> (7 mil. eur) vyhlásila viaceré výzvy na poukážky zamerané napríklad na firemné audity, zapojenie MSP do </w:t>
            </w:r>
            <w:r>
              <w:rPr>
                <w:rFonts w:ascii="Arial Narrow" w:hAnsi="Arial Narrow"/>
                <w:sz w:val="15"/>
                <w:szCs w:val="15"/>
              </w:rPr>
              <w:t>f</w:t>
            </w:r>
            <w:r w:rsidRPr="00A46BD9">
              <w:rPr>
                <w:rFonts w:ascii="Arial Narrow" w:hAnsi="Arial Narrow"/>
                <w:sz w:val="15"/>
                <w:szCs w:val="15"/>
              </w:rPr>
              <w:t>programov EÚ</w:t>
            </w:r>
            <w:r>
              <w:rPr>
                <w:rFonts w:ascii="Arial Narrow" w:hAnsi="Arial Narrow"/>
                <w:sz w:val="15"/>
                <w:szCs w:val="15"/>
              </w:rPr>
              <w:t>,</w:t>
            </w:r>
            <w:r w:rsidRPr="00A46BD9">
              <w:rPr>
                <w:rFonts w:ascii="Arial Narrow" w:hAnsi="Arial Narrow"/>
                <w:sz w:val="15"/>
                <w:szCs w:val="15"/>
              </w:rPr>
              <w:t xml:space="preserve"> manažérsky rozvoj podnikov</w:t>
            </w:r>
            <w:r>
              <w:rPr>
                <w:rFonts w:ascii="Arial Narrow" w:hAnsi="Arial Narrow"/>
                <w:sz w:val="15"/>
                <w:szCs w:val="15"/>
              </w:rPr>
              <w:t xml:space="preserve">, </w:t>
            </w:r>
            <w:r w:rsidRPr="009E5D9D">
              <w:rPr>
                <w:rFonts w:ascii="Arial Narrow" w:hAnsi="Arial Narrow"/>
                <w:sz w:val="15"/>
                <w:szCs w:val="15"/>
              </w:rPr>
              <w:t>obehové hospodárstvo a rodinné podnikanie</w:t>
            </w:r>
            <w:r>
              <w:rPr>
                <w:rFonts w:ascii="Arial Narrow" w:hAnsi="Arial Narrow"/>
                <w:sz w:val="15"/>
                <w:szCs w:val="15"/>
              </w:rPr>
              <w:t xml:space="preserve">. </w:t>
            </w:r>
            <w:r w:rsidRPr="00A46BD9">
              <w:rPr>
                <w:rFonts w:ascii="Arial Narrow" w:hAnsi="Arial Narrow"/>
                <w:sz w:val="15"/>
                <w:szCs w:val="15"/>
              </w:rPr>
              <w:t xml:space="preserve">V projekte </w:t>
            </w:r>
            <w:hyperlink r:id="rId127" w:history="1">
              <w:r w:rsidRPr="00A46BD9">
                <w:rPr>
                  <w:rStyle w:val="Hypertextovprepojenie"/>
                  <w:rFonts w:ascii="Arial Narrow" w:hAnsi="Arial Narrow"/>
                  <w:sz w:val="15"/>
                  <w:szCs w:val="15"/>
                </w:rPr>
                <w:t>Podpora internacionalizácie MSP 2</w:t>
              </w:r>
            </w:hyperlink>
            <w:r w:rsidRPr="00A46BD9">
              <w:t xml:space="preserve"> </w:t>
            </w:r>
            <w:r w:rsidRPr="00A46BD9">
              <w:rPr>
                <w:rFonts w:ascii="Arial Narrow" w:hAnsi="Arial Narrow"/>
                <w:sz w:val="15"/>
                <w:szCs w:val="15"/>
              </w:rPr>
              <w:t xml:space="preserve">(12,7 mil. eur) poskytuje </w:t>
            </w:r>
            <w:r w:rsidRPr="009E5D9D">
              <w:rPr>
                <w:rFonts w:ascii="Arial Narrow" w:hAnsi="Arial Narrow"/>
                <w:sz w:val="15"/>
                <w:szCs w:val="15"/>
              </w:rPr>
              <w:t xml:space="preserve">Slovenská agentúra pre rozvoj investícií a obchodu </w:t>
            </w:r>
            <w:r w:rsidRPr="00A46BD9">
              <w:rPr>
                <w:rFonts w:ascii="Arial Narrow" w:hAnsi="Arial Narrow"/>
                <w:sz w:val="15"/>
                <w:szCs w:val="15"/>
              </w:rPr>
              <w:t>poukážky na podporu účasti MSP na prezentačných podujatiach.</w:t>
            </w:r>
          </w:p>
          <w:p w14:paraId="666D420C"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3) Slovak Investment Holding od roku 2025 poskytuje podnikom podporu prostredníctvom </w:t>
            </w:r>
            <w:hyperlink r:id="rId128" w:history="1">
              <w:r w:rsidRPr="003F36D0">
                <w:rPr>
                  <w:rStyle w:val="Hypertextovprepojenie"/>
                  <w:rFonts w:ascii="Arial Narrow" w:hAnsi="Arial Narrow"/>
                  <w:sz w:val="15"/>
                  <w:szCs w:val="15"/>
                </w:rPr>
                <w:t>záručných úverov s grantovou zložkou</w:t>
              </w:r>
            </w:hyperlink>
            <w:r w:rsidRPr="00A46BD9">
              <w:rPr>
                <w:rFonts w:ascii="Arial Narrow" w:hAnsi="Arial Narrow"/>
                <w:sz w:val="15"/>
                <w:szCs w:val="15"/>
              </w:rPr>
              <w:t>. K 3</w:t>
            </w:r>
            <w:r>
              <w:rPr>
                <w:rFonts w:ascii="Arial Narrow" w:hAnsi="Arial Narrow"/>
                <w:sz w:val="15"/>
                <w:szCs w:val="15"/>
              </w:rPr>
              <w:t>1</w:t>
            </w:r>
            <w:r w:rsidRPr="00A46BD9">
              <w:rPr>
                <w:rFonts w:ascii="Arial Narrow" w:hAnsi="Arial Narrow"/>
                <w:sz w:val="15"/>
                <w:szCs w:val="15"/>
              </w:rPr>
              <w:t xml:space="preserve">. </w:t>
            </w:r>
            <w:r>
              <w:rPr>
                <w:rFonts w:ascii="Arial Narrow" w:hAnsi="Arial Narrow"/>
                <w:sz w:val="15"/>
                <w:szCs w:val="15"/>
              </w:rPr>
              <w:t>decem</w:t>
            </w:r>
            <w:r w:rsidRPr="00A46BD9">
              <w:rPr>
                <w:rFonts w:ascii="Arial Narrow" w:hAnsi="Arial Narrow"/>
                <w:sz w:val="15"/>
                <w:szCs w:val="15"/>
              </w:rPr>
              <w:t xml:space="preserve">bru 2025 bolo uzatvorených </w:t>
            </w:r>
            <w:r>
              <w:rPr>
                <w:rFonts w:ascii="Arial Narrow" w:hAnsi="Arial Narrow"/>
                <w:sz w:val="15"/>
                <w:szCs w:val="15"/>
              </w:rPr>
              <w:t>296</w:t>
            </w:r>
            <w:r w:rsidRPr="00A46BD9">
              <w:rPr>
                <w:rFonts w:ascii="Arial Narrow" w:hAnsi="Arial Narrow"/>
                <w:sz w:val="15"/>
                <w:szCs w:val="15"/>
              </w:rPr>
              <w:t xml:space="preserve"> úverov v celkovej zazmluvnenej sume približne </w:t>
            </w:r>
            <w:r>
              <w:rPr>
                <w:rFonts w:ascii="Arial Narrow" w:hAnsi="Arial Narrow"/>
                <w:sz w:val="15"/>
                <w:szCs w:val="15"/>
              </w:rPr>
              <w:t>85</w:t>
            </w:r>
            <w:r w:rsidRPr="00A46BD9">
              <w:rPr>
                <w:rFonts w:ascii="Arial Narrow" w:hAnsi="Arial Narrow"/>
                <w:sz w:val="15"/>
                <w:szCs w:val="15"/>
              </w:rPr>
              <w:t xml:space="preserve"> mil. eur.</w:t>
            </w:r>
          </w:p>
        </w:tc>
        <w:tc>
          <w:tcPr>
            <w:tcW w:w="737" w:type="dxa"/>
            <w:vAlign w:val="center"/>
          </w:tcPr>
          <w:p w14:paraId="088BACDD" w14:textId="77777777" w:rsidR="00AA20CF" w:rsidRPr="00EF7276" w:rsidRDefault="00AA20CF" w:rsidP="00CF3F52">
            <w:pPr>
              <w:tabs>
                <w:tab w:val="left" w:pos="1306"/>
              </w:tabs>
              <w:jc w:val="center"/>
              <w:rPr>
                <w:rFonts w:ascii="Arial Narrow" w:hAnsi="Arial Narrow"/>
                <w:sz w:val="12"/>
                <w:szCs w:val="12"/>
              </w:rPr>
            </w:pPr>
            <w:r>
              <w:rPr>
                <w:rFonts w:ascii="Arial Narrow" w:hAnsi="Arial Narrow"/>
                <w:sz w:val="12"/>
                <w:szCs w:val="12"/>
              </w:rPr>
              <w:t>POO/</w:t>
            </w:r>
            <w:r w:rsidRPr="00EF7276">
              <w:rPr>
                <w:rFonts w:ascii="Arial Narrow" w:hAnsi="Arial Narrow"/>
                <w:sz w:val="12"/>
                <w:szCs w:val="12"/>
              </w:rPr>
              <w:t>PSK</w:t>
            </w:r>
          </w:p>
        </w:tc>
        <w:tc>
          <w:tcPr>
            <w:tcW w:w="992" w:type="dxa"/>
            <w:vAlign w:val="center"/>
          </w:tcPr>
          <w:p w14:paraId="7173605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CSR.2025.4.3</w:t>
            </w:r>
          </w:p>
          <w:p w14:paraId="7243E37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CSR.2025.4.4</w:t>
            </w:r>
          </w:p>
          <w:p w14:paraId="3179270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CSR.2025.5.3</w:t>
            </w:r>
          </w:p>
        </w:tc>
        <w:tc>
          <w:tcPr>
            <w:tcW w:w="850" w:type="dxa"/>
            <w:vAlign w:val="center"/>
          </w:tcPr>
          <w:p w14:paraId="0FDA8A84" w14:textId="77777777" w:rsidR="00AA20CF" w:rsidRPr="00EF7276" w:rsidRDefault="00AA20CF" w:rsidP="00CF3F52">
            <w:pPr>
              <w:pStyle w:val="Default"/>
              <w:jc w:val="center"/>
              <w:rPr>
                <w:rFonts w:ascii="Arial Narrow" w:hAnsi="Arial Narrow"/>
                <w:sz w:val="12"/>
                <w:szCs w:val="12"/>
              </w:rPr>
            </w:pPr>
            <w:r w:rsidRPr="00EF7276">
              <w:rPr>
                <w:rFonts w:ascii="Arial Narrow" w:hAnsi="Arial Narrow"/>
                <w:sz w:val="12"/>
                <w:szCs w:val="12"/>
              </w:rPr>
              <w:t>Spravodlivá digitálna transformácia;</w:t>
            </w:r>
          </w:p>
          <w:p w14:paraId="4E00970F" w14:textId="77777777" w:rsidR="00AA20CF" w:rsidRPr="00EF7276" w:rsidRDefault="00AA20CF" w:rsidP="00CF3F52">
            <w:pPr>
              <w:pStyle w:val="Default"/>
              <w:jc w:val="center"/>
              <w:rPr>
                <w:rFonts w:ascii="Arial Narrow" w:hAnsi="Arial Narrow"/>
                <w:sz w:val="12"/>
                <w:szCs w:val="12"/>
              </w:rPr>
            </w:pPr>
            <w:r w:rsidRPr="00EF7276">
              <w:rPr>
                <w:rFonts w:ascii="Arial Narrow" w:hAnsi="Arial Narrow"/>
                <w:sz w:val="12"/>
                <w:szCs w:val="12"/>
              </w:rPr>
              <w:t>Posilnenie sociálnej a hospodárskej odolnosti</w:t>
            </w:r>
          </w:p>
        </w:tc>
        <w:tc>
          <w:tcPr>
            <w:tcW w:w="567" w:type="dxa"/>
            <w:vAlign w:val="center"/>
          </w:tcPr>
          <w:p w14:paraId="07B001A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8</w:t>
            </w:r>
          </w:p>
          <w:p w14:paraId="063B358A"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tc>
        <w:tc>
          <w:tcPr>
            <w:tcW w:w="709" w:type="dxa"/>
            <w:vAlign w:val="center"/>
          </w:tcPr>
          <w:p w14:paraId="28819D8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0F84952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6C79D85C" w14:textId="77777777" w:rsidTr="00CF3F52">
        <w:trPr>
          <w:trHeight w:val="263"/>
        </w:trPr>
        <w:tc>
          <w:tcPr>
            <w:tcW w:w="283" w:type="dxa"/>
            <w:vMerge/>
            <w:shd w:val="clear" w:color="auto" w:fill="E85477"/>
            <w:vAlign w:val="center"/>
          </w:tcPr>
          <w:p w14:paraId="5E0DFADB" w14:textId="77777777" w:rsidR="00AA20CF" w:rsidRPr="00A46BD9" w:rsidRDefault="00AA20CF" w:rsidP="00CF3F52">
            <w:pPr>
              <w:spacing w:line="140" w:lineRule="exact"/>
              <w:jc w:val="center"/>
              <w:rPr>
                <w:rFonts w:ascii="Arial Narrow" w:hAnsi="Arial Narrow"/>
                <w:b/>
                <w:sz w:val="16"/>
                <w:szCs w:val="16"/>
              </w:rPr>
            </w:pPr>
          </w:p>
        </w:tc>
        <w:tc>
          <w:tcPr>
            <w:tcW w:w="1247" w:type="dxa"/>
            <w:vAlign w:val="center"/>
          </w:tcPr>
          <w:p w14:paraId="595D9EF7"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21:</w:t>
            </w:r>
          </w:p>
          <w:p w14:paraId="77A849C9" w14:textId="77777777" w:rsidR="00AA20CF" w:rsidRPr="00A46BD9" w:rsidRDefault="00AA20CF" w:rsidP="00CF3F52">
            <w:pPr>
              <w:jc w:val="center"/>
              <w:rPr>
                <w:rFonts w:ascii="Arial Narrow" w:hAnsi="Arial Narrow"/>
                <w:b/>
                <w:sz w:val="15"/>
                <w:szCs w:val="15"/>
              </w:rPr>
            </w:pPr>
            <w:r w:rsidRPr="00A46BD9">
              <w:rPr>
                <w:rFonts w:ascii="Arial Narrow" w:hAnsi="Arial Narrow"/>
                <w:sz w:val="15"/>
                <w:szCs w:val="15"/>
              </w:rPr>
              <w:t>Investičný Plán Slovensko</w:t>
            </w:r>
          </w:p>
        </w:tc>
        <w:tc>
          <w:tcPr>
            <w:tcW w:w="2693" w:type="dxa"/>
          </w:tcPr>
          <w:p w14:paraId="0E239EFB" w14:textId="77777777" w:rsidR="00AA20CF" w:rsidRPr="00043686" w:rsidRDefault="00AA20CF" w:rsidP="00CF3F52">
            <w:pPr>
              <w:jc w:val="both"/>
              <w:rPr>
                <w:rFonts w:ascii="Arial Narrow" w:hAnsi="Arial Narrow"/>
                <w:sz w:val="15"/>
                <w:szCs w:val="15"/>
              </w:rPr>
            </w:pPr>
            <w:r w:rsidRPr="00A46BD9">
              <w:rPr>
                <w:rFonts w:ascii="Arial Narrow" w:hAnsi="Arial Narrow"/>
                <w:sz w:val="15"/>
                <w:szCs w:val="15"/>
              </w:rPr>
              <w:t xml:space="preserve">Cieľom plánu je posilniť stabilitu a predvídateľnosť investičného prostredia, zabezpečiť lepšiu a včasnejšiu prípravu na nadchádzajúce programové obdobie a tým zefektívniť využívanie zdrojov EU. Zároveň má plán </w:t>
            </w:r>
            <w:r w:rsidRPr="00043686">
              <w:rPr>
                <w:rFonts w:ascii="Arial Narrow" w:hAnsi="Arial Narrow"/>
                <w:sz w:val="15"/>
                <w:szCs w:val="15"/>
              </w:rPr>
              <w:t xml:space="preserve">poskytovať prehľadné a aktuálne informácie o stave prípravy a realizácie </w:t>
            </w:r>
            <w:r w:rsidRPr="00043686">
              <w:rPr>
                <w:rFonts w:ascii="Arial Narrow" w:hAnsi="Arial Narrow"/>
                <w:sz w:val="15"/>
                <w:szCs w:val="15"/>
              </w:rPr>
              <w:lastRenderedPageBreak/>
              <w:t>prioritných strategických investičných projektov.</w:t>
            </w:r>
          </w:p>
          <w:p w14:paraId="0796B983" w14:textId="77777777" w:rsidR="00AA20CF" w:rsidRPr="00A46BD9" w:rsidRDefault="00AA20CF" w:rsidP="00CF3F52">
            <w:pPr>
              <w:jc w:val="both"/>
              <w:rPr>
                <w:rFonts w:ascii="Arial Narrow" w:hAnsi="Arial Narrow"/>
                <w:sz w:val="15"/>
                <w:szCs w:val="15"/>
              </w:rPr>
            </w:pPr>
          </w:p>
          <w:p w14:paraId="3C577E27" w14:textId="77777777" w:rsidR="00AA20CF" w:rsidRPr="00A46BD9" w:rsidRDefault="00AA20CF" w:rsidP="00CF3F52">
            <w:pPr>
              <w:jc w:val="both"/>
              <w:rPr>
                <w:rFonts w:ascii="Arial Narrow" w:hAnsi="Arial Narrow"/>
                <w:sz w:val="15"/>
                <w:szCs w:val="15"/>
              </w:rPr>
            </w:pPr>
            <w:r w:rsidRPr="00E92FBF">
              <w:rPr>
                <w:rFonts w:ascii="Arial Narrow" w:hAnsi="Arial Narrow"/>
                <w:sz w:val="15"/>
                <w:szCs w:val="15"/>
              </w:rPr>
              <w:t xml:space="preserve">Vláda SR schválila 10. decembra 2025 </w:t>
            </w:r>
            <w:hyperlink r:id="rId129" w:history="1">
              <w:r w:rsidRPr="00043686">
                <w:rPr>
                  <w:rStyle w:val="Hypertextovprepojenie"/>
                  <w:rFonts w:ascii="Arial Narrow" w:hAnsi="Arial Narrow"/>
                  <w:sz w:val="15"/>
                  <w:szCs w:val="15"/>
                </w:rPr>
                <w:t>návrh na vytvorenie Investičného plánu Slovensko</w:t>
              </w:r>
            </w:hyperlink>
            <w:r w:rsidRPr="00E92FBF">
              <w:rPr>
                <w:rFonts w:ascii="Arial Narrow" w:hAnsi="Arial Narrow"/>
                <w:b/>
                <w:sz w:val="15"/>
                <w:szCs w:val="15"/>
              </w:rPr>
              <w:t>.</w:t>
            </w:r>
            <w:r w:rsidRPr="00E92FBF">
              <w:rPr>
                <w:rFonts w:ascii="Arial Narrow" w:hAnsi="Arial Narrow"/>
                <w:sz w:val="15"/>
                <w:szCs w:val="15"/>
              </w:rPr>
              <w:t xml:space="preserve"> Príprava plánu prebieha v dvoch krokoch: identifikácia prioritných investičných potrieb a zámerov (1. štvrťrok 2026) a</w:t>
            </w:r>
            <w:r w:rsidRPr="00A46BD9">
              <w:rPr>
                <w:rFonts w:ascii="Arial Narrow" w:hAnsi="Arial Narrow"/>
                <w:sz w:val="15"/>
                <w:szCs w:val="15"/>
              </w:rPr>
              <w:t xml:space="preserve"> ich následná priorizácia (2. štvrťrok 2026). Predloženie finálneho materiálu na rokovanie vlády SR sa očakáva do 31. marca 2027.</w:t>
            </w:r>
          </w:p>
        </w:tc>
        <w:tc>
          <w:tcPr>
            <w:tcW w:w="737" w:type="dxa"/>
            <w:vAlign w:val="center"/>
          </w:tcPr>
          <w:p w14:paraId="038F746A"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lastRenderedPageBreak/>
              <w:t>-</w:t>
            </w:r>
          </w:p>
        </w:tc>
        <w:tc>
          <w:tcPr>
            <w:tcW w:w="992" w:type="dxa"/>
            <w:vAlign w:val="center"/>
          </w:tcPr>
          <w:p w14:paraId="3171BC9B"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CSR.2025.2.1</w:t>
            </w:r>
          </w:p>
          <w:p w14:paraId="735D65B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CSR.2025.3.6</w:t>
            </w:r>
          </w:p>
        </w:tc>
        <w:tc>
          <w:tcPr>
            <w:tcW w:w="850" w:type="dxa"/>
            <w:vAlign w:val="center"/>
          </w:tcPr>
          <w:p w14:paraId="611319E8" w14:textId="77777777" w:rsidR="00AA20CF" w:rsidRPr="00EF7276" w:rsidRDefault="00AA20CF" w:rsidP="00CF3F52">
            <w:pPr>
              <w:pStyle w:val="Default"/>
              <w:jc w:val="center"/>
              <w:rPr>
                <w:rFonts w:ascii="Arial Narrow" w:hAnsi="Arial Narrow"/>
                <w:sz w:val="12"/>
                <w:szCs w:val="12"/>
              </w:rPr>
            </w:pPr>
            <w:r w:rsidRPr="00EF7276">
              <w:rPr>
                <w:rFonts w:ascii="Arial Narrow" w:hAnsi="Arial Narrow"/>
                <w:sz w:val="12"/>
                <w:szCs w:val="12"/>
              </w:rPr>
              <w:t>Posilnenie sociálnej a</w:t>
            </w:r>
            <w:r w:rsidRPr="00EF7276">
              <w:rPr>
                <w:rFonts w:ascii="Arial Narrow" w:hAnsi="Arial Narrow"/>
                <w:sz w:val="12"/>
                <w:szCs w:val="12"/>
              </w:rPr>
              <w:br/>
              <w:t xml:space="preserve">hospodárskej odolnosti </w:t>
            </w:r>
          </w:p>
          <w:p w14:paraId="34D5B49F" w14:textId="77777777" w:rsidR="00AA20CF" w:rsidRPr="00EF7276" w:rsidRDefault="00AA20CF" w:rsidP="00CF3F52">
            <w:pPr>
              <w:pStyle w:val="Default"/>
              <w:jc w:val="center"/>
              <w:rPr>
                <w:rFonts w:ascii="Arial Narrow" w:hAnsi="Arial Narrow"/>
                <w:sz w:val="12"/>
                <w:szCs w:val="12"/>
              </w:rPr>
            </w:pPr>
          </w:p>
        </w:tc>
        <w:tc>
          <w:tcPr>
            <w:tcW w:w="567" w:type="dxa"/>
            <w:vAlign w:val="center"/>
          </w:tcPr>
          <w:p w14:paraId="057EFB5A"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3</w:t>
            </w:r>
          </w:p>
          <w:p w14:paraId="737D590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6</w:t>
            </w:r>
          </w:p>
          <w:p w14:paraId="2ACD374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7</w:t>
            </w:r>
          </w:p>
          <w:p w14:paraId="1DCDD76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8</w:t>
            </w:r>
          </w:p>
          <w:p w14:paraId="7CCCC6D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9</w:t>
            </w:r>
          </w:p>
          <w:p w14:paraId="56F4B95C"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11</w:t>
            </w:r>
          </w:p>
          <w:p w14:paraId="0577F27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12</w:t>
            </w:r>
          </w:p>
          <w:p w14:paraId="659E66BF" w14:textId="77777777" w:rsidR="00AA20CF" w:rsidRPr="00EF7276" w:rsidRDefault="00AA20CF" w:rsidP="00CF3F52">
            <w:pPr>
              <w:jc w:val="center"/>
              <w:rPr>
                <w:rFonts w:ascii="Arial Narrow" w:hAnsi="Arial Narrow"/>
                <w:sz w:val="12"/>
                <w:szCs w:val="12"/>
              </w:rPr>
            </w:pPr>
          </w:p>
        </w:tc>
        <w:tc>
          <w:tcPr>
            <w:tcW w:w="709" w:type="dxa"/>
            <w:vAlign w:val="center"/>
          </w:tcPr>
          <w:p w14:paraId="08D89637" w14:textId="77777777" w:rsidR="00AA20CF" w:rsidRPr="00EF7276" w:rsidRDefault="00AA20CF" w:rsidP="00CF3F52">
            <w:pPr>
              <w:jc w:val="center"/>
              <w:rPr>
                <w:rFonts w:ascii="Arial Narrow" w:hAnsi="Arial Narrow"/>
                <w:sz w:val="12"/>
                <w:szCs w:val="12"/>
              </w:rPr>
            </w:pPr>
            <w:r w:rsidRPr="00EF7276">
              <w:rPr>
                <w:sz w:val="12"/>
                <w:szCs w:val="12"/>
              </w:rPr>
              <w:t>Z</w:t>
            </w:r>
            <w:r w:rsidRPr="00EF7276">
              <w:rPr>
                <w:rFonts w:ascii="Arial Narrow" w:hAnsi="Arial Narrow"/>
                <w:sz w:val="12"/>
                <w:szCs w:val="12"/>
              </w:rPr>
              <w:t>ásada 20</w:t>
            </w:r>
          </w:p>
          <w:p w14:paraId="780773E0" w14:textId="77777777" w:rsidR="00AA20CF" w:rsidRPr="00EF7276" w:rsidRDefault="00AA20CF" w:rsidP="00CF3F52">
            <w:pPr>
              <w:jc w:val="center"/>
              <w:rPr>
                <w:rFonts w:ascii="Arial Narrow" w:hAnsi="Arial Narrow"/>
                <w:sz w:val="12"/>
                <w:szCs w:val="12"/>
              </w:rPr>
            </w:pPr>
          </w:p>
        </w:tc>
        <w:tc>
          <w:tcPr>
            <w:tcW w:w="992" w:type="dxa"/>
            <w:vAlign w:val="center"/>
          </w:tcPr>
          <w:p w14:paraId="50F5458B" w14:textId="77777777" w:rsidR="00AA20CF" w:rsidRPr="00EF7276" w:rsidRDefault="00AA20CF" w:rsidP="00CF3F52">
            <w:pPr>
              <w:jc w:val="center"/>
              <w:rPr>
                <w:rFonts w:ascii="Arial Narrow" w:hAnsi="Arial Narrow"/>
                <w:sz w:val="12"/>
                <w:szCs w:val="12"/>
              </w:rPr>
            </w:pPr>
            <w:r>
              <w:rPr>
                <w:rFonts w:ascii="Arial Narrow" w:hAnsi="Arial Narrow"/>
                <w:sz w:val="12"/>
                <w:szCs w:val="12"/>
              </w:rPr>
              <w:t>Implementácia prebieha</w:t>
            </w:r>
          </w:p>
        </w:tc>
      </w:tr>
      <w:tr w:rsidR="00AA20CF" w:rsidRPr="00A46BD9" w14:paraId="3D1C1250" w14:textId="77777777" w:rsidTr="00CF3F52">
        <w:trPr>
          <w:trHeight w:val="263"/>
        </w:trPr>
        <w:tc>
          <w:tcPr>
            <w:tcW w:w="283" w:type="dxa"/>
            <w:shd w:val="clear" w:color="auto" w:fill="7D5207"/>
            <w:textDirection w:val="btLr"/>
            <w:vAlign w:val="center"/>
          </w:tcPr>
          <w:p w14:paraId="196E2CB9" w14:textId="77777777" w:rsidR="00AA20CF" w:rsidRPr="00A46BD9" w:rsidRDefault="00AA20CF" w:rsidP="00CF3F52">
            <w:pPr>
              <w:spacing w:line="140" w:lineRule="exact"/>
              <w:ind w:left="113" w:right="113"/>
              <w:jc w:val="center"/>
              <w:rPr>
                <w:rFonts w:ascii="Arial Narrow" w:hAnsi="Arial Narrow"/>
                <w:b/>
                <w:color w:val="FFFFFF" w:themeColor="background1"/>
                <w:sz w:val="16"/>
                <w:szCs w:val="16"/>
              </w:rPr>
            </w:pPr>
          </w:p>
        </w:tc>
        <w:tc>
          <w:tcPr>
            <w:tcW w:w="1247" w:type="dxa"/>
            <w:vAlign w:val="center"/>
          </w:tcPr>
          <w:p w14:paraId="32B66CE1"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Reformy 28:</w:t>
            </w:r>
          </w:p>
          <w:p w14:paraId="1B7BCC02" w14:textId="77777777" w:rsidR="00AA20CF" w:rsidRPr="00A46BD9" w:rsidRDefault="00AA20CF" w:rsidP="00CF3F52">
            <w:pPr>
              <w:jc w:val="center"/>
              <w:rPr>
                <w:rFonts w:ascii="Arial Narrow" w:hAnsi="Arial Narrow"/>
                <w:sz w:val="15"/>
                <w:szCs w:val="15"/>
              </w:rPr>
            </w:pPr>
            <w:r w:rsidRPr="00A46BD9">
              <w:rPr>
                <w:rFonts w:ascii="Arial Narrow" w:hAnsi="Arial Narrow"/>
                <w:sz w:val="15"/>
                <w:szCs w:val="15"/>
              </w:rPr>
              <w:t>Koordinácia verejných politík v oblasti prevencie a ukončovania bezdomovstva</w:t>
            </w:r>
          </w:p>
        </w:tc>
        <w:tc>
          <w:tcPr>
            <w:tcW w:w="2693" w:type="dxa"/>
          </w:tcPr>
          <w:p w14:paraId="774E1B26" w14:textId="77777777" w:rsidR="00AA20CF" w:rsidRPr="00140B99" w:rsidRDefault="00AA20CF" w:rsidP="00CF3F52">
            <w:pPr>
              <w:jc w:val="both"/>
              <w:rPr>
                <w:rFonts w:ascii="Arial Narrow" w:hAnsi="Arial Narrow"/>
                <w:sz w:val="15"/>
                <w:szCs w:val="15"/>
              </w:rPr>
            </w:pPr>
            <w:r w:rsidRPr="00140B99">
              <w:rPr>
                <w:rFonts w:ascii="Arial Narrow" w:hAnsi="Arial Narrow"/>
                <w:sz w:val="15"/>
                <w:szCs w:val="15"/>
              </w:rPr>
              <w:t>Cieľom opatrenia je vytvorenie nadrezortného koordinačného útvaru v oblasti bezdomovstva, ktorý zabezpečí spoluprácu medzi rezortami, samosprávami a mimovládnymi organizáciami.</w:t>
            </w:r>
          </w:p>
          <w:p w14:paraId="0A748A60" w14:textId="77777777" w:rsidR="00AA20CF" w:rsidRPr="00A46BD9" w:rsidRDefault="00AA20CF" w:rsidP="00CF3F52">
            <w:pPr>
              <w:jc w:val="both"/>
              <w:rPr>
                <w:rFonts w:ascii="Arial Narrow" w:hAnsi="Arial Narrow"/>
                <w:sz w:val="15"/>
                <w:szCs w:val="15"/>
              </w:rPr>
            </w:pPr>
          </w:p>
          <w:p w14:paraId="33ED4B3C"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Predloženie návrhu na zriadenie samostatného nadrezortného útvaru na koordináciu a financovanie opatrení proti bezdomovstvu sa očakáva v roku 2026 v súlade s </w:t>
            </w:r>
            <w:hyperlink r:id="rId130" w:history="1">
              <w:r w:rsidRPr="00A46BD9">
                <w:rPr>
                  <w:rStyle w:val="Hypertextovprepojenie"/>
                  <w:rFonts w:ascii="Arial Narrow" w:hAnsi="Arial Narrow"/>
                  <w:sz w:val="15"/>
                  <w:szCs w:val="15"/>
                </w:rPr>
                <w:t>Akčným plánom Národnej koncepcie prevencie a ukončovania bezdomovstva na roky 2024 – 2026</w:t>
              </w:r>
            </w:hyperlink>
            <w:r w:rsidRPr="00A46BD9">
              <w:rPr>
                <w:rFonts w:ascii="Arial Narrow" w:hAnsi="Arial Narrow"/>
                <w:sz w:val="15"/>
                <w:szCs w:val="15"/>
              </w:rPr>
              <w:t>.</w:t>
            </w:r>
          </w:p>
        </w:tc>
        <w:tc>
          <w:tcPr>
            <w:tcW w:w="737" w:type="dxa"/>
            <w:vAlign w:val="center"/>
          </w:tcPr>
          <w:p w14:paraId="316C05C7"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182679F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CSR.2025.1.8</w:t>
            </w:r>
          </w:p>
          <w:p w14:paraId="17229875"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CSR.2025.3.6</w:t>
            </w:r>
          </w:p>
        </w:tc>
        <w:tc>
          <w:tcPr>
            <w:tcW w:w="850" w:type="dxa"/>
            <w:vAlign w:val="center"/>
          </w:tcPr>
          <w:p w14:paraId="253F872A" w14:textId="77777777" w:rsidR="00AA20CF" w:rsidRPr="00EF7276" w:rsidRDefault="00AA20CF" w:rsidP="00CF3F52">
            <w:pPr>
              <w:pStyle w:val="Default"/>
              <w:jc w:val="center"/>
              <w:rPr>
                <w:rFonts w:ascii="Arial Narrow" w:hAnsi="Arial Narrow" w:cstheme="minorBidi"/>
                <w:color w:val="auto"/>
                <w:sz w:val="12"/>
                <w:szCs w:val="12"/>
              </w:rPr>
            </w:pPr>
            <w:r w:rsidRPr="00EF7276">
              <w:rPr>
                <w:rFonts w:ascii="Arial Narrow" w:hAnsi="Arial Narrow"/>
                <w:sz w:val="12"/>
                <w:szCs w:val="12"/>
              </w:rPr>
              <w:t>Posilnenie sociálnej a hospodárskej odolnosti</w:t>
            </w:r>
          </w:p>
        </w:tc>
        <w:tc>
          <w:tcPr>
            <w:tcW w:w="567" w:type="dxa"/>
            <w:vAlign w:val="center"/>
          </w:tcPr>
          <w:p w14:paraId="113114C0"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w:t>
            </w:r>
          </w:p>
          <w:p w14:paraId="22F5CFF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10</w:t>
            </w:r>
          </w:p>
          <w:p w14:paraId="4B37CB69"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11</w:t>
            </w:r>
          </w:p>
        </w:tc>
        <w:tc>
          <w:tcPr>
            <w:tcW w:w="709" w:type="dxa"/>
            <w:vAlign w:val="center"/>
          </w:tcPr>
          <w:p w14:paraId="36835A1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19</w:t>
            </w:r>
          </w:p>
          <w:p w14:paraId="6823906C"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20</w:t>
            </w:r>
          </w:p>
        </w:tc>
        <w:tc>
          <w:tcPr>
            <w:tcW w:w="992" w:type="dxa"/>
            <w:vAlign w:val="center"/>
          </w:tcPr>
          <w:p w14:paraId="3768734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07335859" w14:textId="77777777" w:rsidTr="00CF3F52">
        <w:trPr>
          <w:trHeight w:val="263"/>
        </w:trPr>
        <w:tc>
          <w:tcPr>
            <w:tcW w:w="283" w:type="dxa"/>
            <w:vMerge w:val="restart"/>
            <w:shd w:val="clear" w:color="auto" w:fill="7D5207"/>
            <w:textDirection w:val="btLr"/>
            <w:vAlign w:val="center"/>
          </w:tcPr>
          <w:p w14:paraId="78F74985" w14:textId="77777777" w:rsidR="00AA20CF" w:rsidRPr="00A46BD9" w:rsidRDefault="00AA20CF" w:rsidP="00CF3F52">
            <w:pPr>
              <w:spacing w:line="140" w:lineRule="exact"/>
              <w:jc w:val="center"/>
              <w:rPr>
                <w:rFonts w:ascii="Arial Narrow" w:hAnsi="Arial Narrow"/>
                <w:b/>
                <w:sz w:val="16"/>
                <w:szCs w:val="16"/>
              </w:rPr>
            </w:pPr>
            <w:r w:rsidRPr="00A46BD9">
              <w:rPr>
                <w:rFonts w:ascii="Arial Narrow" w:hAnsi="Arial Narrow"/>
                <w:b/>
                <w:color w:val="FFFFFF" w:themeColor="background1"/>
                <w:sz w:val="16"/>
                <w:szCs w:val="16"/>
              </w:rPr>
              <w:t>Trh práce, sociálne veci a bývanie</w:t>
            </w:r>
          </w:p>
        </w:tc>
        <w:tc>
          <w:tcPr>
            <w:tcW w:w="1247" w:type="dxa"/>
            <w:vAlign w:val="center"/>
          </w:tcPr>
          <w:p w14:paraId="41CC77F1"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Reformy 29:</w:t>
            </w:r>
          </w:p>
          <w:p w14:paraId="5C221F82" w14:textId="77777777" w:rsidR="00AA20CF" w:rsidRPr="00A46BD9" w:rsidRDefault="00AA20CF" w:rsidP="00CF3F52">
            <w:pPr>
              <w:jc w:val="center"/>
              <w:rPr>
                <w:rFonts w:ascii="Arial Narrow" w:hAnsi="Arial Narrow"/>
                <w:sz w:val="15"/>
                <w:szCs w:val="15"/>
              </w:rPr>
            </w:pPr>
            <w:r w:rsidRPr="00A46BD9">
              <w:rPr>
                <w:rFonts w:ascii="Arial Narrow" w:hAnsi="Arial Narrow"/>
                <w:sz w:val="15"/>
                <w:szCs w:val="15"/>
              </w:rPr>
              <w:t>Rozvoj zručností pre potreby trhu práce</w:t>
            </w:r>
          </w:p>
        </w:tc>
        <w:tc>
          <w:tcPr>
            <w:tcW w:w="2693" w:type="dxa"/>
          </w:tcPr>
          <w:p w14:paraId="241F9898"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Prvý národný projekt (30 mil. eur) posilní úlohu Aliancie sektorových rád (ASR) pri predikcii potrieb trhu a nedostatkových profesií. Druhý (42,2 mil. eur) podporí rozvoj zručností a rekvalifikáciu uchádzačov o zamestnanie, záujemcov o zamestnanie a mladých uchádzačov o zamestnanie do 30 rokov v situácii NEET.</w:t>
            </w:r>
          </w:p>
          <w:p w14:paraId="6B2DB4F1" w14:textId="77777777" w:rsidR="00AA20CF" w:rsidRPr="00A46BD9" w:rsidRDefault="00AA20CF" w:rsidP="00CF3F52">
            <w:pPr>
              <w:jc w:val="both"/>
              <w:rPr>
                <w:rFonts w:ascii="Arial Narrow" w:hAnsi="Arial Narrow"/>
                <w:sz w:val="15"/>
                <w:szCs w:val="15"/>
              </w:rPr>
            </w:pPr>
          </w:p>
          <w:p w14:paraId="53836475" w14:textId="77777777" w:rsidR="00AA20CF" w:rsidRPr="00A46BD9" w:rsidRDefault="00AA20CF" w:rsidP="00CF3F52">
            <w:pPr>
              <w:jc w:val="both"/>
              <w:rPr>
                <w:rFonts w:ascii="Arial Narrow" w:hAnsi="Arial Narrow"/>
                <w:sz w:val="15"/>
                <w:szCs w:val="15"/>
              </w:rPr>
            </w:pPr>
            <w:hyperlink r:id="rId131" w:history="1">
              <w:r w:rsidRPr="00A46BD9">
                <w:rPr>
                  <w:rStyle w:val="Hypertextovprepojenie"/>
                  <w:rFonts w:ascii="Arial Narrow" w:hAnsi="Arial Narrow"/>
                  <w:sz w:val="15"/>
                  <w:szCs w:val="15"/>
                </w:rPr>
                <w:t>Národný projekt ASR</w:t>
              </w:r>
            </w:hyperlink>
            <w:r w:rsidRPr="00A46BD9">
              <w:rPr>
                <w:rFonts w:ascii="Arial Narrow" w:hAnsi="Arial Narrow"/>
                <w:sz w:val="15"/>
                <w:szCs w:val="15"/>
              </w:rPr>
              <w:t xml:space="preserve"> sa realizuje od októbra 2023, pričom jedným z jeho kľúčových výstupov je tvorba </w:t>
            </w:r>
            <w:hyperlink r:id="rId132" w:history="1">
              <w:r w:rsidRPr="00A46BD9">
                <w:rPr>
                  <w:rStyle w:val="Hypertextovprepojenie"/>
                  <w:rFonts w:ascii="Arial Narrow" w:hAnsi="Arial Narrow"/>
                  <w:sz w:val="15"/>
                  <w:szCs w:val="15"/>
                </w:rPr>
                <w:t>stratégií rozvoja ľudských zdrojov v jednotlivých sektoroch</w:t>
              </w:r>
            </w:hyperlink>
            <w:r w:rsidRPr="00A46BD9">
              <w:t xml:space="preserve"> </w:t>
            </w:r>
            <w:r w:rsidRPr="00A46BD9">
              <w:rPr>
                <w:rFonts w:ascii="Arial Narrow" w:hAnsi="Arial Narrow"/>
                <w:sz w:val="15"/>
                <w:szCs w:val="15"/>
              </w:rPr>
              <w:t xml:space="preserve">a pravidelne aktualizovaný </w:t>
            </w:r>
            <w:hyperlink r:id="rId133" w:history="1">
              <w:r w:rsidRPr="00A46BD9">
                <w:rPr>
                  <w:rStyle w:val="Hypertextovprepojenie"/>
                  <w:rFonts w:ascii="Arial Narrow" w:hAnsi="Arial Narrow"/>
                  <w:sz w:val="15"/>
                  <w:szCs w:val="15"/>
                </w:rPr>
                <w:t>prehľad nedostatkových profesií</w:t>
              </w:r>
            </w:hyperlink>
            <w:r w:rsidRPr="00A46BD9">
              <w:rPr>
                <w:rFonts w:ascii="Arial Narrow" w:hAnsi="Arial Narrow"/>
                <w:sz w:val="15"/>
                <w:szCs w:val="15"/>
              </w:rPr>
              <w:t xml:space="preserve">. Národný projekt </w:t>
            </w:r>
            <w:hyperlink r:id="rId134" w:anchor="about-project" w:history="1">
              <w:r w:rsidRPr="00A46BD9">
                <w:rPr>
                  <w:rStyle w:val="Hypertextovprepojenie"/>
                  <w:rFonts w:ascii="Arial Narrow" w:hAnsi="Arial Narrow"/>
                  <w:sz w:val="15"/>
                  <w:szCs w:val="15"/>
                </w:rPr>
                <w:t>Zručnosti pre trh práce</w:t>
              </w:r>
            </w:hyperlink>
            <w:r w:rsidRPr="00A46BD9">
              <w:rPr>
                <w:rFonts w:ascii="Arial Narrow" w:hAnsi="Arial Narrow"/>
                <w:sz w:val="15"/>
                <w:szCs w:val="15"/>
              </w:rPr>
              <w:t xml:space="preserve"> začal v apríli 2024 a jeho realizácia bola predĺžená z marca 2026 do decembra 2027. </w:t>
            </w:r>
          </w:p>
        </w:tc>
        <w:tc>
          <w:tcPr>
            <w:tcW w:w="737" w:type="dxa"/>
            <w:vAlign w:val="center"/>
          </w:tcPr>
          <w:p w14:paraId="72B1AD59"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PSK</w:t>
            </w:r>
          </w:p>
        </w:tc>
        <w:tc>
          <w:tcPr>
            <w:tcW w:w="992" w:type="dxa"/>
            <w:vAlign w:val="center"/>
          </w:tcPr>
          <w:p w14:paraId="25542F29"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CSR.2025.6.1</w:t>
            </w:r>
          </w:p>
          <w:p w14:paraId="29A20D3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CSR.2025.6.6</w:t>
            </w:r>
          </w:p>
        </w:tc>
        <w:tc>
          <w:tcPr>
            <w:tcW w:w="850" w:type="dxa"/>
            <w:vAlign w:val="center"/>
          </w:tcPr>
          <w:p w14:paraId="48E2B2BA" w14:textId="77777777" w:rsidR="00AA20CF" w:rsidRPr="00EF7276" w:rsidRDefault="00AA20CF" w:rsidP="00CF3F52">
            <w:pPr>
              <w:pStyle w:val="Default"/>
              <w:jc w:val="center"/>
              <w:rPr>
                <w:rFonts w:ascii="Arial Narrow" w:hAnsi="Arial Narrow"/>
                <w:sz w:val="12"/>
                <w:szCs w:val="12"/>
              </w:rPr>
            </w:pPr>
            <w:r w:rsidRPr="00EF7276">
              <w:rPr>
                <w:rFonts w:ascii="Arial Narrow" w:hAnsi="Arial Narrow"/>
                <w:sz w:val="12"/>
                <w:szCs w:val="12"/>
              </w:rPr>
              <w:t>Posilnenie sociálnej a hospodárskej odolnosti;</w:t>
            </w:r>
          </w:p>
          <w:p w14:paraId="3BEF740B" w14:textId="77777777" w:rsidR="00AA20CF" w:rsidRPr="00EF7276" w:rsidRDefault="00AA20CF" w:rsidP="00CF3F52">
            <w:pPr>
              <w:pStyle w:val="Default"/>
              <w:jc w:val="center"/>
              <w:rPr>
                <w:rFonts w:ascii="Arial Narrow" w:hAnsi="Arial Narrow" w:cstheme="minorBidi"/>
                <w:color w:val="auto"/>
                <w:sz w:val="12"/>
                <w:szCs w:val="12"/>
              </w:rPr>
            </w:pPr>
            <w:r w:rsidRPr="00EF7276">
              <w:rPr>
                <w:rFonts w:ascii="Arial Narrow" w:hAnsi="Arial Narrow" w:cstheme="minorBidi"/>
                <w:color w:val="auto"/>
                <w:sz w:val="12"/>
                <w:szCs w:val="12"/>
              </w:rPr>
              <w:t>Spravodlivá digitálna transformácia</w:t>
            </w:r>
          </w:p>
        </w:tc>
        <w:tc>
          <w:tcPr>
            <w:tcW w:w="567" w:type="dxa"/>
            <w:vAlign w:val="center"/>
          </w:tcPr>
          <w:p w14:paraId="6C43A81B"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4</w:t>
            </w:r>
          </w:p>
          <w:p w14:paraId="7A94F30A"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8</w:t>
            </w:r>
          </w:p>
          <w:p w14:paraId="3F3CC1BE"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10</w:t>
            </w:r>
          </w:p>
        </w:tc>
        <w:tc>
          <w:tcPr>
            <w:tcW w:w="709" w:type="dxa"/>
            <w:vAlign w:val="center"/>
          </w:tcPr>
          <w:p w14:paraId="18E15A49"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1</w:t>
            </w:r>
          </w:p>
          <w:p w14:paraId="18516835"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 xml:space="preserve">Zásada 3 </w:t>
            </w:r>
          </w:p>
          <w:p w14:paraId="061769E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4</w:t>
            </w:r>
          </w:p>
          <w:p w14:paraId="4B45D885"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5</w:t>
            </w:r>
          </w:p>
          <w:p w14:paraId="519042DA"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20</w:t>
            </w:r>
          </w:p>
        </w:tc>
        <w:tc>
          <w:tcPr>
            <w:tcW w:w="992" w:type="dxa"/>
            <w:vAlign w:val="center"/>
          </w:tcPr>
          <w:p w14:paraId="26618B8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50FD0411" w14:textId="77777777" w:rsidTr="00CF3F52">
        <w:trPr>
          <w:trHeight w:val="263"/>
        </w:trPr>
        <w:tc>
          <w:tcPr>
            <w:tcW w:w="283" w:type="dxa"/>
            <w:vMerge/>
            <w:shd w:val="clear" w:color="auto" w:fill="7D5207"/>
            <w:vAlign w:val="center"/>
          </w:tcPr>
          <w:p w14:paraId="57D103AE" w14:textId="77777777" w:rsidR="00AA20CF" w:rsidRPr="00A46BD9" w:rsidRDefault="00AA20CF" w:rsidP="00CF3F52">
            <w:pPr>
              <w:spacing w:line="140" w:lineRule="exact"/>
              <w:jc w:val="center"/>
              <w:rPr>
                <w:rFonts w:ascii="Arial Narrow" w:hAnsi="Arial Narrow"/>
                <w:b/>
                <w:sz w:val="16"/>
                <w:szCs w:val="16"/>
              </w:rPr>
            </w:pPr>
          </w:p>
        </w:tc>
        <w:tc>
          <w:tcPr>
            <w:tcW w:w="1247" w:type="dxa"/>
            <w:vAlign w:val="center"/>
          </w:tcPr>
          <w:p w14:paraId="088710A4"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Investícia 4:</w:t>
            </w:r>
          </w:p>
          <w:p w14:paraId="409622AB" w14:textId="77777777" w:rsidR="00AA20CF" w:rsidRPr="00A46BD9" w:rsidRDefault="00AA20CF" w:rsidP="00CF3F52">
            <w:pPr>
              <w:jc w:val="center"/>
              <w:rPr>
                <w:rFonts w:ascii="Arial Narrow" w:hAnsi="Arial Narrow"/>
                <w:b/>
                <w:sz w:val="15"/>
                <w:szCs w:val="15"/>
              </w:rPr>
            </w:pPr>
            <w:r w:rsidRPr="00A46BD9">
              <w:rPr>
                <w:rFonts w:ascii="Arial Narrow" w:hAnsi="Arial Narrow"/>
                <w:sz w:val="15"/>
                <w:szCs w:val="15"/>
              </w:rPr>
              <w:t>Šanca na návrat 2</w:t>
            </w:r>
          </w:p>
        </w:tc>
        <w:tc>
          <w:tcPr>
            <w:tcW w:w="2693" w:type="dxa"/>
          </w:tcPr>
          <w:p w14:paraId="5ABCD1B6"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Zámerom </w:t>
            </w:r>
            <w:hyperlink r:id="rId135" w:history="1">
              <w:r w:rsidRPr="00A46BD9">
                <w:rPr>
                  <w:rStyle w:val="Hypertextovprepojenie"/>
                  <w:rFonts w:ascii="Arial Narrow" w:hAnsi="Arial Narrow"/>
                  <w:sz w:val="15"/>
                  <w:szCs w:val="15"/>
                </w:rPr>
                <w:t>projektu</w:t>
              </w:r>
            </w:hyperlink>
            <w:r w:rsidRPr="00A46BD9">
              <w:rPr>
                <w:rFonts w:ascii="Arial Narrow" w:hAnsi="Arial Narrow"/>
                <w:sz w:val="15"/>
                <w:szCs w:val="15"/>
              </w:rPr>
              <w:t xml:space="preserve"> s alokáciou takmer 18 mil. eur je resocializácia a posilnenie kompetencií odsúdených s cieľom ich začlenenia do spoločnosti. Projekt nadväzuje na predošlú investíciu (Šanca na návrat 1) a odsúdeným ponúka  komplexnú podporu (napr. poradenské služby a vzdelávanie) na zníženie rizika sociálneho vylúčenia a zlepšenie uplatnenia na trhu práce.</w:t>
            </w:r>
          </w:p>
          <w:p w14:paraId="18C619EC" w14:textId="77777777" w:rsidR="00AA20CF" w:rsidRPr="00A46BD9" w:rsidRDefault="00AA20CF" w:rsidP="00CF3F52">
            <w:pPr>
              <w:jc w:val="both"/>
              <w:rPr>
                <w:rFonts w:ascii="Arial Narrow" w:hAnsi="Arial Narrow"/>
                <w:sz w:val="15"/>
                <w:szCs w:val="15"/>
              </w:rPr>
            </w:pPr>
          </w:p>
          <w:p w14:paraId="02DD2E4E"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Projekt prebieha podľa plánu. Do konca roka 2025 úspešne ukončilo intervenciu 2227 odsúdených (cieľom je zapojiť 4 600 klientov do roku 2029), ktorým bola poskytnutá komplexná podpora zameraná na ich resocializáciu a uplatnenie na trhu práce. Od roku 2026 sa projekt postupne rozširuje zapojením ďalších pracovníkov poskytujúcich podporu v jednotlivých ústavoch na výkon trestu odňatia slobody.</w:t>
            </w:r>
          </w:p>
        </w:tc>
        <w:tc>
          <w:tcPr>
            <w:tcW w:w="737" w:type="dxa"/>
            <w:vAlign w:val="center"/>
          </w:tcPr>
          <w:p w14:paraId="7A462952"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PSK</w:t>
            </w:r>
          </w:p>
        </w:tc>
        <w:tc>
          <w:tcPr>
            <w:tcW w:w="992" w:type="dxa"/>
            <w:vAlign w:val="center"/>
          </w:tcPr>
          <w:p w14:paraId="70AC177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CSR.2025.6.1</w:t>
            </w:r>
          </w:p>
          <w:p w14:paraId="150D178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CSR.2025.6.6</w:t>
            </w:r>
          </w:p>
        </w:tc>
        <w:tc>
          <w:tcPr>
            <w:tcW w:w="850" w:type="dxa"/>
            <w:vAlign w:val="center"/>
          </w:tcPr>
          <w:p w14:paraId="324D8F02" w14:textId="77777777" w:rsidR="00AA20CF" w:rsidRPr="00EF7276" w:rsidRDefault="00AA20CF" w:rsidP="00CF3F52">
            <w:pPr>
              <w:jc w:val="center"/>
              <w:rPr>
                <w:sz w:val="12"/>
                <w:szCs w:val="12"/>
              </w:rPr>
            </w:pPr>
            <w:r w:rsidRPr="00EF7276">
              <w:rPr>
                <w:rFonts w:ascii="Arial Narrow" w:hAnsi="Arial Narrow"/>
                <w:sz w:val="12"/>
                <w:szCs w:val="12"/>
              </w:rPr>
              <w:t>Posilnenie sociálnej a hospodárskej odolnosti</w:t>
            </w:r>
          </w:p>
        </w:tc>
        <w:tc>
          <w:tcPr>
            <w:tcW w:w="567" w:type="dxa"/>
            <w:vAlign w:val="center"/>
          </w:tcPr>
          <w:p w14:paraId="6474133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8</w:t>
            </w:r>
          </w:p>
          <w:p w14:paraId="54114C5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10</w:t>
            </w:r>
          </w:p>
          <w:p w14:paraId="36AA840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16</w:t>
            </w:r>
          </w:p>
          <w:p w14:paraId="46976232" w14:textId="77777777" w:rsidR="00AA20CF" w:rsidRPr="00EF7276" w:rsidRDefault="00AA20CF" w:rsidP="00CF3F52">
            <w:pPr>
              <w:rPr>
                <w:rFonts w:ascii="Arial Narrow" w:hAnsi="Arial Narrow"/>
                <w:sz w:val="12"/>
                <w:szCs w:val="12"/>
              </w:rPr>
            </w:pPr>
          </w:p>
        </w:tc>
        <w:tc>
          <w:tcPr>
            <w:tcW w:w="709" w:type="dxa"/>
            <w:vAlign w:val="center"/>
          </w:tcPr>
          <w:p w14:paraId="389F02B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1</w:t>
            </w:r>
          </w:p>
          <w:p w14:paraId="4737E53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3</w:t>
            </w:r>
          </w:p>
          <w:p w14:paraId="46608A4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4</w:t>
            </w:r>
          </w:p>
          <w:p w14:paraId="00A59AD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20</w:t>
            </w:r>
          </w:p>
        </w:tc>
        <w:tc>
          <w:tcPr>
            <w:tcW w:w="992" w:type="dxa"/>
            <w:vAlign w:val="center"/>
          </w:tcPr>
          <w:p w14:paraId="6C31E3CC"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61FF7E09" w14:textId="77777777" w:rsidTr="00CF3F52">
        <w:trPr>
          <w:trHeight w:val="263"/>
        </w:trPr>
        <w:tc>
          <w:tcPr>
            <w:tcW w:w="283" w:type="dxa"/>
            <w:vMerge/>
            <w:shd w:val="clear" w:color="auto" w:fill="7D5207"/>
            <w:vAlign w:val="center"/>
          </w:tcPr>
          <w:p w14:paraId="1591E867" w14:textId="77777777" w:rsidR="00AA20CF" w:rsidRPr="00A46BD9" w:rsidRDefault="00AA20CF" w:rsidP="00CF3F52">
            <w:pPr>
              <w:spacing w:line="140" w:lineRule="exact"/>
              <w:jc w:val="center"/>
              <w:rPr>
                <w:rFonts w:ascii="Arial Narrow" w:hAnsi="Arial Narrow"/>
                <w:b/>
                <w:sz w:val="16"/>
                <w:szCs w:val="16"/>
              </w:rPr>
            </w:pPr>
          </w:p>
        </w:tc>
        <w:tc>
          <w:tcPr>
            <w:tcW w:w="1247" w:type="dxa"/>
            <w:vAlign w:val="center"/>
          </w:tcPr>
          <w:p w14:paraId="198D844C"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Investícia 17:</w:t>
            </w:r>
          </w:p>
          <w:p w14:paraId="65191905" w14:textId="77777777" w:rsidR="00AA20CF" w:rsidRPr="00A46BD9" w:rsidRDefault="00AA20CF" w:rsidP="00CF3F52">
            <w:pPr>
              <w:jc w:val="center"/>
              <w:rPr>
                <w:rFonts w:ascii="Arial Narrow" w:hAnsi="Arial Narrow"/>
                <w:b/>
                <w:sz w:val="15"/>
                <w:szCs w:val="15"/>
              </w:rPr>
            </w:pPr>
            <w:r w:rsidRPr="00A46BD9">
              <w:rPr>
                <w:rFonts w:ascii="Arial Narrow" w:hAnsi="Arial Narrow"/>
                <w:sz w:val="15"/>
                <w:szCs w:val="15"/>
              </w:rPr>
              <w:t>Podpora starostlivosti v rannom detstve</w:t>
            </w:r>
          </w:p>
        </w:tc>
        <w:tc>
          <w:tcPr>
            <w:tcW w:w="2693" w:type="dxa"/>
          </w:tcPr>
          <w:p w14:paraId="0EE1C49D"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Opatrenie (vyše 40 mil. eur) má zlepšiť dostupnosť a kvalitu starostlivosti o deti do troch rokov. Podporí sa budovanie infraštruktúry zariadení starostlivosti o deti do troch rokov (jaslí), posilňovanie personálnych kapacít v jasliach a rozvíjanie rodičovských zručností rodičov detí v ranom veku, najmä zo sociálne znevýhodneného prostredia.</w:t>
            </w:r>
          </w:p>
          <w:p w14:paraId="06406ED1" w14:textId="77777777" w:rsidR="00AA20CF" w:rsidRPr="00A46BD9" w:rsidRDefault="00AA20CF" w:rsidP="00CF3F52">
            <w:pPr>
              <w:jc w:val="both"/>
              <w:rPr>
                <w:rFonts w:ascii="Arial Narrow" w:hAnsi="Arial Narrow"/>
                <w:sz w:val="15"/>
                <w:szCs w:val="15"/>
              </w:rPr>
            </w:pPr>
          </w:p>
          <w:p w14:paraId="70E7E8BE"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Opatrenia sa budú realizovať formou dopytových výziev z PSK, ktoré sa aktuálne finalizujú v súlade s akčnými plánmi k Národnej stratégii rozvoja koordinovaných služieb včasnej intervencie a ranej starostlivosti na roky </w:t>
            </w:r>
            <w:hyperlink r:id="rId136" w:history="1">
              <w:r w:rsidRPr="00A46BD9">
                <w:rPr>
                  <w:rStyle w:val="Hypertextovprepojenie"/>
                  <w:rFonts w:ascii="Arial Narrow" w:hAnsi="Arial Narrow"/>
                  <w:sz w:val="15"/>
                  <w:szCs w:val="15"/>
                </w:rPr>
                <w:t>2023-2025</w:t>
              </w:r>
            </w:hyperlink>
            <w:r w:rsidRPr="00A46BD9">
              <w:rPr>
                <w:rFonts w:ascii="Arial Narrow" w:hAnsi="Arial Narrow"/>
                <w:sz w:val="15"/>
                <w:szCs w:val="15"/>
              </w:rPr>
              <w:t xml:space="preserve"> a </w:t>
            </w:r>
            <w:hyperlink r:id="rId137" w:history="1">
              <w:r w:rsidRPr="00A46BD9">
                <w:rPr>
                  <w:rStyle w:val="Hypertextovprepojenie"/>
                  <w:rFonts w:ascii="Arial Narrow" w:hAnsi="Arial Narrow"/>
                  <w:sz w:val="15"/>
                  <w:szCs w:val="15"/>
                </w:rPr>
                <w:t>2026-2030</w:t>
              </w:r>
            </w:hyperlink>
            <w:r w:rsidRPr="00A46BD9">
              <w:rPr>
                <w:rFonts w:ascii="Arial Narrow" w:hAnsi="Arial Narrow"/>
                <w:sz w:val="15"/>
                <w:szCs w:val="15"/>
              </w:rPr>
              <w:t xml:space="preserve">. </w:t>
            </w:r>
          </w:p>
        </w:tc>
        <w:tc>
          <w:tcPr>
            <w:tcW w:w="737" w:type="dxa"/>
            <w:vAlign w:val="center"/>
          </w:tcPr>
          <w:p w14:paraId="0BD8B04C"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PSK</w:t>
            </w:r>
          </w:p>
        </w:tc>
        <w:tc>
          <w:tcPr>
            <w:tcW w:w="992" w:type="dxa"/>
            <w:vAlign w:val="center"/>
          </w:tcPr>
          <w:p w14:paraId="12EFFD0C"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CSR.2025.6.3</w:t>
            </w:r>
          </w:p>
          <w:p w14:paraId="1BCB79F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CSR.2025.6.5</w:t>
            </w:r>
          </w:p>
        </w:tc>
        <w:tc>
          <w:tcPr>
            <w:tcW w:w="850" w:type="dxa"/>
            <w:vAlign w:val="center"/>
          </w:tcPr>
          <w:p w14:paraId="6813EDCC"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Posilnenie sociálnej a hospodárskej odolnosti</w:t>
            </w:r>
          </w:p>
        </w:tc>
        <w:tc>
          <w:tcPr>
            <w:tcW w:w="567" w:type="dxa"/>
            <w:vAlign w:val="center"/>
          </w:tcPr>
          <w:p w14:paraId="5F9693DC"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10</w:t>
            </w:r>
          </w:p>
          <w:p w14:paraId="2EB3363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11</w:t>
            </w:r>
          </w:p>
        </w:tc>
        <w:tc>
          <w:tcPr>
            <w:tcW w:w="709" w:type="dxa"/>
            <w:vAlign w:val="center"/>
          </w:tcPr>
          <w:p w14:paraId="2C33A6E9"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2</w:t>
            </w:r>
          </w:p>
          <w:p w14:paraId="549704B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3</w:t>
            </w:r>
          </w:p>
          <w:p w14:paraId="409C088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9</w:t>
            </w:r>
          </w:p>
          <w:p w14:paraId="3CFF805A"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11</w:t>
            </w:r>
          </w:p>
        </w:tc>
        <w:tc>
          <w:tcPr>
            <w:tcW w:w="992" w:type="dxa"/>
            <w:vAlign w:val="center"/>
          </w:tcPr>
          <w:p w14:paraId="30EBD2B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6CDCF6EF" w14:textId="77777777" w:rsidTr="00CF3F52">
        <w:trPr>
          <w:trHeight w:val="263"/>
        </w:trPr>
        <w:tc>
          <w:tcPr>
            <w:tcW w:w="283" w:type="dxa"/>
            <w:vMerge/>
            <w:shd w:val="clear" w:color="auto" w:fill="7D5207"/>
            <w:vAlign w:val="center"/>
          </w:tcPr>
          <w:p w14:paraId="21930B05" w14:textId="77777777" w:rsidR="00AA20CF" w:rsidRPr="00A46BD9" w:rsidRDefault="00AA20CF" w:rsidP="00CF3F52">
            <w:pPr>
              <w:spacing w:line="140" w:lineRule="exact"/>
              <w:jc w:val="center"/>
              <w:rPr>
                <w:rFonts w:ascii="Arial Narrow" w:hAnsi="Arial Narrow"/>
                <w:b/>
                <w:sz w:val="16"/>
                <w:szCs w:val="16"/>
              </w:rPr>
            </w:pPr>
          </w:p>
        </w:tc>
        <w:tc>
          <w:tcPr>
            <w:tcW w:w="1247" w:type="dxa"/>
            <w:vAlign w:val="center"/>
          </w:tcPr>
          <w:p w14:paraId="211A79F0"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Investícia 18:</w:t>
            </w:r>
          </w:p>
          <w:p w14:paraId="0FC4ABBB" w14:textId="77777777" w:rsidR="00AA20CF" w:rsidRPr="00A46BD9" w:rsidRDefault="00AA20CF" w:rsidP="00CF3F52">
            <w:pPr>
              <w:jc w:val="center"/>
              <w:rPr>
                <w:rFonts w:ascii="Arial Narrow" w:hAnsi="Arial Narrow"/>
                <w:b/>
                <w:sz w:val="15"/>
                <w:szCs w:val="15"/>
              </w:rPr>
            </w:pPr>
            <w:r w:rsidRPr="00A46BD9">
              <w:rPr>
                <w:rFonts w:ascii="Arial Narrow" w:hAnsi="Arial Narrow"/>
                <w:sz w:val="15"/>
                <w:szCs w:val="15"/>
              </w:rPr>
              <w:t xml:space="preserve">Podpora sociálneho </w:t>
            </w:r>
            <w:r w:rsidRPr="00A46BD9">
              <w:rPr>
                <w:rFonts w:ascii="Arial Narrow" w:hAnsi="Arial Narrow"/>
                <w:sz w:val="15"/>
                <w:szCs w:val="15"/>
              </w:rPr>
              <w:lastRenderedPageBreak/>
              <w:t>začlenenia a bývania</w:t>
            </w:r>
          </w:p>
        </w:tc>
        <w:tc>
          <w:tcPr>
            <w:tcW w:w="2693" w:type="dxa"/>
          </w:tcPr>
          <w:p w14:paraId="06FCD99D"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lastRenderedPageBreak/>
              <w:t xml:space="preserve">(1) Podpora prevencie pred stratou bývania a ukončovania bezdomovstva sa zameriava na dostupné a udržateľné bývanie pre zraniteľné skupiny  prostredníctvom </w:t>
            </w:r>
            <w:hyperlink r:id="rId138" w:history="1">
              <w:r w:rsidRPr="00A46BD9">
                <w:rPr>
                  <w:rStyle w:val="Hypertextovprepojenie"/>
                  <w:rFonts w:ascii="Arial Narrow" w:hAnsi="Arial Narrow"/>
                  <w:sz w:val="15"/>
                  <w:szCs w:val="15"/>
                </w:rPr>
                <w:t xml:space="preserve">housing-led </w:t>
              </w:r>
              <w:r w:rsidRPr="00A46BD9">
                <w:rPr>
                  <w:rStyle w:val="Hypertextovprepojenie"/>
                  <w:rFonts w:ascii="Arial Narrow" w:hAnsi="Arial Narrow"/>
                  <w:sz w:val="15"/>
                  <w:szCs w:val="15"/>
                </w:rPr>
                <w:lastRenderedPageBreak/>
                <w:t>prístupov</w:t>
              </w:r>
            </w:hyperlink>
            <w:r w:rsidRPr="00A46BD9">
              <w:rPr>
                <w:rFonts w:ascii="Arial Narrow" w:hAnsi="Arial Narrow"/>
                <w:sz w:val="15"/>
                <w:szCs w:val="15"/>
              </w:rPr>
              <w:t xml:space="preserve"> v kombinácii so sociálnou podporou.</w:t>
            </w:r>
          </w:p>
          <w:p w14:paraId="2D3503C0"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(2) Národný projekt </w:t>
            </w:r>
            <w:hyperlink r:id="rId139" w:history="1">
              <w:r w:rsidRPr="00A46BD9">
                <w:rPr>
                  <w:rStyle w:val="Hypertextovprepojenie"/>
                  <w:rFonts w:ascii="Arial Narrow" w:hAnsi="Arial Narrow"/>
                  <w:sz w:val="15"/>
                  <w:szCs w:val="15"/>
                </w:rPr>
                <w:t>Terénna sociálna práca a komunitné centrá</w:t>
              </w:r>
            </w:hyperlink>
            <w:r w:rsidRPr="00A46BD9">
              <w:rPr>
                <w:rFonts w:ascii="Arial Narrow" w:hAnsi="Arial Narrow"/>
                <w:sz w:val="15"/>
                <w:szCs w:val="15"/>
              </w:rPr>
              <w:t xml:space="preserve">  (250 mil. eur) poskytuje individualizovanú pomoc osobám ohrozeným chudobou a sociálnym vylúčením.</w:t>
            </w:r>
          </w:p>
          <w:p w14:paraId="65DD9A90" w14:textId="77777777" w:rsidR="00AA20CF" w:rsidRPr="00A46BD9" w:rsidRDefault="00AA20CF" w:rsidP="00CF3F52">
            <w:pPr>
              <w:jc w:val="both"/>
              <w:rPr>
                <w:rFonts w:ascii="Arial Narrow" w:hAnsi="Arial Narrow"/>
                <w:sz w:val="15"/>
                <w:szCs w:val="15"/>
              </w:rPr>
            </w:pPr>
          </w:p>
          <w:p w14:paraId="017F80E6"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(1) </w:t>
            </w:r>
            <w:r w:rsidRPr="00A46BD9">
              <w:t xml:space="preserve"> </w:t>
            </w:r>
            <w:r w:rsidRPr="00A46BD9">
              <w:rPr>
                <w:rFonts w:ascii="Arial Narrow" w:hAnsi="Arial Narrow"/>
                <w:sz w:val="15"/>
                <w:szCs w:val="15"/>
              </w:rPr>
              <w:t xml:space="preserve">V apríli 2024 bola uzavretá </w:t>
            </w:r>
            <w:hyperlink r:id="rId140" w:history="1">
              <w:r w:rsidRPr="00A46BD9">
                <w:rPr>
                  <w:rStyle w:val="Hypertextovprepojenie"/>
                  <w:rFonts w:ascii="Arial Narrow" w:hAnsi="Arial Narrow"/>
                  <w:sz w:val="15"/>
                  <w:szCs w:val="15"/>
                </w:rPr>
                <w:t>výzva</w:t>
              </w:r>
            </w:hyperlink>
            <w:r w:rsidRPr="00A46BD9">
              <w:rPr>
                <w:rFonts w:ascii="Arial Narrow" w:hAnsi="Arial Narrow"/>
                <w:sz w:val="15"/>
                <w:szCs w:val="15"/>
              </w:rPr>
              <w:t xml:space="preserve"> (14,2 mil. eur), v rámci ktorej je realizovaných 4</w:t>
            </w:r>
            <w:r>
              <w:rPr>
                <w:rFonts w:ascii="Arial Narrow" w:hAnsi="Arial Narrow"/>
                <w:sz w:val="15"/>
                <w:szCs w:val="15"/>
              </w:rPr>
              <w:t>4</w:t>
            </w:r>
            <w:r w:rsidRPr="00A46BD9">
              <w:rPr>
                <w:rFonts w:ascii="Arial Narrow" w:hAnsi="Arial Narrow"/>
                <w:sz w:val="15"/>
                <w:szCs w:val="15"/>
              </w:rPr>
              <w:t xml:space="preserve"> projektov zabezpečujúcich poskytovanie nájomného bývania s podporou pre</w:t>
            </w:r>
            <w:r>
              <w:rPr>
                <w:rFonts w:ascii="Arial Narrow" w:hAnsi="Arial Narrow"/>
                <w:sz w:val="15"/>
                <w:szCs w:val="15"/>
              </w:rPr>
              <w:t xml:space="preserve"> približne</w:t>
            </w:r>
            <w:r w:rsidRPr="00A46BD9">
              <w:rPr>
                <w:rFonts w:ascii="Arial Narrow" w:hAnsi="Arial Narrow"/>
                <w:sz w:val="15"/>
                <w:szCs w:val="15"/>
              </w:rPr>
              <w:t xml:space="preserve"> 643 osôb naprieč celým územím SR.</w:t>
            </w:r>
          </w:p>
          <w:p w14:paraId="1380B154"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(2) Projekt  sa realizuje prostredníctvom výziev, pričom v roku 2025 bola aktuálne vyhlásená </w:t>
            </w:r>
            <w:hyperlink r:id="rId141" w:history="1">
              <w:r w:rsidRPr="00A46BD9">
                <w:rPr>
                  <w:rStyle w:val="Hypertextovprepojenie"/>
                  <w:rFonts w:ascii="Arial Narrow" w:hAnsi="Arial Narrow"/>
                  <w:sz w:val="15"/>
                  <w:szCs w:val="15"/>
                </w:rPr>
                <w:t>špecifická výzva na výkon terénnej sociálnej práce pre ľudí bez domova</w:t>
              </w:r>
            </w:hyperlink>
            <w:r w:rsidRPr="00A46BD9">
              <w:rPr>
                <w:rFonts w:ascii="Arial Narrow" w:hAnsi="Arial Narrow"/>
                <w:sz w:val="15"/>
                <w:szCs w:val="15"/>
              </w:rPr>
              <w:t>.</w:t>
            </w:r>
          </w:p>
        </w:tc>
        <w:tc>
          <w:tcPr>
            <w:tcW w:w="737" w:type="dxa"/>
            <w:vAlign w:val="center"/>
          </w:tcPr>
          <w:p w14:paraId="4B1F98B7"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lastRenderedPageBreak/>
              <w:t>PSK</w:t>
            </w:r>
          </w:p>
        </w:tc>
        <w:tc>
          <w:tcPr>
            <w:tcW w:w="992" w:type="dxa"/>
            <w:vAlign w:val="center"/>
          </w:tcPr>
          <w:p w14:paraId="1632887A"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CSR.2025.1.8</w:t>
            </w:r>
          </w:p>
          <w:p w14:paraId="2BAA5FFA"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CSR.2025.6.1</w:t>
            </w:r>
          </w:p>
        </w:tc>
        <w:tc>
          <w:tcPr>
            <w:tcW w:w="850" w:type="dxa"/>
            <w:vAlign w:val="center"/>
          </w:tcPr>
          <w:p w14:paraId="4230C16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Posilnenie sociálnej a hospodárskej odolnosti</w:t>
            </w:r>
          </w:p>
        </w:tc>
        <w:tc>
          <w:tcPr>
            <w:tcW w:w="567" w:type="dxa"/>
            <w:vAlign w:val="center"/>
          </w:tcPr>
          <w:p w14:paraId="63776B9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w:t>
            </w:r>
          </w:p>
          <w:p w14:paraId="7768943E"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3</w:t>
            </w:r>
          </w:p>
          <w:p w14:paraId="020BF46E" w14:textId="77777777" w:rsidR="00AA20CF" w:rsidRPr="00EF7276" w:rsidRDefault="00AA20CF" w:rsidP="00CF3F52">
            <w:pPr>
              <w:jc w:val="center"/>
              <w:rPr>
                <w:rFonts w:ascii="Arial Narrow" w:hAnsi="Arial Narrow"/>
                <w:color w:val="000000" w:themeColor="text1"/>
                <w:sz w:val="12"/>
                <w:szCs w:val="12"/>
              </w:rPr>
            </w:pPr>
            <w:r w:rsidRPr="00EF7276">
              <w:rPr>
                <w:rFonts w:ascii="Arial Narrow" w:hAnsi="Arial Narrow"/>
                <w:color w:val="000000" w:themeColor="text1"/>
                <w:sz w:val="12"/>
                <w:szCs w:val="12"/>
              </w:rPr>
              <w:t>Cieľ 8</w:t>
            </w:r>
          </w:p>
          <w:p w14:paraId="1FACD4A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10</w:t>
            </w:r>
          </w:p>
          <w:p w14:paraId="44663F4B"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11</w:t>
            </w:r>
          </w:p>
        </w:tc>
        <w:tc>
          <w:tcPr>
            <w:tcW w:w="709" w:type="dxa"/>
            <w:vAlign w:val="center"/>
          </w:tcPr>
          <w:p w14:paraId="2196F51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3</w:t>
            </w:r>
          </w:p>
          <w:p w14:paraId="3744585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19</w:t>
            </w:r>
          </w:p>
          <w:p w14:paraId="53FD6F79"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20</w:t>
            </w:r>
          </w:p>
        </w:tc>
        <w:tc>
          <w:tcPr>
            <w:tcW w:w="992" w:type="dxa"/>
            <w:vAlign w:val="center"/>
          </w:tcPr>
          <w:p w14:paraId="3CAA507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4A671DC8" w14:textId="77777777" w:rsidTr="00CF3F52">
        <w:trPr>
          <w:trHeight w:val="263"/>
        </w:trPr>
        <w:tc>
          <w:tcPr>
            <w:tcW w:w="283" w:type="dxa"/>
            <w:vMerge w:val="restart"/>
            <w:tcBorders>
              <w:top w:val="single" w:sz="4" w:space="0" w:color="2EAAE1"/>
              <w:left w:val="single" w:sz="4" w:space="0" w:color="2EAAE1"/>
              <w:right w:val="single" w:sz="4" w:space="0" w:color="2EAAE1"/>
            </w:tcBorders>
            <w:shd w:val="clear" w:color="auto" w:fill="0C1D2B"/>
            <w:textDirection w:val="btLr"/>
            <w:vAlign w:val="center"/>
          </w:tcPr>
          <w:p w14:paraId="73FA20A3" w14:textId="77777777" w:rsidR="00AA20CF" w:rsidRPr="00A46BD9" w:rsidRDefault="00AA20CF" w:rsidP="00CF3F52">
            <w:pPr>
              <w:spacing w:line="140" w:lineRule="exact"/>
              <w:ind w:left="113" w:right="113"/>
              <w:jc w:val="center"/>
              <w:rPr>
                <w:rFonts w:ascii="Arial Narrow" w:hAnsi="Arial Narrow"/>
                <w:b/>
                <w:color w:val="FFFFFF" w:themeColor="background1"/>
                <w:sz w:val="16"/>
                <w:szCs w:val="16"/>
              </w:rPr>
            </w:pPr>
            <w:r w:rsidRPr="00A46BD9">
              <w:rPr>
                <w:rFonts w:ascii="Arial Narrow" w:hAnsi="Arial Narrow"/>
                <w:b/>
                <w:color w:val="FFFFFF" w:themeColor="background1"/>
                <w:sz w:val="16"/>
                <w:szCs w:val="16"/>
              </w:rPr>
              <w:t>Kvalita inštitúcií</w:t>
            </w:r>
          </w:p>
        </w:tc>
        <w:tc>
          <w:tcPr>
            <w:tcW w:w="1247" w:type="dxa"/>
            <w:tcBorders>
              <w:top w:val="single" w:sz="4" w:space="0" w:color="2EAAE1"/>
              <w:left w:val="single" w:sz="4" w:space="0" w:color="2EAAE1"/>
              <w:bottom w:val="single" w:sz="4" w:space="0" w:color="2EAAE1"/>
              <w:right w:val="single" w:sz="4" w:space="0" w:color="2EAAE1"/>
            </w:tcBorders>
            <w:vAlign w:val="center"/>
          </w:tcPr>
          <w:p w14:paraId="5DC30A1E"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31:</w:t>
            </w:r>
          </w:p>
          <w:p w14:paraId="1E681950" w14:textId="77777777" w:rsidR="00AA20CF" w:rsidRPr="00A46BD9" w:rsidRDefault="00AA20CF" w:rsidP="00CF3F52">
            <w:pPr>
              <w:jc w:val="center"/>
              <w:rPr>
                <w:rFonts w:ascii="Arial Narrow" w:hAnsi="Arial Narrow"/>
                <w:sz w:val="15"/>
                <w:szCs w:val="15"/>
              </w:rPr>
            </w:pPr>
            <w:r w:rsidRPr="00A46BD9">
              <w:rPr>
                <w:rFonts w:ascii="Arial Narrow" w:hAnsi="Arial Narrow"/>
                <w:sz w:val="15"/>
                <w:szCs w:val="15"/>
              </w:rPr>
              <w:t xml:space="preserve">Zavedenie registra užívacích vzťahov </w:t>
            </w:r>
          </w:p>
          <w:p w14:paraId="1A9FC192" w14:textId="77777777" w:rsidR="00AA20CF" w:rsidRPr="00A46BD9" w:rsidRDefault="00AA20CF" w:rsidP="00CF3F52">
            <w:pPr>
              <w:jc w:val="center"/>
              <w:rPr>
                <w:rFonts w:ascii="Arial Narrow" w:hAnsi="Arial Narrow"/>
                <w:b/>
                <w:sz w:val="15"/>
                <w:szCs w:val="15"/>
              </w:rPr>
            </w:pPr>
            <w:r w:rsidRPr="00A46BD9">
              <w:rPr>
                <w:rFonts w:ascii="Arial Narrow" w:hAnsi="Arial Narrow"/>
                <w:sz w:val="15"/>
                <w:szCs w:val="15"/>
              </w:rPr>
              <w:t xml:space="preserve">k poľnohosp. pozemkom </w:t>
            </w:r>
          </w:p>
        </w:tc>
        <w:tc>
          <w:tcPr>
            <w:tcW w:w="2693" w:type="dxa"/>
            <w:tcBorders>
              <w:top w:val="single" w:sz="4" w:space="0" w:color="2EAAE1"/>
              <w:left w:val="single" w:sz="4" w:space="0" w:color="2EAAE1"/>
              <w:bottom w:val="single" w:sz="4" w:space="0" w:color="2EAAE1"/>
              <w:right w:val="single" w:sz="4" w:space="0" w:color="2EAAE1"/>
            </w:tcBorders>
          </w:tcPr>
          <w:p w14:paraId="7DD1B7A8"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Register užívacích vzťahov k pozemkom je dočasným riešením rozdrobenosti a nesúladu pozemkového vlastníctva v SR, ktorý má zvýšiť transparentnosť užívania pôdy, posilniť právnu istotu v užívacích vzťahoch a zjednodušiť zdieľanie údajov medzi štátnymi inštitúciami prostredníctvom evidencie jej skutočných užívateľov. </w:t>
            </w:r>
          </w:p>
          <w:p w14:paraId="717F9C04" w14:textId="77777777" w:rsidR="00AA20CF" w:rsidRPr="00A46BD9" w:rsidRDefault="00AA20CF" w:rsidP="00CF3F52">
            <w:pPr>
              <w:jc w:val="both"/>
              <w:rPr>
                <w:rFonts w:ascii="Arial Narrow" w:hAnsi="Arial Narrow"/>
                <w:sz w:val="15"/>
                <w:szCs w:val="15"/>
              </w:rPr>
            </w:pPr>
          </w:p>
          <w:p w14:paraId="47914C8C"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V roku 2025 bol prijatý </w:t>
            </w:r>
            <w:hyperlink r:id="rId142" w:history="1">
              <w:r w:rsidRPr="00A46BD9">
                <w:rPr>
                  <w:rStyle w:val="Hypertextovprepojenie"/>
                  <w:rFonts w:ascii="Arial Narrow" w:hAnsi="Arial Narrow"/>
                  <w:sz w:val="15"/>
                  <w:szCs w:val="15"/>
                </w:rPr>
                <w:t>zákon o registri užívacích vzťahov k pozemkom</w:t>
              </w:r>
            </w:hyperlink>
            <w:r w:rsidRPr="00A46BD9">
              <w:rPr>
                <w:rFonts w:ascii="Arial Narrow" w:hAnsi="Arial Narrow"/>
                <w:sz w:val="15"/>
                <w:szCs w:val="15"/>
              </w:rPr>
              <w:t>. Účinnosť zákona je stanovená od 1. januára 2028, resp. vybrané ustanovenia od 1. apríla 2029. V súčasnosti prebieha príprava vykonávacích predpisov upravujúcich fungovanie registra.</w:t>
            </w:r>
          </w:p>
        </w:tc>
        <w:tc>
          <w:tcPr>
            <w:tcW w:w="737" w:type="dxa"/>
            <w:tcBorders>
              <w:top w:val="single" w:sz="4" w:space="0" w:color="2EAAE1"/>
              <w:left w:val="single" w:sz="4" w:space="0" w:color="2EAAE1"/>
              <w:bottom w:val="single" w:sz="4" w:space="0" w:color="2EAAE1"/>
              <w:right w:val="single" w:sz="4" w:space="0" w:color="2EAAE1"/>
            </w:tcBorders>
            <w:vAlign w:val="center"/>
          </w:tcPr>
          <w:p w14:paraId="2C3283E2"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w:t>
            </w:r>
          </w:p>
        </w:tc>
        <w:tc>
          <w:tcPr>
            <w:tcW w:w="992" w:type="dxa"/>
            <w:tcBorders>
              <w:top w:val="single" w:sz="4" w:space="0" w:color="2EAAE1"/>
              <w:left w:val="single" w:sz="4" w:space="0" w:color="2EAAE1"/>
              <w:bottom w:val="single" w:sz="4" w:space="0" w:color="2EAAE1"/>
              <w:right w:val="single" w:sz="4" w:space="0" w:color="2EAAE1"/>
            </w:tcBorders>
            <w:vAlign w:val="center"/>
          </w:tcPr>
          <w:p w14:paraId="28FA3398"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CSR.2025.1.8</w:t>
            </w:r>
          </w:p>
          <w:p w14:paraId="219A146E"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CSR.2025.6.1</w:t>
            </w:r>
          </w:p>
          <w:p w14:paraId="2F0E7B01"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CSR.2025.6.5</w:t>
            </w:r>
            <w:r w:rsidRPr="00EF7276" w:rsidDel="00D61C49">
              <w:rPr>
                <w:rFonts w:ascii="Arial Narrow" w:hAnsi="Arial Narrow"/>
                <w:sz w:val="12"/>
                <w:szCs w:val="12"/>
              </w:rPr>
              <w:t xml:space="preserve"> </w:t>
            </w:r>
          </w:p>
        </w:tc>
        <w:tc>
          <w:tcPr>
            <w:tcW w:w="850" w:type="dxa"/>
            <w:tcBorders>
              <w:top w:val="single" w:sz="4" w:space="0" w:color="2EAAE1"/>
              <w:left w:val="single" w:sz="4" w:space="0" w:color="2EAAE1"/>
              <w:bottom w:val="single" w:sz="4" w:space="0" w:color="2EAAE1"/>
              <w:right w:val="single" w:sz="4" w:space="0" w:color="2EAAE1"/>
            </w:tcBorders>
            <w:vAlign w:val="center"/>
          </w:tcPr>
          <w:p w14:paraId="5991B44C"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Posilnenie sociálnej a hospodárskej odolnosti;</w:t>
            </w:r>
          </w:p>
          <w:p w14:paraId="45BEA6C5" w14:textId="77777777" w:rsidR="00AA20CF" w:rsidRPr="00EF7276" w:rsidRDefault="00AA20CF" w:rsidP="00CF3F52">
            <w:pPr>
              <w:pStyle w:val="Default"/>
              <w:jc w:val="center"/>
              <w:rPr>
                <w:rFonts w:ascii="Arial Narrow" w:hAnsi="Arial Narrow"/>
                <w:sz w:val="12"/>
                <w:szCs w:val="12"/>
              </w:rPr>
            </w:pPr>
            <w:r w:rsidRPr="00EF7276">
              <w:rPr>
                <w:rFonts w:ascii="Arial Narrow" w:hAnsi="Arial Narrow" w:cstheme="minorBidi"/>
                <w:color w:val="auto"/>
                <w:sz w:val="12"/>
                <w:szCs w:val="12"/>
              </w:rPr>
              <w:t xml:space="preserve">Spravodlivá digitálna transformácia </w:t>
            </w:r>
          </w:p>
        </w:tc>
        <w:tc>
          <w:tcPr>
            <w:tcW w:w="567" w:type="dxa"/>
            <w:tcBorders>
              <w:top w:val="single" w:sz="4" w:space="0" w:color="2EAAE1"/>
              <w:left w:val="single" w:sz="4" w:space="0" w:color="2EAAE1"/>
              <w:bottom w:val="single" w:sz="4" w:space="0" w:color="2EAAE1"/>
              <w:right w:val="single" w:sz="4" w:space="0" w:color="2EAAE1"/>
            </w:tcBorders>
            <w:vAlign w:val="center"/>
          </w:tcPr>
          <w:p w14:paraId="3E10A144" w14:textId="77777777" w:rsidR="00AA20CF" w:rsidRPr="00EF7276" w:rsidRDefault="00AA20CF" w:rsidP="00CF3F52">
            <w:pPr>
              <w:jc w:val="center"/>
              <w:rPr>
                <w:rFonts w:ascii="Arial Narrow" w:hAnsi="Arial Narrow"/>
                <w:sz w:val="12"/>
                <w:szCs w:val="12"/>
                <w:shd w:val="clear" w:color="auto" w:fill="FFFFFF" w:themeFill="background1"/>
              </w:rPr>
            </w:pPr>
            <w:r w:rsidRPr="00EF7276">
              <w:rPr>
                <w:rFonts w:ascii="Arial Narrow" w:hAnsi="Arial Narrow"/>
                <w:sz w:val="12"/>
                <w:szCs w:val="12"/>
              </w:rPr>
              <w:t>-</w:t>
            </w:r>
          </w:p>
        </w:tc>
        <w:tc>
          <w:tcPr>
            <w:tcW w:w="709" w:type="dxa"/>
            <w:tcBorders>
              <w:top w:val="single" w:sz="4" w:space="0" w:color="2EAAE1"/>
              <w:left w:val="single" w:sz="4" w:space="0" w:color="2EAAE1"/>
              <w:bottom w:val="single" w:sz="4" w:space="0" w:color="2EAAE1"/>
              <w:right w:val="single" w:sz="4" w:space="0" w:color="2EAAE1"/>
            </w:tcBorders>
            <w:vAlign w:val="center"/>
          </w:tcPr>
          <w:p w14:paraId="1F079568"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tcBorders>
              <w:top w:val="single" w:sz="4" w:space="0" w:color="2EAAE1"/>
              <w:left w:val="single" w:sz="4" w:space="0" w:color="2EAAE1"/>
              <w:bottom w:val="single" w:sz="4" w:space="0" w:color="2EAAE1"/>
              <w:right w:val="single" w:sz="4" w:space="0" w:color="2EAAE1"/>
            </w:tcBorders>
            <w:vAlign w:val="center"/>
          </w:tcPr>
          <w:p w14:paraId="00FB793F"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0D14C9B2" w14:textId="77777777" w:rsidTr="00CF3F52">
        <w:trPr>
          <w:trHeight w:val="263"/>
        </w:trPr>
        <w:tc>
          <w:tcPr>
            <w:tcW w:w="283" w:type="dxa"/>
            <w:vMerge/>
            <w:tcBorders>
              <w:left w:val="single" w:sz="4" w:space="0" w:color="2EAAE1"/>
              <w:right w:val="single" w:sz="4" w:space="0" w:color="2EAAE1"/>
            </w:tcBorders>
            <w:shd w:val="clear" w:color="auto" w:fill="0C1D2B"/>
            <w:vAlign w:val="center"/>
          </w:tcPr>
          <w:p w14:paraId="70EE6ED3" w14:textId="77777777" w:rsidR="00AA20CF" w:rsidRPr="00A46BD9" w:rsidRDefault="00AA20CF" w:rsidP="00CF3F52">
            <w:pPr>
              <w:spacing w:line="140" w:lineRule="exact"/>
              <w:jc w:val="center"/>
              <w:rPr>
                <w:rFonts w:ascii="Arial Narrow" w:hAnsi="Arial Narrow"/>
                <w:b/>
                <w:sz w:val="16"/>
                <w:szCs w:val="16"/>
              </w:rPr>
            </w:pPr>
          </w:p>
        </w:tc>
        <w:tc>
          <w:tcPr>
            <w:tcW w:w="1247" w:type="dxa"/>
            <w:tcBorders>
              <w:left w:val="single" w:sz="4" w:space="0" w:color="2EAAE1"/>
            </w:tcBorders>
            <w:vAlign w:val="center"/>
          </w:tcPr>
          <w:p w14:paraId="061E92E9"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32:</w:t>
            </w:r>
          </w:p>
          <w:p w14:paraId="5DF6AAAB" w14:textId="77777777" w:rsidR="00AA20CF" w:rsidRPr="00A46BD9" w:rsidRDefault="00AA20CF" w:rsidP="00CF3F52">
            <w:pPr>
              <w:jc w:val="center"/>
              <w:rPr>
                <w:rFonts w:ascii="Arial Narrow" w:hAnsi="Arial Narrow"/>
                <w:b/>
                <w:sz w:val="15"/>
                <w:szCs w:val="15"/>
              </w:rPr>
            </w:pPr>
            <w:r>
              <w:rPr>
                <w:rFonts w:ascii="Arial Narrow" w:hAnsi="Arial Narrow"/>
                <w:sz w:val="15"/>
                <w:szCs w:val="15"/>
              </w:rPr>
              <w:t>Moderný</w:t>
            </w:r>
            <w:r w:rsidRPr="00A46BD9">
              <w:rPr>
                <w:rFonts w:ascii="Arial Narrow" w:hAnsi="Arial Narrow"/>
                <w:sz w:val="15"/>
                <w:szCs w:val="15"/>
              </w:rPr>
              <w:t xml:space="preserve"> obchodný register (legislatíva)</w:t>
            </w:r>
          </w:p>
        </w:tc>
        <w:tc>
          <w:tcPr>
            <w:tcW w:w="2693" w:type="dxa"/>
          </w:tcPr>
          <w:p w14:paraId="5AFE3A89"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Legislatívna úprava zohľadní nové požiadavky moderného informačného systému obchodného registra budovaného v rámci investícií POO.</w:t>
            </w:r>
          </w:p>
          <w:p w14:paraId="6618807F" w14:textId="77777777" w:rsidR="00AA20CF" w:rsidRPr="00A46BD9" w:rsidRDefault="00AA20CF" w:rsidP="00CF3F52">
            <w:pPr>
              <w:jc w:val="both"/>
              <w:rPr>
                <w:rFonts w:ascii="Arial Narrow" w:hAnsi="Arial Narrow"/>
                <w:sz w:val="15"/>
                <w:szCs w:val="15"/>
              </w:rPr>
            </w:pPr>
          </w:p>
          <w:p w14:paraId="55066319"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Vo februári 2026 bol prijatý </w:t>
            </w:r>
            <w:hyperlink r:id="rId143" w:history="1">
              <w:r w:rsidRPr="00A46BD9">
                <w:rPr>
                  <w:rStyle w:val="Hypertextovprepojenie"/>
                  <w:rFonts w:ascii="Arial Narrow" w:hAnsi="Arial Narrow"/>
                  <w:sz w:val="15"/>
                  <w:szCs w:val="15"/>
                </w:rPr>
                <w:t>nový zákon o obchodnom registri</w:t>
              </w:r>
            </w:hyperlink>
            <w:r w:rsidRPr="00A46BD9">
              <w:rPr>
                <w:rFonts w:ascii="Arial Narrow" w:hAnsi="Arial Narrow"/>
                <w:sz w:val="15"/>
                <w:szCs w:val="15"/>
              </w:rPr>
              <w:t xml:space="preserve"> s plnou účinnosťou od 17. augusta 2026.</w:t>
            </w:r>
            <w:r w:rsidRPr="00A46BD9">
              <w:rPr>
                <w:rFonts w:ascii="Times New Roman" w:eastAsia="Times New Roman" w:hAnsi="Times New Roman" w:cs="Times New Roman"/>
                <w:kern w:val="0"/>
                <w:sz w:val="24"/>
                <w:szCs w:val="24"/>
                <w:lang w:eastAsia="sk-SK"/>
                <w14:ligatures w14:val="none"/>
              </w:rPr>
              <w:t xml:space="preserve"> </w:t>
            </w:r>
            <w:r w:rsidRPr="00A46BD9">
              <w:rPr>
                <w:rFonts w:ascii="Arial Narrow" w:hAnsi="Arial Narrow"/>
                <w:sz w:val="15"/>
                <w:szCs w:val="15"/>
              </w:rPr>
              <w:t>Vývoj súvisiaceho</w:t>
            </w:r>
            <w:r>
              <w:rPr>
                <w:rFonts w:ascii="Arial Narrow" w:hAnsi="Arial Narrow"/>
                <w:sz w:val="15"/>
                <w:szCs w:val="15"/>
              </w:rPr>
              <w:t xml:space="preserve"> </w:t>
            </w:r>
            <w:r w:rsidRPr="00A46BD9">
              <w:rPr>
                <w:rFonts w:ascii="Arial Narrow" w:hAnsi="Arial Narrow"/>
                <w:sz w:val="15"/>
                <w:szCs w:val="15"/>
              </w:rPr>
              <w:t>informačného systému obchodného registra prebieha samostatne v rámci POO</w:t>
            </w:r>
            <w:r>
              <w:rPr>
                <w:rFonts w:ascii="Arial Narrow" w:hAnsi="Arial Narrow"/>
                <w:sz w:val="15"/>
                <w:szCs w:val="15"/>
              </w:rPr>
              <w:t>.</w:t>
            </w:r>
          </w:p>
        </w:tc>
        <w:tc>
          <w:tcPr>
            <w:tcW w:w="737" w:type="dxa"/>
            <w:vAlign w:val="center"/>
          </w:tcPr>
          <w:p w14:paraId="7114A38D"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3FD3408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CSR.2025.3.1</w:t>
            </w:r>
          </w:p>
        </w:tc>
        <w:tc>
          <w:tcPr>
            <w:tcW w:w="850" w:type="dxa"/>
            <w:vAlign w:val="center"/>
          </w:tcPr>
          <w:p w14:paraId="265F288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Posilnenie sociálnej a hospodárskej odolnosti;</w:t>
            </w:r>
          </w:p>
          <w:p w14:paraId="2BA28056" w14:textId="77777777" w:rsidR="00AA20CF" w:rsidRPr="00EF7276" w:rsidRDefault="00AA20CF" w:rsidP="00CF3F52">
            <w:pPr>
              <w:pStyle w:val="Default"/>
              <w:jc w:val="center"/>
              <w:rPr>
                <w:rFonts w:ascii="Arial Narrow" w:hAnsi="Arial Narrow"/>
                <w:sz w:val="12"/>
                <w:szCs w:val="12"/>
              </w:rPr>
            </w:pPr>
            <w:r w:rsidRPr="00EF7276">
              <w:rPr>
                <w:rFonts w:ascii="Arial Narrow" w:hAnsi="Arial Narrow" w:cstheme="minorBidi"/>
                <w:color w:val="auto"/>
                <w:sz w:val="12"/>
                <w:szCs w:val="12"/>
              </w:rPr>
              <w:t xml:space="preserve">Spravodlivá digitálna transformácia </w:t>
            </w:r>
          </w:p>
        </w:tc>
        <w:tc>
          <w:tcPr>
            <w:tcW w:w="567" w:type="dxa"/>
            <w:vAlign w:val="center"/>
          </w:tcPr>
          <w:p w14:paraId="14222D0D" w14:textId="77777777" w:rsidR="00AA20CF" w:rsidRPr="00EF7276" w:rsidRDefault="00AA20CF" w:rsidP="00CF3F52">
            <w:pPr>
              <w:jc w:val="center"/>
              <w:rPr>
                <w:rFonts w:ascii="Arial Narrow" w:hAnsi="Arial Narrow"/>
                <w:sz w:val="12"/>
                <w:szCs w:val="12"/>
                <w:shd w:val="clear" w:color="auto" w:fill="FFFFFF" w:themeFill="background1"/>
              </w:rPr>
            </w:pPr>
            <w:r w:rsidRPr="00EF7276">
              <w:rPr>
                <w:rFonts w:ascii="Arial Narrow" w:hAnsi="Arial Narrow"/>
                <w:sz w:val="12"/>
                <w:szCs w:val="12"/>
              </w:rPr>
              <w:t>-</w:t>
            </w:r>
          </w:p>
        </w:tc>
        <w:tc>
          <w:tcPr>
            <w:tcW w:w="709" w:type="dxa"/>
            <w:vAlign w:val="center"/>
          </w:tcPr>
          <w:p w14:paraId="7E26FBF9"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389D7EC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Dokončené</w:t>
            </w:r>
          </w:p>
        </w:tc>
      </w:tr>
      <w:tr w:rsidR="00AA20CF" w:rsidRPr="00A46BD9" w14:paraId="59C5C5D9" w14:textId="77777777" w:rsidTr="00CF3F52">
        <w:trPr>
          <w:trHeight w:val="263"/>
        </w:trPr>
        <w:tc>
          <w:tcPr>
            <w:tcW w:w="283" w:type="dxa"/>
            <w:vMerge/>
            <w:tcBorders>
              <w:left w:val="single" w:sz="4" w:space="0" w:color="2EAAE1"/>
              <w:right w:val="single" w:sz="4" w:space="0" w:color="2EAAE1"/>
            </w:tcBorders>
            <w:shd w:val="clear" w:color="auto" w:fill="0C1D2B"/>
            <w:vAlign w:val="center"/>
          </w:tcPr>
          <w:p w14:paraId="718A76BF" w14:textId="77777777" w:rsidR="00AA20CF" w:rsidRPr="00A46BD9" w:rsidRDefault="00AA20CF" w:rsidP="00CF3F52">
            <w:pPr>
              <w:spacing w:line="140" w:lineRule="exact"/>
              <w:jc w:val="center"/>
              <w:rPr>
                <w:rFonts w:ascii="Arial Narrow" w:hAnsi="Arial Narrow"/>
                <w:b/>
                <w:sz w:val="16"/>
                <w:szCs w:val="16"/>
              </w:rPr>
            </w:pPr>
          </w:p>
        </w:tc>
        <w:tc>
          <w:tcPr>
            <w:tcW w:w="1247" w:type="dxa"/>
            <w:tcBorders>
              <w:left w:val="single" w:sz="4" w:space="0" w:color="2EAAE1"/>
            </w:tcBorders>
            <w:vAlign w:val="center"/>
          </w:tcPr>
          <w:p w14:paraId="67FA695B"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33:</w:t>
            </w:r>
          </w:p>
          <w:p w14:paraId="0CA8BE86" w14:textId="77777777" w:rsidR="00AA20CF" w:rsidRPr="00A46BD9" w:rsidRDefault="00AA20CF" w:rsidP="00CF3F52">
            <w:pPr>
              <w:jc w:val="center"/>
              <w:rPr>
                <w:rFonts w:ascii="Arial Narrow" w:hAnsi="Arial Narrow"/>
                <w:b/>
                <w:sz w:val="15"/>
                <w:szCs w:val="15"/>
              </w:rPr>
            </w:pPr>
            <w:r w:rsidRPr="00A46BD9">
              <w:rPr>
                <w:rFonts w:ascii="Arial Narrow" w:hAnsi="Arial Narrow"/>
                <w:sz w:val="15"/>
                <w:szCs w:val="15"/>
              </w:rPr>
              <w:t>Rekodifikácia práva obchodných spoločností</w:t>
            </w:r>
          </w:p>
        </w:tc>
        <w:tc>
          <w:tcPr>
            <w:tcW w:w="2693" w:type="dxa"/>
          </w:tcPr>
          <w:p w14:paraId="40A1D4D3"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Cieľom rekodifikácie je zjednodušiť zapojenie spoločníkov do riadenia spoločnosti vrátane digitalizácie rozhodovania, posilniť ochranu dotknutých subjektov a zvýšiť transparentnosť pri identifikácii konečných užívateľov výhod.</w:t>
            </w:r>
          </w:p>
          <w:p w14:paraId="1B6E7AB2" w14:textId="77777777" w:rsidR="00AA20CF" w:rsidRPr="00A46BD9" w:rsidRDefault="00AA20CF" w:rsidP="00CF3F52">
            <w:pPr>
              <w:jc w:val="both"/>
              <w:rPr>
                <w:rFonts w:ascii="Arial Narrow" w:hAnsi="Arial Narrow"/>
                <w:sz w:val="15"/>
                <w:szCs w:val="15"/>
              </w:rPr>
            </w:pPr>
          </w:p>
          <w:p w14:paraId="7865C28C"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Implementácia reformy aktuálne nepokračuje, keďže rekodifikácia práva obchodných spoločností nie je v súčasnosti prioritou legislatívnej činnosti vlády SR.</w:t>
            </w:r>
          </w:p>
        </w:tc>
        <w:tc>
          <w:tcPr>
            <w:tcW w:w="737" w:type="dxa"/>
            <w:vAlign w:val="center"/>
          </w:tcPr>
          <w:p w14:paraId="72E5646D"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654A9545"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CSR.2025.3.1</w:t>
            </w:r>
          </w:p>
        </w:tc>
        <w:tc>
          <w:tcPr>
            <w:tcW w:w="850" w:type="dxa"/>
            <w:vAlign w:val="center"/>
          </w:tcPr>
          <w:p w14:paraId="794D52A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Posilnenie sociálnej a hospodárskej odolnosti;</w:t>
            </w:r>
          </w:p>
          <w:p w14:paraId="2668C1A9" w14:textId="77777777" w:rsidR="00AA20CF" w:rsidRPr="00EF7276" w:rsidRDefault="00AA20CF" w:rsidP="00CF3F52">
            <w:pPr>
              <w:pStyle w:val="Default"/>
              <w:jc w:val="center"/>
              <w:rPr>
                <w:rFonts w:ascii="Arial Narrow" w:hAnsi="Arial Narrow"/>
                <w:sz w:val="12"/>
                <w:szCs w:val="12"/>
              </w:rPr>
            </w:pPr>
            <w:r w:rsidRPr="00EF7276">
              <w:rPr>
                <w:rFonts w:ascii="Arial Narrow" w:hAnsi="Arial Narrow"/>
                <w:sz w:val="12"/>
                <w:szCs w:val="12"/>
              </w:rPr>
              <w:t>Spravodlivá digitálna transformácia</w:t>
            </w:r>
          </w:p>
        </w:tc>
        <w:tc>
          <w:tcPr>
            <w:tcW w:w="567" w:type="dxa"/>
            <w:vAlign w:val="center"/>
          </w:tcPr>
          <w:p w14:paraId="1BDA46F0" w14:textId="77777777" w:rsidR="00AA20CF" w:rsidRPr="00EF7276" w:rsidRDefault="00AA20CF" w:rsidP="00CF3F52">
            <w:pPr>
              <w:jc w:val="center"/>
              <w:rPr>
                <w:rFonts w:ascii="Arial Narrow" w:hAnsi="Arial Narrow"/>
                <w:sz w:val="12"/>
                <w:szCs w:val="12"/>
                <w:shd w:val="clear" w:color="auto" w:fill="FFFFFF" w:themeFill="background1"/>
              </w:rPr>
            </w:pPr>
            <w:r w:rsidRPr="00EF7276">
              <w:rPr>
                <w:rFonts w:ascii="Arial Narrow" w:hAnsi="Arial Narrow"/>
                <w:sz w:val="12"/>
                <w:szCs w:val="12"/>
              </w:rPr>
              <w:t>-</w:t>
            </w:r>
          </w:p>
        </w:tc>
        <w:tc>
          <w:tcPr>
            <w:tcW w:w="709" w:type="dxa"/>
            <w:vAlign w:val="center"/>
          </w:tcPr>
          <w:p w14:paraId="1FE03729"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16</w:t>
            </w:r>
          </w:p>
        </w:tc>
        <w:tc>
          <w:tcPr>
            <w:tcW w:w="992" w:type="dxa"/>
            <w:vAlign w:val="center"/>
          </w:tcPr>
          <w:p w14:paraId="77B0EECA"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Nedokončené</w:t>
            </w:r>
          </w:p>
        </w:tc>
      </w:tr>
      <w:tr w:rsidR="00AA20CF" w:rsidRPr="00A46BD9" w14:paraId="7B3C4DC0" w14:textId="77777777" w:rsidTr="00CF3F52">
        <w:trPr>
          <w:trHeight w:val="263"/>
        </w:trPr>
        <w:tc>
          <w:tcPr>
            <w:tcW w:w="283" w:type="dxa"/>
            <w:vMerge/>
            <w:tcBorders>
              <w:left w:val="single" w:sz="4" w:space="0" w:color="2EAAE1"/>
              <w:right w:val="single" w:sz="4" w:space="0" w:color="2EAAE1"/>
            </w:tcBorders>
            <w:shd w:val="clear" w:color="auto" w:fill="0C1D2B"/>
            <w:vAlign w:val="center"/>
          </w:tcPr>
          <w:p w14:paraId="13440973" w14:textId="77777777" w:rsidR="00AA20CF" w:rsidRPr="00A46BD9" w:rsidRDefault="00AA20CF" w:rsidP="00CF3F52">
            <w:pPr>
              <w:spacing w:line="140" w:lineRule="exact"/>
              <w:jc w:val="center"/>
              <w:rPr>
                <w:rFonts w:ascii="Arial Narrow" w:hAnsi="Arial Narrow"/>
                <w:b/>
                <w:sz w:val="16"/>
                <w:szCs w:val="16"/>
              </w:rPr>
            </w:pPr>
          </w:p>
        </w:tc>
        <w:tc>
          <w:tcPr>
            <w:tcW w:w="1247" w:type="dxa"/>
            <w:tcBorders>
              <w:left w:val="single" w:sz="4" w:space="0" w:color="2EAAE1"/>
            </w:tcBorders>
            <w:vAlign w:val="center"/>
          </w:tcPr>
          <w:p w14:paraId="342B3EAB"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34:</w:t>
            </w:r>
          </w:p>
          <w:p w14:paraId="7A10014E" w14:textId="77777777" w:rsidR="00AA20CF" w:rsidRPr="00A46BD9" w:rsidRDefault="00AA20CF" w:rsidP="00CF3F52">
            <w:pPr>
              <w:jc w:val="center"/>
              <w:rPr>
                <w:rFonts w:ascii="Arial Narrow" w:hAnsi="Arial Narrow"/>
                <w:sz w:val="15"/>
                <w:szCs w:val="15"/>
              </w:rPr>
            </w:pPr>
            <w:r w:rsidRPr="00A46BD9">
              <w:rPr>
                <w:rFonts w:ascii="Arial Narrow" w:hAnsi="Arial Narrow"/>
                <w:sz w:val="15"/>
                <w:szCs w:val="15"/>
              </w:rPr>
              <w:t>Zabezpečenie priameho prístupu Policajného zboru  do špecifických evidencií štátnych orgánov</w:t>
            </w:r>
          </w:p>
        </w:tc>
        <w:tc>
          <w:tcPr>
            <w:tcW w:w="2693" w:type="dxa"/>
          </w:tcPr>
          <w:p w14:paraId="530F0FB6"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 xml:space="preserve">Na účinnejšie vyšetrovanie legalizácie výnosov z trestnej činnosti </w:t>
            </w:r>
            <w:r>
              <w:rPr>
                <w:rFonts w:ascii="Arial Narrow" w:hAnsi="Arial Narrow"/>
                <w:sz w:val="15"/>
                <w:szCs w:val="15"/>
              </w:rPr>
              <w:t xml:space="preserve">sa </w:t>
            </w:r>
            <w:r w:rsidRPr="00A46BD9">
              <w:rPr>
                <w:rFonts w:ascii="Arial Narrow" w:hAnsi="Arial Narrow"/>
                <w:sz w:val="15"/>
                <w:szCs w:val="15"/>
              </w:rPr>
              <w:t>zaved</w:t>
            </w:r>
            <w:r>
              <w:rPr>
                <w:rFonts w:ascii="Arial Narrow" w:hAnsi="Arial Narrow"/>
                <w:sz w:val="15"/>
                <w:szCs w:val="15"/>
              </w:rPr>
              <w:t>ie</w:t>
            </w:r>
            <w:r w:rsidRPr="00A46BD9">
              <w:rPr>
                <w:rFonts w:ascii="Arial Narrow" w:hAnsi="Arial Narrow"/>
                <w:sz w:val="15"/>
                <w:szCs w:val="15"/>
              </w:rPr>
              <w:t xml:space="preserve"> online prístup pre Policajný zbor do vybraných štátnych databáz.</w:t>
            </w:r>
          </w:p>
          <w:p w14:paraId="03DA950F" w14:textId="77777777" w:rsidR="00AA20CF" w:rsidRPr="00A46BD9" w:rsidRDefault="00AA20CF" w:rsidP="00CF3F52">
            <w:pPr>
              <w:jc w:val="both"/>
              <w:rPr>
                <w:rFonts w:ascii="Arial Narrow" w:hAnsi="Arial Narrow"/>
                <w:sz w:val="15"/>
                <w:szCs w:val="15"/>
              </w:rPr>
            </w:pPr>
          </w:p>
          <w:p w14:paraId="73950F0D" w14:textId="77777777" w:rsidR="00AA20CF" w:rsidRPr="00A46BD9" w:rsidRDefault="00AA20CF" w:rsidP="00CF3F52">
            <w:pPr>
              <w:jc w:val="both"/>
              <w:rPr>
                <w:rFonts w:ascii="Arial Narrow" w:hAnsi="Arial Narrow"/>
                <w:sz w:val="15"/>
                <w:szCs w:val="15"/>
              </w:rPr>
            </w:pPr>
            <w:r w:rsidRPr="00A46BD9">
              <w:rPr>
                <w:rFonts w:ascii="Arial Narrow" w:hAnsi="Arial Narrow"/>
                <w:sz w:val="15"/>
                <w:szCs w:val="15"/>
              </w:rPr>
              <w:t>Centrálny register účtov, spravovaný MF SR, bol Policajnému zboru sprístupnený 15. augusta 2024. Integrácia prístupu do databáz Sociálnej poisťovne je technicky pripravená a jej spustenie do produkčnej prevádzky sa očakáva v 2. štvrťroku 2026.</w:t>
            </w:r>
          </w:p>
        </w:tc>
        <w:tc>
          <w:tcPr>
            <w:tcW w:w="737" w:type="dxa"/>
            <w:vAlign w:val="center"/>
          </w:tcPr>
          <w:p w14:paraId="386F652D"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2489482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CSR.2025.3.10</w:t>
            </w:r>
          </w:p>
        </w:tc>
        <w:tc>
          <w:tcPr>
            <w:tcW w:w="850" w:type="dxa"/>
            <w:vAlign w:val="center"/>
          </w:tcPr>
          <w:p w14:paraId="41A149EC" w14:textId="77777777" w:rsidR="00AA20CF" w:rsidRPr="00EF7276" w:rsidRDefault="00AA20CF" w:rsidP="00CF3F52">
            <w:pPr>
              <w:pStyle w:val="Default"/>
              <w:jc w:val="center"/>
              <w:rPr>
                <w:rFonts w:ascii="Arial Narrow" w:hAnsi="Arial Narrow"/>
                <w:sz w:val="12"/>
                <w:szCs w:val="12"/>
              </w:rPr>
            </w:pPr>
            <w:r w:rsidRPr="00EF7276">
              <w:rPr>
                <w:rFonts w:ascii="Arial Narrow" w:hAnsi="Arial Narrow"/>
                <w:sz w:val="12"/>
                <w:szCs w:val="12"/>
              </w:rPr>
              <w:t>Posilnenie sociálnej a hospodárskej odolnosti</w:t>
            </w:r>
          </w:p>
        </w:tc>
        <w:tc>
          <w:tcPr>
            <w:tcW w:w="567" w:type="dxa"/>
            <w:vAlign w:val="center"/>
          </w:tcPr>
          <w:p w14:paraId="639DA917" w14:textId="77777777" w:rsidR="00AA20CF" w:rsidRPr="00EF7276" w:rsidRDefault="00AA20CF" w:rsidP="00CF3F52">
            <w:pPr>
              <w:jc w:val="center"/>
              <w:rPr>
                <w:rFonts w:ascii="Arial Narrow" w:hAnsi="Arial Narrow"/>
                <w:color w:val="FF0000"/>
                <w:sz w:val="12"/>
                <w:szCs w:val="12"/>
              </w:rPr>
            </w:pPr>
            <w:r w:rsidRPr="00EF7276">
              <w:rPr>
                <w:rFonts w:ascii="Arial Narrow" w:hAnsi="Arial Narrow"/>
                <w:sz w:val="12"/>
                <w:szCs w:val="12"/>
                <w:shd w:val="clear" w:color="auto" w:fill="FFFFFF" w:themeFill="background1"/>
              </w:rPr>
              <w:t>Cieľ 16</w:t>
            </w:r>
          </w:p>
        </w:tc>
        <w:tc>
          <w:tcPr>
            <w:tcW w:w="709" w:type="dxa"/>
            <w:vAlign w:val="center"/>
          </w:tcPr>
          <w:p w14:paraId="326CC6B3"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120F97B9"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Oneskorené</w:t>
            </w:r>
          </w:p>
        </w:tc>
      </w:tr>
      <w:tr w:rsidR="00AA20CF" w:rsidRPr="00A46BD9" w14:paraId="1F3D37C6" w14:textId="77777777" w:rsidTr="00CF3F52">
        <w:trPr>
          <w:trHeight w:val="263"/>
        </w:trPr>
        <w:tc>
          <w:tcPr>
            <w:tcW w:w="283" w:type="dxa"/>
            <w:vMerge/>
            <w:tcBorders>
              <w:left w:val="single" w:sz="4" w:space="0" w:color="2EAAE1"/>
              <w:right w:val="single" w:sz="4" w:space="0" w:color="2EAAE1"/>
            </w:tcBorders>
            <w:shd w:val="clear" w:color="auto" w:fill="0C1D2B"/>
            <w:vAlign w:val="center"/>
          </w:tcPr>
          <w:p w14:paraId="537FABC5" w14:textId="77777777" w:rsidR="00AA20CF" w:rsidRPr="00A46BD9" w:rsidRDefault="00AA20CF" w:rsidP="00CF3F52">
            <w:pPr>
              <w:spacing w:line="140" w:lineRule="exact"/>
              <w:jc w:val="center"/>
              <w:rPr>
                <w:rFonts w:ascii="Arial Narrow" w:hAnsi="Arial Narrow"/>
                <w:b/>
                <w:sz w:val="16"/>
                <w:szCs w:val="16"/>
              </w:rPr>
            </w:pPr>
          </w:p>
        </w:tc>
        <w:tc>
          <w:tcPr>
            <w:tcW w:w="1247" w:type="dxa"/>
            <w:tcBorders>
              <w:left w:val="single" w:sz="4" w:space="0" w:color="2EAAE1"/>
            </w:tcBorders>
            <w:vAlign w:val="center"/>
          </w:tcPr>
          <w:p w14:paraId="63ED897E"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35</w:t>
            </w:r>
          </w:p>
          <w:p w14:paraId="2AC09A51"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 xml:space="preserve"> Investícia 5:</w:t>
            </w:r>
          </w:p>
          <w:p w14:paraId="39ECCC59" w14:textId="77777777" w:rsidR="00AA20CF" w:rsidRPr="00A46BD9" w:rsidRDefault="00AA20CF" w:rsidP="00CF3F52">
            <w:pPr>
              <w:jc w:val="center"/>
              <w:rPr>
                <w:rFonts w:ascii="Arial Narrow" w:hAnsi="Arial Narrow"/>
                <w:sz w:val="15"/>
                <w:szCs w:val="15"/>
              </w:rPr>
            </w:pPr>
            <w:r w:rsidRPr="00A46BD9">
              <w:rPr>
                <w:rFonts w:ascii="Arial Narrow" w:hAnsi="Arial Narrow"/>
                <w:sz w:val="15"/>
                <w:szCs w:val="15"/>
              </w:rPr>
              <w:t>Modernizácia informačných systémov na zefektívnenie medzinárodnej policajnej spolupráce</w:t>
            </w:r>
          </w:p>
        </w:tc>
        <w:tc>
          <w:tcPr>
            <w:tcW w:w="2693" w:type="dxa"/>
          </w:tcPr>
          <w:p w14:paraId="4C6851A4" w14:textId="77777777" w:rsidR="00AA20CF" w:rsidRPr="000846E6" w:rsidRDefault="00AA20CF" w:rsidP="00CF3F52">
            <w:pPr>
              <w:jc w:val="both"/>
              <w:rPr>
                <w:rFonts w:ascii="Arial Narrow" w:hAnsi="Arial Narrow"/>
                <w:sz w:val="15"/>
                <w:szCs w:val="15"/>
              </w:rPr>
            </w:pPr>
            <w:r w:rsidRPr="000846E6">
              <w:rPr>
                <w:rFonts w:ascii="Arial Narrow" w:hAnsi="Arial Narrow"/>
                <w:sz w:val="15"/>
                <w:szCs w:val="15"/>
              </w:rPr>
              <w:t>Na posilnenie boja proti medzinárodnej trestnej činnosti sa transponuje príslušná smernica EÚ a modernizujú sa systémy policajnej spolupráce a pátrania vrátane prepojenia na databázu INTERPOL-u.</w:t>
            </w:r>
          </w:p>
          <w:p w14:paraId="5910DC37" w14:textId="77777777" w:rsidR="00AA20CF" w:rsidRPr="000846E6" w:rsidRDefault="00AA20CF" w:rsidP="00CF3F52">
            <w:pPr>
              <w:jc w:val="both"/>
              <w:rPr>
                <w:rFonts w:ascii="Arial Narrow" w:hAnsi="Arial Narrow"/>
                <w:sz w:val="15"/>
                <w:szCs w:val="15"/>
              </w:rPr>
            </w:pPr>
          </w:p>
          <w:p w14:paraId="76DD0970" w14:textId="77777777" w:rsidR="00AA20CF" w:rsidRPr="000846E6" w:rsidRDefault="00AA20CF" w:rsidP="00CF3F52">
            <w:pPr>
              <w:jc w:val="both"/>
              <w:rPr>
                <w:rFonts w:ascii="Arial Narrow" w:hAnsi="Arial Narrow"/>
                <w:sz w:val="15"/>
                <w:szCs w:val="15"/>
              </w:rPr>
            </w:pPr>
            <w:r w:rsidRPr="000846E6">
              <w:rPr>
                <w:rFonts w:ascii="Arial Narrow" w:hAnsi="Arial Narrow"/>
                <w:sz w:val="15"/>
                <w:szCs w:val="15"/>
              </w:rPr>
              <w:t xml:space="preserve">Transpozícia smernice EÚ bola zabezpečená prijatím </w:t>
            </w:r>
            <w:hyperlink r:id="rId144" w:history="1">
              <w:r w:rsidRPr="000846E6">
                <w:rPr>
                  <w:rStyle w:val="Hypertextovprepojenie"/>
                  <w:rFonts w:ascii="Arial Narrow" w:hAnsi="Arial Narrow"/>
                  <w:sz w:val="15"/>
                  <w:szCs w:val="15"/>
                </w:rPr>
                <w:t>novely zákona o Policajnom zbore</w:t>
              </w:r>
            </w:hyperlink>
            <w:r w:rsidRPr="000846E6">
              <w:rPr>
                <w:rFonts w:ascii="Arial Narrow" w:hAnsi="Arial Narrow"/>
                <w:sz w:val="15"/>
                <w:szCs w:val="15"/>
              </w:rPr>
              <w:t xml:space="preserve"> s účinnosťou od 12. decembra 2024. Súčasne pokračujú technické úpravy informačného systému medzinárodnej policajnej spolupráce. Implementácia prebieha v spolupráci s dodávateľom technického riešenia a za rezortnej koordinácie MV SR a Policajného zboru, pričom technická realizácia projektu sa očakáva do júna 2027.</w:t>
            </w:r>
          </w:p>
        </w:tc>
        <w:tc>
          <w:tcPr>
            <w:tcW w:w="737" w:type="dxa"/>
            <w:vAlign w:val="center"/>
          </w:tcPr>
          <w:p w14:paraId="18BFF744"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177D9CA2"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CSR.2025.3.10</w:t>
            </w:r>
          </w:p>
        </w:tc>
        <w:tc>
          <w:tcPr>
            <w:tcW w:w="850" w:type="dxa"/>
            <w:vAlign w:val="center"/>
          </w:tcPr>
          <w:p w14:paraId="48EEBDC8" w14:textId="77777777" w:rsidR="00AA20CF" w:rsidRPr="00EF7276" w:rsidRDefault="00AA20CF" w:rsidP="00CF3F52">
            <w:pPr>
              <w:pStyle w:val="Default"/>
              <w:jc w:val="center"/>
              <w:rPr>
                <w:rFonts w:ascii="Arial Narrow" w:hAnsi="Arial Narrow"/>
                <w:sz w:val="12"/>
                <w:szCs w:val="12"/>
              </w:rPr>
            </w:pPr>
            <w:r w:rsidRPr="00EF7276">
              <w:rPr>
                <w:rFonts w:ascii="Arial Narrow" w:hAnsi="Arial Narrow"/>
                <w:sz w:val="12"/>
                <w:szCs w:val="12"/>
              </w:rPr>
              <w:t>Posilnenie sociálnej a hospodárskej odolnosti;</w:t>
            </w:r>
            <w:r w:rsidRPr="00EF7276">
              <w:rPr>
                <w:rFonts w:ascii="Arial Narrow" w:hAnsi="Arial Narrow" w:cstheme="minorBidi"/>
                <w:color w:val="auto"/>
                <w:sz w:val="12"/>
                <w:szCs w:val="12"/>
              </w:rPr>
              <w:t xml:space="preserve"> Spravodlivá digitálna transformácia</w:t>
            </w:r>
          </w:p>
        </w:tc>
        <w:tc>
          <w:tcPr>
            <w:tcW w:w="567" w:type="dxa"/>
            <w:vAlign w:val="center"/>
          </w:tcPr>
          <w:p w14:paraId="09F36DB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Cieľ 16</w:t>
            </w:r>
          </w:p>
        </w:tc>
        <w:tc>
          <w:tcPr>
            <w:tcW w:w="709" w:type="dxa"/>
            <w:vAlign w:val="center"/>
          </w:tcPr>
          <w:p w14:paraId="5AC4A09A"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44522AB5"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r w:rsidR="00AA20CF" w:rsidRPr="00A46BD9" w14:paraId="3EA2904C" w14:textId="77777777" w:rsidTr="00CF3F52">
        <w:trPr>
          <w:cantSplit/>
          <w:trHeight w:val="1134"/>
        </w:trPr>
        <w:tc>
          <w:tcPr>
            <w:tcW w:w="283" w:type="dxa"/>
            <w:vMerge w:val="restart"/>
            <w:shd w:val="clear" w:color="auto" w:fill="58BBE7"/>
            <w:textDirection w:val="btLr"/>
            <w:vAlign w:val="center"/>
          </w:tcPr>
          <w:p w14:paraId="0A916E7D" w14:textId="77777777" w:rsidR="00AA20CF" w:rsidRPr="00A46BD9" w:rsidRDefault="00AA20CF" w:rsidP="00CF3F52">
            <w:pPr>
              <w:spacing w:line="140" w:lineRule="exact"/>
              <w:ind w:left="113" w:right="113"/>
              <w:jc w:val="center"/>
              <w:rPr>
                <w:rFonts w:ascii="Arial Narrow" w:hAnsi="Arial Narrow"/>
                <w:b/>
                <w:color w:val="FFFFFF" w:themeColor="background1"/>
                <w:sz w:val="16"/>
                <w:szCs w:val="16"/>
              </w:rPr>
            </w:pPr>
            <w:r w:rsidRPr="00A46BD9">
              <w:rPr>
                <w:rFonts w:ascii="Arial Narrow" w:hAnsi="Arial Narrow"/>
                <w:b/>
                <w:color w:val="FFFFFF" w:themeColor="background1"/>
                <w:sz w:val="16"/>
                <w:szCs w:val="16"/>
              </w:rPr>
              <w:lastRenderedPageBreak/>
              <w:t>Zdravotníctvo</w:t>
            </w:r>
          </w:p>
        </w:tc>
        <w:tc>
          <w:tcPr>
            <w:tcW w:w="1247" w:type="dxa"/>
            <w:vAlign w:val="center"/>
          </w:tcPr>
          <w:p w14:paraId="084876CC"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36:</w:t>
            </w:r>
          </w:p>
          <w:p w14:paraId="5F022B3A" w14:textId="77777777" w:rsidR="00AA20CF" w:rsidRPr="00A46BD9" w:rsidRDefault="00AA20CF" w:rsidP="00CF3F52">
            <w:pPr>
              <w:jc w:val="center"/>
              <w:rPr>
                <w:rFonts w:ascii="Arial Narrow" w:hAnsi="Arial Narrow"/>
                <w:sz w:val="15"/>
                <w:szCs w:val="15"/>
              </w:rPr>
            </w:pPr>
            <w:r w:rsidRPr="00A46BD9">
              <w:rPr>
                <w:rFonts w:ascii="Arial Narrow" w:hAnsi="Arial Narrow"/>
                <w:sz w:val="15"/>
                <w:szCs w:val="15"/>
              </w:rPr>
              <w:t>Rozpočtová rada pre zdravotníctvo</w:t>
            </w:r>
          </w:p>
        </w:tc>
        <w:tc>
          <w:tcPr>
            <w:tcW w:w="2693" w:type="dxa"/>
          </w:tcPr>
          <w:p w14:paraId="714135F8" w14:textId="77777777" w:rsidR="00AA20CF" w:rsidRPr="00503475" w:rsidRDefault="00AA20CF" w:rsidP="00CF3F52">
            <w:pPr>
              <w:jc w:val="both"/>
              <w:rPr>
                <w:rFonts w:ascii="Arial Narrow" w:hAnsi="Arial Narrow"/>
                <w:sz w:val="15"/>
                <w:szCs w:val="15"/>
              </w:rPr>
            </w:pPr>
            <w:r w:rsidRPr="000846E6">
              <w:rPr>
                <w:rFonts w:ascii="Arial Narrow" w:hAnsi="Arial Narrow"/>
                <w:sz w:val="15"/>
                <w:szCs w:val="15"/>
              </w:rPr>
              <w:t xml:space="preserve">Zámerom opatrenia je zriadenie rady, ktorá bude koordinovať prípravu rozpočtu a jeho priebežné monitorovanie, s cieľom flexibilne </w:t>
            </w:r>
            <w:r w:rsidRPr="00503475">
              <w:rPr>
                <w:rFonts w:ascii="Arial Narrow" w:hAnsi="Arial Narrow"/>
                <w:sz w:val="15"/>
                <w:szCs w:val="15"/>
              </w:rPr>
              <w:t>určovať potrebné financie pre zdravotníctvo.</w:t>
            </w:r>
          </w:p>
          <w:p w14:paraId="6DC06C7E" w14:textId="77777777" w:rsidR="00AA20CF" w:rsidRPr="00503475" w:rsidRDefault="00AA20CF" w:rsidP="00CF3F52">
            <w:pPr>
              <w:jc w:val="both"/>
              <w:rPr>
                <w:rFonts w:ascii="Arial Narrow" w:hAnsi="Arial Narrow"/>
                <w:sz w:val="15"/>
                <w:szCs w:val="15"/>
              </w:rPr>
            </w:pPr>
          </w:p>
          <w:p w14:paraId="0A0F124A" w14:textId="77777777" w:rsidR="00AA20CF" w:rsidRPr="000846E6" w:rsidRDefault="00AA20CF" w:rsidP="00CF3F52">
            <w:pPr>
              <w:jc w:val="both"/>
              <w:rPr>
                <w:rFonts w:ascii="Arial Narrow" w:hAnsi="Arial Narrow"/>
                <w:sz w:val="15"/>
                <w:szCs w:val="15"/>
              </w:rPr>
            </w:pPr>
            <w:hyperlink r:id="rId145" w:history="1">
              <w:r w:rsidRPr="00503475">
                <w:rPr>
                  <w:rStyle w:val="Hypertextovprepojenie"/>
                  <w:rFonts w:ascii="Arial Narrow" w:hAnsi="Arial Narrow"/>
                  <w:sz w:val="15"/>
                  <w:szCs w:val="15"/>
                </w:rPr>
                <w:t>Rozpočtová rada pre zdravotníctvo</w:t>
              </w:r>
            </w:hyperlink>
            <w:r w:rsidRPr="000846E6">
              <w:rPr>
                <w:rFonts w:ascii="Arial Narrow" w:hAnsi="Arial Narrow"/>
                <w:sz w:val="15"/>
                <w:szCs w:val="15"/>
              </w:rPr>
              <w:t xml:space="preserve"> bola zriadená v druhej polovici roka 2025.</w:t>
            </w:r>
          </w:p>
        </w:tc>
        <w:tc>
          <w:tcPr>
            <w:tcW w:w="737" w:type="dxa"/>
            <w:vAlign w:val="center"/>
          </w:tcPr>
          <w:p w14:paraId="7F3D65BD"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71750116"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CSR.2025.1.4</w:t>
            </w:r>
          </w:p>
          <w:p w14:paraId="30B7ABE5"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CSR.2025.3.6</w:t>
            </w:r>
          </w:p>
        </w:tc>
        <w:tc>
          <w:tcPr>
            <w:tcW w:w="850" w:type="dxa"/>
            <w:vAlign w:val="center"/>
          </w:tcPr>
          <w:p w14:paraId="114A3042" w14:textId="77777777" w:rsidR="00AA20CF" w:rsidRPr="00EF7276" w:rsidRDefault="00AA20CF" w:rsidP="00CF3F52">
            <w:pPr>
              <w:pStyle w:val="Default"/>
              <w:jc w:val="center"/>
              <w:rPr>
                <w:rFonts w:ascii="Arial Narrow" w:hAnsi="Arial Narrow"/>
                <w:sz w:val="12"/>
                <w:szCs w:val="12"/>
              </w:rPr>
            </w:pPr>
            <w:r w:rsidRPr="00EF7276">
              <w:rPr>
                <w:rFonts w:ascii="Arial Narrow" w:hAnsi="Arial Narrow"/>
                <w:sz w:val="12"/>
                <w:szCs w:val="12"/>
              </w:rPr>
              <w:t>Posilnenie sociálnej a hospodárskej odolnosti</w:t>
            </w:r>
          </w:p>
        </w:tc>
        <w:tc>
          <w:tcPr>
            <w:tcW w:w="567" w:type="dxa"/>
            <w:vAlign w:val="center"/>
          </w:tcPr>
          <w:p w14:paraId="662A1310" w14:textId="77777777" w:rsidR="00AA20CF" w:rsidRPr="00EF7276" w:rsidRDefault="00AA20CF" w:rsidP="00CF3F52">
            <w:pPr>
              <w:jc w:val="center"/>
              <w:rPr>
                <w:rFonts w:ascii="Arial Narrow" w:hAnsi="Arial Narrow"/>
                <w:color w:val="FF0000"/>
                <w:sz w:val="12"/>
                <w:szCs w:val="12"/>
              </w:rPr>
            </w:pPr>
            <w:r w:rsidRPr="00EF7276">
              <w:rPr>
                <w:rFonts w:ascii="Arial Narrow" w:hAnsi="Arial Narrow"/>
                <w:sz w:val="12"/>
                <w:szCs w:val="12"/>
              </w:rPr>
              <w:t>Cieľ 3</w:t>
            </w:r>
          </w:p>
        </w:tc>
        <w:tc>
          <w:tcPr>
            <w:tcW w:w="709" w:type="dxa"/>
            <w:vAlign w:val="center"/>
          </w:tcPr>
          <w:p w14:paraId="772A4AC4"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16</w:t>
            </w:r>
          </w:p>
        </w:tc>
        <w:tc>
          <w:tcPr>
            <w:tcW w:w="992" w:type="dxa"/>
            <w:vAlign w:val="center"/>
          </w:tcPr>
          <w:p w14:paraId="2C832802" w14:textId="77777777" w:rsidR="00AA20CF" w:rsidRPr="00EF7276" w:rsidRDefault="00AA20CF" w:rsidP="00CF3F52">
            <w:pPr>
              <w:jc w:val="center"/>
              <w:rPr>
                <w:rFonts w:ascii="Arial Narrow" w:hAnsi="Arial Narrow"/>
                <w:sz w:val="12"/>
                <w:szCs w:val="12"/>
              </w:rPr>
            </w:pPr>
            <w:r>
              <w:rPr>
                <w:rFonts w:ascii="Arial Narrow" w:hAnsi="Arial Narrow"/>
                <w:sz w:val="12"/>
                <w:szCs w:val="12"/>
              </w:rPr>
              <w:t>Dokončené</w:t>
            </w:r>
          </w:p>
        </w:tc>
      </w:tr>
      <w:tr w:rsidR="00AA20CF" w:rsidRPr="00A46BD9" w14:paraId="0114CB68" w14:textId="77777777" w:rsidTr="00CF3F52">
        <w:trPr>
          <w:cantSplit/>
          <w:trHeight w:val="1134"/>
        </w:trPr>
        <w:tc>
          <w:tcPr>
            <w:tcW w:w="283" w:type="dxa"/>
            <w:vMerge/>
            <w:shd w:val="clear" w:color="auto" w:fill="58BBE7"/>
            <w:textDirection w:val="btLr"/>
            <w:vAlign w:val="center"/>
          </w:tcPr>
          <w:p w14:paraId="7D867698" w14:textId="77777777" w:rsidR="00AA20CF" w:rsidRPr="00A46BD9" w:rsidRDefault="00AA20CF" w:rsidP="00CF3F52">
            <w:pPr>
              <w:spacing w:line="140" w:lineRule="exact"/>
              <w:ind w:left="113" w:right="113"/>
              <w:jc w:val="center"/>
              <w:rPr>
                <w:rFonts w:ascii="Arial Narrow" w:hAnsi="Arial Narrow"/>
                <w:b/>
                <w:color w:val="FFFFFF" w:themeColor="background1"/>
                <w:sz w:val="16"/>
                <w:szCs w:val="16"/>
              </w:rPr>
            </w:pPr>
          </w:p>
        </w:tc>
        <w:tc>
          <w:tcPr>
            <w:tcW w:w="1247" w:type="dxa"/>
            <w:vAlign w:val="center"/>
          </w:tcPr>
          <w:p w14:paraId="2A808DE5" w14:textId="77777777" w:rsidR="00AA20CF" w:rsidRPr="00A46BD9" w:rsidRDefault="00AA20CF" w:rsidP="00CF3F52">
            <w:pPr>
              <w:jc w:val="center"/>
              <w:rPr>
                <w:rFonts w:ascii="Arial Narrow" w:hAnsi="Arial Narrow"/>
                <w:b/>
                <w:sz w:val="15"/>
                <w:szCs w:val="15"/>
              </w:rPr>
            </w:pPr>
            <w:r w:rsidRPr="00A46BD9">
              <w:rPr>
                <w:rFonts w:ascii="Arial Narrow" w:hAnsi="Arial Narrow"/>
                <w:b/>
                <w:sz w:val="15"/>
                <w:szCs w:val="15"/>
              </w:rPr>
              <w:t>Reforma 38:</w:t>
            </w:r>
          </w:p>
          <w:p w14:paraId="20D05A97" w14:textId="77777777" w:rsidR="00AA20CF" w:rsidRPr="00A46BD9" w:rsidRDefault="00AA20CF" w:rsidP="00CF3F52">
            <w:pPr>
              <w:jc w:val="center"/>
              <w:rPr>
                <w:rFonts w:ascii="Arial Narrow" w:hAnsi="Arial Narrow"/>
                <w:sz w:val="15"/>
                <w:szCs w:val="15"/>
              </w:rPr>
            </w:pPr>
            <w:r w:rsidRPr="00A46BD9">
              <w:rPr>
                <w:rFonts w:ascii="Arial Narrow" w:hAnsi="Arial Narrow"/>
                <w:sz w:val="15"/>
                <w:szCs w:val="15"/>
              </w:rPr>
              <w:t>Katalóg výkonov pre špecializovanú zdravotnú starostlivosť (ŠAS)</w:t>
            </w:r>
          </w:p>
        </w:tc>
        <w:tc>
          <w:tcPr>
            <w:tcW w:w="2693" w:type="dxa"/>
          </w:tcPr>
          <w:p w14:paraId="743028DF" w14:textId="77777777" w:rsidR="00AA20CF" w:rsidRPr="000846E6" w:rsidRDefault="00AA20CF" w:rsidP="00CF3F52">
            <w:pPr>
              <w:jc w:val="both"/>
              <w:rPr>
                <w:rFonts w:ascii="Arial Narrow" w:hAnsi="Arial Narrow"/>
                <w:sz w:val="15"/>
                <w:szCs w:val="15"/>
              </w:rPr>
            </w:pPr>
            <w:r w:rsidRPr="000846E6">
              <w:rPr>
                <w:rFonts w:ascii="Arial Narrow" w:hAnsi="Arial Narrow"/>
                <w:sz w:val="15"/>
                <w:szCs w:val="15"/>
              </w:rPr>
              <w:t>Cieľom opatrenia je aktualizovať katalóg výkonov pre ŠAS so zameraním na špecializácie s nedostatočným financovaním a doplniť ho o výkony podľa ich náročnosti.</w:t>
            </w:r>
          </w:p>
          <w:p w14:paraId="769CE0EE" w14:textId="77777777" w:rsidR="00AA20CF" w:rsidRPr="000846E6" w:rsidRDefault="00AA20CF" w:rsidP="00CF3F52">
            <w:pPr>
              <w:jc w:val="both"/>
              <w:rPr>
                <w:rFonts w:ascii="Arial Narrow" w:hAnsi="Arial Narrow"/>
                <w:sz w:val="15"/>
                <w:szCs w:val="15"/>
              </w:rPr>
            </w:pPr>
          </w:p>
          <w:p w14:paraId="7B6DF648" w14:textId="77777777" w:rsidR="00AA20CF" w:rsidRPr="000846E6" w:rsidRDefault="00AA20CF" w:rsidP="00CF3F52">
            <w:pPr>
              <w:jc w:val="both"/>
              <w:rPr>
                <w:rFonts w:ascii="Arial Narrow" w:hAnsi="Arial Narrow"/>
                <w:sz w:val="15"/>
                <w:szCs w:val="15"/>
              </w:rPr>
            </w:pPr>
            <w:hyperlink r:id="rId146" w:history="1">
              <w:r w:rsidRPr="000846E6">
                <w:rPr>
                  <w:rStyle w:val="Hypertextovprepojenie"/>
                  <w:rFonts w:ascii="Arial Narrow" w:hAnsi="Arial Narrow"/>
                  <w:sz w:val="15"/>
                  <w:szCs w:val="15"/>
                </w:rPr>
                <w:t>Pilotný projekt</w:t>
              </w:r>
            </w:hyperlink>
            <w:r w:rsidRPr="000846E6">
              <w:rPr>
                <w:rFonts w:ascii="Arial Narrow" w:hAnsi="Arial Narrow"/>
                <w:sz w:val="15"/>
                <w:szCs w:val="15"/>
              </w:rPr>
              <w:t xml:space="preserve"> pre 7 špecializácií je v analytickej fáze, ktorej cieľom je priradenie váh zdravotným výkonom podľa ich náročnosti. </w:t>
            </w:r>
            <w:hyperlink r:id="rId147" w:history="1">
              <w:r w:rsidRPr="000846E6">
                <w:rPr>
                  <w:rStyle w:val="Hypertextovprepojenie"/>
                  <w:rFonts w:ascii="Arial Narrow" w:hAnsi="Arial Narrow"/>
                  <w:sz w:val="15"/>
                  <w:szCs w:val="15"/>
                </w:rPr>
                <w:t>Druhý pilot</w:t>
              </w:r>
            </w:hyperlink>
            <w:r w:rsidRPr="000846E6">
              <w:rPr>
                <w:rFonts w:ascii="Arial Narrow" w:hAnsi="Arial Narrow"/>
                <w:sz w:val="15"/>
                <w:szCs w:val="15"/>
              </w:rPr>
              <w:t xml:space="preserve"> pre 14 špecializácií sa plánuje spustiť od 1. apríla 2026. MZ SR zároveň pripravuje rozšírenie katalógu na ďalšie špecializácie s cieľom jeho schválenia pre celý segment ŠAS do 1. apríla 2027. Súbežne sa pripravuje aj legislatívna úprava správy zoznamu zdravotných výkonov s plánovanou účinnosťou od 1. apríla 2027.</w:t>
            </w:r>
          </w:p>
        </w:tc>
        <w:tc>
          <w:tcPr>
            <w:tcW w:w="737" w:type="dxa"/>
            <w:vAlign w:val="center"/>
          </w:tcPr>
          <w:p w14:paraId="448E10AE" w14:textId="77777777" w:rsidR="00AA20CF" w:rsidRPr="00EF7276" w:rsidRDefault="00AA20CF" w:rsidP="00CF3F52">
            <w:pPr>
              <w:tabs>
                <w:tab w:val="left" w:pos="1306"/>
              </w:tabs>
              <w:jc w:val="center"/>
              <w:rPr>
                <w:rFonts w:ascii="Arial Narrow" w:hAnsi="Arial Narrow"/>
                <w:sz w:val="12"/>
                <w:szCs w:val="12"/>
              </w:rPr>
            </w:pPr>
            <w:r w:rsidRPr="00EF7276">
              <w:rPr>
                <w:rFonts w:ascii="Arial Narrow" w:hAnsi="Arial Narrow"/>
                <w:sz w:val="12"/>
                <w:szCs w:val="12"/>
              </w:rPr>
              <w:t>-</w:t>
            </w:r>
          </w:p>
        </w:tc>
        <w:tc>
          <w:tcPr>
            <w:tcW w:w="992" w:type="dxa"/>
            <w:vAlign w:val="center"/>
          </w:tcPr>
          <w:p w14:paraId="1922CC0A"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CSR.2025.6.9</w:t>
            </w:r>
          </w:p>
        </w:tc>
        <w:tc>
          <w:tcPr>
            <w:tcW w:w="850" w:type="dxa"/>
            <w:vAlign w:val="center"/>
          </w:tcPr>
          <w:p w14:paraId="66FA5387" w14:textId="77777777" w:rsidR="00AA20CF" w:rsidRPr="00EF7276" w:rsidRDefault="00AA20CF" w:rsidP="00CF3F52">
            <w:pPr>
              <w:pStyle w:val="Default"/>
              <w:jc w:val="center"/>
              <w:rPr>
                <w:rFonts w:ascii="Arial Narrow" w:hAnsi="Arial Narrow"/>
                <w:sz w:val="12"/>
                <w:szCs w:val="12"/>
              </w:rPr>
            </w:pPr>
            <w:r w:rsidRPr="00EF7276">
              <w:rPr>
                <w:rFonts w:ascii="Arial Narrow" w:hAnsi="Arial Narrow"/>
                <w:sz w:val="12"/>
                <w:szCs w:val="12"/>
              </w:rPr>
              <w:t>Posilnenie sociálnej a hospodárskej odolnosti</w:t>
            </w:r>
          </w:p>
        </w:tc>
        <w:tc>
          <w:tcPr>
            <w:tcW w:w="567" w:type="dxa"/>
            <w:vAlign w:val="center"/>
          </w:tcPr>
          <w:p w14:paraId="2C634F37" w14:textId="77777777" w:rsidR="00AA20CF" w:rsidRPr="00EF7276" w:rsidRDefault="00AA20CF" w:rsidP="00CF3F52">
            <w:pPr>
              <w:jc w:val="center"/>
              <w:rPr>
                <w:rFonts w:ascii="Arial Narrow" w:hAnsi="Arial Narrow"/>
                <w:color w:val="FF0000"/>
                <w:sz w:val="12"/>
                <w:szCs w:val="12"/>
              </w:rPr>
            </w:pPr>
            <w:r w:rsidRPr="00EF7276">
              <w:rPr>
                <w:rFonts w:ascii="Arial Narrow" w:hAnsi="Arial Narrow"/>
                <w:sz w:val="12"/>
                <w:szCs w:val="12"/>
              </w:rPr>
              <w:t>Cieľ 3</w:t>
            </w:r>
          </w:p>
        </w:tc>
        <w:tc>
          <w:tcPr>
            <w:tcW w:w="709" w:type="dxa"/>
            <w:vAlign w:val="center"/>
          </w:tcPr>
          <w:p w14:paraId="78E2BD67"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Zásada 16</w:t>
            </w:r>
          </w:p>
        </w:tc>
        <w:tc>
          <w:tcPr>
            <w:tcW w:w="992" w:type="dxa"/>
            <w:vAlign w:val="center"/>
          </w:tcPr>
          <w:p w14:paraId="2D89231D" w14:textId="77777777" w:rsidR="00AA20CF" w:rsidRPr="00EF7276" w:rsidRDefault="00AA20CF" w:rsidP="00CF3F52">
            <w:pPr>
              <w:jc w:val="center"/>
              <w:rPr>
                <w:rFonts w:ascii="Arial Narrow" w:hAnsi="Arial Narrow"/>
                <w:sz w:val="12"/>
                <w:szCs w:val="12"/>
              </w:rPr>
            </w:pPr>
            <w:r w:rsidRPr="00EF7276">
              <w:rPr>
                <w:rFonts w:ascii="Arial Narrow" w:hAnsi="Arial Narrow"/>
                <w:sz w:val="12"/>
                <w:szCs w:val="12"/>
              </w:rPr>
              <w:t>Implementácia prebieha</w:t>
            </w:r>
          </w:p>
        </w:tc>
      </w:tr>
    </w:tbl>
    <w:p w14:paraId="15CC0D48" w14:textId="77777777" w:rsidR="00AA20CF" w:rsidRPr="00C57A37" w:rsidRDefault="00AA20CF" w:rsidP="00AA20CF">
      <w:pPr>
        <w:spacing w:after="0"/>
      </w:pPr>
    </w:p>
    <w:p w14:paraId="1CD8A7C1" w14:textId="77777777" w:rsidR="00D9527E" w:rsidRPr="001C4FC1" w:rsidRDefault="00D9527E" w:rsidP="00D9527E">
      <w:pPr>
        <w:jc w:val="both"/>
        <w:rPr>
          <w:i/>
        </w:rPr>
      </w:pPr>
    </w:p>
    <w:p w14:paraId="4A7A2C2C" w14:textId="77777777" w:rsidR="00D9527E" w:rsidRPr="001C4FC1" w:rsidRDefault="00D9527E" w:rsidP="00D9527E">
      <w:pPr>
        <w:jc w:val="both"/>
        <w:rPr>
          <w:rFonts w:ascii="Arial Narrow" w:hAnsi="Arial Narrow"/>
          <w:sz w:val="8"/>
          <w:szCs w:val="8"/>
          <w:highlight w:val="yellow"/>
        </w:rPr>
      </w:pPr>
    </w:p>
    <w:p w14:paraId="4BFD71F2" w14:textId="315A56D6" w:rsidR="00C24F6F" w:rsidRDefault="00C24F6F">
      <w:r>
        <w:br w:type="page"/>
      </w:r>
    </w:p>
    <w:p w14:paraId="738425A2" w14:textId="77777777" w:rsidR="00C24F6F" w:rsidRPr="009A7F4D" w:rsidRDefault="00C24F6F" w:rsidP="00C24F6F">
      <w:pPr>
        <w:pStyle w:val="ifphneut"/>
      </w:pPr>
      <w:r w:rsidRPr="009A7F4D">
        <w:lastRenderedPageBreak/>
        <w:t>Prílohy</w:t>
      </w:r>
    </w:p>
    <w:p w14:paraId="2FA4B37C" w14:textId="77777777" w:rsidR="00C24F6F" w:rsidRPr="000C2D79" w:rsidRDefault="00C24F6F" w:rsidP="00C24F6F">
      <w:pPr>
        <w:spacing w:line="276" w:lineRule="auto"/>
        <w:jc w:val="both"/>
        <w:rPr>
          <w:rFonts w:ascii="Arial Narrow" w:eastAsia="Times New Roman" w:hAnsi="Arial Narrow" w:cs="Times New Roman"/>
          <w:b/>
          <w:bCs/>
          <w:color w:val="2C9ADC"/>
          <w:sz w:val="24"/>
          <w:szCs w:val="24"/>
          <w:lang w:eastAsia="sk-SK"/>
        </w:rPr>
      </w:pPr>
      <w:r w:rsidRPr="000C2D79">
        <w:rPr>
          <w:rFonts w:ascii="Arial Narrow" w:eastAsia="Times New Roman" w:hAnsi="Arial Narrow" w:cs="Times New Roman"/>
          <w:b/>
          <w:bCs/>
          <w:color w:val="2C9ADC"/>
          <w:sz w:val="24"/>
          <w:szCs w:val="24"/>
          <w:lang w:eastAsia="sk-SK"/>
        </w:rPr>
        <w:t xml:space="preserve">Príloha 1 – </w:t>
      </w:r>
      <w:r w:rsidRPr="000C2D79">
        <w:rPr>
          <w:rFonts w:ascii="Arial Narrow" w:hAnsi="Arial Narrow"/>
          <w:b/>
          <w:bCs/>
          <w:color w:val="2C9ADC"/>
          <w:sz w:val="24"/>
          <w:szCs w:val="24"/>
        </w:rPr>
        <w:t>Makroekonomické predpoklady</w:t>
      </w:r>
    </w:p>
    <w:p w14:paraId="5C86762F" w14:textId="77777777" w:rsidR="00C24F6F" w:rsidRPr="000C2D79" w:rsidRDefault="00C24F6F" w:rsidP="00C24F6F">
      <w:pPr>
        <w:jc w:val="both"/>
        <w:rPr>
          <w:rFonts w:ascii="Arial Narrow" w:hAnsi="Arial Narrow"/>
        </w:rPr>
      </w:pPr>
      <w:r w:rsidRPr="000C2D79">
        <w:rPr>
          <w:rFonts w:ascii="Arial Narrow" w:hAnsi="Arial Narrow"/>
          <w:b/>
          <w:bCs/>
        </w:rPr>
        <w:t>Aktuálna prognóza z februára 2026 odráža slabšiu dynamiku slovenskej ekonomiky v rokoch 202</w:t>
      </w:r>
      <w:r>
        <w:rPr>
          <w:rFonts w:ascii="Arial Narrow" w:hAnsi="Arial Narrow"/>
          <w:b/>
          <w:bCs/>
        </w:rPr>
        <w:t>6</w:t>
      </w:r>
      <w:r w:rsidRPr="000C2D79">
        <w:rPr>
          <w:rFonts w:ascii="Arial Narrow" w:hAnsi="Arial Narrow"/>
          <w:b/>
          <w:bCs/>
        </w:rPr>
        <w:t xml:space="preserve"> až 202</w:t>
      </w:r>
      <w:r>
        <w:rPr>
          <w:rFonts w:ascii="Arial Narrow" w:hAnsi="Arial Narrow"/>
          <w:b/>
          <w:bCs/>
        </w:rPr>
        <w:t>9</w:t>
      </w:r>
      <w:r w:rsidRPr="000C2D79">
        <w:rPr>
          <w:rFonts w:ascii="Arial Narrow" w:hAnsi="Arial Narrow"/>
          <w:b/>
          <w:bCs/>
        </w:rPr>
        <w:t xml:space="preserve"> v dôsledku nepriaznivého externého prostredia. </w:t>
      </w:r>
      <w:r w:rsidRPr="000C2D79">
        <w:rPr>
          <w:rFonts w:ascii="Arial Narrow" w:hAnsi="Arial Narrow"/>
        </w:rPr>
        <w:t xml:space="preserve">Slabší rast hlavných obchodných partnerov a zvýšená neistota v globálnom obchode sa premietajú do nízkeho rastu reálneho HDP na úrovni </w:t>
      </w:r>
      <w:r>
        <w:rPr>
          <w:rFonts w:ascii="Arial Narrow" w:hAnsi="Arial Narrow"/>
        </w:rPr>
        <w:t>1</w:t>
      </w:r>
      <w:r w:rsidRPr="000C2D79">
        <w:rPr>
          <w:rFonts w:ascii="Arial Narrow" w:hAnsi="Arial Narrow"/>
        </w:rPr>
        <w:t>,</w:t>
      </w:r>
      <w:r>
        <w:rPr>
          <w:rFonts w:ascii="Arial Narrow" w:hAnsi="Arial Narrow"/>
        </w:rPr>
        <w:t>0</w:t>
      </w:r>
      <w:r w:rsidRPr="000C2D79">
        <w:rPr>
          <w:rFonts w:ascii="Arial Narrow" w:hAnsi="Arial Narrow"/>
        </w:rPr>
        <w:t xml:space="preserve"> % v roku 202</w:t>
      </w:r>
      <w:r>
        <w:rPr>
          <w:rFonts w:ascii="Arial Narrow" w:hAnsi="Arial Narrow"/>
        </w:rPr>
        <w:t>6</w:t>
      </w:r>
      <w:r w:rsidRPr="000C2D79">
        <w:rPr>
          <w:rFonts w:ascii="Arial Narrow" w:hAnsi="Arial Narrow"/>
        </w:rPr>
        <w:t xml:space="preserve"> a 1,</w:t>
      </w:r>
      <w:r>
        <w:rPr>
          <w:rFonts w:ascii="Arial Narrow" w:hAnsi="Arial Narrow"/>
        </w:rPr>
        <w:t>2</w:t>
      </w:r>
      <w:r w:rsidRPr="000C2D79">
        <w:rPr>
          <w:rFonts w:ascii="Arial Narrow" w:hAnsi="Arial Narrow"/>
        </w:rPr>
        <w:t xml:space="preserve"> % v roku 20</w:t>
      </w:r>
      <w:r>
        <w:rPr>
          <w:rFonts w:ascii="Arial Narrow" w:hAnsi="Arial Narrow"/>
        </w:rPr>
        <w:t>27</w:t>
      </w:r>
      <w:r w:rsidRPr="000C2D79">
        <w:rPr>
          <w:rFonts w:ascii="Arial Narrow" w:hAnsi="Arial Narrow"/>
        </w:rPr>
        <w:t xml:space="preserve">, čo je </w:t>
      </w:r>
      <w:r>
        <w:rPr>
          <w:rFonts w:ascii="Arial Narrow" w:hAnsi="Arial Narrow"/>
        </w:rPr>
        <w:t>mierne</w:t>
      </w:r>
      <w:r w:rsidRPr="000C2D79">
        <w:rPr>
          <w:rFonts w:ascii="Arial Narrow" w:hAnsi="Arial Narrow"/>
        </w:rPr>
        <w:t xml:space="preserve"> pod tempom očakávaným v skorších prognózach. Ekonomika sa zároveň v prostredí fiškálnej konsolidácie pohybuje pod svojím potenciálom, keď reštriktívna politika tlmí domáci dopyt. Rast je tak vo zvýšenej miere závislý od investícií financovaných z Plánu obnovy a odolnosti, ktorých efekt je však dočasný. Trh práce postupne oslabuje a zamestnanosť mierne klesá, čo spolu so spomaľujúcim rastom miezd obmedzuje dynamiku spotreby domácností. Pri materializácii negatívnych rizík, najmä v podobe ďalšieho zhoršenia externého prostredia alebo slabšieho čerpania zdrojov z EÚ, môže dôjsť k dodatočnému spomaleniu ekonomiky.</w:t>
      </w:r>
      <w:r w:rsidRPr="008E7F52">
        <w:rPr>
          <w:rFonts w:ascii="Arial Narrow" w:hAnsi="Arial Narrow"/>
          <w:highlight w:val="yellow"/>
        </w:rPr>
        <w:t xml:space="preserve">  </w:t>
      </w:r>
    </w:p>
    <w:tbl>
      <w:tblPr>
        <w:tblW w:w="9235" w:type="dxa"/>
        <w:jc w:val="center"/>
        <w:tblLayout w:type="fixed"/>
        <w:tblCellMar>
          <w:left w:w="70" w:type="dxa"/>
          <w:right w:w="70" w:type="dxa"/>
        </w:tblCellMar>
        <w:tblLook w:val="04A0" w:firstRow="1" w:lastRow="0" w:firstColumn="1" w:lastColumn="0" w:noHBand="0" w:noVBand="1"/>
      </w:tblPr>
      <w:tblGrid>
        <w:gridCol w:w="9235"/>
      </w:tblGrid>
      <w:tr w:rsidR="00C24F6F" w:rsidRPr="008E7F52" w14:paraId="5CE65AAA" w14:textId="77777777" w:rsidTr="002B1847">
        <w:trPr>
          <w:trHeight w:val="336"/>
          <w:jc w:val="center"/>
        </w:trPr>
        <w:tc>
          <w:tcPr>
            <w:tcW w:w="9235" w:type="dxa"/>
            <w:tcBorders>
              <w:top w:val="nil"/>
              <w:left w:val="nil"/>
              <w:bottom w:val="single" w:sz="4" w:space="0" w:color="auto"/>
              <w:right w:val="nil"/>
            </w:tcBorders>
            <w:noWrap/>
            <w:vAlign w:val="center"/>
            <w:hideMark/>
          </w:tcPr>
          <w:p w14:paraId="2D70D69F" w14:textId="4DB91684" w:rsidR="00C24F6F" w:rsidRPr="008E7F52" w:rsidRDefault="00C24F6F" w:rsidP="002B1847">
            <w:pPr>
              <w:pStyle w:val="Tabuka"/>
              <w:framePr w:wrap="around"/>
              <w:rPr>
                <w:highlight w:val="yellow"/>
              </w:rPr>
            </w:pPr>
            <w:bookmarkStart w:id="58" w:name="_Toc196813468"/>
            <w:bookmarkStart w:id="59" w:name="_Toc228177381"/>
            <w:r w:rsidRPr="000C2D79">
              <w:t xml:space="preserve">TABUĽKA </w:t>
            </w:r>
            <w:r w:rsidRPr="000C2D79">
              <w:rPr>
                <w:rFonts w:ascii="Aptos" w:eastAsia="Aptos" w:hAnsi="Aptos"/>
              </w:rPr>
              <w:fldChar w:fldCharType="begin"/>
            </w:r>
            <w:r w:rsidRPr="000C2D79">
              <w:rPr>
                <w:rFonts w:eastAsia="Arial Narrow" w:cs="Arial Narrow"/>
                <w:bdr w:val="none" w:sz="0" w:space="0" w:color="auto" w:frame="1"/>
              </w:rPr>
              <w:instrText xml:space="preserve"> SEQ TABUĽKA \* ARABIC </w:instrText>
            </w:r>
            <w:r w:rsidRPr="000C2D79">
              <w:rPr>
                <w:rFonts w:ascii="Aptos" w:eastAsia="Aptos" w:hAnsi="Aptos"/>
              </w:rPr>
              <w:fldChar w:fldCharType="separate"/>
            </w:r>
            <w:r w:rsidR="008765E2">
              <w:rPr>
                <w:rFonts w:eastAsia="Arial Narrow" w:cs="Arial Narrow"/>
                <w:noProof/>
                <w:bdr w:val="none" w:sz="0" w:space="0" w:color="auto" w:frame="1"/>
              </w:rPr>
              <w:t>8</w:t>
            </w:r>
            <w:r w:rsidRPr="000C2D79">
              <w:rPr>
                <w:rFonts w:ascii="Aptos" w:eastAsia="Aptos" w:hAnsi="Aptos"/>
              </w:rPr>
              <w:fldChar w:fldCharType="end"/>
            </w:r>
            <w:r w:rsidRPr="000C2D79">
              <w:t xml:space="preserve"> – Prognóza vybraných indikátorov vývoja ekonomiky SR</w:t>
            </w:r>
            <w:bookmarkEnd w:id="58"/>
            <w:bookmarkEnd w:id="59"/>
          </w:p>
        </w:tc>
      </w:tr>
    </w:tbl>
    <w:tbl>
      <w:tblPr>
        <w:tblW w:w="9235" w:type="dxa"/>
        <w:jc w:val="center"/>
        <w:tblLayout w:type="fixed"/>
        <w:tblCellMar>
          <w:left w:w="70" w:type="dxa"/>
          <w:right w:w="70" w:type="dxa"/>
        </w:tblCellMar>
        <w:tblLook w:val="04A0" w:firstRow="1" w:lastRow="0" w:firstColumn="1" w:lastColumn="0" w:noHBand="0" w:noVBand="1"/>
      </w:tblPr>
      <w:tblGrid>
        <w:gridCol w:w="567"/>
        <w:gridCol w:w="3686"/>
        <w:gridCol w:w="709"/>
        <w:gridCol w:w="577"/>
        <w:gridCol w:w="500"/>
        <w:gridCol w:w="27"/>
        <w:gridCol w:w="512"/>
        <w:gridCol w:w="15"/>
        <w:gridCol w:w="510"/>
        <w:gridCol w:w="6"/>
        <w:gridCol w:w="538"/>
        <w:gridCol w:w="51"/>
        <w:gridCol w:w="476"/>
        <w:gridCol w:w="527"/>
        <w:gridCol w:w="528"/>
        <w:gridCol w:w="6"/>
      </w:tblGrid>
      <w:tr w:rsidR="00C24F6F" w:rsidRPr="000C2D79" w14:paraId="6C710760" w14:textId="77777777" w:rsidTr="002B1847">
        <w:trPr>
          <w:gridAfter w:val="1"/>
          <w:wAfter w:w="6" w:type="dxa"/>
          <w:trHeight w:val="343"/>
          <w:jc w:val="center"/>
        </w:trPr>
        <w:tc>
          <w:tcPr>
            <w:tcW w:w="567" w:type="dxa"/>
            <w:tcBorders>
              <w:top w:val="single" w:sz="4" w:space="0" w:color="auto"/>
              <w:left w:val="nil"/>
              <w:bottom w:val="nil"/>
              <w:right w:val="nil"/>
            </w:tcBorders>
            <w:noWrap/>
            <w:vAlign w:val="center"/>
            <w:hideMark/>
          </w:tcPr>
          <w:p w14:paraId="0C3121D9" w14:textId="77777777" w:rsidR="00C24F6F" w:rsidRPr="000C2D79" w:rsidRDefault="00C24F6F" w:rsidP="002B1847">
            <w:pPr>
              <w:spacing w:after="0" w:line="240" w:lineRule="auto"/>
              <w:rPr>
                <w:rFonts w:ascii="Arial Narrow" w:eastAsia="Times New Roman" w:hAnsi="Arial Narrow" w:cs="Times New Roman"/>
                <w:b/>
                <w:bCs/>
                <w:color w:val="000000"/>
                <w:sz w:val="18"/>
                <w:szCs w:val="18"/>
                <w:lang w:eastAsia="sk-SK"/>
              </w:rPr>
            </w:pPr>
            <w:r w:rsidRPr="000C2D79">
              <w:rPr>
                <w:rFonts w:ascii="Arial Narrow" w:eastAsia="Times New Roman" w:hAnsi="Arial Narrow" w:cs="Times New Roman"/>
                <w:b/>
                <w:bCs/>
                <w:color w:val="000000"/>
                <w:sz w:val="18"/>
                <w:szCs w:val="18"/>
                <w:lang w:eastAsia="sk-SK"/>
              </w:rPr>
              <w:t>P. č.</w:t>
            </w:r>
          </w:p>
        </w:tc>
        <w:tc>
          <w:tcPr>
            <w:tcW w:w="3686" w:type="dxa"/>
            <w:tcBorders>
              <w:top w:val="single" w:sz="4" w:space="0" w:color="auto"/>
              <w:left w:val="nil"/>
              <w:bottom w:val="single" w:sz="4" w:space="0" w:color="auto"/>
              <w:right w:val="nil"/>
            </w:tcBorders>
            <w:noWrap/>
            <w:vAlign w:val="center"/>
            <w:hideMark/>
          </w:tcPr>
          <w:p w14:paraId="53EC3F7F" w14:textId="77777777" w:rsidR="00C24F6F" w:rsidRPr="000C2D79" w:rsidRDefault="00C24F6F" w:rsidP="002B1847">
            <w:pPr>
              <w:spacing w:after="0" w:line="240" w:lineRule="auto"/>
              <w:rPr>
                <w:rFonts w:ascii="Arial Narrow" w:eastAsia="Times New Roman" w:hAnsi="Arial Narrow" w:cs="Times New Roman"/>
                <w:b/>
                <w:bCs/>
                <w:color w:val="000000"/>
                <w:sz w:val="18"/>
                <w:szCs w:val="18"/>
                <w:lang w:eastAsia="sk-SK"/>
              </w:rPr>
            </w:pPr>
            <w:r w:rsidRPr="000C2D79">
              <w:rPr>
                <w:rFonts w:ascii="Arial Narrow" w:eastAsia="Times New Roman" w:hAnsi="Arial Narrow" w:cs="Times New Roman"/>
                <w:b/>
                <w:bCs/>
                <w:color w:val="000000"/>
                <w:sz w:val="18"/>
                <w:szCs w:val="18"/>
                <w:lang w:eastAsia="sk-SK"/>
              </w:rPr>
              <w:t>Ukazovateľ</w:t>
            </w:r>
          </w:p>
        </w:tc>
        <w:tc>
          <w:tcPr>
            <w:tcW w:w="709" w:type="dxa"/>
            <w:tcBorders>
              <w:top w:val="single" w:sz="4" w:space="0" w:color="auto"/>
              <w:left w:val="nil"/>
              <w:bottom w:val="single" w:sz="4" w:space="0" w:color="auto"/>
              <w:right w:val="nil"/>
            </w:tcBorders>
            <w:noWrap/>
            <w:vAlign w:val="center"/>
            <w:hideMark/>
          </w:tcPr>
          <w:p w14:paraId="294CD7C9" w14:textId="77777777" w:rsidR="00C24F6F" w:rsidRPr="000C2D79" w:rsidRDefault="00C24F6F" w:rsidP="002B1847">
            <w:pPr>
              <w:spacing w:after="0" w:line="240" w:lineRule="auto"/>
              <w:rPr>
                <w:rFonts w:ascii="Arial Narrow" w:eastAsia="Times New Roman" w:hAnsi="Arial Narrow" w:cs="Times New Roman"/>
                <w:b/>
                <w:bCs/>
                <w:color w:val="000000"/>
                <w:sz w:val="18"/>
                <w:szCs w:val="18"/>
                <w:lang w:eastAsia="sk-SK"/>
              </w:rPr>
            </w:pPr>
          </w:p>
        </w:tc>
        <w:tc>
          <w:tcPr>
            <w:tcW w:w="2141" w:type="dxa"/>
            <w:gridSpan w:val="6"/>
            <w:tcBorders>
              <w:top w:val="single" w:sz="4" w:space="0" w:color="auto"/>
              <w:left w:val="single" w:sz="4" w:space="0" w:color="auto"/>
              <w:bottom w:val="single" w:sz="4" w:space="0" w:color="auto"/>
              <w:right w:val="single" w:sz="4" w:space="0" w:color="000000"/>
            </w:tcBorders>
            <w:noWrap/>
            <w:vAlign w:val="center"/>
            <w:hideMark/>
          </w:tcPr>
          <w:p w14:paraId="03FEFC09" w14:textId="77777777" w:rsidR="00C24F6F" w:rsidRPr="000C2D79" w:rsidRDefault="00C24F6F" w:rsidP="002B1847">
            <w:pPr>
              <w:spacing w:after="0" w:line="240" w:lineRule="auto"/>
              <w:jc w:val="center"/>
              <w:rPr>
                <w:rFonts w:ascii="Arial Narrow" w:eastAsia="Times New Roman" w:hAnsi="Arial Narrow" w:cs="Times New Roman"/>
                <w:b/>
                <w:bCs/>
                <w:color w:val="000000"/>
                <w:sz w:val="18"/>
                <w:szCs w:val="18"/>
                <w:lang w:eastAsia="sk-SK"/>
              </w:rPr>
            </w:pPr>
            <w:r w:rsidRPr="000C2D79">
              <w:rPr>
                <w:rFonts w:ascii="Arial Narrow" w:eastAsia="Times New Roman" w:hAnsi="Arial Narrow" w:cs="Times New Roman"/>
                <w:b/>
                <w:bCs/>
                <w:color w:val="000000"/>
                <w:sz w:val="18"/>
                <w:szCs w:val="18"/>
                <w:lang w:eastAsia="sk-SK"/>
              </w:rPr>
              <w:t>Výročná správa o pokroku</w:t>
            </w:r>
          </w:p>
        </w:tc>
        <w:tc>
          <w:tcPr>
            <w:tcW w:w="2126" w:type="dxa"/>
            <w:gridSpan w:val="6"/>
            <w:tcBorders>
              <w:top w:val="single" w:sz="4" w:space="0" w:color="auto"/>
              <w:left w:val="nil"/>
              <w:bottom w:val="single" w:sz="4" w:space="0" w:color="auto"/>
              <w:right w:val="nil"/>
            </w:tcBorders>
            <w:noWrap/>
            <w:vAlign w:val="center"/>
            <w:hideMark/>
          </w:tcPr>
          <w:p w14:paraId="681799B8" w14:textId="77777777" w:rsidR="00C24F6F" w:rsidRPr="000C2D79" w:rsidRDefault="00C24F6F" w:rsidP="002B1847">
            <w:pPr>
              <w:spacing w:after="0" w:line="240" w:lineRule="auto"/>
              <w:jc w:val="center"/>
              <w:rPr>
                <w:rFonts w:ascii="Arial Narrow" w:eastAsia="Times New Roman" w:hAnsi="Arial Narrow" w:cs="Times New Roman"/>
                <w:b/>
                <w:bCs/>
                <w:color w:val="000000"/>
                <w:sz w:val="18"/>
                <w:szCs w:val="18"/>
                <w:lang w:eastAsia="sk-SK"/>
              </w:rPr>
            </w:pPr>
            <w:r w:rsidRPr="000C2D79">
              <w:rPr>
                <w:rFonts w:ascii="Arial Narrow" w:eastAsia="Times New Roman" w:hAnsi="Arial Narrow" w:cs="Times New Roman"/>
                <w:b/>
                <w:bCs/>
                <w:color w:val="000000"/>
                <w:sz w:val="18"/>
                <w:szCs w:val="18"/>
                <w:lang w:eastAsia="sk-SK"/>
              </w:rPr>
              <w:t>Návrh rozpočtu</w:t>
            </w:r>
          </w:p>
        </w:tc>
      </w:tr>
      <w:tr w:rsidR="00C24F6F" w:rsidRPr="000C2D79" w14:paraId="52250977" w14:textId="77777777" w:rsidTr="002B1847">
        <w:trPr>
          <w:gridAfter w:val="1"/>
          <w:wAfter w:w="6" w:type="dxa"/>
          <w:trHeight w:val="227"/>
          <w:jc w:val="center"/>
        </w:trPr>
        <w:tc>
          <w:tcPr>
            <w:tcW w:w="567" w:type="dxa"/>
            <w:tcBorders>
              <w:top w:val="single" w:sz="4" w:space="0" w:color="auto"/>
              <w:left w:val="nil"/>
              <w:bottom w:val="single" w:sz="4" w:space="0" w:color="auto"/>
              <w:right w:val="nil"/>
            </w:tcBorders>
            <w:noWrap/>
            <w:vAlign w:val="center"/>
            <w:hideMark/>
          </w:tcPr>
          <w:p w14:paraId="4734DE6B" w14:textId="77777777" w:rsidR="00C24F6F" w:rsidRPr="000C2D79" w:rsidRDefault="00C24F6F" w:rsidP="002B1847">
            <w:pPr>
              <w:spacing w:after="0" w:line="240" w:lineRule="auto"/>
              <w:rPr>
                <w:rFonts w:ascii="Arial Narrow" w:eastAsia="Times New Roman" w:hAnsi="Arial Narrow" w:cs="Times New Roman"/>
                <w:b/>
                <w:bCs/>
                <w:color w:val="000000"/>
                <w:sz w:val="16"/>
                <w:szCs w:val="18"/>
                <w:lang w:eastAsia="sk-SK"/>
              </w:rPr>
            </w:pPr>
            <w:r w:rsidRPr="000C2D79">
              <w:rPr>
                <w:rFonts w:ascii="Arial Narrow" w:eastAsia="Times New Roman" w:hAnsi="Arial Narrow" w:cs="Times New Roman"/>
                <w:b/>
                <w:bCs/>
                <w:color w:val="000000"/>
                <w:sz w:val="16"/>
                <w:szCs w:val="18"/>
                <w:lang w:eastAsia="sk-SK"/>
              </w:rPr>
              <w:t> </w:t>
            </w:r>
          </w:p>
        </w:tc>
        <w:tc>
          <w:tcPr>
            <w:tcW w:w="3686" w:type="dxa"/>
            <w:tcBorders>
              <w:top w:val="single" w:sz="4" w:space="0" w:color="auto"/>
              <w:left w:val="nil"/>
              <w:bottom w:val="single" w:sz="4" w:space="0" w:color="auto"/>
            </w:tcBorders>
            <w:noWrap/>
            <w:vAlign w:val="center"/>
            <w:hideMark/>
          </w:tcPr>
          <w:p w14:paraId="5245821E" w14:textId="77777777" w:rsidR="00C24F6F" w:rsidRPr="000C2D79" w:rsidRDefault="00C24F6F" w:rsidP="002B1847">
            <w:pPr>
              <w:spacing w:after="0" w:line="240" w:lineRule="auto"/>
              <w:rPr>
                <w:rFonts w:ascii="Arial Narrow" w:eastAsia="Times New Roman" w:hAnsi="Arial Narrow" w:cs="Times New Roman"/>
                <w:b/>
                <w:bCs/>
                <w:color w:val="000000"/>
                <w:sz w:val="16"/>
                <w:szCs w:val="18"/>
                <w:lang w:eastAsia="sk-SK"/>
              </w:rPr>
            </w:pPr>
            <w:r w:rsidRPr="000C2D79">
              <w:rPr>
                <w:rFonts w:ascii="Arial Narrow" w:eastAsia="Times New Roman" w:hAnsi="Arial Narrow" w:cs="Times New Roman"/>
                <w:b/>
                <w:bCs/>
                <w:color w:val="000000"/>
                <w:sz w:val="16"/>
                <w:szCs w:val="18"/>
                <w:lang w:eastAsia="sk-SK"/>
              </w:rPr>
              <w:t> </w:t>
            </w:r>
          </w:p>
        </w:tc>
        <w:tc>
          <w:tcPr>
            <w:tcW w:w="709" w:type="dxa"/>
            <w:tcBorders>
              <w:top w:val="single" w:sz="4" w:space="0" w:color="auto"/>
              <w:bottom w:val="single" w:sz="4" w:space="0" w:color="auto"/>
              <w:right w:val="single" w:sz="4" w:space="0" w:color="auto"/>
            </w:tcBorders>
            <w:noWrap/>
            <w:vAlign w:val="center"/>
            <w:hideMark/>
          </w:tcPr>
          <w:p w14:paraId="4F9D8B2B" w14:textId="77777777" w:rsidR="00C24F6F" w:rsidRPr="000C2D79" w:rsidRDefault="00C24F6F" w:rsidP="002B1847">
            <w:pPr>
              <w:spacing w:after="0" w:line="240" w:lineRule="auto"/>
              <w:jc w:val="center"/>
              <w:rPr>
                <w:rFonts w:ascii="Arial Narrow" w:eastAsia="Times New Roman" w:hAnsi="Arial Narrow" w:cs="Times New Roman"/>
                <w:b/>
                <w:bCs/>
                <w:color w:val="000000"/>
                <w:sz w:val="16"/>
                <w:szCs w:val="18"/>
                <w:lang w:eastAsia="sk-SK"/>
              </w:rPr>
            </w:pPr>
            <w:r w:rsidRPr="000C2D79">
              <w:rPr>
                <w:rFonts w:ascii="Arial Narrow" w:eastAsia="Times New Roman" w:hAnsi="Arial Narrow" w:cs="Times New Roman"/>
                <w:b/>
                <w:bCs/>
                <w:color w:val="000000"/>
                <w:sz w:val="16"/>
                <w:szCs w:val="18"/>
                <w:lang w:eastAsia="sk-SK"/>
              </w:rPr>
              <w:t>m. j.</w:t>
            </w:r>
          </w:p>
        </w:tc>
        <w:tc>
          <w:tcPr>
            <w:tcW w:w="577" w:type="dxa"/>
            <w:tcBorders>
              <w:top w:val="single" w:sz="8" w:space="0" w:color="auto"/>
              <w:left w:val="single" w:sz="8" w:space="0" w:color="auto"/>
              <w:bottom w:val="single" w:sz="8" w:space="0" w:color="auto"/>
              <w:right w:val="nil"/>
            </w:tcBorders>
            <w:noWrap/>
            <w:vAlign w:val="center"/>
            <w:hideMark/>
          </w:tcPr>
          <w:p w14:paraId="69F0DB64" w14:textId="77777777" w:rsidR="00C24F6F" w:rsidRPr="000C2D79" w:rsidRDefault="00C24F6F" w:rsidP="002B1847">
            <w:pPr>
              <w:contextualSpacing/>
              <w:jc w:val="center"/>
              <w:rPr>
                <w:rFonts w:ascii="Arial Narrow" w:hAnsi="Arial Narrow" w:cs="Calibri"/>
                <w:b/>
                <w:bCs/>
                <w:color w:val="000000"/>
                <w:sz w:val="16"/>
                <w:szCs w:val="16"/>
              </w:rPr>
            </w:pPr>
            <w:r w:rsidRPr="000C2D79">
              <w:rPr>
                <w:rFonts w:ascii="Arial Narrow" w:hAnsi="Arial Narrow" w:cs="Calibri"/>
                <w:b/>
                <w:bCs/>
                <w:color w:val="000000"/>
                <w:sz w:val="16"/>
                <w:szCs w:val="16"/>
              </w:rPr>
              <w:t>2026</w:t>
            </w:r>
          </w:p>
        </w:tc>
        <w:tc>
          <w:tcPr>
            <w:tcW w:w="527" w:type="dxa"/>
            <w:gridSpan w:val="2"/>
            <w:tcBorders>
              <w:top w:val="single" w:sz="8" w:space="0" w:color="auto"/>
              <w:left w:val="nil"/>
              <w:bottom w:val="single" w:sz="8" w:space="0" w:color="auto"/>
              <w:right w:val="nil"/>
            </w:tcBorders>
            <w:noWrap/>
            <w:vAlign w:val="center"/>
            <w:hideMark/>
          </w:tcPr>
          <w:p w14:paraId="581D854F" w14:textId="77777777" w:rsidR="00C24F6F" w:rsidRPr="000C2D79" w:rsidRDefault="00C24F6F" w:rsidP="002B1847">
            <w:pPr>
              <w:contextualSpacing/>
              <w:jc w:val="center"/>
              <w:rPr>
                <w:rFonts w:ascii="Arial Narrow" w:hAnsi="Arial Narrow" w:cs="Calibri"/>
                <w:b/>
                <w:bCs/>
                <w:color w:val="000000"/>
                <w:sz w:val="16"/>
                <w:szCs w:val="16"/>
              </w:rPr>
            </w:pPr>
            <w:r w:rsidRPr="000C2D79">
              <w:rPr>
                <w:rFonts w:ascii="Arial Narrow" w:hAnsi="Arial Narrow" w:cs="Calibri"/>
                <w:b/>
                <w:bCs/>
                <w:color w:val="000000"/>
                <w:sz w:val="16"/>
                <w:szCs w:val="16"/>
              </w:rPr>
              <w:t>2027</w:t>
            </w:r>
          </w:p>
        </w:tc>
        <w:tc>
          <w:tcPr>
            <w:tcW w:w="527" w:type="dxa"/>
            <w:gridSpan w:val="2"/>
            <w:tcBorders>
              <w:top w:val="single" w:sz="8" w:space="0" w:color="auto"/>
              <w:left w:val="nil"/>
              <w:bottom w:val="single" w:sz="8" w:space="0" w:color="auto"/>
              <w:right w:val="nil"/>
            </w:tcBorders>
            <w:noWrap/>
            <w:vAlign w:val="center"/>
            <w:hideMark/>
          </w:tcPr>
          <w:p w14:paraId="7F901CCF" w14:textId="77777777" w:rsidR="00C24F6F" w:rsidRPr="000C2D79" w:rsidRDefault="00C24F6F" w:rsidP="002B1847">
            <w:pPr>
              <w:contextualSpacing/>
              <w:jc w:val="center"/>
              <w:rPr>
                <w:rFonts w:ascii="Arial Narrow" w:hAnsi="Arial Narrow" w:cs="Calibri"/>
                <w:b/>
                <w:bCs/>
                <w:color w:val="000000"/>
                <w:sz w:val="16"/>
                <w:szCs w:val="16"/>
              </w:rPr>
            </w:pPr>
            <w:r w:rsidRPr="000C2D79">
              <w:rPr>
                <w:rFonts w:ascii="Arial Narrow" w:hAnsi="Arial Narrow" w:cs="Calibri"/>
                <w:b/>
                <w:bCs/>
                <w:color w:val="000000"/>
                <w:sz w:val="16"/>
                <w:szCs w:val="16"/>
              </w:rPr>
              <w:t>2028</w:t>
            </w:r>
          </w:p>
        </w:tc>
        <w:tc>
          <w:tcPr>
            <w:tcW w:w="510" w:type="dxa"/>
            <w:tcBorders>
              <w:top w:val="single" w:sz="8" w:space="0" w:color="auto"/>
              <w:left w:val="nil"/>
              <w:bottom w:val="single" w:sz="8" w:space="0" w:color="auto"/>
              <w:right w:val="single" w:sz="8" w:space="0" w:color="auto"/>
            </w:tcBorders>
            <w:noWrap/>
            <w:vAlign w:val="center"/>
            <w:hideMark/>
          </w:tcPr>
          <w:p w14:paraId="56AE2DBB" w14:textId="77777777" w:rsidR="00C24F6F" w:rsidRPr="000C2D79" w:rsidRDefault="00C24F6F" w:rsidP="002B1847">
            <w:pPr>
              <w:contextualSpacing/>
              <w:jc w:val="center"/>
              <w:rPr>
                <w:rFonts w:ascii="Arial Narrow" w:hAnsi="Arial Narrow" w:cs="Calibri"/>
                <w:b/>
                <w:bCs/>
                <w:color w:val="000000"/>
                <w:sz w:val="16"/>
                <w:szCs w:val="16"/>
              </w:rPr>
            </w:pPr>
            <w:r w:rsidRPr="000C2D79">
              <w:rPr>
                <w:rFonts w:ascii="Arial Narrow" w:hAnsi="Arial Narrow" w:cs="Calibri"/>
                <w:b/>
                <w:bCs/>
                <w:color w:val="000000"/>
                <w:sz w:val="16"/>
                <w:szCs w:val="16"/>
              </w:rPr>
              <w:t>2029</w:t>
            </w:r>
          </w:p>
        </w:tc>
        <w:tc>
          <w:tcPr>
            <w:tcW w:w="544" w:type="dxa"/>
            <w:gridSpan w:val="2"/>
            <w:tcBorders>
              <w:top w:val="single" w:sz="8" w:space="0" w:color="auto"/>
              <w:left w:val="single" w:sz="8" w:space="0" w:color="auto"/>
              <w:bottom w:val="single" w:sz="8" w:space="0" w:color="auto"/>
              <w:right w:val="nil"/>
            </w:tcBorders>
            <w:vAlign w:val="center"/>
            <w:hideMark/>
          </w:tcPr>
          <w:p w14:paraId="731D3493" w14:textId="77777777" w:rsidR="00C24F6F" w:rsidRPr="000C2D79" w:rsidRDefault="00C24F6F" w:rsidP="002B1847">
            <w:pPr>
              <w:contextualSpacing/>
              <w:jc w:val="center"/>
              <w:rPr>
                <w:rFonts w:ascii="Arial Narrow" w:hAnsi="Arial Narrow" w:cs="Calibri"/>
                <w:b/>
                <w:bCs/>
                <w:color w:val="000000"/>
                <w:sz w:val="16"/>
                <w:szCs w:val="16"/>
              </w:rPr>
            </w:pPr>
            <w:r w:rsidRPr="000C2D79">
              <w:rPr>
                <w:rFonts w:ascii="Arial Narrow" w:hAnsi="Arial Narrow" w:cs="Calibri"/>
                <w:b/>
                <w:bCs/>
                <w:color w:val="000000"/>
                <w:sz w:val="16"/>
                <w:szCs w:val="16"/>
              </w:rPr>
              <w:t>2026</w:t>
            </w:r>
          </w:p>
        </w:tc>
        <w:tc>
          <w:tcPr>
            <w:tcW w:w="527" w:type="dxa"/>
            <w:gridSpan w:val="2"/>
            <w:tcBorders>
              <w:top w:val="single" w:sz="8" w:space="0" w:color="auto"/>
              <w:left w:val="nil"/>
              <w:bottom w:val="single" w:sz="8" w:space="0" w:color="auto"/>
              <w:right w:val="nil"/>
            </w:tcBorders>
            <w:vAlign w:val="center"/>
            <w:hideMark/>
          </w:tcPr>
          <w:p w14:paraId="4276DCD8" w14:textId="77777777" w:rsidR="00C24F6F" w:rsidRPr="000C2D79" w:rsidRDefault="00C24F6F" w:rsidP="002B1847">
            <w:pPr>
              <w:contextualSpacing/>
              <w:jc w:val="center"/>
              <w:rPr>
                <w:rFonts w:ascii="Arial Narrow" w:hAnsi="Arial Narrow" w:cs="Calibri"/>
                <w:b/>
                <w:bCs/>
                <w:color w:val="000000"/>
                <w:sz w:val="16"/>
                <w:szCs w:val="16"/>
              </w:rPr>
            </w:pPr>
            <w:r w:rsidRPr="000C2D79">
              <w:rPr>
                <w:rFonts w:ascii="Arial Narrow" w:hAnsi="Arial Narrow" w:cs="Calibri"/>
                <w:b/>
                <w:bCs/>
                <w:color w:val="000000"/>
                <w:sz w:val="16"/>
                <w:szCs w:val="16"/>
              </w:rPr>
              <w:t>2027</w:t>
            </w:r>
          </w:p>
        </w:tc>
        <w:tc>
          <w:tcPr>
            <w:tcW w:w="527" w:type="dxa"/>
            <w:tcBorders>
              <w:top w:val="single" w:sz="8" w:space="0" w:color="auto"/>
              <w:left w:val="nil"/>
              <w:bottom w:val="single" w:sz="8" w:space="0" w:color="auto"/>
              <w:right w:val="nil"/>
            </w:tcBorders>
            <w:vAlign w:val="center"/>
            <w:hideMark/>
          </w:tcPr>
          <w:p w14:paraId="6503249B" w14:textId="77777777" w:rsidR="00C24F6F" w:rsidRPr="000C2D79" w:rsidRDefault="00C24F6F" w:rsidP="002B1847">
            <w:pPr>
              <w:contextualSpacing/>
              <w:jc w:val="center"/>
              <w:rPr>
                <w:rFonts w:ascii="Arial Narrow" w:hAnsi="Arial Narrow" w:cs="Calibri"/>
                <w:b/>
                <w:bCs/>
                <w:color w:val="000000"/>
                <w:sz w:val="16"/>
                <w:szCs w:val="16"/>
              </w:rPr>
            </w:pPr>
            <w:r w:rsidRPr="000C2D79">
              <w:rPr>
                <w:rFonts w:ascii="Arial Narrow" w:hAnsi="Arial Narrow" w:cs="Calibri"/>
                <w:b/>
                <w:bCs/>
                <w:color w:val="000000"/>
                <w:sz w:val="16"/>
                <w:szCs w:val="16"/>
              </w:rPr>
              <w:t>2028</w:t>
            </w:r>
          </w:p>
        </w:tc>
        <w:tc>
          <w:tcPr>
            <w:tcW w:w="528" w:type="dxa"/>
            <w:tcBorders>
              <w:top w:val="single" w:sz="8" w:space="0" w:color="auto"/>
              <w:left w:val="nil"/>
              <w:bottom w:val="single" w:sz="8" w:space="0" w:color="auto"/>
              <w:right w:val="nil"/>
            </w:tcBorders>
            <w:vAlign w:val="center"/>
            <w:hideMark/>
          </w:tcPr>
          <w:p w14:paraId="44A03BDB" w14:textId="77777777" w:rsidR="00C24F6F" w:rsidRPr="000C2D79" w:rsidRDefault="00C24F6F" w:rsidP="002B1847">
            <w:pPr>
              <w:contextualSpacing/>
              <w:jc w:val="center"/>
              <w:rPr>
                <w:rFonts w:ascii="Arial Narrow" w:hAnsi="Arial Narrow" w:cs="Calibri"/>
                <w:b/>
                <w:bCs/>
                <w:color w:val="000000"/>
                <w:sz w:val="16"/>
                <w:szCs w:val="16"/>
              </w:rPr>
            </w:pPr>
            <w:r w:rsidRPr="000C2D79">
              <w:rPr>
                <w:rFonts w:ascii="Arial Narrow" w:hAnsi="Arial Narrow" w:cs="Calibri"/>
                <w:b/>
                <w:bCs/>
                <w:color w:val="000000"/>
                <w:sz w:val="16"/>
                <w:szCs w:val="16"/>
              </w:rPr>
              <w:t>2029</w:t>
            </w:r>
          </w:p>
        </w:tc>
      </w:tr>
      <w:tr w:rsidR="00C24F6F" w:rsidRPr="000C2D79" w14:paraId="3C8A7A99" w14:textId="77777777" w:rsidTr="002B1847">
        <w:trPr>
          <w:gridAfter w:val="1"/>
          <w:wAfter w:w="6" w:type="dxa"/>
          <w:trHeight w:val="227"/>
          <w:jc w:val="center"/>
        </w:trPr>
        <w:tc>
          <w:tcPr>
            <w:tcW w:w="567" w:type="dxa"/>
            <w:tcBorders>
              <w:top w:val="single" w:sz="4" w:space="0" w:color="auto"/>
              <w:left w:val="nil"/>
              <w:bottom w:val="nil"/>
            </w:tcBorders>
            <w:noWrap/>
            <w:vAlign w:val="center"/>
            <w:hideMark/>
          </w:tcPr>
          <w:p w14:paraId="71E8E9F4"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1</w:t>
            </w:r>
          </w:p>
        </w:tc>
        <w:tc>
          <w:tcPr>
            <w:tcW w:w="3686" w:type="dxa"/>
            <w:tcBorders>
              <w:top w:val="single" w:sz="4" w:space="0" w:color="auto"/>
              <w:bottom w:val="nil"/>
            </w:tcBorders>
            <w:noWrap/>
            <w:vAlign w:val="center"/>
            <w:hideMark/>
          </w:tcPr>
          <w:p w14:paraId="0F6419AC" w14:textId="77777777" w:rsidR="00C24F6F" w:rsidRPr="000C2D79" w:rsidRDefault="00C24F6F" w:rsidP="002B1847">
            <w:pPr>
              <w:spacing w:after="0" w:line="240" w:lineRule="auto"/>
              <w:rPr>
                <w:rFonts w:ascii="Arial Narrow" w:hAnsi="Arial Narrow"/>
                <w:color w:val="000000"/>
                <w:sz w:val="16"/>
                <w:szCs w:val="18"/>
              </w:rPr>
            </w:pPr>
            <w:r w:rsidRPr="000C2D79">
              <w:rPr>
                <w:rFonts w:ascii="Arial Narrow" w:hAnsi="Arial Narrow"/>
                <w:color w:val="000000"/>
                <w:sz w:val="16"/>
                <w:szCs w:val="18"/>
              </w:rPr>
              <w:t>HDP, bežné ceny*</w:t>
            </w:r>
          </w:p>
        </w:tc>
        <w:tc>
          <w:tcPr>
            <w:tcW w:w="709" w:type="dxa"/>
            <w:tcBorders>
              <w:top w:val="single" w:sz="4" w:space="0" w:color="auto"/>
              <w:bottom w:val="nil"/>
              <w:right w:val="single" w:sz="4" w:space="0" w:color="auto"/>
            </w:tcBorders>
            <w:noWrap/>
            <w:vAlign w:val="center"/>
            <w:hideMark/>
          </w:tcPr>
          <w:p w14:paraId="0E39A1D8"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mld. eur</w:t>
            </w:r>
          </w:p>
        </w:tc>
        <w:tc>
          <w:tcPr>
            <w:tcW w:w="577" w:type="dxa"/>
            <w:tcBorders>
              <w:top w:val="nil"/>
              <w:left w:val="single" w:sz="8" w:space="0" w:color="auto"/>
              <w:bottom w:val="nil"/>
              <w:right w:val="nil"/>
            </w:tcBorders>
            <w:noWrap/>
            <w:vAlign w:val="center"/>
            <w:hideMark/>
          </w:tcPr>
          <w:p w14:paraId="5402A473"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143.3</w:t>
            </w:r>
          </w:p>
        </w:tc>
        <w:tc>
          <w:tcPr>
            <w:tcW w:w="527" w:type="dxa"/>
            <w:gridSpan w:val="2"/>
            <w:tcBorders>
              <w:top w:val="nil"/>
              <w:left w:val="nil"/>
              <w:bottom w:val="nil"/>
              <w:right w:val="nil"/>
            </w:tcBorders>
            <w:noWrap/>
            <w:vAlign w:val="center"/>
            <w:hideMark/>
          </w:tcPr>
          <w:p w14:paraId="046BA679"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148.4</w:t>
            </w:r>
          </w:p>
        </w:tc>
        <w:tc>
          <w:tcPr>
            <w:tcW w:w="527" w:type="dxa"/>
            <w:gridSpan w:val="2"/>
            <w:tcBorders>
              <w:top w:val="nil"/>
              <w:left w:val="nil"/>
              <w:bottom w:val="nil"/>
              <w:right w:val="nil"/>
            </w:tcBorders>
            <w:noWrap/>
            <w:vAlign w:val="center"/>
            <w:hideMark/>
          </w:tcPr>
          <w:p w14:paraId="30DE2981"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154.7</w:t>
            </w:r>
          </w:p>
        </w:tc>
        <w:tc>
          <w:tcPr>
            <w:tcW w:w="510" w:type="dxa"/>
            <w:tcBorders>
              <w:top w:val="nil"/>
              <w:left w:val="nil"/>
              <w:bottom w:val="nil"/>
              <w:right w:val="single" w:sz="8" w:space="0" w:color="auto"/>
            </w:tcBorders>
            <w:noWrap/>
            <w:vAlign w:val="center"/>
            <w:hideMark/>
          </w:tcPr>
          <w:p w14:paraId="55EB0085"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161.7</w:t>
            </w:r>
          </w:p>
        </w:tc>
        <w:tc>
          <w:tcPr>
            <w:tcW w:w="544" w:type="dxa"/>
            <w:gridSpan w:val="2"/>
            <w:tcBorders>
              <w:top w:val="single" w:sz="8" w:space="0" w:color="auto"/>
              <w:left w:val="nil"/>
              <w:bottom w:val="nil"/>
              <w:right w:val="nil"/>
            </w:tcBorders>
            <w:noWrap/>
            <w:vAlign w:val="center"/>
          </w:tcPr>
          <w:p w14:paraId="337FD32C"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144.2</w:t>
            </w:r>
          </w:p>
        </w:tc>
        <w:tc>
          <w:tcPr>
            <w:tcW w:w="527" w:type="dxa"/>
            <w:gridSpan w:val="2"/>
            <w:tcBorders>
              <w:top w:val="nil"/>
              <w:left w:val="nil"/>
              <w:bottom w:val="nil"/>
              <w:right w:val="nil"/>
            </w:tcBorders>
            <w:vAlign w:val="center"/>
          </w:tcPr>
          <w:p w14:paraId="49D50531"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149.9</w:t>
            </w:r>
          </w:p>
        </w:tc>
        <w:tc>
          <w:tcPr>
            <w:tcW w:w="527" w:type="dxa"/>
            <w:tcBorders>
              <w:top w:val="nil"/>
              <w:left w:val="nil"/>
              <w:bottom w:val="nil"/>
              <w:right w:val="nil"/>
            </w:tcBorders>
            <w:vAlign w:val="center"/>
          </w:tcPr>
          <w:p w14:paraId="0C350A36"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155.9</w:t>
            </w:r>
          </w:p>
        </w:tc>
        <w:tc>
          <w:tcPr>
            <w:tcW w:w="528" w:type="dxa"/>
            <w:tcBorders>
              <w:top w:val="nil"/>
              <w:left w:val="nil"/>
              <w:bottom w:val="nil"/>
              <w:right w:val="nil"/>
            </w:tcBorders>
            <w:vAlign w:val="center"/>
          </w:tcPr>
          <w:p w14:paraId="69D57230"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162.9</w:t>
            </w:r>
          </w:p>
        </w:tc>
      </w:tr>
      <w:tr w:rsidR="00C24F6F" w:rsidRPr="000C2D79" w14:paraId="40793874" w14:textId="77777777" w:rsidTr="002B1847">
        <w:trPr>
          <w:gridAfter w:val="1"/>
          <w:wAfter w:w="6" w:type="dxa"/>
          <w:trHeight w:val="227"/>
          <w:jc w:val="center"/>
        </w:trPr>
        <w:tc>
          <w:tcPr>
            <w:tcW w:w="567" w:type="dxa"/>
            <w:tcBorders>
              <w:top w:val="nil"/>
              <w:left w:val="nil"/>
              <w:bottom w:val="nil"/>
            </w:tcBorders>
            <w:noWrap/>
            <w:vAlign w:val="center"/>
            <w:hideMark/>
          </w:tcPr>
          <w:p w14:paraId="278E0D49"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2</w:t>
            </w:r>
          </w:p>
        </w:tc>
        <w:tc>
          <w:tcPr>
            <w:tcW w:w="3686" w:type="dxa"/>
            <w:tcBorders>
              <w:top w:val="nil"/>
              <w:bottom w:val="nil"/>
            </w:tcBorders>
            <w:noWrap/>
            <w:vAlign w:val="center"/>
            <w:hideMark/>
          </w:tcPr>
          <w:p w14:paraId="0FA06ADC" w14:textId="77777777" w:rsidR="00C24F6F" w:rsidRPr="000C2D79" w:rsidRDefault="00C24F6F" w:rsidP="002B1847">
            <w:pPr>
              <w:spacing w:after="0"/>
              <w:rPr>
                <w:rFonts w:ascii="Arial Narrow" w:hAnsi="Arial Narrow"/>
                <w:color w:val="000000"/>
                <w:sz w:val="16"/>
                <w:szCs w:val="18"/>
              </w:rPr>
            </w:pPr>
            <w:r w:rsidRPr="000C2D79">
              <w:rPr>
                <w:rFonts w:ascii="Arial Narrow" w:hAnsi="Arial Narrow"/>
                <w:color w:val="000000"/>
                <w:sz w:val="16"/>
                <w:szCs w:val="18"/>
              </w:rPr>
              <w:t>HDP, stále ceny</w:t>
            </w:r>
          </w:p>
        </w:tc>
        <w:tc>
          <w:tcPr>
            <w:tcW w:w="709" w:type="dxa"/>
            <w:tcBorders>
              <w:top w:val="nil"/>
              <w:bottom w:val="nil"/>
              <w:right w:val="single" w:sz="4" w:space="0" w:color="auto"/>
            </w:tcBorders>
            <w:noWrap/>
            <w:vAlign w:val="center"/>
            <w:hideMark/>
          </w:tcPr>
          <w:p w14:paraId="18303C63"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w:t>
            </w:r>
          </w:p>
        </w:tc>
        <w:tc>
          <w:tcPr>
            <w:tcW w:w="577" w:type="dxa"/>
            <w:tcBorders>
              <w:top w:val="nil"/>
              <w:left w:val="single" w:sz="8" w:space="0" w:color="auto"/>
              <w:bottom w:val="nil"/>
              <w:right w:val="nil"/>
            </w:tcBorders>
            <w:noWrap/>
            <w:vAlign w:val="center"/>
            <w:hideMark/>
          </w:tcPr>
          <w:p w14:paraId="0D8959DD"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1.0</w:t>
            </w:r>
          </w:p>
        </w:tc>
        <w:tc>
          <w:tcPr>
            <w:tcW w:w="527" w:type="dxa"/>
            <w:gridSpan w:val="2"/>
            <w:tcBorders>
              <w:top w:val="nil"/>
              <w:left w:val="nil"/>
              <w:bottom w:val="nil"/>
              <w:right w:val="nil"/>
            </w:tcBorders>
            <w:noWrap/>
            <w:vAlign w:val="center"/>
            <w:hideMark/>
          </w:tcPr>
          <w:p w14:paraId="69493A17"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1.2</w:t>
            </w:r>
          </w:p>
        </w:tc>
        <w:tc>
          <w:tcPr>
            <w:tcW w:w="527" w:type="dxa"/>
            <w:gridSpan w:val="2"/>
            <w:tcBorders>
              <w:top w:val="nil"/>
              <w:left w:val="nil"/>
              <w:bottom w:val="nil"/>
              <w:right w:val="nil"/>
            </w:tcBorders>
            <w:noWrap/>
            <w:vAlign w:val="center"/>
            <w:hideMark/>
          </w:tcPr>
          <w:p w14:paraId="39467725"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1.7</w:t>
            </w:r>
          </w:p>
        </w:tc>
        <w:tc>
          <w:tcPr>
            <w:tcW w:w="510" w:type="dxa"/>
            <w:tcBorders>
              <w:top w:val="nil"/>
              <w:left w:val="nil"/>
              <w:bottom w:val="nil"/>
              <w:right w:val="single" w:sz="8" w:space="0" w:color="auto"/>
            </w:tcBorders>
            <w:noWrap/>
            <w:vAlign w:val="center"/>
            <w:hideMark/>
          </w:tcPr>
          <w:p w14:paraId="5F55AAC5"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2.3</w:t>
            </w:r>
          </w:p>
        </w:tc>
        <w:tc>
          <w:tcPr>
            <w:tcW w:w="544" w:type="dxa"/>
            <w:gridSpan w:val="2"/>
            <w:tcBorders>
              <w:top w:val="nil"/>
              <w:left w:val="nil"/>
              <w:bottom w:val="nil"/>
              <w:right w:val="nil"/>
            </w:tcBorders>
            <w:noWrap/>
            <w:vAlign w:val="center"/>
          </w:tcPr>
          <w:p w14:paraId="748529B8"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1.3</w:t>
            </w:r>
          </w:p>
        </w:tc>
        <w:tc>
          <w:tcPr>
            <w:tcW w:w="527" w:type="dxa"/>
            <w:gridSpan w:val="2"/>
            <w:tcBorders>
              <w:top w:val="nil"/>
              <w:left w:val="nil"/>
              <w:bottom w:val="nil"/>
              <w:right w:val="nil"/>
            </w:tcBorders>
            <w:vAlign w:val="center"/>
          </w:tcPr>
          <w:p w14:paraId="339E7619"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1.4</w:t>
            </w:r>
          </w:p>
        </w:tc>
        <w:tc>
          <w:tcPr>
            <w:tcW w:w="527" w:type="dxa"/>
            <w:tcBorders>
              <w:top w:val="nil"/>
              <w:left w:val="nil"/>
              <w:bottom w:val="nil"/>
              <w:right w:val="nil"/>
            </w:tcBorders>
            <w:vAlign w:val="center"/>
          </w:tcPr>
          <w:p w14:paraId="61257978"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1.8</w:t>
            </w:r>
          </w:p>
        </w:tc>
        <w:tc>
          <w:tcPr>
            <w:tcW w:w="528" w:type="dxa"/>
            <w:tcBorders>
              <w:top w:val="nil"/>
              <w:left w:val="nil"/>
              <w:bottom w:val="nil"/>
              <w:right w:val="nil"/>
            </w:tcBorders>
            <w:vAlign w:val="center"/>
          </w:tcPr>
          <w:p w14:paraId="75B1C902"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2.4</w:t>
            </w:r>
          </w:p>
        </w:tc>
      </w:tr>
      <w:tr w:rsidR="00C24F6F" w:rsidRPr="000C2D79" w14:paraId="64DE3CB4" w14:textId="77777777" w:rsidTr="002B1847">
        <w:trPr>
          <w:gridAfter w:val="1"/>
          <w:wAfter w:w="6" w:type="dxa"/>
          <w:trHeight w:val="178"/>
          <w:jc w:val="center"/>
        </w:trPr>
        <w:tc>
          <w:tcPr>
            <w:tcW w:w="567" w:type="dxa"/>
            <w:tcBorders>
              <w:top w:val="nil"/>
              <w:left w:val="nil"/>
              <w:bottom w:val="nil"/>
            </w:tcBorders>
            <w:noWrap/>
            <w:vAlign w:val="center"/>
            <w:hideMark/>
          </w:tcPr>
          <w:p w14:paraId="0577952F"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3</w:t>
            </w:r>
          </w:p>
        </w:tc>
        <w:tc>
          <w:tcPr>
            <w:tcW w:w="3686" w:type="dxa"/>
            <w:tcBorders>
              <w:top w:val="nil"/>
              <w:bottom w:val="nil"/>
            </w:tcBorders>
            <w:vAlign w:val="center"/>
            <w:hideMark/>
          </w:tcPr>
          <w:p w14:paraId="57A2D3C9" w14:textId="77777777" w:rsidR="00C24F6F" w:rsidRPr="000C2D79" w:rsidRDefault="00C24F6F" w:rsidP="002B1847">
            <w:pPr>
              <w:spacing w:after="0"/>
              <w:rPr>
                <w:rFonts w:ascii="Arial Narrow" w:hAnsi="Arial Narrow"/>
                <w:color w:val="000000"/>
                <w:sz w:val="16"/>
                <w:szCs w:val="18"/>
              </w:rPr>
            </w:pPr>
            <w:r w:rsidRPr="000C2D79">
              <w:rPr>
                <w:rFonts w:ascii="Arial Narrow" w:hAnsi="Arial Narrow"/>
                <w:color w:val="000000"/>
                <w:sz w:val="16"/>
                <w:szCs w:val="18"/>
              </w:rPr>
              <w:t>Konečná spotreba domácností a NISD</w:t>
            </w:r>
          </w:p>
        </w:tc>
        <w:tc>
          <w:tcPr>
            <w:tcW w:w="709" w:type="dxa"/>
            <w:tcBorders>
              <w:top w:val="nil"/>
              <w:bottom w:val="nil"/>
              <w:right w:val="single" w:sz="4" w:space="0" w:color="auto"/>
            </w:tcBorders>
            <w:noWrap/>
            <w:vAlign w:val="center"/>
            <w:hideMark/>
          </w:tcPr>
          <w:p w14:paraId="1CA3AA33"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w:t>
            </w:r>
          </w:p>
        </w:tc>
        <w:tc>
          <w:tcPr>
            <w:tcW w:w="577" w:type="dxa"/>
            <w:tcBorders>
              <w:top w:val="nil"/>
              <w:left w:val="single" w:sz="8" w:space="0" w:color="auto"/>
              <w:bottom w:val="nil"/>
              <w:right w:val="nil"/>
            </w:tcBorders>
            <w:noWrap/>
            <w:vAlign w:val="center"/>
            <w:hideMark/>
          </w:tcPr>
          <w:p w14:paraId="4DC53ABF" w14:textId="77777777" w:rsidR="00C24F6F" w:rsidRPr="000C2D79" w:rsidRDefault="00C24F6F" w:rsidP="002B1847">
            <w:pPr>
              <w:pStyle w:val="Bezriadkovania"/>
              <w:jc w:val="center"/>
              <w:rPr>
                <w:sz w:val="16"/>
                <w:szCs w:val="16"/>
              </w:rPr>
            </w:pPr>
            <w:r w:rsidRPr="000C2D79">
              <w:rPr>
                <w:rFonts w:cs="Calibri"/>
                <w:color w:val="000000"/>
                <w:sz w:val="16"/>
                <w:szCs w:val="16"/>
              </w:rPr>
              <w:t>0.3</w:t>
            </w:r>
          </w:p>
        </w:tc>
        <w:tc>
          <w:tcPr>
            <w:tcW w:w="527" w:type="dxa"/>
            <w:gridSpan w:val="2"/>
            <w:tcBorders>
              <w:top w:val="nil"/>
              <w:left w:val="nil"/>
              <w:bottom w:val="nil"/>
              <w:right w:val="nil"/>
            </w:tcBorders>
            <w:noWrap/>
            <w:vAlign w:val="center"/>
            <w:hideMark/>
          </w:tcPr>
          <w:p w14:paraId="226B9186" w14:textId="77777777" w:rsidR="00C24F6F" w:rsidRPr="000C2D79" w:rsidRDefault="00C24F6F" w:rsidP="002B1847">
            <w:pPr>
              <w:pStyle w:val="Bezriadkovania"/>
              <w:jc w:val="center"/>
              <w:rPr>
                <w:sz w:val="16"/>
                <w:szCs w:val="16"/>
              </w:rPr>
            </w:pPr>
            <w:r w:rsidRPr="000C2D79">
              <w:rPr>
                <w:rFonts w:cs="Calibri"/>
                <w:color w:val="000000"/>
                <w:sz w:val="16"/>
                <w:szCs w:val="16"/>
              </w:rPr>
              <w:t>1.1</w:t>
            </w:r>
          </w:p>
        </w:tc>
        <w:tc>
          <w:tcPr>
            <w:tcW w:w="527" w:type="dxa"/>
            <w:gridSpan w:val="2"/>
            <w:tcBorders>
              <w:top w:val="nil"/>
              <w:left w:val="nil"/>
              <w:bottom w:val="nil"/>
              <w:right w:val="nil"/>
            </w:tcBorders>
            <w:noWrap/>
            <w:vAlign w:val="center"/>
            <w:hideMark/>
          </w:tcPr>
          <w:p w14:paraId="13BA76E2" w14:textId="77777777" w:rsidR="00C24F6F" w:rsidRPr="000C2D79" w:rsidRDefault="00C24F6F" w:rsidP="002B1847">
            <w:pPr>
              <w:pStyle w:val="Bezriadkovania"/>
              <w:jc w:val="center"/>
              <w:rPr>
                <w:sz w:val="16"/>
                <w:szCs w:val="16"/>
              </w:rPr>
            </w:pPr>
            <w:r w:rsidRPr="000C2D79">
              <w:rPr>
                <w:rFonts w:cs="Calibri"/>
                <w:color w:val="000000"/>
                <w:sz w:val="16"/>
                <w:szCs w:val="16"/>
              </w:rPr>
              <w:t>1.0</w:t>
            </w:r>
          </w:p>
        </w:tc>
        <w:tc>
          <w:tcPr>
            <w:tcW w:w="510" w:type="dxa"/>
            <w:tcBorders>
              <w:top w:val="nil"/>
              <w:left w:val="nil"/>
              <w:bottom w:val="nil"/>
              <w:right w:val="single" w:sz="8" w:space="0" w:color="auto"/>
            </w:tcBorders>
            <w:noWrap/>
            <w:vAlign w:val="center"/>
            <w:hideMark/>
          </w:tcPr>
          <w:p w14:paraId="736F6E3A" w14:textId="77777777" w:rsidR="00C24F6F" w:rsidRPr="000C2D79" w:rsidRDefault="00C24F6F" w:rsidP="002B1847">
            <w:pPr>
              <w:pStyle w:val="Bezriadkovania"/>
              <w:jc w:val="center"/>
              <w:rPr>
                <w:sz w:val="16"/>
                <w:szCs w:val="16"/>
              </w:rPr>
            </w:pPr>
            <w:r w:rsidRPr="000C2D79">
              <w:rPr>
                <w:rFonts w:cs="Calibri"/>
                <w:color w:val="000000"/>
                <w:sz w:val="16"/>
                <w:szCs w:val="16"/>
              </w:rPr>
              <w:t>1.7</w:t>
            </w:r>
          </w:p>
        </w:tc>
        <w:tc>
          <w:tcPr>
            <w:tcW w:w="544" w:type="dxa"/>
            <w:gridSpan w:val="2"/>
            <w:tcBorders>
              <w:top w:val="nil"/>
              <w:left w:val="nil"/>
              <w:bottom w:val="nil"/>
              <w:right w:val="nil"/>
            </w:tcBorders>
            <w:noWrap/>
            <w:vAlign w:val="center"/>
          </w:tcPr>
          <w:p w14:paraId="14E494C5"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0.9</w:t>
            </w:r>
          </w:p>
        </w:tc>
        <w:tc>
          <w:tcPr>
            <w:tcW w:w="527" w:type="dxa"/>
            <w:gridSpan w:val="2"/>
            <w:tcBorders>
              <w:top w:val="nil"/>
              <w:left w:val="nil"/>
              <w:bottom w:val="nil"/>
              <w:right w:val="nil"/>
            </w:tcBorders>
            <w:vAlign w:val="center"/>
          </w:tcPr>
          <w:p w14:paraId="202BFA0C"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1.4</w:t>
            </w:r>
          </w:p>
        </w:tc>
        <w:tc>
          <w:tcPr>
            <w:tcW w:w="527" w:type="dxa"/>
            <w:tcBorders>
              <w:top w:val="nil"/>
              <w:left w:val="nil"/>
              <w:bottom w:val="nil"/>
              <w:right w:val="nil"/>
            </w:tcBorders>
            <w:vAlign w:val="center"/>
          </w:tcPr>
          <w:p w14:paraId="522465D7"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1.2</w:t>
            </w:r>
          </w:p>
        </w:tc>
        <w:tc>
          <w:tcPr>
            <w:tcW w:w="528" w:type="dxa"/>
            <w:tcBorders>
              <w:top w:val="nil"/>
              <w:left w:val="nil"/>
              <w:bottom w:val="nil"/>
              <w:right w:val="nil"/>
            </w:tcBorders>
            <w:vAlign w:val="center"/>
          </w:tcPr>
          <w:p w14:paraId="5963CDE2"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1.8</w:t>
            </w:r>
          </w:p>
        </w:tc>
      </w:tr>
      <w:tr w:rsidR="00C24F6F" w:rsidRPr="000C2D79" w14:paraId="2328E605" w14:textId="77777777" w:rsidTr="002B1847">
        <w:trPr>
          <w:gridAfter w:val="1"/>
          <w:wAfter w:w="6" w:type="dxa"/>
          <w:trHeight w:val="254"/>
          <w:jc w:val="center"/>
        </w:trPr>
        <w:tc>
          <w:tcPr>
            <w:tcW w:w="567" w:type="dxa"/>
            <w:tcBorders>
              <w:top w:val="nil"/>
              <w:left w:val="nil"/>
              <w:bottom w:val="nil"/>
            </w:tcBorders>
            <w:noWrap/>
            <w:vAlign w:val="center"/>
            <w:hideMark/>
          </w:tcPr>
          <w:p w14:paraId="3CCBAAEB"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4</w:t>
            </w:r>
          </w:p>
        </w:tc>
        <w:tc>
          <w:tcPr>
            <w:tcW w:w="3686" w:type="dxa"/>
            <w:tcBorders>
              <w:top w:val="nil"/>
              <w:bottom w:val="nil"/>
            </w:tcBorders>
            <w:vAlign w:val="center"/>
            <w:hideMark/>
          </w:tcPr>
          <w:p w14:paraId="6C68D7EE" w14:textId="77777777" w:rsidR="00C24F6F" w:rsidRPr="000C2D79" w:rsidRDefault="00C24F6F" w:rsidP="002B1847">
            <w:pPr>
              <w:spacing w:after="0"/>
              <w:rPr>
                <w:rFonts w:ascii="Arial Narrow" w:hAnsi="Arial Narrow"/>
                <w:color w:val="000000"/>
                <w:sz w:val="16"/>
                <w:szCs w:val="18"/>
              </w:rPr>
            </w:pPr>
            <w:r w:rsidRPr="000C2D79">
              <w:rPr>
                <w:rFonts w:ascii="Arial Narrow" w:hAnsi="Arial Narrow"/>
                <w:color w:val="000000"/>
                <w:sz w:val="16"/>
                <w:szCs w:val="18"/>
              </w:rPr>
              <w:t xml:space="preserve">Konečná spotreba verejnej správy </w:t>
            </w:r>
          </w:p>
        </w:tc>
        <w:tc>
          <w:tcPr>
            <w:tcW w:w="709" w:type="dxa"/>
            <w:tcBorders>
              <w:top w:val="nil"/>
              <w:bottom w:val="nil"/>
              <w:right w:val="single" w:sz="4" w:space="0" w:color="auto"/>
            </w:tcBorders>
            <w:noWrap/>
            <w:vAlign w:val="center"/>
            <w:hideMark/>
          </w:tcPr>
          <w:p w14:paraId="0D30A825"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w:t>
            </w:r>
          </w:p>
        </w:tc>
        <w:tc>
          <w:tcPr>
            <w:tcW w:w="577" w:type="dxa"/>
            <w:tcBorders>
              <w:top w:val="nil"/>
              <w:left w:val="single" w:sz="8" w:space="0" w:color="auto"/>
              <w:bottom w:val="nil"/>
              <w:right w:val="nil"/>
            </w:tcBorders>
            <w:noWrap/>
            <w:vAlign w:val="center"/>
            <w:hideMark/>
          </w:tcPr>
          <w:p w14:paraId="1EAF4F76" w14:textId="77777777" w:rsidR="00C24F6F" w:rsidRPr="000C2D79" w:rsidRDefault="00C24F6F" w:rsidP="002B1847">
            <w:pPr>
              <w:pStyle w:val="Bezriadkovania"/>
              <w:jc w:val="center"/>
              <w:rPr>
                <w:sz w:val="16"/>
                <w:szCs w:val="16"/>
              </w:rPr>
            </w:pPr>
            <w:r w:rsidRPr="000C2D79">
              <w:rPr>
                <w:rFonts w:cs="Calibri"/>
                <w:color w:val="000000"/>
                <w:sz w:val="16"/>
                <w:szCs w:val="16"/>
              </w:rPr>
              <w:t>0.3</w:t>
            </w:r>
          </w:p>
        </w:tc>
        <w:tc>
          <w:tcPr>
            <w:tcW w:w="527" w:type="dxa"/>
            <w:gridSpan w:val="2"/>
            <w:tcBorders>
              <w:top w:val="nil"/>
              <w:left w:val="nil"/>
              <w:bottom w:val="nil"/>
              <w:right w:val="nil"/>
            </w:tcBorders>
            <w:noWrap/>
            <w:vAlign w:val="center"/>
            <w:hideMark/>
          </w:tcPr>
          <w:p w14:paraId="4688284D" w14:textId="77777777" w:rsidR="00C24F6F" w:rsidRPr="000C2D79" w:rsidRDefault="00C24F6F" w:rsidP="002B1847">
            <w:pPr>
              <w:pStyle w:val="Bezriadkovania"/>
              <w:jc w:val="center"/>
              <w:rPr>
                <w:sz w:val="16"/>
                <w:szCs w:val="16"/>
              </w:rPr>
            </w:pPr>
            <w:r w:rsidRPr="000C2D79">
              <w:rPr>
                <w:rFonts w:cs="Calibri"/>
                <w:color w:val="000000"/>
                <w:sz w:val="16"/>
                <w:szCs w:val="16"/>
              </w:rPr>
              <w:t>0.0</w:t>
            </w:r>
          </w:p>
        </w:tc>
        <w:tc>
          <w:tcPr>
            <w:tcW w:w="527" w:type="dxa"/>
            <w:gridSpan w:val="2"/>
            <w:tcBorders>
              <w:top w:val="nil"/>
              <w:left w:val="nil"/>
              <w:bottom w:val="nil"/>
              <w:right w:val="nil"/>
            </w:tcBorders>
            <w:noWrap/>
            <w:vAlign w:val="center"/>
            <w:hideMark/>
          </w:tcPr>
          <w:p w14:paraId="707EE1EB" w14:textId="77777777" w:rsidR="00C24F6F" w:rsidRPr="000C2D79" w:rsidRDefault="00C24F6F" w:rsidP="002B1847">
            <w:pPr>
              <w:pStyle w:val="Bezriadkovania"/>
              <w:jc w:val="center"/>
              <w:rPr>
                <w:sz w:val="16"/>
                <w:szCs w:val="16"/>
              </w:rPr>
            </w:pPr>
            <w:r w:rsidRPr="000C2D79">
              <w:rPr>
                <w:rFonts w:cs="Calibri"/>
                <w:color w:val="000000"/>
                <w:sz w:val="16"/>
                <w:szCs w:val="16"/>
              </w:rPr>
              <w:t>-0.6</w:t>
            </w:r>
          </w:p>
        </w:tc>
        <w:tc>
          <w:tcPr>
            <w:tcW w:w="510" w:type="dxa"/>
            <w:tcBorders>
              <w:top w:val="nil"/>
              <w:left w:val="nil"/>
              <w:bottom w:val="nil"/>
              <w:right w:val="single" w:sz="8" w:space="0" w:color="auto"/>
            </w:tcBorders>
            <w:noWrap/>
            <w:vAlign w:val="center"/>
            <w:hideMark/>
          </w:tcPr>
          <w:p w14:paraId="4EADED4E" w14:textId="77777777" w:rsidR="00C24F6F" w:rsidRPr="000C2D79" w:rsidRDefault="00C24F6F" w:rsidP="002B1847">
            <w:pPr>
              <w:pStyle w:val="Bezriadkovania"/>
              <w:jc w:val="center"/>
              <w:rPr>
                <w:sz w:val="16"/>
                <w:szCs w:val="16"/>
              </w:rPr>
            </w:pPr>
            <w:r w:rsidRPr="000C2D79">
              <w:rPr>
                <w:rFonts w:cs="Calibri"/>
                <w:color w:val="000000"/>
                <w:sz w:val="16"/>
                <w:szCs w:val="16"/>
              </w:rPr>
              <w:t>-0.1</w:t>
            </w:r>
          </w:p>
        </w:tc>
        <w:tc>
          <w:tcPr>
            <w:tcW w:w="544" w:type="dxa"/>
            <w:gridSpan w:val="2"/>
            <w:tcBorders>
              <w:top w:val="nil"/>
              <w:left w:val="nil"/>
              <w:bottom w:val="nil"/>
              <w:right w:val="nil"/>
            </w:tcBorders>
            <w:noWrap/>
            <w:vAlign w:val="center"/>
          </w:tcPr>
          <w:p w14:paraId="0175A9C6"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-0.8</w:t>
            </w:r>
          </w:p>
        </w:tc>
        <w:tc>
          <w:tcPr>
            <w:tcW w:w="527" w:type="dxa"/>
            <w:gridSpan w:val="2"/>
            <w:tcBorders>
              <w:top w:val="nil"/>
              <w:left w:val="nil"/>
              <w:bottom w:val="nil"/>
              <w:right w:val="nil"/>
            </w:tcBorders>
            <w:vAlign w:val="center"/>
          </w:tcPr>
          <w:p w14:paraId="19FEBBA4"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0.2</w:t>
            </w:r>
          </w:p>
        </w:tc>
        <w:tc>
          <w:tcPr>
            <w:tcW w:w="527" w:type="dxa"/>
            <w:tcBorders>
              <w:top w:val="nil"/>
              <w:left w:val="nil"/>
              <w:bottom w:val="nil"/>
              <w:right w:val="nil"/>
            </w:tcBorders>
            <w:vAlign w:val="center"/>
          </w:tcPr>
          <w:p w14:paraId="5C714A95"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-0.4</w:t>
            </w:r>
          </w:p>
        </w:tc>
        <w:tc>
          <w:tcPr>
            <w:tcW w:w="528" w:type="dxa"/>
            <w:tcBorders>
              <w:top w:val="nil"/>
              <w:left w:val="nil"/>
              <w:bottom w:val="nil"/>
              <w:right w:val="nil"/>
            </w:tcBorders>
            <w:vAlign w:val="center"/>
          </w:tcPr>
          <w:p w14:paraId="014730D4"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0.2</w:t>
            </w:r>
          </w:p>
        </w:tc>
      </w:tr>
      <w:tr w:rsidR="00C24F6F" w:rsidRPr="000C2D79" w14:paraId="186B6972" w14:textId="77777777" w:rsidTr="002B1847">
        <w:trPr>
          <w:gridAfter w:val="1"/>
          <w:wAfter w:w="6" w:type="dxa"/>
          <w:trHeight w:val="227"/>
          <w:jc w:val="center"/>
        </w:trPr>
        <w:tc>
          <w:tcPr>
            <w:tcW w:w="567" w:type="dxa"/>
            <w:tcBorders>
              <w:top w:val="nil"/>
              <w:left w:val="nil"/>
              <w:bottom w:val="nil"/>
            </w:tcBorders>
            <w:noWrap/>
            <w:vAlign w:val="center"/>
            <w:hideMark/>
          </w:tcPr>
          <w:p w14:paraId="730D1FB6"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5</w:t>
            </w:r>
          </w:p>
        </w:tc>
        <w:tc>
          <w:tcPr>
            <w:tcW w:w="3686" w:type="dxa"/>
            <w:tcBorders>
              <w:top w:val="nil"/>
              <w:bottom w:val="nil"/>
            </w:tcBorders>
            <w:vAlign w:val="center"/>
            <w:hideMark/>
          </w:tcPr>
          <w:p w14:paraId="598682E9" w14:textId="77777777" w:rsidR="00C24F6F" w:rsidRPr="000C2D79" w:rsidRDefault="00C24F6F" w:rsidP="002B1847">
            <w:pPr>
              <w:spacing w:after="0"/>
              <w:rPr>
                <w:rFonts w:ascii="Arial Narrow" w:hAnsi="Arial Narrow"/>
                <w:color w:val="000000"/>
                <w:sz w:val="16"/>
                <w:szCs w:val="18"/>
              </w:rPr>
            </w:pPr>
            <w:r w:rsidRPr="000C2D79">
              <w:rPr>
                <w:rFonts w:ascii="Arial Narrow" w:hAnsi="Arial Narrow"/>
                <w:color w:val="000000"/>
                <w:sz w:val="16"/>
                <w:szCs w:val="18"/>
              </w:rPr>
              <w:t xml:space="preserve">Tvorba hrubého fixného kapitálu </w:t>
            </w:r>
          </w:p>
        </w:tc>
        <w:tc>
          <w:tcPr>
            <w:tcW w:w="709" w:type="dxa"/>
            <w:tcBorders>
              <w:top w:val="nil"/>
              <w:bottom w:val="nil"/>
              <w:right w:val="single" w:sz="4" w:space="0" w:color="auto"/>
            </w:tcBorders>
            <w:noWrap/>
            <w:vAlign w:val="center"/>
            <w:hideMark/>
          </w:tcPr>
          <w:p w14:paraId="18591B8F"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w:t>
            </w:r>
          </w:p>
        </w:tc>
        <w:tc>
          <w:tcPr>
            <w:tcW w:w="577" w:type="dxa"/>
            <w:tcBorders>
              <w:top w:val="nil"/>
              <w:left w:val="single" w:sz="8" w:space="0" w:color="auto"/>
              <w:bottom w:val="nil"/>
              <w:right w:val="nil"/>
            </w:tcBorders>
            <w:noWrap/>
            <w:vAlign w:val="center"/>
            <w:hideMark/>
          </w:tcPr>
          <w:p w14:paraId="2D82FA8B" w14:textId="77777777" w:rsidR="00C24F6F" w:rsidRPr="000C2D79" w:rsidRDefault="00C24F6F" w:rsidP="002B1847">
            <w:pPr>
              <w:pStyle w:val="Bezriadkovania"/>
              <w:jc w:val="center"/>
              <w:rPr>
                <w:sz w:val="16"/>
                <w:szCs w:val="16"/>
              </w:rPr>
            </w:pPr>
            <w:r w:rsidRPr="000C2D79">
              <w:rPr>
                <w:rFonts w:cs="Calibri"/>
                <w:color w:val="000000"/>
                <w:sz w:val="16"/>
                <w:szCs w:val="16"/>
              </w:rPr>
              <w:t>2.4</w:t>
            </w:r>
          </w:p>
        </w:tc>
        <w:tc>
          <w:tcPr>
            <w:tcW w:w="527" w:type="dxa"/>
            <w:gridSpan w:val="2"/>
            <w:tcBorders>
              <w:top w:val="nil"/>
              <w:left w:val="nil"/>
              <w:bottom w:val="nil"/>
              <w:right w:val="nil"/>
            </w:tcBorders>
            <w:noWrap/>
            <w:vAlign w:val="center"/>
            <w:hideMark/>
          </w:tcPr>
          <w:p w14:paraId="14D265D0" w14:textId="77777777" w:rsidR="00C24F6F" w:rsidRPr="000C2D79" w:rsidRDefault="00C24F6F" w:rsidP="002B1847">
            <w:pPr>
              <w:pStyle w:val="Bezriadkovania"/>
              <w:jc w:val="center"/>
              <w:rPr>
                <w:sz w:val="16"/>
                <w:szCs w:val="16"/>
              </w:rPr>
            </w:pPr>
            <w:r w:rsidRPr="000C2D79">
              <w:rPr>
                <w:rFonts w:cs="Calibri"/>
                <w:color w:val="000000"/>
                <w:sz w:val="16"/>
                <w:szCs w:val="16"/>
              </w:rPr>
              <w:t>-5.3</w:t>
            </w:r>
          </w:p>
        </w:tc>
        <w:tc>
          <w:tcPr>
            <w:tcW w:w="527" w:type="dxa"/>
            <w:gridSpan w:val="2"/>
            <w:tcBorders>
              <w:top w:val="nil"/>
              <w:left w:val="nil"/>
              <w:bottom w:val="nil"/>
              <w:right w:val="nil"/>
            </w:tcBorders>
            <w:noWrap/>
            <w:vAlign w:val="center"/>
            <w:hideMark/>
          </w:tcPr>
          <w:p w14:paraId="6698A2B1" w14:textId="77777777" w:rsidR="00C24F6F" w:rsidRPr="000C2D79" w:rsidRDefault="00C24F6F" w:rsidP="002B1847">
            <w:pPr>
              <w:pStyle w:val="Bezriadkovania"/>
              <w:jc w:val="center"/>
              <w:rPr>
                <w:sz w:val="16"/>
                <w:szCs w:val="16"/>
              </w:rPr>
            </w:pPr>
            <w:r w:rsidRPr="000C2D79">
              <w:rPr>
                <w:rFonts w:cs="Calibri"/>
                <w:color w:val="000000"/>
                <w:sz w:val="16"/>
                <w:szCs w:val="16"/>
              </w:rPr>
              <w:t>1.5</w:t>
            </w:r>
          </w:p>
        </w:tc>
        <w:tc>
          <w:tcPr>
            <w:tcW w:w="510" w:type="dxa"/>
            <w:tcBorders>
              <w:top w:val="nil"/>
              <w:left w:val="nil"/>
              <w:bottom w:val="nil"/>
              <w:right w:val="single" w:sz="8" w:space="0" w:color="auto"/>
            </w:tcBorders>
            <w:noWrap/>
            <w:vAlign w:val="center"/>
            <w:hideMark/>
          </w:tcPr>
          <w:p w14:paraId="08A6611B" w14:textId="77777777" w:rsidR="00C24F6F" w:rsidRPr="000C2D79" w:rsidRDefault="00C24F6F" w:rsidP="002B1847">
            <w:pPr>
              <w:pStyle w:val="Bezriadkovania"/>
              <w:jc w:val="center"/>
              <w:rPr>
                <w:sz w:val="16"/>
                <w:szCs w:val="16"/>
              </w:rPr>
            </w:pPr>
            <w:r w:rsidRPr="000C2D79">
              <w:rPr>
                <w:rFonts w:cs="Calibri"/>
                <w:color w:val="000000"/>
                <w:sz w:val="16"/>
                <w:szCs w:val="16"/>
              </w:rPr>
              <w:t>4.3</w:t>
            </w:r>
          </w:p>
        </w:tc>
        <w:tc>
          <w:tcPr>
            <w:tcW w:w="544" w:type="dxa"/>
            <w:gridSpan w:val="2"/>
            <w:tcBorders>
              <w:top w:val="nil"/>
              <w:left w:val="nil"/>
              <w:bottom w:val="nil"/>
              <w:right w:val="nil"/>
            </w:tcBorders>
            <w:noWrap/>
            <w:vAlign w:val="center"/>
          </w:tcPr>
          <w:p w14:paraId="71E8057F"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2.7</w:t>
            </w:r>
          </w:p>
        </w:tc>
        <w:tc>
          <w:tcPr>
            <w:tcW w:w="527" w:type="dxa"/>
            <w:gridSpan w:val="2"/>
            <w:tcBorders>
              <w:top w:val="nil"/>
              <w:left w:val="nil"/>
              <w:bottom w:val="nil"/>
              <w:right w:val="nil"/>
            </w:tcBorders>
            <w:vAlign w:val="center"/>
          </w:tcPr>
          <w:p w14:paraId="6D27DE48"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-3.5</w:t>
            </w:r>
          </w:p>
        </w:tc>
        <w:tc>
          <w:tcPr>
            <w:tcW w:w="527" w:type="dxa"/>
            <w:tcBorders>
              <w:top w:val="nil"/>
              <w:left w:val="nil"/>
              <w:bottom w:val="nil"/>
              <w:right w:val="nil"/>
            </w:tcBorders>
            <w:vAlign w:val="center"/>
          </w:tcPr>
          <w:p w14:paraId="2D8767D1"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1.4</w:t>
            </w:r>
          </w:p>
        </w:tc>
        <w:tc>
          <w:tcPr>
            <w:tcW w:w="528" w:type="dxa"/>
            <w:tcBorders>
              <w:top w:val="nil"/>
              <w:left w:val="nil"/>
              <w:bottom w:val="nil"/>
              <w:right w:val="nil"/>
            </w:tcBorders>
            <w:vAlign w:val="center"/>
          </w:tcPr>
          <w:p w14:paraId="3EA699EA"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5.6</w:t>
            </w:r>
          </w:p>
        </w:tc>
      </w:tr>
      <w:tr w:rsidR="00C24F6F" w:rsidRPr="000C2D79" w14:paraId="555CD3F7" w14:textId="77777777" w:rsidTr="002B1847">
        <w:trPr>
          <w:gridAfter w:val="1"/>
          <w:wAfter w:w="6" w:type="dxa"/>
          <w:trHeight w:val="227"/>
          <w:jc w:val="center"/>
        </w:trPr>
        <w:tc>
          <w:tcPr>
            <w:tcW w:w="567" w:type="dxa"/>
            <w:tcBorders>
              <w:top w:val="nil"/>
              <w:left w:val="nil"/>
              <w:bottom w:val="nil"/>
            </w:tcBorders>
            <w:noWrap/>
            <w:vAlign w:val="center"/>
            <w:hideMark/>
          </w:tcPr>
          <w:p w14:paraId="6BB9002C"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6</w:t>
            </w:r>
          </w:p>
        </w:tc>
        <w:tc>
          <w:tcPr>
            <w:tcW w:w="3686" w:type="dxa"/>
            <w:tcBorders>
              <w:top w:val="nil"/>
              <w:bottom w:val="nil"/>
            </w:tcBorders>
            <w:vAlign w:val="center"/>
            <w:hideMark/>
          </w:tcPr>
          <w:p w14:paraId="334875F2" w14:textId="77777777" w:rsidR="00C24F6F" w:rsidRPr="000C2D79" w:rsidRDefault="00C24F6F" w:rsidP="002B1847">
            <w:pPr>
              <w:spacing w:after="0"/>
              <w:rPr>
                <w:rFonts w:ascii="Arial Narrow" w:hAnsi="Arial Narrow"/>
                <w:color w:val="000000"/>
                <w:sz w:val="16"/>
                <w:szCs w:val="18"/>
              </w:rPr>
            </w:pPr>
            <w:r w:rsidRPr="000C2D79">
              <w:rPr>
                <w:rFonts w:ascii="Arial Narrow" w:hAnsi="Arial Narrow"/>
                <w:color w:val="000000"/>
                <w:sz w:val="16"/>
                <w:szCs w:val="18"/>
              </w:rPr>
              <w:t xml:space="preserve">Export tovarov a služieb </w:t>
            </w:r>
          </w:p>
        </w:tc>
        <w:tc>
          <w:tcPr>
            <w:tcW w:w="709" w:type="dxa"/>
            <w:tcBorders>
              <w:top w:val="nil"/>
              <w:bottom w:val="nil"/>
              <w:right w:val="single" w:sz="4" w:space="0" w:color="auto"/>
            </w:tcBorders>
            <w:noWrap/>
            <w:vAlign w:val="center"/>
            <w:hideMark/>
          </w:tcPr>
          <w:p w14:paraId="7DE1965C"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w:t>
            </w:r>
          </w:p>
        </w:tc>
        <w:tc>
          <w:tcPr>
            <w:tcW w:w="577" w:type="dxa"/>
            <w:tcBorders>
              <w:top w:val="nil"/>
              <w:left w:val="single" w:sz="8" w:space="0" w:color="auto"/>
              <w:bottom w:val="nil"/>
              <w:right w:val="nil"/>
            </w:tcBorders>
            <w:noWrap/>
            <w:vAlign w:val="center"/>
            <w:hideMark/>
          </w:tcPr>
          <w:p w14:paraId="52523245" w14:textId="77777777" w:rsidR="00C24F6F" w:rsidRPr="000C2D79" w:rsidRDefault="00C24F6F" w:rsidP="002B1847">
            <w:pPr>
              <w:pStyle w:val="Bezriadkovania"/>
              <w:jc w:val="center"/>
              <w:rPr>
                <w:sz w:val="16"/>
                <w:szCs w:val="16"/>
              </w:rPr>
            </w:pPr>
            <w:r w:rsidRPr="000C2D79">
              <w:rPr>
                <w:rFonts w:cs="Calibri"/>
                <w:color w:val="000000"/>
                <w:sz w:val="16"/>
                <w:szCs w:val="16"/>
              </w:rPr>
              <w:t>1.3</w:t>
            </w:r>
          </w:p>
        </w:tc>
        <w:tc>
          <w:tcPr>
            <w:tcW w:w="527" w:type="dxa"/>
            <w:gridSpan w:val="2"/>
            <w:tcBorders>
              <w:top w:val="nil"/>
              <w:left w:val="nil"/>
              <w:bottom w:val="nil"/>
              <w:right w:val="nil"/>
            </w:tcBorders>
            <w:noWrap/>
            <w:vAlign w:val="center"/>
            <w:hideMark/>
          </w:tcPr>
          <w:p w14:paraId="365F5BCE" w14:textId="77777777" w:rsidR="00C24F6F" w:rsidRPr="000C2D79" w:rsidRDefault="00C24F6F" w:rsidP="002B1847">
            <w:pPr>
              <w:pStyle w:val="Bezriadkovania"/>
              <w:jc w:val="center"/>
              <w:rPr>
                <w:sz w:val="16"/>
                <w:szCs w:val="16"/>
              </w:rPr>
            </w:pPr>
            <w:r w:rsidRPr="000C2D79">
              <w:rPr>
                <w:rFonts w:cs="Calibri"/>
                <w:color w:val="000000"/>
                <w:sz w:val="16"/>
                <w:szCs w:val="16"/>
              </w:rPr>
              <w:t>4.8</w:t>
            </w:r>
          </w:p>
        </w:tc>
        <w:tc>
          <w:tcPr>
            <w:tcW w:w="527" w:type="dxa"/>
            <w:gridSpan w:val="2"/>
            <w:tcBorders>
              <w:top w:val="nil"/>
              <w:left w:val="nil"/>
              <w:bottom w:val="nil"/>
              <w:right w:val="nil"/>
            </w:tcBorders>
            <w:noWrap/>
            <w:vAlign w:val="center"/>
            <w:hideMark/>
          </w:tcPr>
          <w:p w14:paraId="0351C668" w14:textId="77777777" w:rsidR="00C24F6F" w:rsidRPr="000C2D79" w:rsidRDefault="00C24F6F" w:rsidP="002B1847">
            <w:pPr>
              <w:pStyle w:val="Bezriadkovania"/>
              <w:jc w:val="center"/>
              <w:rPr>
                <w:sz w:val="16"/>
                <w:szCs w:val="16"/>
              </w:rPr>
            </w:pPr>
            <w:r w:rsidRPr="000C2D79">
              <w:rPr>
                <w:rFonts w:cs="Calibri"/>
                <w:color w:val="000000"/>
                <w:sz w:val="16"/>
                <w:szCs w:val="16"/>
              </w:rPr>
              <w:t>3.3</w:t>
            </w:r>
          </w:p>
        </w:tc>
        <w:tc>
          <w:tcPr>
            <w:tcW w:w="510" w:type="dxa"/>
            <w:tcBorders>
              <w:top w:val="nil"/>
              <w:left w:val="nil"/>
              <w:bottom w:val="nil"/>
              <w:right w:val="single" w:sz="8" w:space="0" w:color="auto"/>
            </w:tcBorders>
            <w:noWrap/>
            <w:vAlign w:val="center"/>
            <w:hideMark/>
          </w:tcPr>
          <w:p w14:paraId="73352BB7" w14:textId="77777777" w:rsidR="00C24F6F" w:rsidRPr="000C2D79" w:rsidRDefault="00C24F6F" w:rsidP="002B1847">
            <w:pPr>
              <w:pStyle w:val="Bezriadkovania"/>
              <w:jc w:val="center"/>
              <w:rPr>
                <w:sz w:val="16"/>
                <w:szCs w:val="16"/>
              </w:rPr>
            </w:pPr>
            <w:r w:rsidRPr="000C2D79">
              <w:rPr>
                <w:rFonts w:cs="Calibri"/>
                <w:color w:val="000000"/>
                <w:sz w:val="16"/>
                <w:szCs w:val="16"/>
              </w:rPr>
              <w:t>2.9</w:t>
            </w:r>
          </w:p>
        </w:tc>
        <w:tc>
          <w:tcPr>
            <w:tcW w:w="544" w:type="dxa"/>
            <w:gridSpan w:val="2"/>
            <w:tcBorders>
              <w:top w:val="nil"/>
              <w:left w:val="nil"/>
              <w:bottom w:val="nil"/>
              <w:right w:val="nil"/>
            </w:tcBorders>
            <w:noWrap/>
            <w:vAlign w:val="center"/>
          </w:tcPr>
          <w:p w14:paraId="59DB0491"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1.0</w:t>
            </w:r>
          </w:p>
        </w:tc>
        <w:tc>
          <w:tcPr>
            <w:tcW w:w="527" w:type="dxa"/>
            <w:gridSpan w:val="2"/>
            <w:tcBorders>
              <w:top w:val="nil"/>
              <w:left w:val="nil"/>
              <w:bottom w:val="nil"/>
              <w:right w:val="nil"/>
            </w:tcBorders>
            <w:vAlign w:val="center"/>
          </w:tcPr>
          <w:p w14:paraId="424B0D9C"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4.6</w:t>
            </w:r>
          </w:p>
        </w:tc>
        <w:tc>
          <w:tcPr>
            <w:tcW w:w="527" w:type="dxa"/>
            <w:tcBorders>
              <w:top w:val="nil"/>
              <w:left w:val="nil"/>
              <w:bottom w:val="nil"/>
              <w:right w:val="nil"/>
            </w:tcBorders>
            <w:vAlign w:val="center"/>
          </w:tcPr>
          <w:p w14:paraId="5455F8D4"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3.4</w:t>
            </w:r>
          </w:p>
        </w:tc>
        <w:tc>
          <w:tcPr>
            <w:tcW w:w="528" w:type="dxa"/>
            <w:tcBorders>
              <w:top w:val="nil"/>
              <w:left w:val="nil"/>
              <w:bottom w:val="nil"/>
              <w:right w:val="nil"/>
            </w:tcBorders>
            <w:vAlign w:val="center"/>
          </w:tcPr>
          <w:p w14:paraId="0137D115"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2.9</w:t>
            </w:r>
          </w:p>
        </w:tc>
      </w:tr>
      <w:tr w:rsidR="00C24F6F" w:rsidRPr="000C2D79" w14:paraId="762518C4" w14:textId="77777777" w:rsidTr="002B1847">
        <w:trPr>
          <w:gridAfter w:val="1"/>
          <w:wAfter w:w="6" w:type="dxa"/>
          <w:trHeight w:val="227"/>
          <w:jc w:val="center"/>
        </w:trPr>
        <w:tc>
          <w:tcPr>
            <w:tcW w:w="567" w:type="dxa"/>
            <w:tcBorders>
              <w:top w:val="nil"/>
              <w:left w:val="nil"/>
              <w:bottom w:val="nil"/>
            </w:tcBorders>
            <w:noWrap/>
            <w:vAlign w:val="center"/>
            <w:hideMark/>
          </w:tcPr>
          <w:p w14:paraId="653C938E"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7</w:t>
            </w:r>
          </w:p>
        </w:tc>
        <w:tc>
          <w:tcPr>
            <w:tcW w:w="3686" w:type="dxa"/>
            <w:tcBorders>
              <w:top w:val="nil"/>
              <w:bottom w:val="nil"/>
            </w:tcBorders>
            <w:vAlign w:val="center"/>
            <w:hideMark/>
          </w:tcPr>
          <w:p w14:paraId="5FF5984F" w14:textId="77777777" w:rsidR="00C24F6F" w:rsidRPr="000C2D79" w:rsidRDefault="00C24F6F" w:rsidP="002B1847">
            <w:pPr>
              <w:spacing w:after="0"/>
              <w:rPr>
                <w:rFonts w:ascii="Arial Narrow" w:hAnsi="Arial Narrow"/>
                <w:color w:val="000000"/>
                <w:sz w:val="16"/>
                <w:szCs w:val="18"/>
              </w:rPr>
            </w:pPr>
            <w:r w:rsidRPr="000C2D79">
              <w:rPr>
                <w:rFonts w:ascii="Arial Narrow" w:hAnsi="Arial Narrow"/>
                <w:color w:val="000000"/>
                <w:sz w:val="16"/>
                <w:szCs w:val="18"/>
              </w:rPr>
              <w:t xml:space="preserve">Import tovarov a služieb </w:t>
            </w:r>
          </w:p>
        </w:tc>
        <w:tc>
          <w:tcPr>
            <w:tcW w:w="709" w:type="dxa"/>
            <w:tcBorders>
              <w:top w:val="nil"/>
              <w:bottom w:val="nil"/>
              <w:right w:val="single" w:sz="4" w:space="0" w:color="auto"/>
            </w:tcBorders>
            <w:noWrap/>
            <w:vAlign w:val="center"/>
            <w:hideMark/>
          </w:tcPr>
          <w:p w14:paraId="6BE0F3DA"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w:t>
            </w:r>
          </w:p>
        </w:tc>
        <w:tc>
          <w:tcPr>
            <w:tcW w:w="577" w:type="dxa"/>
            <w:tcBorders>
              <w:top w:val="nil"/>
              <w:left w:val="single" w:sz="8" w:space="0" w:color="auto"/>
              <w:bottom w:val="nil"/>
              <w:right w:val="nil"/>
            </w:tcBorders>
            <w:noWrap/>
            <w:vAlign w:val="center"/>
            <w:hideMark/>
          </w:tcPr>
          <w:p w14:paraId="2FF7D447" w14:textId="77777777" w:rsidR="00C24F6F" w:rsidRPr="000C2D79" w:rsidRDefault="00C24F6F" w:rsidP="002B1847">
            <w:pPr>
              <w:pStyle w:val="Bezriadkovania"/>
              <w:jc w:val="center"/>
              <w:rPr>
                <w:sz w:val="16"/>
                <w:szCs w:val="16"/>
              </w:rPr>
            </w:pPr>
            <w:r w:rsidRPr="000C2D79">
              <w:rPr>
                <w:rFonts w:cs="Calibri"/>
                <w:color w:val="000000"/>
                <w:sz w:val="16"/>
                <w:szCs w:val="16"/>
              </w:rPr>
              <w:t>1.2</w:t>
            </w:r>
          </w:p>
        </w:tc>
        <w:tc>
          <w:tcPr>
            <w:tcW w:w="527" w:type="dxa"/>
            <w:gridSpan w:val="2"/>
            <w:tcBorders>
              <w:top w:val="nil"/>
              <w:left w:val="nil"/>
              <w:bottom w:val="nil"/>
              <w:right w:val="nil"/>
            </w:tcBorders>
            <w:noWrap/>
            <w:vAlign w:val="center"/>
            <w:hideMark/>
          </w:tcPr>
          <w:p w14:paraId="519778CA" w14:textId="77777777" w:rsidR="00C24F6F" w:rsidRPr="000C2D79" w:rsidRDefault="00C24F6F" w:rsidP="002B1847">
            <w:pPr>
              <w:pStyle w:val="Bezriadkovania"/>
              <w:jc w:val="center"/>
              <w:rPr>
                <w:sz w:val="16"/>
                <w:szCs w:val="16"/>
              </w:rPr>
            </w:pPr>
            <w:r w:rsidRPr="000C2D79">
              <w:rPr>
                <w:rFonts w:cs="Calibri"/>
                <w:color w:val="000000"/>
                <w:sz w:val="16"/>
                <w:szCs w:val="16"/>
              </w:rPr>
              <w:t>3.8</w:t>
            </w:r>
          </w:p>
        </w:tc>
        <w:tc>
          <w:tcPr>
            <w:tcW w:w="527" w:type="dxa"/>
            <w:gridSpan w:val="2"/>
            <w:tcBorders>
              <w:top w:val="nil"/>
              <w:left w:val="nil"/>
              <w:bottom w:val="nil"/>
              <w:right w:val="nil"/>
            </w:tcBorders>
            <w:noWrap/>
            <w:vAlign w:val="center"/>
            <w:hideMark/>
          </w:tcPr>
          <w:p w14:paraId="3B01C4C9" w14:textId="77777777" w:rsidR="00C24F6F" w:rsidRPr="000C2D79" w:rsidRDefault="00C24F6F" w:rsidP="002B1847">
            <w:pPr>
              <w:pStyle w:val="Bezriadkovania"/>
              <w:jc w:val="center"/>
              <w:rPr>
                <w:sz w:val="16"/>
                <w:szCs w:val="16"/>
              </w:rPr>
            </w:pPr>
            <w:r w:rsidRPr="000C2D79">
              <w:rPr>
                <w:rFonts w:cs="Calibri"/>
                <w:color w:val="000000"/>
                <w:sz w:val="16"/>
                <w:szCs w:val="16"/>
              </w:rPr>
              <w:t>2.8</w:t>
            </w:r>
          </w:p>
        </w:tc>
        <w:tc>
          <w:tcPr>
            <w:tcW w:w="510" w:type="dxa"/>
            <w:tcBorders>
              <w:top w:val="nil"/>
              <w:left w:val="nil"/>
              <w:bottom w:val="nil"/>
              <w:right w:val="single" w:sz="8" w:space="0" w:color="auto"/>
            </w:tcBorders>
            <w:noWrap/>
            <w:vAlign w:val="center"/>
            <w:hideMark/>
          </w:tcPr>
          <w:p w14:paraId="4DE71FF8" w14:textId="77777777" w:rsidR="00C24F6F" w:rsidRPr="000C2D79" w:rsidRDefault="00C24F6F" w:rsidP="002B1847">
            <w:pPr>
              <w:pStyle w:val="Bezriadkovania"/>
              <w:jc w:val="center"/>
              <w:rPr>
                <w:sz w:val="16"/>
                <w:szCs w:val="16"/>
              </w:rPr>
            </w:pPr>
            <w:r w:rsidRPr="000C2D79">
              <w:rPr>
                <w:rFonts w:cs="Calibri"/>
                <w:color w:val="000000"/>
                <w:sz w:val="16"/>
                <w:szCs w:val="16"/>
              </w:rPr>
              <w:t>2.9</w:t>
            </w:r>
          </w:p>
        </w:tc>
        <w:tc>
          <w:tcPr>
            <w:tcW w:w="544" w:type="dxa"/>
            <w:gridSpan w:val="2"/>
            <w:tcBorders>
              <w:top w:val="nil"/>
              <w:left w:val="nil"/>
              <w:bottom w:val="nil"/>
              <w:right w:val="nil"/>
            </w:tcBorders>
            <w:noWrap/>
            <w:vAlign w:val="center"/>
          </w:tcPr>
          <w:p w14:paraId="36C25BD7"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0.7</w:t>
            </w:r>
          </w:p>
        </w:tc>
        <w:tc>
          <w:tcPr>
            <w:tcW w:w="527" w:type="dxa"/>
            <w:gridSpan w:val="2"/>
            <w:tcBorders>
              <w:top w:val="nil"/>
              <w:left w:val="nil"/>
              <w:bottom w:val="nil"/>
              <w:right w:val="nil"/>
            </w:tcBorders>
            <w:vAlign w:val="center"/>
          </w:tcPr>
          <w:p w14:paraId="594A0C6A"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3.6</w:t>
            </w:r>
          </w:p>
        </w:tc>
        <w:tc>
          <w:tcPr>
            <w:tcW w:w="527" w:type="dxa"/>
            <w:tcBorders>
              <w:top w:val="nil"/>
              <w:left w:val="nil"/>
              <w:bottom w:val="nil"/>
              <w:right w:val="nil"/>
            </w:tcBorders>
            <w:vAlign w:val="center"/>
          </w:tcPr>
          <w:p w14:paraId="08CB1906"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2.7</w:t>
            </w:r>
          </w:p>
        </w:tc>
        <w:tc>
          <w:tcPr>
            <w:tcW w:w="528" w:type="dxa"/>
            <w:tcBorders>
              <w:top w:val="nil"/>
              <w:left w:val="nil"/>
              <w:bottom w:val="nil"/>
              <w:right w:val="nil"/>
            </w:tcBorders>
            <w:vAlign w:val="center"/>
          </w:tcPr>
          <w:p w14:paraId="728BBED6"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3.1</w:t>
            </w:r>
          </w:p>
        </w:tc>
      </w:tr>
      <w:tr w:rsidR="00C24F6F" w:rsidRPr="000C2D79" w14:paraId="6FD6A65F" w14:textId="77777777" w:rsidTr="002B1847">
        <w:trPr>
          <w:gridAfter w:val="1"/>
          <w:wAfter w:w="6" w:type="dxa"/>
          <w:trHeight w:val="227"/>
          <w:jc w:val="center"/>
        </w:trPr>
        <w:tc>
          <w:tcPr>
            <w:tcW w:w="567" w:type="dxa"/>
            <w:tcBorders>
              <w:top w:val="nil"/>
              <w:left w:val="nil"/>
              <w:bottom w:val="nil"/>
            </w:tcBorders>
            <w:noWrap/>
            <w:vAlign w:val="center"/>
          </w:tcPr>
          <w:p w14:paraId="08340F51"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8</w:t>
            </w:r>
          </w:p>
        </w:tc>
        <w:tc>
          <w:tcPr>
            <w:tcW w:w="3686" w:type="dxa"/>
            <w:tcBorders>
              <w:top w:val="nil"/>
              <w:bottom w:val="nil"/>
            </w:tcBorders>
            <w:noWrap/>
            <w:vAlign w:val="center"/>
          </w:tcPr>
          <w:p w14:paraId="503C507F" w14:textId="77777777" w:rsidR="00C24F6F" w:rsidRPr="000C2D79" w:rsidRDefault="00C24F6F" w:rsidP="002B1847">
            <w:pPr>
              <w:spacing w:after="0"/>
              <w:rPr>
                <w:rFonts w:ascii="Arial Narrow" w:hAnsi="Arial Narrow"/>
                <w:color w:val="000000"/>
                <w:sz w:val="16"/>
                <w:szCs w:val="18"/>
              </w:rPr>
            </w:pPr>
            <w:r w:rsidRPr="000C2D79">
              <w:rPr>
                <w:rFonts w:ascii="Arial Narrow" w:hAnsi="Arial Narrow"/>
                <w:color w:val="000000"/>
                <w:sz w:val="16"/>
                <w:szCs w:val="18"/>
              </w:rPr>
              <w:t>Produkčná medzera (podiel na potenciálnom produkte)</w:t>
            </w:r>
          </w:p>
        </w:tc>
        <w:tc>
          <w:tcPr>
            <w:tcW w:w="709" w:type="dxa"/>
            <w:tcBorders>
              <w:top w:val="nil"/>
              <w:bottom w:val="nil"/>
              <w:right w:val="single" w:sz="4" w:space="0" w:color="auto"/>
            </w:tcBorders>
            <w:noWrap/>
            <w:vAlign w:val="center"/>
          </w:tcPr>
          <w:p w14:paraId="34E8E936"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w:t>
            </w:r>
          </w:p>
        </w:tc>
        <w:tc>
          <w:tcPr>
            <w:tcW w:w="577" w:type="dxa"/>
            <w:tcBorders>
              <w:top w:val="nil"/>
              <w:left w:val="single" w:sz="8" w:space="0" w:color="auto"/>
              <w:bottom w:val="nil"/>
              <w:right w:val="nil"/>
            </w:tcBorders>
            <w:noWrap/>
            <w:vAlign w:val="center"/>
          </w:tcPr>
          <w:p w14:paraId="6647849F" w14:textId="77777777" w:rsidR="00C24F6F" w:rsidRPr="000C2D79" w:rsidRDefault="00C24F6F" w:rsidP="002B1847">
            <w:pPr>
              <w:pStyle w:val="Bezriadkovania"/>
              <w:jc w:val="center"/>
              <w:rPr>
                <w:sz w:val="16"/>
                <w:szCs w:val="16"/>
              </w:rPr>
            </w:pPr>
            <w:r w:rsidRPr="000C2D79">
              <w:rPr>
                <w:rFonts w:cs="Calibri"/>
                <w:color w:val="000000"/>
                <w:sz w:val="16"/>
                <w:szCs w:val="16"/>
              </w:rPr>
              <w:t>-1.9</w:t>
            </w:r>
          </w:p>
        </w:tc>
        <w:tc>
          <w:tcPr>
            <w:tcW w:w="527" w:type="dxa"/>
            <w:gridSpan w:val="2"/>
            <w:tcBorders>
              <w:top w:val="nil"/>
              <w:left w:val="nil"/>
              <w:bottom w:val="nil"/>
              <w:right w:val="nil"/>
            </w:tcBorders>
            <w:noWrap/>
            <w:vAlign w:val="center"/>
          </w:tcPr>
          <w:p w14:paraId="60B7B6F4" w14:textId="77777777" w:rsidR="00C24F6F" w:rsidRPr="000C2D79" w:rsidRDefault="00C24F6F" w:rsidP="002B1847">
            <w:pPr>
              <w:pStyle w:val="Bezriadkovania"/>
              <w:jc w:val="center"/>
              <w:rPr>
                <w:sz w:val="16"/>
                <w:szCs w:val="16"/>
              </w:rPr>
            </w:pPr>
            <w:r w:rsidRPr="000C2D79">
              <w:rPr>
                <w:rFonts w:cs="Calibri"/>
                <w:color w:val="000000"/>
                <w:sz w:val="16"/>
                <w:szCs w:val="16"/>
              </w:rPr>
              <w:t>-2.6</w:t>
            </w:r>
          </w:p>
        </w:tc>
        <w:tc>
          <w:tcPr>
            <w:tcW w:w="527" w:type="dxa"/>
            <w:gridSpan w:val="2"/>
            <w:tcBorders>
              <w:top w:val="nil"/>
              <w:left w:val="nil"/>
              <w:bottom w:val="nil"/>
              <w:right w:val="nil"/>
            </w:tcBorders>
            <w:noWrap/>
            <w:vAlign w:val="center"/>
          </w:tcPr>
          <w:p w14:paraId="02F29DC3" w14:textId="77777777" w:rsidR="00C24F6F" w:rsidRPr="000C2D79" w:rsidRDefault="00C24F6F" w:rsidP="002B1847">
            <w:pPr>
              <w:pStyle w:val="Bezriadkovania"/>
              <w:jc w:val="center"/>
              <w:rPr>
                <w:sz w:val="16"/>
                <w:szCs w:val="16"/>
              </w:rPr>
            </w:pPr>
            <w:r w:rsidRPr="000C2D79">
              <w:rPr>
                <w:rFonts w:cs="Calibri"/>
                <w:color w:val="000000"/>
                <w:sz w:val="16"/>
                <w:szCs w:val="16"/>
              </w:rPr>
              <w:t>-2.6</w:t>
            </w:r>
          </w:p>
        </w:tc>
        <w:tc>
          <w:tcPr>
            <w:tcW w:w="510" w:type="dxa"/>
            <w:tcBorders>
              <w:top w:val="nil"/>
              <w:left w:val="nil"/>
              <w:bottom w:val="nil"/>
              <w:right w:val="single" w:sz="8" w:space="0" w:color="auto"/>
            </w:tcBorders>
            <w:noWrap/>
            <w:vAlign w:val="center"/>
          </w:tcPr>
          <w:p w14:paraId="309B03A1" w14:textId="77777777" w:rsidR="00C24F6F" w:rsidRPr="000C2D79" w:rsidRDefault="00C24F6F" w:rsidP="002B1847">
            <w:pPr>
              <w:pStyle w:val="Bezriadkovania"/>
              <w:jc w:val="center"/>
              <w:rPr>
                <w:sz w:val="16"/>
                <w:szCs w:val="16"/>
              </w:rPr>
            </w:pPr>
            <w:r w:rsidRPr="000C2D79">
              <w:rPr>
                <w:rFonts w:cs="Calibri"/>
                <w:color w:val="000000"/>
                <w:sz w:val="16"/>
                <w:szCs w:val="16"/>
              </w:rPr>
              <w:t>-2.2</w:t>
            </w:r>
          </w:p>
        </w:tc>
        <w:tc>
          <w:tcPr>
            <w:tcW w:w="544" w:type="dxa"/>
            <w:gridSpan w:val="2"/>
            <w:tcBorders>
              <w:top w:val="nil"/>
              <w:left w:val="nil"/>
              <w:bottom w:val="nil"/>
              <w:right w:val="nil"/>
            </w:tcBorders>
            <w:noWrap/>
            <w:vAlign w:val="center"/>
          </w:tcPr>
          <w:p w14:paraId="45E6FD66"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-1.2</w:t>
            </w:r>
          </w:p>
        </w:tc>
        <w:tc>
          <w:tcPr>
            <w:tcW w:w="527" w:type="dxa"/>
            <w:gridSpan w:val="2"/>
            <w:tcBorders>
              <w:top w:val="nil"/>
              <w:left w:val="nil"/>
              <w:bottom w:val="nil"/>
              <w:right w:val="nil"/>
            </w:tcBorders>
            <w:vAlign w:val="center"/>
          </w:tcPr>
          <w:p w14:paraId="49940E97"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-1.6</w:t>
            </w:r>
          </w:p>
        </w:tc>
        <w:tc>
          <w:tcPr>
            <w:tcW w:w="527" w:type="dxa"/>
            <w:tcBorders>
              <w:top w:val="nil"/>
              <w:left w:val="nil"/>
              <w:bottom w:val="nil"/>
              <w:right w:val="nil"/>
            </w:tcBorders>
            <w:vAlign w:val="center"/>
          </w:tcPr>
          <w:p w14:paraId="50009D35"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-1.4</w:t>
            </w:r>
          </w:p>
        </w:tc>
        <w:tc>
          <w:tcPr>
            <w:tcW w:w="528" w:type="dxa"/>
            <w:tcBorders>
              <w:top w:val="nil"/>
              <w:left w:val="nil"/>
              <w:bottom w:val="nil"/>
              <w:right w:val="nil"/>
            </w:tcBorders>
            <w:vAlign w:val="center"/>
          </w:tcPr>
          <w:p w14:paraId="429BD8BD"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-0.9</w:t>
            </w:r>
          </w:p>
        </w:tc>
      </w:tr>
      <w:tr w:rsidR="00C24F6F" w:rsidRPr="000C2D79" w14:paraId="253606B9" w14:textId="77777777" w:rsidTr="002B1847">
        <w:trPr>
          <w:gridAfter w:val="1"/>
          <w:wAfter w:w="6" w:type="dxa"/>
          <w:trHeight w:val="227"/>
          <w:jc w:val="center"/>
        </w:trPr>
        <w:tc>
          <w:tcPr>
            <w:tcW w:w="567" w:type="dxa"/>
            <w:tcBorders>
              <w:top w:val="nil"/>
              <w:left w:val="nil"/>
              <w:bottom w:val="nil"/>
            </w:tcBorders>
            <w:noWrap/>
            <w:vAlign w:val="center"/>
            <w:hideMark/>
          </w:tcPr>
          <w:p w14:paraId="18B970F1"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9</w:t>
            </w:r>
          </w:p>
        </w:tc>
        <w:tc>
          <w:tcPr>
            <w:tcW w:w="3686" w:type="dxa"/>
            <w:tcBorders>
              <w:top w:val="nil"/>
              <w:bottom w:val="nil"/>
            </w:tcBorders>
            <w:noWrap/>
            <w:vAlign w:val="center"/>
            <w:hideMark/>
          </w:tcPr>
          <w:p w14:paraId="1D2E8CB8" w14:textId="77777777" w:rsidR="00C24F6F" w:rsidRPr="000C2D79" w:rsidRDefault="00C24F6F" w:rsidP="002B1847">
            <w:pPr>
              <w:spacing w:after="0"/>
              <w:rPr>
                <w:rFonts w:ascii="Arial Narrow" w:hAnsi="Arial Narrow"/>
                <w:color w:val="000000"/>
                <w:sz w:val="16"/>
                <w:szCs w:val="18"/>
              </w:rPr>
            </w:pPr>
            <w:r w:rsidRPr="000C2D79">
              <w:rPr>
                <w:rFonts w:ascii="Arial Narrow" w:hAnsi="Arial Narrow"/>
                <w:color w:val="000000"/>
                <w:sz w:val="16"/>
                <w:szCs w:val="18"/>
              </w:rPr>
              <w:t>Priemerná mesačná mzda za hospodárstvo (nominálny rast)</w:t>
            </w:r>
          </w:p>
        </w:tc>
        <w:tc>
          <w:tcPr>
            <w:tcW w:w="709" w:type="dxa"/>
            <w:tcBorders>
              <w:top w:val="nil"/>
              <w:bottom w:val="nil"/>
              <w:right w:val="single" w:sz="4" w:space="0" w:color="auto"/>
            </w:tcBorders>
            <w:noWrap/>
            <w:vAlign w:val="center"/>
            <w:hideMark/>
          </w:tcPr>
          <w:p w14:paraId="1DD9270B"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w:t>
            </w:r>
          </w:p>
        </w:tc>
        <w:tc>
          <w:tcPr>
            <w:tcW w:w="577" w:type="dxa"/>
            <w:tcBorders>
              <w:top w:val="nil"/>
              <w:left w:val="single" w:sz="8" w:space="0" w:color="auto"/>
              <w:bottom w:val="nil"/>
              <w:right w:val="nil"/>
            </w:tcBorders>
            <w:noWrap/>
            <w:vAlign w:val="center"/>
            <w:hideMark/>
          </w:tcPr>
          <w:p w14:paraId="2EBB8D51" w14:textId="77777777" w:rsidR="00C24F6F" w:rsidRPr="000C2D79" w:rsidRDefault="00C24F6F" w:rsidP="002B1847">
            <w:pPr>
              <w:pStyle w:val="Bezriadkovania"/>
              <w:jc w:val="center"/>
              <w:rPr>
                <w:sz w:val="16"/>
                <w:szCs w:val="16"/>
              </w:rPr>
            </w:pPr>
            <w:r w:rsidRPr="000C2D79">
              <w:rPr>
                <w:rFonts w:cs="Calibri"/>
                <w:color w:val="000000"/>
                <w:sz w:val="16"/>
                <w:szCs w:val="16"/>
              </w:rPr>
              <w:t>4.4</w:t>
            </w:r>
          </w:p>
        </w:tc>
        <w:tc>
          <w:tcPr>
            <w:tcW w:w="527" w:type="dxa"/>
            <w:gridSpan w:val="2"/>
            <w:tcBorders>
              <w:top w:val="nil"/>
              <w:left w:val="nil"/>
              <w:bottom w:val="nil"/>
              <w:right w:val="nil"/>
            </w:tcBorders>
            <w:noWrap/>
            <w:vAlign w:val="center"/>
            <w:hideMark/>
          </w:tcPr>
          <w:p w14:paraId="6C29185E" w14:textId="77777777" w:rsidR="00C24F6F" w:rsidRPr="000C2D79" w:rsidRDefault="00C24F6F" w:rsidP="002B1847">
            <w:pPr>
              <w:pStyle w:val="Bezriadkovania"/>
              <w:jc w:val="center"/>
              <w:rPr>
                <w:sz w:val="16"/>
                <w:szCs w:val="16"/>
              </w:rPr>
            </w:pPr>
            <w:r w:rsidRPr="000C2D79">
              <w:rPr>
                <w:rFonts w:cs="Calibri"/>
                <w:color w:val="000000"/>
                <w:sz w:val="16"/>
                <w:szCs w:val="16"/>
              </w:rPr>
              <w:t>4.0</w:t>
            </w:r>
          </w:p>
        </w:tc>
        <w:tc>
          <w:tcPr>
            <w:tcW w:w="527" w:type="dxa"/>
            <w:gridSpan w:val="2"/>
            <w:tcBorders>
              <w:top w:val="nil"/>
              <w:left w:val="nil"/>
              <w:bottom w:val="nil"/>
              <w:right w:val="nil"/>
            </w:tcBorders>
            <w:noWrap/>
            <w:vAlign w:val="center"/>
            <w:hideMark/>
          </w:tcPr>
          <w:p w14:paraId="7F98B3F9" w14:textId="77777777" w:rsidR="00C24F6F" w:rsidRPr="000C2D79" w:rsidRDefault="00C24F6F" w:rsidP="002B1847">
            <w:pPr>
              <w:pStyle w:val="Bezriadkovania"/>
              <w:jc w:val="center"/>
              <w:rPr>
                <w:sz w:val="16"/>
                <w:szCs w:val="16"/>
              </w:rPr>
            </w:pPr>
            <w:r w:rsidRPr="000C2D79">
              <w:rPr>
                <w:rFonts w:cs="Calibri"/>
                <w:color w:val="000000"/>
                <w:sz w:val="16"/>
                <w:szCs w:val="16"/>
              </w:rPr>
              <w:t>4.5</w:t>
            </w:r>
          </w:p>
        </w:tc>
        <w:tc>
          <w:tcPr>
            <w:tcW w:w="510" w:type="dxa"/>
            <w:tcBorders>
              <w:top w:val="nil"/>
              <w:left w:val="nil"/>
              <w:bottom w:val="nil"/>
              <w:right w:val="single" w:sz="8" w:space="0" w:color="auto"/>
            </w:tcBorders>
            <w:noWrap/>
            <w:vAlign w:val="center"/>
            <w:hideMark/>
          </w:tcPr>
          <w:p w14:paraId="203D51F8" w14:textId="77777777" w:rsidR="00C24F6F" w:rsidRPr="000C2D79" w:rsidRDefault="00C24F6F" w:rsidP="002B1847">
            <w:pPr>
              <w:pStyle w:val="Bezriadkovania"/>
              <w:jc w:val="center"/>
              <w:rPr>
                <w:sz w:val="16"/>
                <w:szCs w:val="16"/>
              </w:rPr>
            </w:pPr>
            <w:r w:rsidRPr="000C2D79">
              <w:rPr>
                <w:rFonts w:cs="Calibri"/>
                <w:color w:val="000000"/>
                <w:sz w:val="16"/>
                <w:szCs w:val="16"/>
              </w:rPr>
              <w:t>4.4</w:t>
            </w:r>
          </w:p>
        </w:tc>
        <w:tc>
          <w:tcPr>
            <w:tcW w:w="544" w:type="dxa"/>
            <w:gridSpan w:val="2"/>
            <w:tcBorders>
              <w:top w:val="nil"/>
              <w:left w:val="nil"/>
              <w:bottom w:val="nil"/>
              <w:right w:val="nil"/>
            </w:tcBorders>
            <w:noWrap/>
            <w:vAlign w:val="center"/>
          </w:tcPr>
          <w:p w14:paraId="6B7E49F8"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5.0</w:t>
            </w:r>
          </w:p>
        </w:tc>
        <w:tc>
          <w:tcPr>
            <w:tcW w:w="527" w:type="dxa"/>
            <w:gridSpan w:val="2"/>
            <w:tcBorders>
              <w:top w:val="nil"/>
              <w:left w:val="nil"/>
              <w:bottom w:val="nil"/>
              <w:right w:val="nil"/>
            </w:tcBorders>
            <w:vAlign w:val="center"/>
          </w:tcPr>
          <w:p w14:paraId="66E895BE"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4.5</w:t>
            </w:r>
          </w:p>
        </w:tc>
        <w:tc>
          <w:tcPr>
            <w:tcW w:w="527" w:type="dxa"/>
            <w:tcBorders>
              <w:top w:val="nil"/>
              <w:left w:val="nil"/>
              <w:bottom w:val="nil"/>
              <w:right w:val="nil"/>
            </w:tcBorders>
            <w:vAlign w:val="center"/>
          </w:tcPr>
          <w:p w14:paraId="03C59489"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4.1</w:t>
            </w:r>
          </w:p>
        </w:tc>
        <w:tc>
          <w:tcPr>
            <w:tcW w:w="528" w:type="dxa"/>
            <w:tcBorders>
              <w:top w:val="nil"/>
              <w:left w:val="nil"/>
              <w:bottom w:val="nil"/>
              <w:right w:val="nil"/>
            </w:tcBorders>
            <w:vAlign w:val="center"/>
          </w:tcPr>
          <w:p w14:paraId="4DDFFE92"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4.4</w:t>
            </w:r>
          </w:p>
        </w:tc>
      </w:tr>
      <w:tr w:rsidR="00C24F6F" w:rsidRPr="000C2D79" w14:paraId="0A677E88" w14:textId="77777777" w:rsidTr="002B1847">
        <w:trPr>
          <w:gridAfter w:val="1"/>
          <w:wAfter w:w="6" w:type="dxa"/>
          <w:trHeight w:val="227"/>
          <w:jc w:val="center"/>
        </w:trPr>
        <w:tc>
          <w:tcPr>
            <w:tcW w:w="567" w:type="dxa"/>
            <w:tcBorders>
              <w:top w:val="nil"/>
              <w:left w:val="nil"/>
              <w:bottom w:val="nil"/>
            </w:tcBorders>
            <w:noWrap/>
            <w:vAlign w:val="center"/>
            <w:hideMark/>
          </w:tcPr>
          <w:p w14:paraId="24ACBF53"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10</w:t>
            </w:r>
          </w:p>
        </w:tc>
        <w:tc>
          <w:tcPr>
            <w:tcW w:w="3686" w:type="dxa"/>
            <w:tcBorders>
              <w:top w:val="nil"/>
              <w:bottom w:val="nil"/>
            </w:tcBorders>
            <w:noWrap/>
            <w:vAlign w:val="center"/>
            <w:hideMark/>
          </w:tcPr>
          <w:p w14:paraId="12349E02" w14:textId="77777777" w:rsidR="00C24F6F" w:rsidRPr="000C2D79" w:rsidRDefault="00C24F6F" w:rsidP="002B1847">
            <w:pPr>
              <w:spacing w:after="0"/>
              <w:rPr>
                <w:rFonts w:ascii="Arial Narrow" w:hAnsi="Arial Narrow"/>
                <w:color w:val="000000"/>
                <w:sz w:val="16"/>
                <w:szCs w:val="18"/>
              </w:rPr>
            </w:pPr>
            <w:r w:rsidRPr="000C2D79">
              <w:rPr>
                <w:rFonts w:ascii="Arial Narrow" w:hAnsi="Arial Narrow"/>
                <w:color w:val="000000"/>
                <w:sz w:val="16"/>
                <w:szCs w:val="18"/>
              </w:rPr>
              <w:t>Priemerný rast zamestnanosti, podľa VZPS</w:t>
            </w:r>
          </w:p>
        </w:tc>
        <w:tc>
          <w:tcPr>
            <w:tcW w:w="709" w:type="dxa"/>
            <w:tcBorders>
              <w:top w:val="nil"/>
              <w:bottom w:val="nil"/>
              <w:right w:val="single" w:sz="4" w:space="0" w:color="auto"/>
            </w:tcBorders>
            <w:noWrap/>
            <w:vAlign w:val="center"/>
            <w:hideMark/>
          </w:tcPr>
          <w:p w14:paraId="079E77D0"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w:t>
            </w:r>
          </w:p>
        </w:tc>
        <w:tc>
          <w:tcPr>
            <w:tcW w:w="577" w:type="dxa"/>
            <w:tcBorders>
              <w:top w:val="nil"/>
              <w:left w:val="single" w:sz="8" w:space="0" w:color="auto"/>
              <w:bottom w:val="nil"/>
              <w:right w:val="nil"/>
            </w:tcBorders>
            <w:noWrap/>
            <w:vAlign w:val="center"/>
            <w:hideMark/>
          </w:tcPr>
          <w:p w14:paraId="65672C2B" w14:textId="77777777" w:rsidR="00C24F6F" w:rsidRPr="000C2D79" w:rsidRDefault="00C24F6F" w:rsidP="002B1847">
            <w:pPr>
              <w:pStyle w:val="Bezriadkovania"/>
              <w:jc w:val="center"/>
              <w:rPr>
                <w:sz w:val="16"/>
                <w:szCs w:val="16"/>
              </w:rPr>
            </w:pPr>
            <w:r w:rsidRPr="000C2D79">
              <w:rPr>
                <w:rFonts w:cs="Calibri"/>
                <w:color w:val="000000"/>
                <w:sz w:val="16"/>
                <w:szCs w:val="16"/>
              </w:rPr>
              <w:t>-0.8</w:t>
            </w:r>
          </w:p>
        </w:tc>
        <w:tc>
          <w:tcPr>
            <w:tcW w:w="527" w:type="dxa"/>
            <w:gridSpan w:val="2"/>
            <w:tcBorders>
              <w:top w:val="nil"/>
              <w:left w:val="nil"/>
              <w:bottom w:val="nil"/>
              <w:right w:val="nil"/>
            </w:tcBorders>
            <w:noWrap/>
            <w:vAlign w:val="center"/>
            <w:hideMark/>
          </w:tcPr>
          <w:p w14:paraId="42166402" w14:textId="77777777" w:rsidR="00C24F6F" w:rsidRPr="000C2D79" w:rsidRDefault="00C24F6F" w:rsidP="002B1847">
            <w:pPr>
              <w:pStyle w:val="Bezriadkovania"/>
              <w:jc w:val="center"/>
              <w:rPr>
                <w:sz w:val="16"/>
                <w:szCs w:val="16"/>
              </w:rPr>
            </w:pPr>
            <w:r w:rsidRPr="000C2D79">
              <w:rPr>
                <w:rFonts w:cs="Calibri"/>
                <w:color w:val="000000"/>
                <w:sz w:val="16"/>
                <w:szCs w:val="16"/>
              </w:rPr>
              <w:t>-0.5</w:t>
            </w:r>
          </w:p>
        </w:tc>
        <w:tc>
          <w:tcPr>
            <w:tcW w:w="527" w:type="dxa"/>
            <w:gridSpan w:val="2"/>
            <w:tcBorders>
              <w:top w:val="nil"/>
              <w:left w:val="nil"/>
              <w:bottom w:val="nil"/>
              <w:right w:val="nil"/>
            </w:tcBorders>
            <w:noWrap/>
            <w:vAlign w:val="center"/>
            <w:hideMark/>
          </w:tcPr>
          <w:p w14:paraId="70077A43" w14:textId="77777777" w:rsidR="00C24F6F" w:rsidRPr="000C2D79" w:rsidRDefault="00C24F6F" w:rsidP="002B1847">
            <w:pPr>
              <w:pStyle w:val="Bezriadkovania"/>
              <w:jc w:val="center"/>
              <w:rPr>
                <w:sz w:val="16"/>
                <w:szCs w:val="16"/>
              </w:rPr>
            </w:pPr>
            <w:r w:rsidRPr="000C2D79">
              <w:rPr>
                <w:rFonts w:cs="Calibri"/>
                <w:color w:val="000000"/>
                <w:sz w:val="16"/>
                <w:szCs w:val="16"/>
              </w:rPr>
              <w:t>-0.5</w:t>
            </w:r>
          </w:p>
        </w:tc>
        <w:tc>
          <w:tcPr>
            <w:tcW w:w="510" w:type="dxa"/>
            <w:tcBorders>
              <w:top w:val="nil"/>
              <w:left w:val="nil"/>
              <w:bottom w:val="nil"/>
              <w:right w:val="single" w:sz="8" w:space="0" w:color="auto"/>
            </w:tcBorders>
            <w:noWrap/>
            <w:vAlign w:val="center"/>
            <w:hideMark/>
          </w:tcPr>
          <w:p w14:paraId="69EA5EDD" w14:textId="77777777" w:rsidR="00C24F6F" w:rsidRPr="000C2D79" w:rsidRDefault="00C24F6F" w:rsidP="002B1847">
            <w:pPr>
              <w:pStyle w:val="Bezriadkovania"/>
              <w:jc w:val="center"/>
              <w:rPr>
                <w:sz w:val="16"/>
                <w:szCs w:val="16"/>
              </w:rPr>
            </w:pPr>
            <w:r w:rsidRPr="000C2D79">
              <w:rPr>
                <w:rFonts w:cs="Calibri"/>
                <w:color w:val="000000"/>
                <w:sz w:val="16"/>
                <w:szCs w:val="16"/>
              </w:rPr>
              <w:t>-0.4</w:t>
            </w:r>
          </w:p>
        </w:tc>
        <w:tc>
          <w:tcPr>
            <w:tcW w:w="544" w:type="dxa"/>
            <w:gridSpan w:val="2"/>
            <w:tcBorders>
              <w:top w:val="nil"/>
              <w:left w:val="nil"/>
              <w:bottom w:val="nil"/>
              <w:right w:val="nil"/>
            </w:tcBorders>
            <w:noWrap/>
            <w:vAlign w:val="center"/>
          </w:tcPr>
          <w:p w14:paraId="5F462E4F"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-0.7</w:t>
            </w:r>
          </w:p>
        </w:tc>
        <w:tc>
          <w:tcPr>
            <w:tcW w:w="527" w:type="dxa"/>
            <w:gridSpan w:val="2"/>
            <w:tcBorders>
              <w:top w:val="nil"/>
              <w:left w:val="nil"/>
              <w:bottom w:val="nil"/>
              <w:right w:val="nil"/>
            </w:tcBorders>
            <w:vAlign w:val="center"/>
          </w:tcPr>
          <w:p w14:paraId="226B675D"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-0.5</w:t>
            </w:r>
          </w:p>
        </w:tc>
        <w:tc>
          <w:tcPr>
            <w:tcW w:w="527" w:type="dxa"/>
            <w:tcBorders>
              <w:top w:val="nil"/>
              <w:left w:val="nil"/>
              <w:bottom w:val="nil"/>
              <w:right w:val="nil"/>
            </w:tcBorders>
            <w:vAlign w:val="center"/>
          </w:tcPr>
          <w:p w14:paraId="0D692C63"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-0.5</w:t>
            </w:r>
          </w:p>
        </w:tc>
        <w:tc>
          <w:tcPr>
            <w:tcW w:w="528" w:type="dxa"/>
            <w:tcBorders>
              <w:top w:val="nil"/>
              <w:left w:val="nil"/>
              <w:bottom w:val="nil"/>
              <w:right w:val="nil"/>
            </w:tcBorders>
            <w:vAlign w:val="center"/>
          </w:tcPr>
          <w:p w14:paraId="16D87E07"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-0.4</w:t>
            </w:r>
          </w:p>
        </w:tc>
      </w:tr>
      <w:tr w:rsidR="00C24F6F" w:rsidRPr="000C2D79" w14:paraId="2FBEC9E5" w14:textId="77777777" w:rsidTr="002B1847">
        <w:trPr>
          <w:gridAfter w:val="1"/>
          <w:wAfter w:w="6" w:type="dxa"/>
          <w:trHeight w:val="227"/>
          <w:jc w:val="center"/>
        </w:trPr>
        <w:tc>
          <w:tcPr>
            <w:tcW w:w="567" w:type="dxa"/>
            <w:tcBorders>
              <w:top w:val="nil"/>
              <w:left w:val="nil"/>
              <w:bottom w:val="nil"/>
            </w:tcBorders>
            <w:noWrap/>
            <w:vAlign w:val="center"/>
            <w:hideMark/>
          </w:tcPr>
          <w:p w14:paraId="3F6DCC6C"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11</w:t>
            </w:r>
          </w:p>
        </w:tc>
        <w:tc>
          <w:tcPr>
            <w:tcW w:w="3686" w:type="dxa"/>
            <w:tcBorders>
              <w:top w:val="nil"/>
              <w:bottom w:val="nil"/>
            </w:tcBorders>
            <w:vAlign w:val="center"/>
            <w:hideMark/>
          </w:tcPr>
          <w:p w14:paraId="72481ABB" w14:textId="77777777" w:rsidR="00C24F6F" w:rsidRPr="000C2D79" w:rsidRDefault="00C24F6F" w:rsidP="002B1847">
            <w:pPr>
              <w:spacing w:after="0"/>
              <w:rPr>
                <w:rFonts w:ascii="Arial Narrow" w:hAnsi="Arial Narrow"/>
                <w:color w:val="000000"/>
                <w:sz w:val="16"/>
                <w:szCs w:val="18"/>
              </w:rPr>
            </w:pPr>
            <w:r w:rsidRPr="000C2D79">
              <w:rPr>
                <w:rFonts w:ascii="Arial Narrow" w:hAnsi="Arial Narrow"/>
                <w:color w:val="000000"/>
                <w:sz w:val="16"/>
                <w:szCs w:val="18"/>
              </w:rPr>
              <w:t>Priemerný rast zamestnanosti, podľa ESA 2010</w:t>
            </w:r>
          </w:p>
        </w:tc>
        <w:tc>
          <w:tcPr>
            <w:tcW w:w="709" w:type="dxa"/>
            <w:tcBorders>
              <w:top w:val="nil"/>
              <w:bottom w:val="nil"/>
              <w:right w:val="single" w:sz="4" w:space="0" w:color="auto"/>
            </w:tcBorders>
            <w:noWrap/>
            <w:vAlign w:val="center"/>
            <w:hideMark/>
          </w:tcPr>
          <w:p w14:paraId="53366D6C"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w:t>
            </w:r>
          </w:p>
        </w:tc>
        <w:tc>
          <w:tcPr>
            <w:tcW w:w="577" w:type="dxa"/>
            <w:tcBorders>
              <w:top w:val="nil"/>
              <w:left w:val="single" w:sz="8" w:space="0" w:color="auto"/>
              <w:bottom w:val="nil"/>
              <w:right w:val="nil"/>
            </w:tcBorders>
            <w:noWrap/>
            <w:vAlign w:val="center"/>
            <w:hideMark/>
          </w:tcPr>
          <w:p w14:paraId="6A109AE1" w14:textId="77777777" w:rsidR="00C24F6F" w:rsidRPr="000C2D79" w:rsidRDefault="00C24F6F" w:rsidP="002B1847">
            <w:pPr>
              <w:pStyle w:val="Bezriadkovania"/>
              <w:jc w:val="center"/>
              <w:rPr>
                <w:sz w:val="16"/>
                <w:szCs w:val="16"/>
              </w:rPr>
            </w:pPr>
            <w:r w:rsidRPr="000C2D79">
              <w:rPr>
                <w:rFonts w:cs="Calibri"/>
                <w:color w:val="000000"/>
                <w:sz w:val="16"/>
                <w:szCs w:val="16"/>
              </w:rPr>
              <w:t>-0.4</w:t>
            </w:r>
          </w:p>
        </w:tc>
        <w:tc>
          <w:tcPr>
            <w:tcW w:w="527" w:type="dxa"/>
            <w:gridSpan w:val="2"/>
            <w:tcBorders>
              <w:top w:val="nil"/>
              <w:left w:val="nil"/>
              <w:bottom w:val="nil"/>
              <w:right w:val="nil"/>
            </w:tcBorders>
            <w:noWrap/>
            <w:vAlign w:val="center"/>
            <w:hideMark/>
          </w:tcPr>
          <w:p w14:paraId="1A1290FE" w14:textId="77777777" w:rsidR="00C24F6F" w:rsidRPr="000C2D79" w:rsidRDefault="00C24F6F" w:rsidP="002B1847">
            <w:pPr>
              <w:pStyle w:val="Bezriadkovania"/>
              <w:jc w:val="center"/>
              <w:rPr>
                <w:sz w:val="16"/>
                <w:szCs w:val="16"/>
              </w:rPr>
            </w:pPr>
            <w:r w:rsidRPr="000C2D79">
              <w:rPr>
                <w:rFonts w:cs="Calibri"/>
                <w:color w:val="000000"/>
                <w:sz w:val="16"/>
                <w:szCs w:val="16"/>
              </w:rPr>
              <w:t>-0.1</w:t>
            </w:r>
          </w:p>
        </w:tc>
        <w:tc>
          <w:tcPr>
            <w:tcW w:w="527" w:type="dxa"/>
            <w:gridSpan w:val="2"/>
            <w:tcBorders>
              <w:top w:val="nil"/>
              <w:left w:val="nil"/>
              <w:bottom w:val="nil"/>
              <w:right w:val="nil"/>
            </w:tcBorders>
            <w:noWrap/>
            <w:vAlign w:val="center"/>
            <w:hideMark/>
          </w:tcPr>
          <w:p w14:paraId="55511F4A" w14:textId="77777777" w:rsidR="00C24F6F" w:rsidRPr="000C2D79" w:rsidRDefault="00C24F6F" w:rsidP="002B1847">
            <w:pPr>
              <w:pStyle w:val="Bezriadkovania"/>
              <w:jc w:val="center"/>
              <w:rPr>
                <w:sz w:val="16"/>
                <w:szCs w:val="16"/>
              </w:rPr>
            </w:pPr>
            <w:r w:rsidRPr="000C2D79">
              <w:rPr>
                <w:rFonts w:cs="Calibri"/>
                <w:color w:val="000000"/>
                <w:sz w:val="16"/>
                <w:szCs w:val="16"/>
              </w:rPr>
              <w:t>-0.2</w:t>
            </w:r>
          </w:p>
        </w:tc>
        <w:tc>
          <w:tcPr>
            <w:tcW w:w="510" w:type="dxa"/>
            <w:tcBorders>
              <w:top w:val="nil"/>
              <w:left w:val="nil"/>
              <w:bottom w:val="nil"/>
              <w:right w:val="single" w:sz="8" w:space="0" w:color="auto"/>
            </w:tcBorders>
            <w:noWrap/>
            <w:vAlign w:val="center"/>
            <w:hideMark/>
          </w:tcPr>
          <w:p w14:paraId="242A2A82" w14:textId="77777777" w:rsidR="00C24F6F" w:rsidRPr="000C2D79" w:rsidRDefault="00C24F6F" w:rsidP="002B1847">
            <w:pPr>
              <w:pStyle w:val="Bezriadkovania"/>
              <w:jc w:val="center"/>
              <w:rPr>
                <w:sz w:val="16"/>
                <w:szCs w:val="16"/>
              </w:rPr>
            </w:pPr>
            <w:r w:rsidRPr="000C2D79">
              <w:rPr>
                <w:rFonts w:cs="Calibri"/>
                <w:color w:val="000000"/>
                <w:sz w:val="16"/>
                <w:szCs w:val="16"/>
              </w:rPr>
              <w:t>-0.2</w:t>
            </w:r>
          </w:p>
        </w:tc>
        <w:tc>
          <w:tcPr>
            <w:tcW w:w="544" w:type="dxa"/>
            <w:gridSpan w:val="2"/>
            <w:tcBorders>
              <w:top w:val="nil"/>
              <w:left w:val="nil"/>
              <w:bottom w:val="nil"/>
              <w:right w:val="nil"/>
            </w:tcBorders>
            <w:noWrap/>
            <w:vAlign w:val="center"/>
          </w:tcPr>
          <w:p w14:paraId="00AD81CA"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-0.2</w:t>
            </w:r>
          </w:p>
        </w:tc>
        <w:tc>
          <w:tcPr>
            <w:tcW w:w="527" w:type="dxa"/>
            <w:gridSpan w:val="2"/>
            <w:tcBorders>
              <w:top w:val="nil"/>
              <w:left w:val="nil"/>
              <w:bottom w:val="nil"/>
              <w:right w:val="nil"/>
            </w:tcBorders>
            <w:vAlign w:val="center"/>
          </w:tcPr>
          <w:p w14:paraId="1B58DD94"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-0.2</w:t>
            </w:r>
          </w:p>
        </w:tc>
        <w:tc>
          <w:tcPr>
            <w:tcW w:w="527" w:type="dxa"/>
            <w:tcBorders>
              <w:top w:val="nil"/>
              <w:left w:val="nil"/>
              <w:bottom w:val="nil"/>
              <w:right w:val="nil"/>
            </w:tcBorders>
            <w:vAlign w:val="center"/>
          </w:tcPr>
          <w:p w14:paraId="3B393D46"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-0.2</w:t>
            </w:r>
          </w:p>
        </w:tc>
        <w:tc>
          <w:tcPr>
            <w:tcW w:w="528" w:type="dxa"/>
            <w:tcBorders>
              <w:top w:val="nil"/>
              <w:left w:val="nil"/>
              <w:bottom w:val="nil"/>
              <w:right w:val="nil"/>
            </w:tcBorders>
            <w:vAlign w:val="center"/>
          </w:tcPr>
          <w:p w14:paraId="1DF088DA"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-0.2</w:t>
            </w:r>
          </w:p>
        </w:tc>
      </w:tr>
      <w:tr w:rsidR="00C24F6F" w:rsidRPr="000C2D79" w14:paraId="5C7AED26" w14:textId="77777777" w:rsidTr="002B1847">
        <w:trPr>
          <w:gridAfter w:val="1"/>
          <w:wAfter w:w="6" w:type="dxa"/>
          <w:trHeight w:val="227"/>
          <w:jc w:val="center"/>
        </w:trPr>
        <w:tc>
          <w:tcPr>
            <w:tcW w:w="567" w:type="dxa"/>
            <w:tcBorders>
              <w:top w:val="nil"/>
              <w:left w:val="nil"/>
              <w:bottom w:val="nil"/>
            </w:tcBorders>
            <w:noWrap/>
            <w:vAlign w:val="center"/>
            <w:hideMark/>
          </w:tcPr>
          <w:p w14:paraId="45542098"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12</w:t>
            </w:r>
          </w:p>
        </w:tc>
        <w:tc>
          <w:tcPr>
            <w:tcW w:w="3686" w:type="dxa"/>
            <w:tcBorders>
              <w:top w:val="nil"/>
              <w:bottom w:val="nil"/>
            </w:tcBorders>
            <w:vAlign w:val="center"/>
            <w:hideMark/>
          </w:tcPr>
          <w:p w14:paraId="47734F38" w14:textId="77777777" w:rsidR="00C24F6F" w:rsidRPr="000C2D79" w:rsidRDefault="00C24F6F" w:rsidP="002B1847">
            <w:pPr>
              <w:spacing w:after="0"/>
              <w:rPr>
                <w:rFonts w:ascii="Arial Narrow" w:hAnsi="Arial Narrow"/>
                <w:color w:val="000000"/>
                <w:sz w:val="16"/>
                <w:szCs w:val="18"/>
              </w:rPr>
            </w:pPr>
            <w:r w:rsidRPr="000C2D79">
              <w:rPr>
                <w:rFonts w:ascii="Arial Narrow" w:hAnsi="Arial Narrow"/>
                <w:color w:val="000000"/>
                <w:sz w:val="16"/>
                <w:szCs w:val="18"/>
              </w:rPr>
              <w:t>Priemerná miera nezamestnanosti, podľa VZPS</w:t>
            </w:r>
          </w:p>
        </w:tc>
        <w:tc>
          <w:tcPr>
            <w:tcW w:w="709" w:type="dxa"/>
            <w:tcBorders>
              <w:top w:val="nil"/>
              <w:bottom w:val="nil"/>
              <w:right w:val="single" w:sz="4" w:space="0" w:color="auto"/>
            </w:tcBorders>
            <w:noWrap/>
            <w:vAlign w:val="center"/>
            <w:hideMark/>
          </w:tcPr>
          <w:p w14:paraId="2DB2F5AE"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w:t>
            </w:r>
          </w:p>
        </w:tc>
        <w:tc>
          <w:tcPr>
            <w:tcW w:w="577" w:type="dxa"/>
            <w:tcBorders>
              <w:top w:val="nil"/>
              <w:left w:val="single" w:sz="8" w:space="0" w:color="auto"/>
              <w:bottom w:val="nil"/>
              <w:right w:val="nil"/>
            </w:tcBorders>
            <w:noWrap/>
            <w:vAlign w:val="center"/>
            <w:hideMark/>
          </w:tcPr>
          <w:p w14:paraId="4587E1FD" w14:textId="77777777" w:rsidR="00C24F6F" w:rsidRPr="000C2D79" w:rsidRDefault="00C24F6F" w:rsidP="002B1847">
            <w:pPr>
              <w:pStyle w:val="Bezriadkovania"/>
              <w:jc w:val="center"/>
              <w:rPr>
                <w:sz w:val="16"/>
                <w:szCs w:val="16"/>
              </w:rPr>
            </w:pPr>
            <w:r w:rsidRPr="000C2D79">
              <w:rPr>
                <w:rFonts w:cs="Calibri"/>
                <w:color w:val="000000"/>
                <w:sz w:val="16"/>
                <w:szCs w:val="16"/>
              </w:rPr>
              <w:t>5.8</w:t>
            </w:r>
          </w:p>
        </w:tc>
        <w:tc>
          <w:tcPr>
            <w:tcW w:w="527" w:type="dxa"/>
            <w:gridSpan w:val="2"/>
            <w:tcBorders>
              <w:top w:val="nil"/>
              <w:left w:val="nil"/>
              <w:bottom w:val="nil"/>
              <w:right w:val="nil"/>
            </w:tcBorders>
            <w:noWrap/>
            <w:vAlign w:val="center"/>
            <w:hideMark/>
          </w:tcPr>
          <w:p w14:paraId="08F56F38" w14:textId="77777777" w:rsidR="00C24F6F" w:rsidRPr="000C2D79" w:rsidRDefault="00C24F6F" w:rsidP="002B1847">
            <w:pPr>
              <w:pStyle w:val="Bezriadkovania"/>
              <w:jc w:val="center"/>
              <w:rPr>
                <w:sz w:val="16"/>
                <w:szCs w:val="16"/>
              </w:rPr>
            </w:pPr>
            <w:r w:rsidRPr="000C2D79">
              <w:rPr>
                <w:rFonts w:cs="Calibri"/>
                <w:color w:val="000000"/>
                <w:sz w:val="16"/>
                <w:szCs w:val="16"/>
              </w:rPr>
              <w:t>5.8</w:t>
            </w:r>
          </w:p>
        </w:tc>
        <w:tc>
          <w:tcPr>
            <w:tcW w:w="527" w:type="dxa"/>
            <w:gridSpan w:val="2"/>
            <w:tcBorders>
              <w:top w:val="nil"/>
              <w:left w:val="nil"/>
              <w:bottom w:val="nil"/>
              <w:right w:val="nil"/>
            </w:tcBorders>
            <w:noWrap/>
            <w:vAlign w:val="center"/>
            <w:hideMark/>
          </w:tcPr>
          <w:p w14:paraId="4AB875AF" w14:textId="77777777" w:rsidR="00C24F6F" w:rsidRPr="000C2D79" w:rsidRDefault="00C24F6F" w:rsidP="002B1847">
            <w:pPr>
              <w:pStyle w:val="Bezriadkovania"/>
              <w:jc w:val="center"/>
              <w:rPr>
                <w:sz w:val="16"/>
                <w:szCs w:val="16"/>
              </w:rPr>
            </w:pPr>
            <w:r w:rsidRPr="000C2D79">
              <w:rPr>
                <w:rFonts w:cs="Calibri"/>
                <w:color w:val="000000"/>
                <w:sz w:val="16"/>
                <w:szCs w:val="16"/>
              </w:rPr>
              <w:t>5.6</w:t>
            </w:r>
          </w:p>
        </w:tc>
        <w:tc>
          <w:tcPr>
            <w:tcW w:w="510" w:type="dxa"/>
            <w:tcBorders>
              <w:top w:val="nil"/>
              <w:left w:val="nil"/>
              <w:bottom w:val="nil"/>
              <w:right w:val="single" w:sz="8" w:space="0" w:color="auto"/>
            </w:tcBorders>
            <w:noWrap/>
            <w:vAlign w:val="center"/>
            <w:hideMark/>
          </w:tcPr>
          <w:p w14:paraId="21879936" w14:textId="77777777" w:rsidR="00C24F6F" w:rsidRPr="000C2D79" w:rsidRDefault="00C24F6F" w:rsidP="002B1847">
            <w:pPr>
              <w:pStyle w:val="Bezriadkovania"/>
              <w:jc w:val="center"/>
              <w:rPr>
                <w:sz w:val="16"/>
                <w:szCs w:val="16"/>
              </w:rPr>
            </w:pPr>
            <w:r w:rsidRPr="000C2D79">
              <w:rPr>
                <w:rFonts w:cs="Calibri"/>
                <w:color w:val="000000"/>
                <w:sz w:val="16"/>
                <w:szCs w:val="16"/>
              </w:rPr>
              <w:t>5.5</w:t>
            </w:r>
          </w:p>
        </w:tc>
        <w:tc>
          <w:tcPr>
            <w:tcW w:w="544" w:type="dxa"/>
            <w:gridSpan w:val="2"/>
            <w:tcBorders>
              <w:top w:val="nil"/>
              <w:left w:val="nil"/>
              <w:bottom w:val="nil"/>
              <w:right w:val="nil"/>
            </w:tcBorders>
            <w:noWrap/>
            <w:vAlign w:val="center"/>
          </w:tcPr>
          <w:p w14:paraId="6A0D6FE7"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5.6</w:t>
            </w:r>
          </w:p>
        </w:tc>
        <w:tc>
          <w:tcPr>
            <w:tcW w:w="527" w:type="dxa"/>
            <w:gridSpan w:val="2"/>
            <w:tcBorders>
              <w:top w:val="nil"/>
              <w:left w:val="nil"/>
              <w:bottom w:val="nil"/>
              <w:right w:val="nil"/>
            </w:tcBorders>
            <w:vAlign w:val="center"/>
          </w:tcPr>
          <w:p w14:paraId="208ACF1B"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5.6</w:t>
            </w:r>
          </w:p>
        </w:tc>
        <w:tc>
          <w:tcPr>
            <w:tcW w:w="527" w:type="dxa"/>
            <w:tcBorders>
              <w:top w:val="nil"/>
              <w:left w:val="nil"/>
              <w:bottom w:val="nil"/>
              <w:right w:val="nil"/>
            </w:tcBorders>
            <w:vAlign w:val="center"/>
          </w:tcPr>
          <w:p w14:paraId="0837FEA7"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5.5</w:t>
            </w:r>
          </w:p>
        </w:tc>
        <w:tc>
          <w:tcPr>
            <w:tcW w:w="528" w:type="dxa"/>
            <w:tcBorders>
              <w:top w:val="nil"/>
              <w:left w:val="nil"/>
              <w:bottom w:val="nil"/>
              <w:right w:val="nil"/>
            </w:tcBorders>
            <w:vAlign w:val="center"/>
          </w:tcPr>
          <w:p w14:paraId="6730F6DA"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5.5</w:t>
            </w:r>
          </w:p>
        </w:tc>
      </w:tr>
      <w:tr w:rsidR="00C24F6F" w:rsidRPr="000C2D79" w14:paraId="2C6C9337" w14:textId="77777777" w:rsidTr="002B1847">
        <w:trPr>
          <w:gridAfter w:val="1"/>
          <w:wAfter w:w="6" w:type="dxa"/>
          <w:trHeight w:val="227"/>
          <w:jc w:val="center"/>
        </w:trPr>
        <w:tc>
          <w:tcPr>
            <w:tcW w:w="567" w:type="dxa"/>
            <w:tcBorders>
              <w:top w:val="nil"/>
              <w:left w:val="nil"/>
              <w:bottom w:val="nil"/>
            </w:tcBorders>
            <w:noWrap/>
            <w:vAlign w:val="center"/>
            <w:hideMark/>
          </w:tcPr>
          <w:p w14:paraId="72E8B07B"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13</w:t>
            </w:r>
          </w:p>
        </w:tc>
        <w:tc>
          <w:tcPr>
            <w:tcW w:w="3686" w:type="dxa"/>
            <w:tcBorders>
              <w:top w:val="nil"/>
              <w:bottom w:val="nil"/>
            </w:tcBorders>
            <w:vAlign w:val="center"/>
            <w:hideMark/>
          </w:tcPr>
          <w:p w14:paraId="63C74B2E" w14:textId="77777777" w:rsidR="00C24F6F" w:rsidRPr="000C2D79" w:rsidRDefault="00C24F6F" w:rsidP="002B1847">
            <w:pPr>
              <w:spacing w:after="0"/>
              <w:rPr>
                <w:rFonts w:ascii="Arial Narrow" w:hAnsi="Arial Narrow"/>
                <w:color w:val="000000"/>
                <w:sz w:val="16"/>
                <w:szCs w:val="18"/>
              </w:rPr>
            </w:pPr>
            <w:r w:rsidRPr="000C2D79">
              <w:rPr>
                <w:rFonts w:ascii="Arial Narrow" w:hAnsi="Arial Narrow"/>
                <w:color w:val="000000"/>
                <w:sz w:val="16"/>
                <w:szCs w:val="18"/>
              </w:rPr>
              <w:t>Priemerná evidovaná miera nezamestnanosti</w:t>
            </w:r>
          </w:p>
        </w:tc>
        <w:tc>
          <w:tcPr>
            <w:tcW w:w="709" w:type="dxa"/>
            <w:tcBorders>
              <w:top w:val="nil"/>
              <w:bottom w:val="nil"/>
              <w:right w:val="single" w:sz="4" w:space="0" w:color="auto"/>
            </w:tcBorders>
            <w:noWrap/>
            <w:vAlign w:val="center"/>
            <w:hideMark/>
          </w:tcPr>
          <w:p w14:paraId="6F9BFE26"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w:t>
            </w:r>
          </w:p>
        </w:tc>
        <w:tc>
          <w:tcPr>
            <w:tcW w:w="577" w:type="dxa"/>
            <w:tcBorders>
              <w:top w:val="nil"/>
              <w:left w:val="single" w:sz="8" w:space="0" w:color="auto"/>
              <w:bottom w:val="nil"/>
              <w:right w:val="nil"/>
            </w:tcBorders>
            <w:noWrap/>
            <w:vAlign w:val="center"/>
            <w:hideMark/>
          </w:tcPr>
          <w:p w14:paraId="4E71DADC" w14:textId="77777777" w:rsidR="00C24F6F" w:rsidRPr="000C2D79" w:rsidRDefault="00C24F6F" w:rsidP="002B1847">
            <w:pPr>
              <w:pStyle w:val="Bezriadkovania"/>
              <w:jc w:val="center"/>
              <w:rPr>
                <w:sz w:val="16"/>
                <w:szCs w:val="16"/>
              </w:rPr>
            </w:pPr>
            <w:r w:rsidRPr="000C2D79">
              <w:rPr>
                <w:rFonts w:cs="Calibri"/>
                <w:color w:val="000000"/>
                <w:sz w:val="16"/>
                <w:szCs w:val="16"/>
              </w:rPr>
              <w:t>6.4</w:t>
            </w:r>
          </w:p>
        </w:tc>
        <w:tc>
          <w:tcPr>
            <w:tcW w:w="527" w:type="dxa"/>
            <w:gridSpan w:val="2"/>
            <w:tcBorders>
              <w:top w:val="nil"/>
              <w:left w:val="nil"/>
              <w:bottom w:val="nil"/>
              <w:right w:val="nil"/>
            </w:tcBorders>
            <w:noWrap/>
            <w:vAlign w:val="center"/>
            <w:hideMark/>
          </w:tcPr>
          <w:p w14:paraId="00E608DC" w14:textId="77777777" w:rsidR="00C24F6F" w:rsidRPr="000C2D79" w:rsidRDefault="00C24F6F" w:rsidP="002B1847">
            <w:pPr>
              <w:pStyle w:val="Bezriadkovania"/>
              <w:jc w:val="center"/>
              <w:rPr>
                <w:sz w:val="16"/>
                <w:szCs w:val="16"/>
              </w:rPr>
            </w:pPr>
            <w:r w:rsidRPr="000C2D79">
              <w:rPr>
                <w:rFonts w:cs="Calibri"/>
                <w:color w:val="000000"/>
                <w:sz w:val="16"/>
                <w:szCs w:val="16"/>
              </w:rPr>
              <w:t>6.3</w:t>
            </w:r>
          </w:p>
        </w:tc>
        <w:tc>
          <w:tcPr>
            <w:tcW w:w="527" w:type="dxa"/>
            <w:gridSpan w:val="2"/>
            <w:tcBorders>
              <w:top w:val="nil"/>
              <w:left w:val="nil"/>
              <w:bottom w:val="nil"/>
              <w:right w:val="nil"/>
            </w:tcBorders>
            <w:noWrap/>
            <w:vAlign w:val="center"/>
            <w:hideMark/>
          </w:tcPr>
          <w:p w14:paraId="13EE98B8" w14:textId="77777777" w:rsidR="00C24F6F" w:rsidRPr="000C2D79" w:rsidRDefault="00C24F6F" w:rsidP="002B1847">
            <w:pPr>
              <w:pStyle w:val="Bezriadkovania"/>
              <w:jc w:val="center"/>
              <w:rPr>
                <w:sz w:val="16"/>
                <w:szCs w:val="16"/>
              </w:rPr>
            </w:pPr>
            <w:r w:rsidRPr="000C2D79">
              <w:rPr>
                <w:rFonts w:cs="Calibri"/>
                <w:color w:val="000000"/>
                <w:sz w:val="16"/>
                <w:szCs w:val="16"/>
              </w:rPr>
              <w:t>6.2</w:t>
            </w:r>
          </w:p>
        </w:tc>
        <w:tc>
          <w:tcPr>
            <w:tcW w:w="510" w:type="dxa"/>
            <w:tcBorders>
              <w:top w:val="nil"/>
              <w:left w:val="nil"/>
              <w:bottom w:val="nil"/>
              <w:right w:val="single" w:sz="8" w:space="0" w:color="auto"/>
            </w:tcBorders>
            <w:noWrap/>
            <w:vAlign w:val="center"/>
            <w:hideMark/>
          </w:tcPr>
          <w:p w14:paraId="4365988C" w14:textId="77777777" w:rsidR="00C24F6F" w:rsidRPr="000C2D79" w:rsidRDefault="00C24F6F" w:rsidP="002B1847">
            <w:pPr>
              <w:pStyle w:val="Bezriadkovania"/>
              <w:jc w:val="center"/>
              <w:rPr>
                <w:sz w:val="16"/>
                <w:szCs w:val="16"/>
              </w:rPr>
            </w:pPr>
            <w:r w:rsidRPr="000C2D79">
              <w:rPr>
                <w:rFonts w:cs="Calibri"/>
                <w:color w:val="000000"/>
                <w:sz w:val="16"/>
                <w:szCs w:val="16"/>
              </w:rPr>
              <w:t>6.0</w:t>
            </w:r>
          </w:p>
        </w:tc>
        <w:tc>
          <w:tcPr>
            <w:tcW w:w="544" w:type="dxa"/>
            <w:gridSpan w:val="2"/>
            <w:tcBorders>
              <w:top w:val="nil"/>
              <w:left w:val="nil"/>
              <w:bottom w:val="nil"/>
              <w:right w:val="nil"/>
            </w:tcBorders>
            <w:noWrap/>
            <w:vAlign w:val="center"/>
          </w:tcPr>
          <w:p w14:paraId="2B99FFB3"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6.3</w:t>
            </w:r>
          </w:p>
        </w:tc>
        <w:tc>
          <w:tcPr>
            <w:tcW w:w="527" w:type="dxa"/>
            <w:gridSpan w:val="2"/>
            <w:tcBorders>
              <w:top w:val="nil"/>
              <w:left w:val="nil"/>
              <w:bottom w:val="nil"/>
              <w:right w:val="nil"/>
            </w:tcBorders>
            <w:vAlign w:val="center"/>
          </w:tcPr>
          <w:p w14:paraId="4DF34719"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6.4</w:t>
            </w:r>
          </w:p>
        </w:tc>
        <w:tc>
          <w:tcPr>
            <w:tcW w:w="527" w:type="dxa"/>
            <w:tcBorders>
              <w:top w:val="nil"/>
              <w:left w:val="nil"/>
              <w:bottom w:val="nil"/>
              <w:right w:val="nil"/>
            </w:tcBorders>
            <w:vAlign w:val="center"/>
          </w:tcPr>
          <w:p w14:paraId="08FB7875"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6.4</w:t>
            </w:r>
          </w:p>
        </w:tc>
        <w:tc>
          <w:tcPr>
            <w:tcW w:w="528" w:type="dxa"/>
            <w:tcBorders>
              <w:top w:val="nil"/>
              <w:left w:val="nil"/>
              <w:bottom w:val="nil"/>
              <w:right w:val="nil"/>
            </w:tcBorders>
            <w:vAlign w:val="center"/>
          </w:tcPr>
          <w:p w14:paraId="3248C2F9"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6.3</w:t>
            </w:r>
          </w:p>
        </w:tc>
      </w:tr>
      <w:tr w:rsidR="00C24F6F" w:rsidRPr="000C2D79" w14:paraId="4D3EB710" w14:textId="77777777" w:rsidTr="002B1847">
        <w:trPr>
          <w:gridAfter w:val="1"/>
          <w:wAfter w:w="6" w:type="dxa"/>
          <w:trHeight w:val="227"/>
          <w:jc w:val="center"/>
        </w:trPr>
        <w:tc>
          <w:tcPr>
            <w:tcW w:w="567" w:type="dxa"/>
            <w:tcBorders>
              <w:top w:val="nil"/>
              <w:left w:val="nil"/>
            </w:tcBorders>
            <w:noWrap/>
            <w:vAlign w:val="center"/>
            <w:hideMark/>
          </w:tcPr>
          <w:p w14:paraId="5C5866C4"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14</w:t>
            </w:r>
          </w:p>
        </w:tc>
        <w:tc>
          <w:tcPr>
            <w:tcW w:w="3686" w:type="dxa"/>
            <w:tcBorders>
              <w:top w:val="nil"/>
            </w:tcBorders>
            <w:vAlign w:val="center"/>
            <w:hideMark/>
          </w:tcPr>
          <w:p w14:paraId="466B5979" w14:textId="77777777" w:rsidR="00C24F6F" w:rsidRPr="000C2D79" w:rsidRDefault="00C24F6F" w:rsidP="002B1847">
            <w:pPr>
              <w:spacing w:after="0"/>
              <w:rPr>
                <w:rFonts w:ascii="Arial Narrow" w:hAnsi="Arial Narrow"/>
                <w:color w:val="000000"/>
                <w:sz w:val="16"/>
                <w:szCs w:val="18"/>
              </w:rPr>
            </w:pPr>
            <w:r w:rsidRPr="000C2D79">
              <w:rPr>
                <w:rFonts w:ascii="Arial Narrow" w:hAnsi="Arial Narrow"/>
                <w:color w:val="000000"/>
                <w:sz w:val="16"/>
                <w:szCs w:val="18"/>
              </w:rPr>
              <w:t>Harmonizovaný index spotrebiteľských cien (HICP)</w:t>
            </w:r>
          </w:p>
        </w:tc>
        <w:tc>
          <w:tcPr>
            <w:tcW w:w="709" w:type="dxa"/>
            <w:tcBorders>
              <w:top w:val="nil"/>
              <w:right w:val="single" w:sz="4" w:space="0" w:color="auto"/>
            </w:tcBorders>
            <w:noWrap/>
            <w:vAlign w:val="center"/>
            <w:hideMark/>
          </w:tcPr>
          <w:p w14:paraId="1F5462DB"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w:t>
            </w:r>
          </w:p>
        </w:tc>
        <w:tc>
          <w:tcPr>
            <w:tcW w:w="577" w:type="dxa"/>
            <w:tcBorders>
              <w:top w:val="nil"/>
              <w:left w:val="single" w:sz="8" w:space="0" w:color="auto"/>
              <w:bottom w:val="nil"/>
              <w:right w:val="nil"/>
            </w:tcBorders>
            <w:noWrap/>
            <w:vAlign w:val="center"/>
            <w:hideMark/>
          </w:tcPr>
          <w:p w14:paraId="0361349E" w14:textId="77777777" w:rsidR="00C24F6F" w:rsidRPr="000C2D79" w:rsidRDefault="00C24F6F" w:rsidP="002B1847">
            <w:pPr>
              <w:pStyle w:val="Bezriadkovania"/>
              <w:jc w:val="center"/>
              <w:rPr>
                <w:sz w:val="16"/>
                <w:szCs w:val="16"/>
              </w:rPr>
            </w:pPr>
            <w:r w:rsidRPr="000C2D79">
              <w:rPr>
                <w:rFonts w:cs="Calibri"/>
                <w:color w:val="000000"/>
                <w:sz w:val="16"/>
                <w:szCs w:val="16"/>
              </w:rPr>
              <w:t>4.0</w:t>
            </w:r>
          </w:p>
        </w:tc>
        <w:tc>
          <w:tcPr>
            <w:tcW w:w="527" w:type="dxa"/>
            <w:gridSpan w:val="2"/>
            <w:tcBorders>
              <w:top w:val="nil"/>
              <w:left w:val="nil"/>
              <w:bottom w:val="nil"/>
              <w:right w:val="nil"/>
            </w:tcBorders>
            <w:noWrap/>
            <w:vAlign w:val="center"/>
            <w:hideMark/>
          </w:tcPr>
          <w:p w14:paraId="432C48B2" w14:textId="77777777" w:rsidR="00C24F6F" w:rsidRPr="000C2D79" w:rsidRDefault="00C24F6F" w:rsidP="002B1847">
            <w:pPr>
              <w:pStyle w:val="Bezriadkovania"/>
              <w:jc w:val="center"/>
              <w:rPr>
                <w:sz w:val="16"/>
                <w:szCs w:val="16"/>
              </w:rPr>
            </w:pPr>
            <w:r w:rsidRPr="000C2D79">
              <w:rPr>
                <w:rFonts w:cs="Calibri"/>
                <w:color w:val="000000"/>
                <w:sz w:val="16"/>
                <w:szCs w:val="16"/>
              </w:rPr>
              <w:t>2.5</w:t>
            </w:r>
          </w:p>
        </w:tc>
        <w:tc>
          <w:tcPr>
            <w:tcW w:w="527" w:type="dxa"/>
            <w:gridSpan w:val="2"/>
            <w:tcBorders>
              <w:top w:val="nil"/>
              <w:left w:val="nil"/>
              <w:bottom w:val="nil"/>
              <w:right w:val="nil"/>
            </w:tcBorders>
            <w:noWrap/>
            <w:vAlign w:val="center"/>
            <w:hideMark/>
          </w:tcPr>
          <w:p w14:paraId="14EDB074" w14:textId="77777777" w:rsidR="00C24F6F" w:rsidRPr="000C2D79" w:rsidRDefault="00C24F6F" w:rsidP="002B1847">
            <w:pPr>
              <w:pStyle w:val="Bezriadkovania"/>
              <w:jc w:val="center"/>
              <w:rPr>
                <w:sz w:val="16"/>
                <w:szCs w:val="16"/>
              </w:rPr>
            </w:pPr>
            <w:r w:rsidRPr="000C2D79">
              <w:rPr>
                <w:rFonts w:cs="Calibri"/>
                <w:color w:val="000000"/>
                <w:sz w:val="16"/>
                <w:szCs w:val="16"/>
              </w:rPr>
              <w:t>3.5</w:t>
            </w:r>
          </w:p>
        </w:tc>
        <w:tc>
          <w:tcPr>
            <w:tcW w:w="510" w:type="dxa"/>
            <w:tcBorders>
              <w:top w:val="nil"/>
              <w:left w:val="nil"/>
              <w:bottom w:val="nil"/>
              <w:right w:val="single" w:sz="8" w:space="0" w:color="auto"/>
            </w:tcBorders>
            <w:noWrap/>
            <w:vAlign w:val="center"/>
            <w:hideMark/>
          </w:tcPr>
          <w:p w14:paraId="7D97192B" w14:textId="77777777" w:rsidR="00C24F6F" w:rsidRPr="000C2D79" w:rsidRDefault="00C24F6F" w:rsidP="002B1847">
            <w:pPr>
              <w:pStyle w:val="Bezriadkovania"/>
              <w:jc w:val="center"/>
              <w:rPr>
                <w:sz w:val="16"/>
                <w:szCs w:val="16"/>
              </w:rPr>
            </w:pPr>
            <w:r w:rsidRPr="000C2D79">
              <w:rPr>
                <w:rFonts w:cs="Calibri"/>
                <w:color w:val="000000"/>
                <w:sz w:val="16"/>
                <w:szCs w:val="16"/>
              </w:rPr>
              <w:t>2.5</w:t>
            </w:r>
          </w:p>
        </w:tc>
        <w:tc>
          <w:tcPr>
            <w:tcW w:w="544" w:type="dxa"/>
            <w:gridSpan w:val="2"/>
            <w:tcBorders>
              <w:top w:val="nil"/>
              <w:left w:val="nil"/>
              <w:bottom w:val="nil"/>
              <w:right w:val="nil"/>
            </w:tcBorders>
            <w:noWrap/>
            <w:vAlign w:val="center"/>
          </w:tcPr>
          <w:p w14:paraId="28AD8E51"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4.8</w:t>
            </w:r>
          </w:p>
        </w:tc>
        <w:tc>
          <w:tcPr>
            <w:tcW w:w="527" w:type="dxa"/>
            <w:gridSpan w:val="2"/>
            <w:tcBorders>
              <w:top w:val="nil"/>
              <w:left w:val="nil"/>
              <w:bottom w:val="nil"/>
              <w:right w:val="nil"/>
            </w:tcBorders>
            <w:vAlign w:val="center"/>
          </w:tcPr>
          <w:p w14:paraId="25399178"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3.1</w:t>
            </w:r>
          </w:p>
        </w:tc>
        <w:tc>
          <w:tcPr>
            <w:tcW w:w="527" w:type="dxa"/>
            <w:tcBorders>
              <w:top w:val="nil"/>
              <w:left w:val="nil"/>
              <w:bottom w:val="nil"/>
              <w:right w:val="nil"/>
            </w:tcBorders>
            <w:vAlign w:val="center"/>
          </w:tcPr>
          <w:p w14:paraId="2C8E6C7B"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2.3</w:t>
            </w:r>
          </w:p>
        </w:tc>
        <w:tc>
          <w:tcPr>
            <w:tcW w:w="528" w:type="dxa"/>
            <w:tcBorders>
              <w:top w:val="nil"/>
              <w:left w:val="nil"/>
              <w:bottom w:val="nil"/>
              <w:right w:val="nil"/>
            </w:tcBorders>
            <w:vAlign w:val="center"/>
          </w:tcPr>
          <w:p w14:paraId="6EE473E3"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2.2</w:t>
            </w:r>
          </w:p>
        </w:tc>
      </w:tr>
      <w:tr w:rsidR="00C24F6F" w:rsidRPr="000C2D79" w14:paraId="480CACCA" w14:textId="77777777" w:rsidTr="002B1847">
        <w:trPr>
          <w:gridAfter w:val="1"/>
          <w:wAfter w:w="6" w:type="dxa"/>
          <w:trHeight w:val="227"/>
          <w:jc w:val="center"/>
        </w:trPr>
        <w:tc>
          <w:tcPr>
            <w:tcW w:w="567" w:type="dxa"/>
            <w:tcBorders>
              <w:top w:val="nil"/>
              <w:left w:val="nil"/>
              <w:bottom w:val="single" w:sz="4" w:space="0" w:color="auto"/>
            </w:tcBorders>
            <w:noWrap/>
            <w:vAlign w:val="center"/>
            <w:hideMark/>
          </w:tcPr>
          <w:p w14:paraId="7A01B45B"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15</w:t>
            </w:r>
          </w:p>
        </w:tc>
        <w:tc>
          <w:tcPr>
            <w:tcW w:w="3686" w:type="dxa"/>
            <w:tcBorders>
              <w:top w:val="nil"/>
              <w:bottom w:val="single" w:sz="4" w:space="0" w:color="auto"/>
            </w:tcBorders>
            <w:vAlign w:val="center"/>
            <w:hideMark/>
          </w:tcPr>
          <w:p w14:paraId="2E70F534" w14:textId="77777777" w:rsidR="00C24F6F" w:rsidRPr="000C2D79" w:rsidRDefault="00C24F6F" w:rsidP="002B1847">
            <w:pPr>
              <w:spacing w:after="0"/>
              <w:rPr>
                <w:rFonts w:ascii="Arial Narrow" w:hAnsi="Arial Narrow"/>
                <w:color w:val="000000"/>
                <w:sz w:val="16"/>
                <w:szCs w:val="18"/>
              </w:rPr>
            </w:pPr>
            <w:r w:rsidRPr="000C2D79">
              <w:rPr>
                <w:rFonts w:ascii="Arial Narrow" w:hAnsi="Arial Narrow"/>
                <w:color w:val="000000"/>
                <w:sz w:val="16"/>
                <w:szCs w:val="18"/>
              </w:rPr>
              <w:t>Bilancia bežného účtu (podiel na HDP)</w:t>
            </w:r>
          </w:p>
        </w:tc>
        <w:tc>
          <w:tcPr>
            <w:tcW w:w="709" w:type="dxa"/>
            <w:tcBorders>
              <w:top w:val="nil"/>
              <w:bottom w:val="single" w:sz="4" w:space="0" w:color="auto"/>
              <w:right w:val="single" w:sz="4" w:space="0" w:color="auto"/>
            </w:tcBorders>
            <w:noWrap/>
            <w:vAlign w:val="center"/>
            <w:hideMark/>
          </w:tcPr>
          <w:p w14:paraId="3E7BA654" w14:textId="77777777" w:rsidR="00C24F6F" w:rsidRPr="000C2D79" w:rsidRDefault="00C24F6F" w:rsidP="002B1847">
            <w:pPr>
              <w:spacing w:after="0" w:line="240" w:lineRule="auto"/>
              <w:jc w:val="center"/>
              <w:rPr>
                <w:rFonts w:ascii="Arial Narrow" w:eastAsia="Times New Roman" w:hAnsi="Arial Narrow" w:cs="Times New Roman"/>
                <w:color w:val="000000"/>
                <w:sz w:val="16"/>
                <w:szCs w:val="18"/>
                <w:lang w:eastAsia="sk-SK"/>
              </w:rPr>
            </w:pPr>
            <w:r w:rsidRPr="000C2D79">
              <w:rPr>
                <w:rFonts w:ascii="Arial Narrow" w:eastAsia="Times New Roman" w:hAnsi="Arial Narrow" w:cs="Times New Roman"/>
                <w:color w:val="000000"/>
                <w:sz w:val="16"/>
                <w:szCs w:val="18"/>
                <w:lang w:eastAsia="sk-SK"/>
              </w:rPr>
              <w:t>%</w:t>
            </w:r>
          </w:p>
        </w:tc>
        <w:tc>
          <w:tcPr>
            <w:tcW w:w="577" w:type="dxa"/>
            <w:tcBorders>
              <w:top w:val="nil"/>
              <w:left w:val="single" w:sz="8" w:space="0" w:color="auto"/>
              <w:bottom w:val="single" w:sz="8" w:space="0" w:color="auto"/>
              <w:right w:val="nil"/>
            </w:tcBorders>
            <w:noWrap/>
            <w:vAlign w:val="center"/>
            <w:hideMark/>
          </w:tcPr>
          <w:p w14:paraId="28A8C793" w14:textId="77777777" w:rsidR="00C24F6F" w:rsidRPr="000C2D79" w:rsidRDefault="00C24F6F" w:rsidP="002B1847">
            <w:pPr>
              <w:pStyle w:val="Bezriadkovania"/>
              <w:jc w:val="center"/>
              <w:rPr>
                <w:sz w:val="16"/>
                <w:szCs w:val="16"/>
              </w:rPr>
            </w:pPr>
            <w:r w:rsidRPr="000C2D79">
              <w:rPr>
                <w:rFonts w:cs="Calibri"/>
                <w:color w:val="000000"/>
                <w:sz w:val="16"/>
                <w:szCs w:val="16"/>
              </w:rPr>
              <w:t>-4.5</w:t>
            </w:r>
          </w:p>
        </w:tc>
        <w:tc>
          <w:tcPr>
            <w:tcW w:w="527" w:type="dxa"/>
            <w:gridSpan w:val="2"/>
            <w:tcBorders>
              <w:top w:val="nil"/>
              <w:left w:val="nil"/>
              <w:bottom w:val="single" w:sz="8" w:space="0" w:color="auto"/>
              <w:right w:val="nil"/>
            </w:tcBorders>
            <w:noWrap/>
            <w:vAlign w:val="center"/>
            <w:hideMark/>
          </w:tcPr>
          <w:p w14:paraId="6DFD0AD2" w14:textId="77777777" w:rsidR="00C24F6F" w:rsidRPr="000C2D79" w:rsidRDefault="00C24F6F" w:rsidP="002B1847">
            <w:pPr>
              <w:pStyle w:val="Bezriadkovania"/>
              <w:jc w:val="center"/>
              <w:rPr>
                <w:sz w:val="16"/>
                <w:szCs w:val="16"/>
              </w:rPr>
            </w:pPr>
            <w:r w:rsidRPr="000C2D79">
              <w:rPr>
                <w:rFonts w:cs="Calibri"/>
                <w:color w:val="000000"/>
                <w:sz w:val="16"/>
                <w:szCs w:val="16"/>
              </w:rPr>
              <w:t>-4.0</w:t>
            </w:r>
          </w:p>
        </w:tc>
        <w:tc>
          <w:tcPr>
            <w:tcW w:w="527" w:type="dxa"/>
            <w:gridSpan w:val="2"/>
            <w:tcBorders>
              <w:top w:val="nil"/>
              <w:left w:val="nil"/>
              <w:bottom w:val="single" w:sz="8" w:space="0" w:color="auto"/>
              <w:right w:val="nil"/>
            </w:tcBorders>
            <w:noWrap/>
            <w:vAlign w:val="center"/>
            <w:hideMark/>
          </w:tcPr>
          <w:p w14:paraId="1F9511E0" w14:textId="77777777" w:rsidR="00C24F6F" w:rsidRPr="000C2D79" w:rsidRDefault="00C24F6F" w:rsidP="002B1847">
            <w:pPr>
              <w:pStyle w:val="Bezriadkovania"/>
              <w:jc w:val="center"/>
              <w:rPr>
                <w:sz w:val="16"/>
                <w:szCs w:val="16"/>
              </w:rPr>
            </w:pPr>
            <w:r w:rsidRPr="000C2D79">
              <w:rPr>
                <w:rFonts w:cs="Calibri"/>
                <w:color w:val="000000"/>
                <w:sz w:val="16"/>
                <w:szCs w:val="16"/>
              </w:rPr>
              <w:t>-3.7</w:t>
            </w:r>
          </w:p>
        </w:tc>
        <w:tc>
          <w:tcPr>
            <w:tcW w:w="510" w:type="dxa"/>
            <w:tcBorders>
              <w:top w:val="nil"/>
              <w:left w:val="nil"/>
              <w:bottom w:val="single" w:sz="8" w:space="0" w:color="auto"/>
              <w:right w:val="single" w:sz="8" w:space="0" w:color="auto"/>
            </w:tcBorders>
            <w:noWrap/>
            <w:vAlign w:val="center"/>
            <w:hideMark/>
          </w:tcPr>
          <w:p w14:paraId="34DB9452" w14:textId="77777777" w:rsidR="00C24F6F" w:rsidRPr="000C2D79" w:rsidRDefault="00C24F6F" w:rsidP="002B1847">
            <w:pPr>
              <w:pStyle w:val="Bezriadkovania"/>
              <w:jc w:val="center"/>
              <w:rPr>
                <w:sz w:val="16"/>
                <w:szCs w:val="16"/>
              </w:rPr>
            </w:pPr>
            <w:r w:rsidRPr="000C2D79">
              <w:rPr>
                <w:rFonts w:cs="Calibri"/>
                <w:color w:val="000000"/>
                <w:sz w:val="16"/>
                <w:szCs w:val="16"/>
              </w:rPr>
              <w:t>-3.7</w:t>
            </w:r>
          </w:p>
        </w:tc>
        <w:tc>
          <w:tcPr>
            <w:tcW w:w="544" w:type="dxa"/>
            <w:gridSpan w:val="2"/>
            <w:tcBorders>
              <w:top w:val="nil"/>
              <w:left w:val="nil"/>
              <w:bottom w:val="single" w:sz="8" w:space="0" w:color="auto"/>
              <w:right w:val="nil"/>
            </w:tcBorders>
            <w:noWrap/>
            <w:vAlign w:val="center"/>
          </w:tcPr>
          <w:p w14:paraId="66D5CE60"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-3.0</w:t>
            </w:r>
          </w:p>
        </w:tc>
        <w:tc>
          <w:tcPr>
            <w:tcW w:w="527" w:type="dxa"/>
            <w:gridSpan w:val="2"/>
            <w:tcBorders>
              <w:top w:val="nil"/>
              <w:left w:val="nil"/>
              <w:bottom w:val="single" w:sz="8" w:space="0" w:color="auto"/>
              <w:right w:val="nil"/>
            </w:tcBorders>
            <w:vAlign w:val="center"/>
          </w:tcPr>
          <w:p w14:paraId="335B28BE"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-2.7</w:t>
            </w:r>
          </w:p>
        </w:tc>
        <w:tc>
          <w:tcPr>
            <w:tcW w:w="527" w:type="dxa"/>
            <w:tcBorders>
              <w:top w:val="nil"/>
              <w:left w:val="nil"/>
              <w:bottom w:val="single" w:sz="8" w:space="0" w:color="auto"/>
              <w:right w:val="nil"/>
            </w:tcBorders>
            <w:vAlign w:val="center"/>
          </w:tcPr>
          <w:p w14:paraId="4B36E221"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-2.5</w:t>
            </w:r>
          </w:p>
        </w:tc>
        <w:tc>
          <w:tcPr>
            <w:tcW w:w="528" w:type="dxa"/>
            <w:tcBorders>
              <w:top w:val="nil"/>
              <w:left w:val="nil"/>
              <w:bottom w:val="single" w:sz="8" w:space="0" w:color="auto"/>
              <w:right w:val="nil"/>
            </w:tcBorders>
            <w:vAlign w:val="center"/>
          </w:tcPr>
          <w:p w14:paraId="138DF56A" w14:textId="77777777" w:rsidR="00C24F6F" w:rsidRPr="000C2D79" w:rsidRDefault="00C24F6F" w:rsidP="002B1847">
            <w:pPr>
              <w:contextualSpacing/>
              <w:jc w:val="center"/>
              <w:rPr>
                <w:rFonts w:ascii="Arial Narrow" w:hAnsi="Arial Narrow" w:cs="Calibri"/>
                <w:color w:val="000000"/>
                <w:sz w:val="16"/>
                <w:szCs w:val="16"/>
              </w:rPr>
            </w:pPr>
            <w:r w:rsidRPr="000C2D79">
              <w:rPr>
                <w:rFonts w:ascii="Arial Narrow" w:hAnsi="Arial Narrow" w:cs="Calibri"/>
                <w:color w:val="000000"/>
                <w:sz w:val="16"/>
                <w:szCs w:val="16"/>
              </w:rPr>
              <w:t>-2.6</w:t>
            </w:r>
          </w:p>
        </w:tc>
      </w:tr>
      <w:tr w:rsidR="00C24F6F" w:rsidRPr="008E7F52" w14:paraId="193CF3CE" w14:textId="77777777" w:rsidTr="002B1847">
        <w:trPr>
          <w:trHeight w:val="229"/>
          <w:jc w:val="center"/>
        </w:trPr>
        <w:tc>
          <w:tcPr>
            <w:tcW w:w="6039" w:type="dxa"/>
            <w:gridSpan w:val="5"/>
            <w:tcBorders>
              <w:top w:val="single" w:sz="4" w:space="0" w:color="auto"/>
              <w:left w:val="nil"/>
              <w:bottom w:val="nil"/>
              <w:right w:val="nil"/>
            </w:tcBorders>
            <w:noWrap/>
            <w:vAlign w:val="center"/>
            <w:hideMark/>
          </w:tcPr>
          <w:p w14:paraId="294D8D96" w14:textId="77777777" w:rsidR="00C24F6F" w:rsidRPr="000C2D79" w:rsidRDefault="00C24F6F" w:rsidP="002B1847">
            <w:pPr>
              <w:spacing w:after="0" w:line="240" w:lineRule="auto"/>
              <w:rPr>
                <w:rFonts w:ascii="Arial Narrow" w:eastAsia="Times New Roman" w:hAnsi="Arial Narrow" w:cs="Times New Roman"/>
                <w:i/>
                <w:iCs/>
                <w:sz w:val="20"/>
                <w:szCs w:val="20"/>
                <w:lang w:eastAsia="sk-SK"/>
              </w:rPr>
            </w:pPr>
            <w:r w:rsidRPr="000C2D79">
              <w:rPr>
                <w:rFonts w:ascii="Arial Narrow" w:eastAsia="Times New Roman" w:hAnsi="Arial Narrow" w:cs="Times New Roman"/>
                <w:i/>
                <w:iCs/>
                <w:color w:val="000000"/>
                <w:sz w:val="16"/>
                <w:szCs w:val="16"/>
                <w:lang w:eastAsia="sk-SK"/>
              </w:rPr>
              <w:t>* Údaje vo výročnej správe sú upravené o  revíziu z apríla 2025.</w:t>
            </w:r>
          </w:p>
        </w:tc>
        <w:tc>
          <w:tcPr>
            <w:tcW w:w="539" w:type="dxa"/>
            <w:gridSpan w:val="2"/>
            <w:tcBorders>
              <w:top w:val="single" w:sz="4" w:space="0" w:color="auto"/>
              <w:left w:val="nil"/>
              <w:bottom w:val="nil"/>
              <w:right w:val="nil"/>
            </w:tcBorders>
            <w:noWrap/>
            <w:vAlign w:val="bottom"/>
            <w:hideMark/>
          </w:tcPr>
          <w:p w14:paraId="1F3D82EB" w14:textId="77777777" w:rsidR="00C24F6F" w:rsidRPr="000C2D79" w:rsidRDefault="00C24F6F" w:rsidP="002B1847">
            <w:pPr>
              <w:spacing w:after="0" w:line="240" w:lineRule="auto"/>
              <w:rPr>
                <w:rFonts w:ascii="Arial Narrow" w:eastAsia="Times New Roman" w:hAnsi="Arial Narrow" w:cs="Times New Roman"/>
                <w:sz w:val="20"/>
                <w:szCs w:val="20"/>
                <w:lang w:eastAsia="sk-SK"/>
              </w:rPr>
            </w:pPr>
          </w:p>
        </w:tc>
        <w:tc>
          <w:tcPr>
            <w:tcW w:w="531" w:type="dxa"/>
            <w:gridSpan w:val="3"/>
            <w:tcBorders>
              <w:top w:val="single" w:sz="4" w:space="0" w:color="auto"/>
              <w:left w:val="nil"/>
              <w:bottom w:val="nil"/>
              <w:right w:val="nil"/>
            </w:tcBorders>
            <w:noWrap/>
            <w:vAlign w:val="bottom"/>
            <w:hideMark/>
          </w:tcPr>
          <w:p w14:paraId="15D43988" w14:textId="77777777" w:rsidR="00C24F6F" w:rsidRPr="000C2D79" w:rsidRDefault="00C24F6F" w:rsidP="002B1847">
            <w:pPr>
              <w:spacing w:after="0" w:line="240" w:lineRule="auto"/>
              <w:rPr>
                <w:rFonts w:ascii="Arial Narrow" w:eastAsia="Times New Roman" w:hAnsi="Arial Narrow" w:cs="Times New Roman"/>
                <w:sz w:val="20"/>
                <w:szCs w:val="20"/>
                <w:lang w:eastAsia="sk-SK"/>
              </w:rPr>
            </w:pPr>
          </w:p>
        </w:tc>
        <w:tc>
          <w:tcPr>
            <w:tcW w:w="589" w:type="dxa"/>
            <w:gridSpan w:val="2"/>
            <w:tcBorders>
              <w:top w:val="single" w:sz="4" w:space="0" w:color="auto"/>
              <w:left w:val="nil"/>
              <w:bottom w:val="nil"/>
              <w:right w:val="nil"/>
            </w:tcBorders>
            <w:noWrap/>
            <w:vAlign w:val="bottom"/>
            <w:hideMark/>
          </w:tcPr>
          <w:p w14:paraId="09AFC6D0" w14:textId="77777777" w:rsidR="00C24F6F" w:rsidRPr="000C2D79" w:rsidRDefault="00C24F6F" w:rsidP="002B1847">
            <w:pPr>
              <w:spacing w:after="0" w:line="240" w:lineRule="auto"/>
              <w:rPr>
                <w:rFonts w:ascii="Arial Narrow" w:eastAsia="Times New Roman" w:hAnsi="Arial Narrow" w:cs="Times New Roman"/>
                <w:sz w:val="20"/>
                <w:szCs w:val="20"/>
                <w:lang w:eastAsia="sk-SK"/>
              </w:rPr>
            </w:pPr>
          </w:p>
        </w:tc>
        <w:tc>
          <w:tcPr>
            <w:tcW w:w="1537" w:type="dxa"/>
            <w:gridSpan w:val="4"/>
            <w:tcBorders>
              <w:top w:val="single" w:sz="4" w:space="0" w:color="auto"/>
              <w:left w:val="nil"/>
              <w:bottom w:val="nil"/>
              <w:right w:val="nil"/>
            </w:tcBorders>
            <w:noWrap/>
            <w:vAlign w:val="bottom"/>
            <w:hideMark/>
          </w:tcPr>
          <w:p w14:paraId="376ADA14" w14:textId="77777777" w:rsidR="00C24F6F" w:rsidRPr="000C2D79" w:rsidRDefault="00C24F6F" w:rsidP="002B1847">
            <w:pPr>
              <w:spacing w:after="0" w:line="240" w:lineRule="auto"/>
              <w:jc w:val="right"/>
              <w:rPr>
                <w:rFonts w:ascii="Arial Narrow" w:eastAsia="Times New Roman" w:hAnsi="Arial Narrow" w:cs="Times New Roman"/>
                <w:i/>
                <w:iCs/>
                <w:color w:val="000000"/>
                <w:sz w:val="16"/>
                <w:szCs w:val="16"/>
                <w:lang w:eastAsia="sk-SK"/>
              </w:rPr>
            </w:pPr>
            <w:r w:rsidRPr="000C2D79">
              <w:rPr>
                <w:rFonts w:ascii="Arial Narrow" w:eastAsia="Times New Roman" w:hAnsi="Arial Narrow" w:cs="Times New Roman"/>
                <w:i/>
                <w:iCs/>
                <w:color w:val="000000"/>
                <w:sz w:val="16"/>
                <w:szCs w:val="16"/>
                <w:lang w:eastAsia="sk-SK"/>
              </w:rPr>
              <w:t>Zdroj: MF SR</w:t>
            </w:r>
          </w:p>
        </w:tc>
      </w:tr>
    </w:tbl>
    <w:p w14:paraId="5261E4B3" w14:textId="77777777" w:rsidR="00C24F6F" w:rsidRPr="008E7F52" w:rsidRDefault="00C24F6F" w:rsidP="00C24F6F">
      <w:pPr>
        <w:rPr>
          <w:highlight w:val="yellow"/>
        </w:rPr>
      </w:pPr>
    </w:p>
    <w:p w14:paraId="108F9014" w14:textId="77777777" w:rsidR="00C24F6F" w:rsidRPr="008E7F52" w:rsidRDefault="00C24F6F" w:rsidP="00C24F6F">
      <w:pPr>
        <w:rPr>
          <w:highlight w:val="yellow"/>
        </w:rPr>
      </w:pPr>
      <w:r w:rsidRPr="008E7F52">
        <w:rPr>
          <w:highlight w:val="yellow"/>
        </w:rPr>
        <w:br w:type="page"/>
      </w:r>
    </w:p>
    <w:p w14:paraId="6E971C11" w14:textId="77777777" w:rsidR="00C24F6F" w:rsidRPr="009A12AC" w:rsidRDefault="00C24F6F" w:rsidP="00C24F6F">
      <w:pPr>
        <w:spacing w:line="276" w:lineRule="auto"/>
        <w:jc w:val="both"/>
        <w:rPr>
          <w:rFonts w:ascii="Arial Narrow" w:eastAsia="Times New Roman" w:hAnsi="Arial Narrow" w:cs="Times New Roman"/>
          <w:b/>
          <w:bCs/>
          <w:color w:val="2C9ADC"/>
          <w:sz w:val="24"/>
          <w:szCs w:val="24"/>
          <w:lang w:eastAsia="sk-SK"/>
        </w:rPr>
      </w:pPr>
      <w:r w:rsidRPr="009A12AC">
        <w:rPr>
          <w:rFonts w:ascii="Arial Narrow" w:eastAsia="Times New Roman" w:hAnsi="Arial Narrow" w:cs="Times New Roman"/>
          <w:b/>
          <w:bCs/>
          <w:color w:val="2C9ADC"/>
          <w:sz w:val="24"/>
          <w:szCs w:val="24"/>
          <w:lang w:eastAsia="sk-SK"/>
        </w:rPr>
        <w:lastRenderedPageBreak/>
        <w:t>Príloha 2 – Podmienené a implicitné záväzky</w:t>
      </w:r>
    </w:p>
    <w:p w14:paraId="361C98FC" w14:textId="77777777" w:rsidR="00C24F6F" w:rsidRPr="009A12AC" w:rsidRDefault="00C24F6F" w:rsidP="00C24F6F">
      <w:pPr>
        <w:spacing w:line="276" w:lineRule="auto"/>
        <w:jc w:val="both"/>
        <w:rPr>
          <w:rFonts w:ascii="Arial Narrow" w:eastAsia="Times New Roman" w:hAnsi="Arial Narrow" w:cs="Times New Roman"/>
          <w:b/>
          <w:bCs/>
          <w:color w:val="2C9ADC"/>
          <w:lang w:eastAsia="sk-SK"/>
        </w:rPr>
      </w:pPr>
      <w:r w:rsidRPr="009A12AC">
        <w:rPr>
          <w:rFonts w:ascii="Arial Narrow" w:eastAsia="Times New Roman" w:hAnsi="Arial Narrow" w:cs="Times New Roman"/>
          <w:b/>
          <w:bCs/>
          <w:color w:val="2C9ADC"/>
          <w:lang w:eastAsia="sk-SK"/>
        </w:rPr>
        <w:t>Podmienené záväzky</w:t>
      </w:r>
    </w:p>
    <w:p w14:paraId="0225C91A" w14:textId="77777777" w:rsidR="00C24F6F" w:rsidRPr="009A12AC" w:rsidRDefault="00C24F6F" w:rsidP="00C24F6F">
      <w:pPr>
        <w:pStyle w:val="ifptext"/>
      </w:pPr>
      <w:r w:rsidRPr="009A12AC">
        <w:rPr>
          <w:b/>
          <w:bCs/>
        </w:rPr>
        <w:t>Podmienené záväzky</w:t>
      </w:r>
      <w:r w:rsidRPr="009A12AC">
        <w:rPr>
          <w:b/>
          <w:bCs/>
          <w:vertAlign w:val="superscript"/>
        </w:rPr>
        <w:footnoteReference w:id="25"/>
      </w:r>
      <w:r w:rsidRPr="009A12AC">
        <w:rPr>
          <w:b/>
          <w:bCs/>
        </w:rPr>
        <w:t xml:space="preserve"> k 31.12.202</w:t>
      </w:r>
      <w:r>
        <w:rPr>
          <w:b/>
          <w:bCs/>
        </w:rPr>
        <w:t>5</w:t>
      </w:r>
      <w:r w:rsidRPr="009A12AC">
        <w:rPr>
          <w:b/>
          <w:bCs/>
        </w:rPr>
        <w:t xml:space="preserve"> na nekonsolidovanej báze predbežne dosiahli hodnotu </w:t>
      </w:r>
      <w:r>
        <w:rPr>
          <w:b/>
          <w:bCs/>
        </w:rPr>
        <w:t>9</w:t>
      </w:r>
      <w:r w:rsidRPr="009A12AC">
        <w:rPr>
          <w:b/>
          <w:bCs/>
        </w:rPr>
        <w:t>,</w:t>
      </w:r>
      <w:r>
        <w:rPr>
          <w:b/>
          <w:bCs/>
        </w:rPr>
        <w:t>8</w:t>
      </w:r>
      <w:r w:rsidRPr="009A12AC">
        <w:rPr>
          <w:b/>
          <w:bCs/>
        </w:rPr>
        <w:t xml:space="preserve"> % HDP. </w:t>
      </w:r>
      <w:r w:rsidRPr="009A12AC">
        <w:t xml:space="preserve">Viac ako 99 % týchto záväzkov je spojených s ústrednou správou a jej štátnymi podnikmi. Takmer </w:t>
      </w:r>
      <w:r>
        <w:t>19</w:t>
      </w:r>
      <w:r w:rsidRPr="009A12AC">
        <w:t xml:space="preserve"> % celkových záväzkov Slovenska súvisí s potencionálnymi alebo prebiehajúcimi súdnymi spormi, vrátane investičných arbitráži. Možné sankcie za tieto právne kroky dosiahli v roku 202</w:t>
      </w:r>
      <w:r>
        <w:t>5</w:t>
      </w:r>
      <w:r w:rsidRPr="009A12AC">
        <w:t xml:space="preserve"> hodnotu viac ako </w:t>
      </w:r>
      <w:r>
        <w:t>1</w:t>
      </w:r>
      <w:r w:rsidRPr="009A12AC">
        <w:t xml:space="preserve">,8 % HDP, pričom najčastejším cieľom žalôb sú ministerstvá. </w:t>
      </w:r>
    </w:p>
    <w:tbl>
      <w:tblPr>
        <w:tblpPr w:leftFromText="141" w:rightFromText="141" w:bottomFromText="160" w:vertAnchor="text" w:horzAnchor="margin" w:tblpY="173"/>
        <w:tblW w:w="5000" w:type="pct"/>
        <w:tblCellMar>
          <w:left w:w="70" w:type="dxa"/>
          <w:right w:w="70" w:type="dxa"/>
        </w:tblCellMar>
        <w:tblLook w:val="04A0" w:firstRow="1" w:lastRow="0" w:firstColumn="1" w:lastColumn="0" w:noHBand="0" w:noVBand="1"/>
      </w:tblPr>
      <w:tblGrid>
        <w:gridCol w:w="7938"/>
        <w:gridCol w:w="1134"/>
      </w:tblGrid>
      <w:tr w:rsidR="00C24F6F" w:rsidRPr="000C5AC4" w14:paraId="57557448" w14:textId="77777777" w:rsidTr="002B1847">
        <w:trPr>
          <w:trHeight w:val="285"/>
        </w:trPr>
        <w:tc>
          <w:tcPr>
            <w:tcW w:w="4375" w:type="pct"/>
            <w:shd w:val="clear" w:color="auto" w:fill="FFFFFF"/>
            <w:vAlign w:val="center"/>
            <w:hideMark/>
          </w:tcPr>
          <w:p w14:paraId="7EA09DD8" w14:textId="6145B933" w:rsidR="00C24F6F" w:rsidRPr="000C5AC4" w:rsidRDefault="00C24F6F" w:rsidP="002B1847">
            <w:pPr>
              <w:spacing w:after="0" w:line="240" w:lineRule="auto"/>
              <w:rPr>
                <w:rFonts w:ascii="Arial Narrow" w:eastAsia="Times New Roman" w:hAnsi="Arial Narrow" w:cs="Calibri"/>
                <w:b/>
                <w:bCs/>
                <w:color w:val="2C9ADC"/>
                <w:sz w:val="20"/>
                <w:szCs w:val="20"/>
                <w:lang w:eastAsia="sk-SK"/>
              </w:rPr>
            </w:pPr>
            <w:bookmarkStart w:id="60" w:name="_Toc179301614"/>
            <w:bookmarkStart w:id="61" w:name="_Toc196813469"/>
            <w:bookmarkStart w:id="62" w:name="_Toc228177382"/>
            <w:r w:rsidRPr="000C5AC4">
              <w:rPr>
                <w:rFonts w:ascii="Arial Narrow" w:eastAsia="Aptos" w:hAnsi="Arial Narrow" w:cs="Arial Narrow"/>
                <w:b/>
                <w:bCs/>
                <w:color w:val="2C9ADC"/>
                <w:sz w:val="20"/>
                <w:szCs w:val="20"/>
              </w:rPr>
              <w:t>TABUĽKA</w:t>
            </w:r>
            <w:r w:rsidRPr="000C5AC4">
              <w:rPr>
                <w:rFonts w:ascii="Arial Narrow" w:eastAsia="Times New Roman" w:hAnsi="Arial Narrow" w:cs="Calibri"/>
                <w:b/>
                <w:bCs/>
                <w:color w:val="2C9ADC"/>
                <w:sz w:val="20"/>
                <w:szCs w:val="20"/>
                <w:lang w:eastAsia="sk-SK"/>
              </w:rPr>
              <w:t xml:space="preserve">  </w:t>
            </w:r>
            <w:r w:rsidRPr="000C5AC4">
              <w:rPr>
                <w:rFonts w:ascii="Aptos" w:eastAsia="Aptos" w:hAnsi="Aptos" w:cs="Times New Roman"/>
              </w:rPr>
              <w:fldChar w:fldCharType="begin"/>
            </w:r>
            <w:r w:rsidRPr="000C5AC4">
              <w:rPr>
                <w:rFonts w:ascii="Arial Narrow" w:eastAsia="Arial Narrow" w:hAnsi="Arial Narrow" w:cs="Arial Narrow"/>
                <w:b/>
                <w:bCs/>
                <w:noProof/>
                <w:color w:val="2C9ADC"/>
                <w:sz w:val="20"/>
                <w:szCs w:val="20"/>
                <w:bdr w:val="none" w:sz="0" w:space="0" w:color="auto" w:frame="1"/>
                <w:lang w:eastAsia="sk-SK"/>
              </w:rPr>
              <w:instrText xml:space="preserve"> SEQ TABUĽKA \* ARABIC </w:instrText>
            </w:r>
            <w:r w:rsidRPr="000C5AC4">
              <w:rPr>
                <w:rFonts w:ascii="Aptos" w:eastAsia="Aptos" w:hAnsi="Aptos" w:cs="Times New Roman"/>
              </w:rPr>
              <w:fldChar w:fldCharType="separate"/>
            </w:r>
            <w:r w:rsidR="008765E2">
              <w:rPr>
                <w:rFonts w:ascii="Arial Narrow" w:eastAsia="Arial Narrow" w:hAnsi="Arial Narrow" w:cs="Arial Narrow"/>
                <w:b/>
                <w:bCs/>
                <w:noProof/>
                <w:color w:val="2C9ADC"/>
                <w:sz w:val="20"/>
                <w:szCs w:val="20"/>
                <w:bdr w:val="none" w:sz="0" w:space="0" w:color="auto" w:frame="1"/>
                <w:lang w:eastAsia="sk-SK"/>
              </w:rPr>
              <w:t>9</w:t>
            </w:r>
            <w:r w:rsidRPr="000C5AC4">
              <w:rPr>
                <w:rFonts w:ascii="Aptos" w:eastAsia="Aptos" w:hAnsi="Aptos" w:cs="Times New Roman"/>
              </w:rPr>
              <w:fldChar w:fldCharType="end"/>
            </w:r>
            <w:r w:rsidRPr="000C5AC4">
              <w:rPr>
                <w:rFonts w:ascii="Arial Narrow" w:eastAsia="Times New Roman" w:hAnsi="Arial Narrow" w:cs="Calibri"/>
                <w:b/>
                <w:bCs/>
                <w:color w:val="2C9ADC"/>
                <w:sz w:val="20"/>
                <w:szCs w:val="20"/>
                <w:lang w:eastAsia="sk-SK"/>
              </w:rPr>
              <w:t xml:space="preserve"> – Podmienené záväzky (% HDP)</w:t>
            </w:r>
            <w:bookmarkEnd w:id="60"/>
            <w:bookmarkEnd w:id="61"/>
            <w:bookmarkEnd w:id="62"/>
          </w:p>
        </w:tc>
        <w:tc>
          <w:tcPr>
            <w:tcW w:w="625" w:type="pct"/>
            <w:shd w:val="clear" w:color="auto" w:fill="FFFFFF"/>
            <w:vAlign w:val="center"/>
            <w:hideMark/>
          </w:tcPr>
          <w:p w14:paraId="72D45889" w14:textId="77777777" w:rsidR="00C24F6F" w:rsidRPr="000C5AC4" w:rsidRDefault="00C24F6F" w:rsidP="002B1847">
            <w:pPr>
              <w:spacing w:after="0" w:line="240" w:lineRule="auto"/>
              <w:jc w:val="center"/>
              <w:rPr>
                <w:rFonts w:ascii="Arial Narrow" w:eastAsia="Times New Roman" w:hAnsi="Arial Narrow" w:cs="Calibri"/>
                <w:b/>
                <w:bCs/>
                <w:color w:val="000000"/>
                <w:sz w:val="18"/>
                <w:szCs w:val="18"/>
                <w:lang w:eastAsia="sk-SK"/>
              </w:rPr>
            </w:pPr>
            <w:r w:rsidRPr="000C5AC4">
              <w:rPr>
                <w:rFonts w:ascii="Arial Narrow" w:eastAsia="Times New Roman" w:hAnsi="Arial Narrow" w:cs="Calibri"/>
                <w:b/>
                <w:bCs/>
                <w:color w:val="000000"/>
                <w:sz w:val="18"/>
                <w:szCs w:val="18"/>
                <w:lang w:eastAsia="sk-SK"/>
              </w:rPr>
              <w:t>2025</w:t>
            </w:r>
          </w:p>
        </w:tc>
      </w:tr>
      <w:tr w:rsidR="00C24F6F" w:rsidRPr="000C5AC4" w14:paraId="68D3CDB8" w14:textId="77777777" w:rsidTr="002B1847">
        <w:trPr>
          <w:trHeight w:val="283"/>
        </w:trPr>
        <w:tc>
          <w:tcPr>
            <w:tcW w:w="4375" w:type="pct"/>
            <w:tcBorders>
              <w:top w:val="single" w:sz="8" w:space="0" w:color="auto"/>
              <w:left w:val="nil"/>
              <w:bottom w:val="nil"/>
              <w:right w:val="nil"/>
            </w:tcBorders>
            <w:vAlign w:val="center"/>
            <w:hideMark/>
          </w:tcPr>
          <w:p w14:paraId="045AD962" w14:textId="77777777" w:rsidR="00C24F6F" w:rsidRPr="000C5AC4" w:rsidRDefault="00C24F6F" w:rsidP="002B1847">
            <w:pPr>
              <w:spacing w:after="0" w:line="240" w:lineRule="auto"/>
              <w:rPr>
                <w:rFonts w:ascii="Arial Narrow" w:eastAsia="Times New Roman" w:hAnsi="Arial Narrow" w:cs="Calibri"/>
                <w:color w:val="000000"/>
                <w:sz w:val="18"/>
                <w:szCs w:val="18"/>
                <w:lang w:eastAsia="sk-SK"/>
              </w:rPr>
            </w:pPr>
            <w:r w:rsidRPr="000C5AC4">
              <w:rPr>
                <w:rFonts w:ascii="Arial Narrow" w:eastAsia="Times New Roman" w:hAnsi="Arial Narrow" w:cs="Calibri"/>
                <w:color w:val="000000"/>
                <w:sz w:val="18"/>
                <w:szCs w:val="18"/>
                <w:lang w:eastAsia="sk-SK"/>
              </w:rPr>
              <w:t>Ústredná správa a podniky štátnej správy</w:t>
            </w:r>
            <w:r w:rsidRPr="000C5AC4">
              <w:rPr>
                <w:rStyle w:val="Odkaznapoznmkupodiarou"/>
                <w:rFonts w:ascii="Arial Narrow" w:eastAsia="Times New Roman" w:hAnsi="Arial Narrow" w:cs="Calibri"/>
                <w:color w:val="000000"/>
                <w:sz w:val="18"/>
                <w:szCs w:val="18"/>
                <w:lang w:eastAsia="sk-SK"/>
              </w:rPr>
              <w:footnoteReference w:id="26"/>
            </w:r>
          </w:p>
        </w:tc>
        <w:tc>
          <w:tcPr>
            <w:tcW w:w="625" w:type="pct"/>
            <w:tcBorders>
              <w:top w:val="single" w:sz="8" w:space="0" w:color="auto"/>
              <w:left w:val="nil"/>
              <w:bottom w:val="nil"/>
              <w:right w:val="nil"/>
            </w:tcBorders>
            <w:vAlign w:val="center"/>
            <w:hideMark/>
          </w:tcPr>
          <w:p w14:paraId="2C52354E" w14:textId="77777777" w:rsidR="00C24F6F" w:rsidRPr="000C5AC4" w:rsidRDefault="00C24F6F" w:rsidP="002B1847">
            <w:pPr>
              <w:spacing w:after="0" w:line="240" w:lineRule="auto"/>
              <w:jc w:val="center"/>
              <w:rPr>
                <w:rFonts w:ascii="Arial Narrow" w:eastAsia="Times New Roman" w:hAnsi="Arial Narrow" w:cs="Calibri"/>
                <w:sz w:val="18"/>
                <w:szCs w:val="18"/>
                <w:lang w:eastAsia="sk-SK"/>
              </w:rPr>
            </w:pPr>
            <w:r w:rsidRPr="000C5AC4">
              <w:rPr>
                <w:rFonts w:ascii="Arial Narrow" w:eastAsia="Times New Roman" w:hAnsi="Arial Narrow" w:cs="Calibri"/>
                <w:sz w:val="18"/>
                <w:szCs w:val="18"/>
                <w:lang w:eastAsia="sk-SK"/>
              </w:rPr>
              <w:t>9,75 %</w:t>
            </w:r>
          </w:p>
        </w:tc>
      </w:tr>
      <w:tr w:rsidR="00C24F6F" w:rsidRPr="000C5AC4" w14:paraId="5B45025F" w14:textId="77777777" w:rsidTr="002B1847">
        <w:trPr>
          <w:trHeight w:val="283"/>
        </w:trPr>
        <w:tc>
          <w:tcPr>
            <w:tcW w:w="4375" w:type="pct"/>
            <w:vAlign w:val="center"/>
            <w:hideMark/>
          </w:tcPr>
          <w:p w14:paraId="20880AA0" w14:textId="77777777" w:rsidR="00C24F6F" w:rsidRPr="000C5AC4" w:rsidRDefault="00C24F6F" w:rsidP="002B1847">
            <w:pPr>
              <w:spacing w:after="0" w:line="240" w:lineRule="auto"/>
              <w:rPr>
                <w:rFonts w:ascii="Arial Narrow" w:eastAsia="Times New Roman" w:hAnsi="Arial Narrow" w:cs="Calibri"/>
                <w:color w:val="000000"/>
                <w:sz w:val="18"/>
                <w:szCs w:val="18"/>
                <w:lang w:eastAsia="sk-SK"/>
              </w:rPr>
            </w:pPr>
            <w:r w:rsidRPr="000C5AC4">
              <w:rPr>
                <w:rFonts w:ascii="Arial Narrow" w:eastAsia="Times New Roman" w:hAnsi="Arial Narrow" w:cs="Calibri"/>
                <w:color w:val="000000"/>
                <w:sz w:val="18"/>
                <w:szCs w:val="18"/>
                <w:lang w:eastAsia="sk-SK"/>
              </w:rPr>
              <w:t>Obce a ich rozpočtové a príspevkové organizácie a podniky územnej samosprávy</w:t>
            </w:r>
          </w:p>
        </w:tc>
        <w:tc>
          <w:tcPr>
            <w:tcW w:w="625" w:type="pct"/>
            <w:vAlign w:val="center"/>
            <w:hideMark/>
          </w:tcPr>
          <w:p w14:paraId="1E0C5C7E" w14:textId="77777777" w:rsidR="00C24F6F" w:rsidRPr="000C5AC4" w:rsidRDefault="00C24F6F" w:rsidP="002B1847">
            <w:pPr>
              <w:spacing w:after="0" w:line="240" w:lineRule="auto"/>
              <w:jc w:val="center"/>
              <w:rPr>
                <w:rFonts w:ascii="Arial Narrow" w:eastAsia="Times New Roman" w:hAnsi="Arial Narrow" w:cs="Calibri"/>
                <w:sz w:val="18"/>
                <w:szCs w:val="18"/>
                <w:lang w:eastAsia="sk-SK"/>
              </w:rPr>
            </w:pPr>
            <w:r w:rsidRPr="000C5AC4">
              <w:rPr>
                <w:rFonts w:ascii="Arial Narrow" w:eastAsia="Times New Roman" w:hAnsi="Arial Narrow" w:cs="Calibri"/>
                <w:sz w:val="18"/>
                <w:szCs w:val="18"/>
                <w:lang w:eastAsia="sk-SK"/>
              </w:rPr>
              <w:t>0,03 %</w:t>
            </w:r>
          </w:p>
        </w:tc>
      </w:tr>
      <w:tr w:rsidR="00C24F6F" w:rsidRPr="000C5AC4" w14:paraId="40B8F4E5" w14:textId="77777777" w:rsidTr="002B1847">
        <w:trPr>
          <w:trHeight w:val="283"/>
        </w:trPr>
        <w:tc>
          <w:tcPr>
            <w:tcW w:w="4375" w:type="pct"/>
            <w:tcBorders>
              <w:top w:val="nil"/>
              <w:left w:val="nil"/>
              <w:bottom w:val="single" w:sz="4" w:space="0" w:color="auto"/>
              <w:right w:val="nil"/>
            </w:tcBorders>
            <w:vAlign w:val="center"/>
            <w:hideMark/>
          </w:tcPr>
          <w:p w14:paraId="0178E3FC" w14:textId="77777777" w:rsidR="00C24F6F" w:rsidRPr="000C5AC4" w:rsidRDefault="00C24F6F" w:rsidP="002B1847">
            <w:pPr>
              <w:spacing w:after="0" w:line="240" w:lineRule="auto"/>
              <w:rPr>
                <w:rFonts w:ascii="Arial Narrow" w:eastAsia="Times New Roman" w:hAnsi="Arial Narrow" w:cs="Calibri"/>
                <w:color w:val="000000"/>
                <w:sz w:val="18"/>
                <w:szCs w:val="18"/>
                <w:lang w:eastAsia="sk-SK"/>
              </w:rPr>
            </w:pPr>
            <w:r w:rsidRPr="000C5AC4">
              <w:rPr>
                <w:rFonts w:ascii="Arial Narrow" w:eastAsia="Times New Roman" w:hAnsi="Arial Narrow" w:cs="Calibri"/>
                <w:color w:val="000000"/>
                <w:sz w:val="18"/>
                <w:szCs w:val="18"/>
                <w:lang w:eastAsia="sk-SK"/>
              </w:rPr>
              <w:t>Vyššie územné celky a ich rozpočtové a príspevkové organizácie a podniky územnej samosprávy</w:t>
            </w:r>
          </w:p>
        </w:tc>
        <w:tc>
          <w:tcPr>
            <w:tcW w:w="625" w:type="pct"/>
            <w:tcBorders>
              <w:top w:val="nil"/>
              <w:left w:val="nil"/>
              <w:bottom w:val="single" w:sz="4" w:space="0" w:color="auto"/>
              <w:right w:val="nil"/>
            </w:tcBorders>
            <w:vAlign w:val="center"/>
            <w:hideMark/>
          </w:tcPr>
          <w:p w14:paraId="15CEFC7D" w14:textId="77777777" w:rsidR="00C24F6F" w:rsidRPr="000C5AC4" w:rsidRDefault="00C24F6F" w:rsidP="002B1847">
            <w:pPr>
              <w:spacing w:after="0" w:line="240" w:lineRule="auto"/>
              <w:jc w:val="center"/>
              <w:rPr>
                <w:rFonts w:ascii="Arial Narrow" w:eastAsia="Times New Roman" w:hAnsi="Arial Narrow" w:cs="Calibri"/>
                <w:sz w:val="18"/>
                <w:szCs w:val="18"/>
                <w:lang w:eastAsia="sk-SK"/>
              </w:rPr>
            </w:pPr>
            <w:r w:rsidRPr="000C5AC4">
              <w:rPr>
                <w:rFonts w:ascii="Arial Narrow" w:eastAsia="Times New Roman" w:hAnsi="Arial Narrow" w:cs="Calibri"/>
                <w:sz w:val="18"/>
                <w:szCs w:val="18"/>
                <w:lang w:eastAsia="sk-SK"/>
              </w:rPr>
              <w:t xml:space="preserve">0,01 % </w:t>
            </w:r>
          </w:p>
        </w:tc>
      </w:tr>
      <w:tr w:rsidR="00C24F6F" w:rsidRPr="000C5AC4" w14:paraId="22427819" w14:textId="77777777" w:rsidTr="002B1847">
        <w:trPr>
          <w:trHeight w:val="283"/>
        </w:trPr>
        <w:tc>
          <w:tcPr>
            <w:tcW w:w="4375" w:type="pct"/>
            <w:tcBorders>
              <w:top w:val="single" w:sz="4" w:space="0" w:color="auto"/>
              <w:left w:val="nil"/>
              <w:bottom w:val="single" w:sz="8" w:space="0" w:color="auto"/>
              <w:right w:val="nil"/>
            </w:tcBorders>
            <w:vAlign w:val="center"/>
            <w:hideMark/>
          </w:tcPr>
          <w:p w14:paraId="1297BDFD" w14:textId="77777777" w:rsidR="00C24F6F" w:rsidRPr="000C5AC4" w:rsidRDefault="00C24F6F" w:rsidP="002B1847">
            <w:pPr>
              <w:spacing w:after="0" w:line="240" w:lineRule="auto"/>
              <w:rPr>
                <w:rFonts w:ascii="Arial Narrow" w:eastAsia="Times New Roman" w:hAnsi="Arial Narrow" w:cs="Calibri"/>
                <w:b/>
                <w:bCs/>
                <w:color w:val="000000"/>
                <w:sz w:val="18"/>
                <w:szCs w:val="18"/>
                <w:lang w:eastAsia="sk-SK"/>
              </w:rPr>
            </w:pPr>
            <w:r w:rsidRPr="000C5AC4">
              <w:rPr>
                <w:rFonts w:ascii="Arial Narrow" w:eastAsia="Times New Roman" w:hAnsi="Arial Narrow" w:cs="Calibri"/>
                <w:b/>
                <w:bCs/>
                <w:color w:val="000000"/>
                <w:sz w:val="18"/>
                <w:szCs w:val="18"/>
                <w:lang w:eastAsia="sk-SK"/>
              </w:rPr>
              <w:t>Spolu</w:t>
            </w:r>
          </w:p>
        </w:tc>
        <w:tc>
          <w:tcPr>
            <w:tcW w:w="625" w:type="pct"/>
            <w:tcBorders>
              <w:top w:val="single" w:sz="4" w:space="0" w:color="auto"/>
              <w:left w:val="nil"/>
              <w:bottom w:val="single" w:sz="8" w:space="0" w:color="auto"/>
              <w:right w:val="nil"/>
            </w:tcBorders>
            <w:vAlign w:val="center"/>
            <w:hideMark/>
          </w:tcPr>
          <w:p w14:paraId="626044F6" w14:textId="77777777" w:rsidR="00C24F6F" w:rsidRPr="000C5AC4" w:rsidRDefault="00C24F6F" w:rsidP="002B1847">
            <w:pPr>
              <w:spacing w:after="0" w:line="240" w:lineRule="auto"/>
              <w:jc w:val="center"/>
              <w:rPr>
                <w:rFonts w:ascii="Arial Narrow" w:eastAsia="Times New Roman" w:hAnsi="Arial Narrow" w:cs="Calibri"/>
                <w:b/>
                <w:bCs/>
                <w:sz w:val="18"/>
                <w:szCs w:val="18"/>
                <w:lang w:eastAsia="sk-SK"/>
              </w:rPr>
            </w:pPr>
            <w:r w:rsidRPr="000C5AC4">
              <w:rPr>
                <w:rFonts w:ascii="Arial Narrow" w:eastAsia="Times New Roman" w:hAnsi="Arial Narrow" w:cs="Calibri"/>
                <w:b/>
                <w:bCs/>
                <w:sz w:val="18"/>
                <w:szCs w:val="18"/>
                <w:lang w:eastAsia="sk-SK"/>
              </w:rPr>
              <w:t>9,79 %</w:t>
            </w:r>
          </w:p>
        </w:tc>
      </w:tr>
      <w:tr w:rsidR="00C24F6F" w:rsidRPr="000C5AC4" w14:paraId="61FAFFAE" w14:textId="77777777" w:rsidTr="002B1847">
        <w:trPr>
          <w:trHeight w:val="285"/>
        </w:trPr>
        <w:tc>
          <w:tcPr>
            <w:tcW w:w="5000" w:type="pct"/>
            <w:gridSpan w:val="2"/>
            <w:vAlign w:val="center"/>
            <w:hideMark/>
          </w:tcPr>
          <w:p w14:paraId="6B060BAE" w14:textId="77777777" w:rsidR="00C24F6F" w:rsidRPr="000C5AC4" w:rsidRDefault="00C24F6F" w:rsidP="002B1847">
            <w:pPr>
              <w:spacing w:after="0" w:line="240" w:lineRule="auto"/>
              <w:rPr>
                <w:rFonts w:ascii="Times New Roman" w:eastAsia="Times New Roman" w:hAnsi="Times New Roman" w:cs="Times New Roman"/>
                <w:sz w:val="20"/>
                <w:szCs w:val="20"/>
                <w:lang w:eastAsia="sk-SK"/>
              </w:rPr>
            </w:pPr>
            <w:r w:rsidRPr="000C5AC4">
              <w:rPr>
                <w:rFonts w:ascii="Arial Narrow" w:eastAsia="Times New Roman" w:hAnsi="Arial Narrow" w:cs="Calibri"/>
                <w:i/>
                <w:iCs/>
                <w:color w:val="000000"/>
                <w:sz w:val="16"/>
                <w:szCs w:val="16"/>
                <w:lang w:eastAsia="sk-SK"/>
              </w:rPr>
              <w:t>Zdroj: Hrubé dáta z účtovníctva jednotiek verejného sektora za rok 2025</w:t>
            </w:r>
            <w:r w:rsidRPr="000C5AC4">
              <w:rPr>
                <w:rFonts w:ascii="Arial Narrow" w:eastAsia="Times New Roman" w:hAnsi="Arial Narrow" w:cs="Calibri"/>
                <w:i/>
                <w:iCs/>
                <w:color w:val="000000"/>
                <w:sz w:val="16"/>
                <w:szCs w:val="16"/>
                <w:vertAlign w:val="superscript"/>
                <w:lang w:eastAsia="sk-SK"/>
              </w:rPr>
              <w:footnoteReference w:id="27"/>
            </w:r>
            <w:r w:rsidRPr="000C5AC4">
              <w:rPr>
                <w:rFonts w:ascii="Arial Narrow" w:eastAsia="Times New Roman" w:hAnsi="Arial Narrow" w:cs="Calibri"/>
                <w:i/>
                <w:iCs/>
                <w:color w:val="000000"/>
                <w:sz w:val="16"/>
                <w:szCs w:val="16"/>
                <w:lang w:eastAsia="sk-SK"/>
              </w:rPr>
              <w:t>.                                                                                                          Zdroj: MF SR</w:t>
            </w:r>
          </w:p>
        </w:tc>
      </w:tr>
    </w:tbl>
    <w:p w14:paraId="752F9E95" w14:textId="77777777" w:rsidR="00C24F6F" w:rsidRPr="000C5AC4" w:rsidRDefault="00C24F6F" w:rsidP="00C24F6F">
      <w:pPr>
        <w:spacing w:line="276" w:lineRule="auto"/>
        <w:jc w:val="both"/>
        <w:rPr>
          <w:rFonts w:ascii="Arial Narrow" w:eastAsia="Times New Roman" w:hAnsi="Arial Narrow" w:cs="Times New Roman"/>
          <w:b/>
          <w:bCs/>
          <w:color w:val="2C9ADC"/>
          <w:lang w:eastAsia="sk-SK"/>
        </w:rPr>
      </w:pPr>
      <w:r w:rsidRPr="000C5AC4">
        <w:rPr>
          <w:rFonts w:ascii="Arial Narrow" w:eastAsia="Times New Roman" w:hAnsi="Arial Narrow" w:cs="Times New Roman"/>
          <w:b/>
          <w:bCs/>
          <w:color w:val="2C9ADC"/>
          <w:lang w:eastAsia="sk-SK"/>
        </w:rPr>
        <w:t>Implicitné záväzky</w:t>
      </w:r>
    </w:p>
    <w:p w14:paraId="3EE3BB4E" w14:textId="77777777" w:rsidR="00C24F6F" w:rsidRPr="000C5AC4" w:rsidRDefault="00C24F6F" w:rsidP="00C24F6F">
      <w:pPr>
        <w:pStyle w:val="ifptext"/>
      </w:pPr>
      <w:r w:rsidRPr="000C5AC4">
        <w:rPr>
          <w:b/>
          <w:bCs/>
        </w:rPr>
        <w:t>Celková hodnota odhadovaných implicitných záväzkov na horizonte do roku 206</w:t>
      </w:r>
      <w:r>
        <w:rPr>
          <w:b/>
          <w:bCs/>
        </w:rPr>
        <w:t>9</w:t>
      </w:r>
      <w:r w:rsidRPr="000C5AC4">
        <w:rPr>
          <w:b/>
          <w:bCs/>
        </w:rPr>
        <w:t xml:space="preserve"> dosiahne úroveň 1</w:t>
      </w:r>
      <w:r>
        <w:rPr>
          <w:b/>
          <w:bCs/>
        </w:rPr>
        <w:t>32</w:t>
      </w:r>
      <w:r w:rsidRPr="000C5AC4">
        <w:rPr>
          <w:b/>
          <w:bCs/>
        </w:rPr>
        <w:t>,</w:t>
      </w:r>
      <w:r>
        <w:rPr>
          <w:b/>
          <w:bCs/>
        </w:rPr>
        <w:t>3</w:t>
      </w:r>
      <w:r w:rsidRPr="000C5AC4">
        <w:rPr>
          <w:b/>
          <w:bCs/>
        </w:rPr>
        <w:t>% HDP</w:t>
      </w:r>
      <w:r>
        <w:rPr>
          <w:rStyle w:val="Odkaznapoznmkupodiarou"/>
          <w:b/>
          <w:bCs/>
        </w:rPr>
        <w:footnoteReference w:id="28"/>
      </w:r>
      <w:r w:rsidRPr="000C5AC4">
        <w:rPr>
          <w:b/>
          <w:bCs/>
        </w:rPr>
        <w:t>.</w:t>
      </w:r>
      <w:r w:rsidRPr="000C5AC4">
        <w:t xml:space="preserve"> Implicitné záväzky predstavujú rozdiel medzi očakávanými budúcimi príjmami a očakávanými budúcimi výdavkami subjektov verejnej správy, vyplývajúcich z finančných dôsledkov spôsobených budúcim uplatňovaním práv a povinností (ak tieto už nie sú súčasťou dlhu verejnej správy)</w:t>
      </w:r>
      <w:r w:rsidRPr="000C5AC4">
        <w:rPr>
          <w:vertAlign w:val="superscript"/>
        </w:rPr>
        <w:footnoteReference w:id="29"/>
      </w:r>
      <w:r w:rsidRPr="000C5AC4">
        <w:t>. Kvantifikácia implicitných záväzkov</w:t>
      </w:r>
      <w:r w:rsidRPr="000C5AC4">
        <w:rPr>
          <w:vertAlign w:val="superscript"/>
        </w:rPr>
        <w:footnoteReference w:id="30"/>
      </w:r>
      <w:r w:rsidRPr="000C5AC4">
        <w:t xml:space="preserve"> je založená na sume záväzkov vyplývajúcich primárne zo starnutia populácie, najmä v oblasti dôchodkového a zdravotníckeho systému. Tieto záväzky tvoria dominantnú časť</w:t>
      </w:r>
      <w:r>
        <w:t xml:space="preserve"> </w:t>
      </w:r>
      <w:r w:rsidRPr="000C5AC4">
        <w:t xml:space="preserve">implicitných záväzkov, ktorá vyplýva z očakávaného negatívneho demografického vývoja v Slovenskej republike. Dodatočné vplyvy na saldo tvoria platby za PPP projekty, náklady na likvidáciu jadrových zariadení a splátky za poskytnuté granty z Plánu obnovy. </w:t>
      </w:r>
    </w:p>
    <w:tbl>
      <w:tblPr>
        <w:tblW w:w="5000" w:type="pct"/>
        <w:tblCellMar>
          <w:left w:w="70" w:type="dxa"/>
          <w:right w:w="70" w:type="dxa"/>
        </w:tblCellMar>
        <w:tblLook w:val="04A0" w:firstRow="1" w:lastRow="0" w:firstColumn="1" w:lastColumn="0" w:noHBand="0" w:noVBand="1"/>
      </w:tblPr>
      <w:tblGrid>
        <w:gridCol w:w="7938"/>
        <w:gridCol w:w="1134"/>
      </w:tblGrid>
      <w:tr w:rsidR="00C24F6F" w:rsidRPr="000C5AC4" w14:paraId="352159E6" w14:textId="77777777" w:rsidTr="002B1847">
        <w:trPr>
          <w:trHeight w:val="300"/>
        </w:trPr>
        <w:tc>
          <w:tcPr>
            <w:tcW w:w="4375" w:type="pct"/>
            <w:shd w:val="clear" w:color="auto" w:fill="FFFFFF"/>
            <w:vAlign w:val="center"/>
            <w:hideMark/>
          </w:tcPr>
          <w:p w14:paraId="41957EDF" w14:textId="7CB66505" w:rsidR="00C24F6F" w:rsidRPr="000C5AC4" w:rsidRDefault="00C24F6F" w:rsidP="002B1847">
            <w:pPr>
              <w:spacing w:after="0" w:line="240" w:lineRule="auto"/>
              <w:rPr>
                <w:rFonts w:ascii="Arial Narrow" w:eastAsia="Times New Roman" w:hAnsi="Arial Narrow" w:cs="Calibri"/>
                <w:b/>
                <w:bCs/>
                <w:color w:val="2C9ADC"/>
                <w:sz w:val="20"/>
                <w:szCs w:val="20"/>
                <w:lang w:eastAsia="sk-SK"/>
              </w:rPr>
            </w:pPr>
            <w:bookmarkStart w:id="63" w:name="_Toc179301615"/>
            <w:bookmarkStart w:id="64" w:name="_Toc196813470"/>
            <w:bookmarkStart w:id="65" w:name="_Toc228177383"/>
            <w:r w:rsidRPr="000C5AC4">
              <w:rPr>
                <w:rFonts w:ascii="Arial Narrow" w:eastAsia="Aptos" w:hAnsi="Arial Narrow" w:cs="Arial Narrow"/>
                <w:b/>
                <w:bCs/>
                <w:color w:val="2C9ADC"/>
                <w:sz w:val="20"/>
                <w:szCs w:val="20"/>
              </w:rPr>
              <w:t>TABUĽKA</w:t>
            </w:r>
            <w:r w:rsidRPr="000C5AC4">
              <w:rPr>
                <w:rFonts w:ascii="Arial Narrow" w:eastAsia="Times New Roman" w:hAnsi="Arial Narrow" w:cs="Calibri"/>
                <w:b/>
                <w:bCs/>
                <w:color w:val="2C9ADC"/>
                <w:sz w:val="20"/>
                <w:szCs w:val="20"/>
                <w:lang w:eastAsia="sk-SK"/>
              </w:rPr>
              <w:t xml:space="preserve"> </w:t>
            </w:r>
            <w:r w:rsidRPr="000C5AC4">
              <w:rPr>
                <w:rFonts w:ascii="Aptos" w:eastAsia="Aptos" w:hAnsi="Aptos" w:cs="Times New Roman"/>
              </w:rPr>
              <w:fldChar w:fldCharType="begin"/>
            </w:r>
            <w:r w:rsidRPr="000C5AC4">
              <w:rPr>
                <w:rFonts w:ascii="Arial Narrow" w:eastAsia="Arial Narrow" w:hAnsi="Arial Narrow" w:cs="Arial Narrow"/>
                <w:b/>
                <w:bCs/>
                <w:noProof/>
                <w:color w:val="2C9ADC"/>
                <w:sz w:val="20"/>
                <w:szCs w:val="20"/>
                <w:bdr w:val="none" w:sz="0" w:space="0" w:color="auto" w:frame="1"/>
                <w:lang w:eastAsia="sk-SK"/>
              </w:rPr>
              <w:instrText xml:space="preserve"> SEQ TABUĽKA \* ARABIC </w:instrText>
            </w:r>
            <w:r w:rsidRPr="000C5AC4">
              <w:rPr>
                <w:rFonts w:ascii="Aptos" w:eastAsia="Aptos" w:hAnsi="Aptos" w:cs="Times New Roman"/>
              </w:rPr>
              <w:fldChar w:fldCharType="separate"/>
            </w:r>
            <w:r w:rsidR="008765E2">
              <w:rPr>
                <w:rFonts w:ascii="Arial Narrow" w:eastAsia="Arial Narrow" w:hAnsi="Arial Narrow" w:cs="Arial Narrow"/>
                <w:b/>
                <w:bCs/>
                <w:noProof/>
                <w:color w:val="2C9ADC"/>
                <w:sz w:val="20"/>
                <w:szCs w:val="20"/>
                <w:bdr w:val="none" w:sz="0" w:space="0" w:color="auto" w:frame="1"/>
                <w:lang w:eastAsia="sk-SK"/>
              </w:rPr>
              <w:t>10</w:t>
            </w:r>
            <w:r w:rsidRPr="000C5AC4">
              <w:rPr>
                <w:rFonts w:ascii="Aptos" w:eastAsia="Aptos" w:hAnsi="Aptos" w:cs="Times New Roman"/>
              </w:rPr>
              <w:fldChar w:fldCharType="end"/>
            </w:r>
            <w:r w:rsidRPr="000C5AC4">
              <w:rPr>
                <w:rFonts w:ascii="Arial Narrow" w:eastAsia="Times New Roman" w:hAnsi="Arial Narrow" w:cs="Calibri"/>
                <w:b/>
                <w:bCs/>
                <w:color w:val="2C9ADC"/>
                <w:sz w:val="20"/>
                <w:szCs w:val="20"/>
                <w:lang w:eastAsia="sk-SK"/>
              </w:rPr>
              <w:t xml:space="preserve"> – Implicitné záväzky do roku 206</w:t>
            </w:r>
            <w:r>
              <w:rPr>
                <w:rFonts w:ascii="Arial Narrow" w:eastAsia="Times New Roman" w:hAnsi="Arial Narrow" w:cs="Calibri"/>
                <w:b/>
                <w:bCs/>
                <w:color w:val="2C9ADC"/>
                <w:sz w:val="20"/>
                <w:szCs w:val="20"/>
                <w:lang w:eastAsia="sk-SK"/>
              </w:rPr>
              <w:t>9</w:t>
            </w:r>
            <w:r w:rsidRPr="000C5AC4">
              <w:rPr>
                <w:rFonts w:ascii="Arial Narrow" w:eastAsia="Times New Roman" w:hAnsi="Arial Narrow" w:cs="Calibri"/>
                <w:b/>
                <w:bCs/>
                <w:color w:val="2C9ADC"/>
                <w:sz w:val="20"/>
                <w:szCs w:val="20"/>
                <w:lang w:eastAsia="sk-SK"/>
              </w:rPr>
              <w:t xml:space="preserve"> (% HDP)</w:t>
            </w:r>
            <w:bookmarkEnd w:id="63"/>
            <w:bookmarkEnd w:id="64"/>
            <w:bookmarkEnd w:id="65"/>
          </w:p>
        </w:tc>
        <w:tc>
          <w:tcPr>
            <w:tcW w:w="625" w:type="pct"/>
            <w:shd w:val="clear" w:color="auto" w:fill="FFFFFF"/>
            <w:vAlign w:val="center"/>
            <w:hideMark/>
          </w:tcPr>
          <w:p w14:paraId="1F30FB31" w14:textId="77777777" w:rsidR="00C24F6F" w:rsidRPr="000C5AC4" w:rsidRDefault="00C24F6F" w:rsidP="002B1847">
            <w:pPr>
              <w:spacing w:after="0" w:line="240" w:lineRule="auto"/>
              <w:jc w:val="center"/>
              <w:rPr>
                <w:rFonts w:ascii="Arial Narrow" w:eastAsia="Times New Roman" w:hAnsi="Arial Narrow" w:cs="Calibri"/>
                <w:b/>
                <w:bCs/>
                <w:color w:val="000000"/>
                <w:sz w:val="18"/>
                <w:szCs w:val="18"/>
                <w:lang w:eastAsia="sk-SK"/>
              </w:rPr>
            </w:pPr>
            <w:r w:rsidRPr="000C5AC4">
              <w:rPr>
                <w:rFonts w:ascii="Arial Narrow" w:eastAsia="Times New Roman" w:hAnsi="Arial Narrow" w:cs="Calibri"/>
                <w:b/>
                <w:bCs/>
                <w:color w:val="000000"/>
                <w:sz w:val="18"/>
                <w:szCs w:val="18"/>
                <w:lang w:eastAsia="sk-SK"/>
              </w:rPr>
              <w:t>202</w:t>
            </w:r>
            <w:r>
              <w:rPr>
                <w:rFonts w:ascii="Arial Narrow" w:eastAsia="Times New Roman" w:hAnsi="Arial Narrow" w:cs="Calibri"/>
                <w:b/>
                <w:bCs/>
                <w:color w:val="000000"/>
                <w:sz w:val="18"/>
                <w:szCs w:val="18"/>
                <w:lang w:eastAsia="sk-SK"/>
              </w:rPr>
              <w:t>6</w:t>
            </w:r>
          </w:p>
        </w:tc>
      </w:tr>
      <w:tr w:rsidR="00C24F6F" w:rsidRPr="000C5AC4" w14:paraId="21AC0C8E" w14:textId="77777777" w:rsidTr="002B1847">
        <w:trPr>
          <w:trHeight w:val="300"/>
        </w:trPr>
        <w:tc>
          <w:tcPr>
            <w:tcW w:w="4375" w:type="pct"/>
            <w:tcBorders>
              <w:top w:val="single" w:sz="8" w:space="0" w:color="auto"/>
              <w:left w:val="nil"/>
              <w:bottom w:val="nil"/>
              <w:right w:val="nil"/>
            </w:tcBorders>
            <w:vAlign w:val="center"/>
            <w:hideMark/>
          </w:tcPr>
          <w:p w14:paraId="5B8290E3" w14:textId="77777777" w:rsidR="00C24F6F" w:rsidRPr="000C5AC4" w:rsidRDefault="00C24F6F" w:rsidP="002B1847">
            <w:pPr>
              <w:spacing w:after="0" w:line="240" w:lineRule="auto"/>
              <w:rPr>
                <w:rFonts w:ascii="Arial Narrow" w:eastAsia="Times New Roman" w:hAnsi="Arial Narrow" w:cs="Calibri"/>
                <w:color w:val="000000"/>
                <w:sz w:val="18"/>
                <w:szCs w:val="18"/>
                <w:lang w:eastAsia="sk-SK"/>
              </w:rPr>
            </w:pPr>
            <w:r w:rsidRPr="000C5AC4">
              <w:rPr>
                <w:rFonts w:ascii="Arial Narrow" w:eastAsia="Times New Roman" w:hAnsi="Arial Narrow" w:cs="Calibri"/>
                <w:color w:val="000000"/>
                <w:sz w:val="18"/>
                <w:szCs w:val="18"/>
                <w:lang w:eastAsia="sk-SK"/>
              </w:rPr>
              <w:t>Vplyv starnutia populácie</w:t>
            </w:r>
          </w:p>
        </w:tc>
        <w:tc>
          <w:tcPr>
            <w:tcW w:w="625" w:type="pct"/>
            <w:tcBorders>
              <w:top w:val="single" w:sz="8" w:space="0" w:color="auto"/>
              <w:left w:val="nil"/>
              <w:bottom w:val="nil"/>
              <w:right w:val="nil"/>
            </w:tcBorders>
            <w:vAlign w:val="center"/>
            <w:hideMark/>
          </w:tcPr>
          <w:p w14:paraId="3AFD477B" w14:textId="77777777" w:rsidR="00C24F6F" w:rsidRPr="000C5AC4" w:rsidRDefault="00C24F6F" w:rsidP="002B1847">
            <w:pPr>
              <w:spacing w:after="0" w:line="240" w:lineRule="auto"/>
              <w:jc w:val="center"/>
              <w:rPr>
                <w:rFonts w:ascii="Arial Narrow" w:eastAsia="Times New Roman" w:hAnsi="Arial Narrow" w:cs="Calibri"/>
                <w:sz w:val="18"/>
                <w:szCs w:val="18"/>
                <w:lang w:eastAsia="sk-SK"/>
              </w:rPr>
            </w:pPr>
            <w:r w:rsidRPr="000C5AC4">
              <w:rPr>
                <w:rFonts w:ascii="Arial Narrow" w:eastAsia="Times New Roman" w:hAnsi="Arial Narrow" w:cs="Calibri"/>
                <w:sz w:val="18"/>
                <w:szCs w:val="18"/>
                <w:lang w:eastAsia="sk-SK"/>
              </w:rPr>
              <w:t>-1</w:t>
            </w:r>
            <w:r>
              <w:rPr>
                <w:rFonts w:ascii="Arial Narrow" w:eastAsia="Times New Roman" w:hAnsi="Arial Narrow" w:cs="Calibri"/>
                <w:sz w:val="18"/>
                <w:szCs w:val="18"/>
                <w:lang w:eastAsia="sk-SK"/>
              </w:rPr>
              <w:t>30</w:t>
            </w:r>
            <w:r w:rsidRPr="000C5AC4">
              <w:rPr>
                <w:rFonts w:ascii="Arial Narrow" w:eastAsia="Times New Roman" w:hAnsi="Arial Narrow" w:cs="Calibri"/>
                <w:sz w:val="18"/>
                <w:szCs w:val="18"/>
                <w:lang w:eastAsia="sk-SK"/>
              </w:rPr>
              <w:t>,</w:t>
            </w:r>
            <w:r>
              <w:rPr>
                <w:rFonts w:ascii="Arial Narrow" w:eastAsia="Times New Roman" w:hAnsi="Arial Narrow" w:cs="Calibri"/>
                <w:sz w:val="18"/>
                <w:szCs w:val="18"/>
                <w:lang w:eastAsia="sk-SK"/>
              </w:rPr>
              <w:t>6</w:t>
            </w:r>
            <w:r w:rsidRPr="000C5AC4">
              <w:rPr>
                <w:rFonts w:ascii="Arial Narrow" w:eastAsia="Times New Roman" w:hAnsi="Arial Narrow" w:cs="Calibri"/>
                <w:sz w:val="18"/>
                <w:szCs w:val="18"/>
                <w:lang w:eastAsia="sk-SK"/>
              </w:rPr>
              <w:t xml:space="preserve"> %</w:t>
            </w:r>
          </w:p>
        </w:tc>
      </w:tr>
      <w:tr w:rsidR="00C24F6F" w:rsidRPr="000C5AC4" w14:paraId="1A832A5D" w14:textId="77777777" w:rsidTr="002B1847">
        <w:trPr>
          <w:trHeight w:val="300"/>
        </w:trPr>
        <w:tc>
          <w:tcPr>
            <w:tcW w:w="4375" w:type="pct"/>
            <w:vAlign w:val="center"/>
            <w:hideMark/>
          </w:tcPr>
          <w:p w14:paraId="606A7961" w14:textId="77777777" w:rsidR="00C24F6F" w:rsidRPr="000C5AC4" w:rsidRDefault="00C24F6F" w:rsidP="002B1847">
            <w:pPr>
              <w:spacing w:after="0" w:line="240" w:lineRule="auto"/>
              <w:rPr>
                <w:rFonts w:ascii="Arial Narrow" w:eastAsia="Times New Roman" w:hAnsi="Arial Narrow" w:cs="Calibri"/>
                <w:color w:val="000000"/>
                <w:sz w:val="18"/>
                <w:szCs w:val="18"/>
                <w:lang w:eastAsia="sk-SK"/>
              </w:rPr>
            </w:pPr>
            <w:r w:rsidRPr="000C5AC4">
              <w:rPr>
                <w:rFonts w:ascii="Arial Narrow" w:eastAsia="Times New Roman" w:hAnsi="Arial Narrow" w:cs="Calibri"/>
                <w:color w:val="000000"/>
                <w:sz w:val="18"/>
                <w:szCs w:val="18"/>
                <w:lang w:eastAsia="sk-SK"/>
              </w:rPr>
              <w:t>Vplyv PPP projektov</w:t>
            </w:r>
          </w:p>
        </w:tc>
        <w:tc>
          <w:tcPr>
            <w:tcW w:w="625" w:type="pct"/>
            <w:vAlign w:val="center"/>
            <w:hideMark/>
          </w:tcPr>
          <w:p w14:paraId="6FBF5740" w14:textId="77777777" w:rsidR="00C24F6F" w:rsidRPr="000C5AC4" w:rsidRDefault="00C24F6F" w:rsidP="002B1847">
            <w:pPr>
              <w:spacing w:after="0" w:line="240" w:lineRule="auto"/>
              <w:jc w:val="center"/>
              <w:rPr>
                <w:rFonts w:ascii="Arial Narrow" w:eastAsia="Times New Roman" w:hAnsi="Arial Narrow" w:cs="Calibri"/>
                <w:sz w:val="18"/>
                <w:szCs w:val="18"/>
                <w:lang w:eastAsia="sk-SK"/>
              </w:rPr>
            </w:pPr>
            <w:r w:rsidRPr="000C5AC4">
              <w:rPr>
                <w:rFonts w:ascii="Arial Narrow" w:eastAsia="Times New Roman" w:hAnsi="Arial Narrow" w:cs="Calibri"/>
                <w:sz w:val="18"/>
                <w:szCs w:val="18"/>
                <w:lang w:eastAsia="sk-SK"/>
              </w:rPr>
              <w:t>-2,</w:t>
            </w:r>
            <w:r>
              <w:rPr>
                <w:rFonts w:ascii="Arial Narrow" w:eastAsia="Times New Roman" w:hAnsi="Arial Narrow" w:cs="Calibri"/>
                <w:sz w:val="18"/>
                <w:szCs w:val="18"/>
                <w:lang w:eastAsia="sk-SK"/>
              </w:rPr>
              <w:t>0</w:t>
            </w:r>
            <w:r w:rsidRPr="000C5AC4">
              <w:rPr>
                <w:rFonts w:ascii="Arial Narrow" w:eastAsia="Times New Roman" w:hAnsi="Arial Narrow" w:cs="Calibri"/>
                <w:sz w:val="18"/>
                <w:szCs w:val="18"/>
                <w:lang w:eastAsia="sk-SK"/>
              </w:rPr>
              <w:t xml:space="preserve"> %</w:t>
            </w:r>
          </w:p>
        </w:tc>
      </w:tr>
      <w:tr w:rsidR="00C24F6F" w:rsidRPr="000C5AC4" w14:paraId="69D86BDB" w14:textId="77777777" w:rsidTr="002B1847">
        <w:trPr>
          <w:trHeight w:val="300"/>
        </w:trPr>
        <w:tc>
          <w:tcPr>
            <w:tcW w:w="4375" w:type="pct"/>
            <w:vAlign w:val="center"/>
            <w:hideMark/>
          </w:tcPr>
          <w:p w14:paraId="34FCEBDB" w14:textId="77777777" w:rsidR="00C24F6F" w:rsidRPr="000C5AC4" w:rsidRDefault="00C24F6F" w:rsidP="002B1847">
            <w:pPr>
              <w:spacing w:after="0" w:line="240" w:lineRule="auto"/>
              <w:rPr>
                <w:rFonts w:ascii="Arial Narrow" w:eastAsia="Times New Roman" w:hAnsi="Arial Narrow" w:cs="Calibri"/>
                <w:color w:val="000000"/>
                <w:sz w:val="18"/>
                <w:szCs w:val="18"/>
                <w:lang w:eastAsia="sk-SK"/>
              </w:rPr>
            </w:pPr>
            <w:r w:rsidRPr="000C5AC4">
              <w:rPr>
                <w:rFonts w:ascii="Arial Narrow" w:eastAsia="Times New Roman" w:hAnsi="Arial Narrow" w:cs="Calibri"/>
                <w:color w:val="000000"/>
                <w:sz w:val="18"/>
                <w:szCs w:val="18"/>
                <w:lang w:eastAsia="sk-SK"/>
              </w:rPr>
              <w:t>Vplyv Národného jadrového fondu</w:t>
            </w:r>
          </w:p>
        </w:tc>
        <w:tc>
          <w:tcPr>
            <w:tcW w:w="625" w:type="pct"/>
            <w:vAlign w:val="center"/>
            <w:hideMark/>
          </w:tcPr>
          <w:p w14:paraId="65F101A1" w14:textId="77777777" w:rsidR="00C24F6F" w:rsidRPr="000C5AC4" w:rsidRDefault="00C24F6F" w:rsidP="002B1847">
            <w:pPr>
              <w:spacing w:after="0" w:line="240" w:lineRule="auto"/>
              <w:jc w:val="center"/>
              <w:rPr>
                <w:rFonts w:ascii="Arial Narrow" w:eastAsia="Times New Roman" w:hAnsi="Arial Narrow" w:cs="Calibri"/>
                <w:sz w:val="18"/>
                <w:szCs w:val="18"/>
                <w:lang w:eastAsia="sk-SK"/>
              </w:rPr>
            </w:pPr>
            <w:r w:rsidRPr="000C5AC4">
              <w:rPr>
                <w:rFonts w:ascii="Arial Narrow" w:eastAsia="Times New Roman" w:hAnsi="Arial Narrow" w:cs="Calibri"/>
                <w:sz w:val="18"/>
                <w:szCs w:val="18"/>
                <w:lang w:eastAsia="sk-SK"/>
              </w:rPr>
              <w:t>2,</w:t>
            </w:r>
            <w:r>
              <w:rPr>
                <w:rFonts w:ascii="Arial Narrow" w:eastAsia="Times New Roman" w:hAnsi="Arial Narrow" w:cs="Calibri"/>
                <w:sz w:val="18"/>
                <w:szCs w:val="18"/>
                <w:lang w:eastAsia="sk-SK"/>
              </w:rPr>
              <w:t>6</w:t>
            </w:r>
            <w:r w:rsidRPr="000C5AC4">
              <w:rPr>
                <w:rFonts w:ascii="Arial Narrow" w:eastAsia="Times New Roman" w:hAnsi="Arial Narrow" w:cs="Calibri"/>
                <w:sz w:val="18"/>
                <w:szCs w:val="18"/>
                <w:lang w:eastAsia="sk-SK"/>
              </w:rPr>
              <w:t xml:space="preserve"> %</w:t>
            </w:r>
          </w:p>
        </w:tc>
      </w:tr>
      <w:tr w:rsidR="00C24F6F" w:rsidRPr="000C5AC4" w14:paraId="5D8A67CC" w14:textId="77777777" w:rsidTr="002B1847">
        <w:trPr>
          <w:trHeight w:val="300"/>
        </w:trPr>
        <w:tc>
          <w:tcPr>
            <w:tcW w:w="4375" w:type="pct"/>
            <w:tcBorders>
              <w:top w:val="nil"/>
              <w:left w:val="nil"/>
              <w:bottom w:val="single" w:sz="4" w:space="0" w:color="auto"/>
              <w:right w:val="nil"/>
            </w:tcBorders>
            <w:vAlign w:val="center"/>
            <w:hideMark/>
          </w:tcPr>
          <w:p w14:paraId="2EAE9FC1" w14:textId="77777777" w:rsidR="00C24F6F" w:rsidRPr="000C5AC4" w:rsidRDefault="00C24F6F" w:rsidP="002B1847">
            <w:pPr>
              <w:spacing w:after="0" w:line="240" w:lineRule="auto"/>
              <w:rPr>
                <w:rFonts w:ascii="Arial Narrow" w:eastAsia="Times New Roman" w:hAnsi="Arial Narrow" w:cs="Calibri"/>
                <w:color w:val="000000"/>
                <w:sz w:val="18"/>
                <w:szCs w:val="18"/>
                <w:lang w:eastAsia="sk-SK"/>
              </w:rPr>
            </w:pPr>
            <w:r w:rsidRPr="000C5AC4">
              <w:rPr>
                <w:rFonts w:ascii="Arial Narrow" w:eastAsia="Times New Roman" w:hAnsi="Arial Narrow" w:cs="Calibri"/>
                <w:color w:val="000000"/>
                <w:sz w:val="18"/>
                <w:szCs w:val="18"/>
                <w:lang w:eastAsia="sk-SK"/>
              </w:rPr>
              <w:t>Vplyv Plánu obnovy (NGEU)</w:t>
            </w:r>
          </w:p>
        </w:tc>
        <w:tc>
          <w:tcPr>
            <w:tcW w:w="625" w:type="pct"/>
            <w:tcBorders>
              <w:top w:val="nil"/>
              <w:left w:val="nil"/>
              <w:bottom w:val="single" w:sz="4" w:space="0" w:color="auto"/>
              <w:right w:val="nil"/>
            </w:tcBorders>
            <w:vAlign w:val="center"/>
            <w:hideMark/>
          </w:tcPr>
          <w:p w14:paraId="7C3377DE" w14:textId="77777777" w:rsidR="00C24F6F" w:rsidRPr="000C5AC4" w:rsidRDefault="00C24F6F" w:rsidP="002B1847">
            <w:pPr>
              <w:spacing w:after="0" w:line="240" w:lineRule="auto"/>
              <w:jc w:val="center"/>
              <w:rPr>
                <w:rFonts w:ascii="Arial Narrow" w:eastAsia="Times New Roman" w:hAnsi="Arial Narrow" w:cs="Calibri"/>
                <w:sz w:val="18"/>
                <w:szCs w:val="18"/>
                <w:lang w:eastAsia="sk-SK"/>
              </w:rPr>
            </w:pPr>
            <w:r w:rsidRPr="000C5AC4">
              <w:rPr>
                <w:rFonts w:ascii="Arial Narrow" w:eastAsia="Times New Roman" w:hAnsi="Arial Narrow" w:cs="Calibri"/>
                <w:sz w:val="18"/>
                <w:szCs w:val="18"/>
                <w:lang w:eastAsia="sk-SK"/>
              </w:rPr>
              <w:t>-2,</w:t>
            </w:r>
            <w:r>
              <w:rPr>
                <w:rFonts w:ascii="Arial Narrow" w:eastAsia="Times New Roman" w:hAnsi="Arial Narrow" w:cs="Calibri"/>
                <w:sz w:val="18"/>
                <w:szCs w:val="18"/>
                <w:lang w:eastAsia="sk-SK"/>
              </w:rPr>
              <w:t>4</w:t>
            </w:r>
            <w:r w:rsidRPr="000C5AC4">
              <w:rPr>
                <w:rFonts w:ascii="Arial Narrow" w:eastAsia="Times New Roman" w:hAnsi="Arial Narrow" w:cs="Calibri"/>
                <w:sz w:val="18"/>
                <w:szCs w:val="18"/>
                <w:lang w:eastAsia="sk-SK"/>
              </w:rPr>
              <w:t xml:space="preserve"> %</w:t>
            </w:r>
          </w:p>
        </w:tc>
      </w:tr>
      <w:tr w:rsidR="00C24F6F" w:rsidRPr="000C5AC4" w14:paraId="304E4D8D" w14:textId="77777777" w:rsidTr="002B1847">
        <w:trPr>
          <w:trHeight w:val="300"/>
        </w:trPr>
        <w:tc>
          <w:tcPr>
            <w:tcW w:w="4375" w:type="pct"/>
            <w:tcBorders>
              <w:top w:val="single" w:sz="4" w:space="0" w:color="auto"/>
              <w:left w:val="nil"/>
              <w:bottom w:val="single" w:sz="8" w:space="0" w:color="auto"/>
              <w:right w:val="nil"/>
            </w:tcBorders>
            <w:vAlign w:val="center"/>
            <w:hideMark/>
          </w:tcPr>
          <w:p w14:paraId="21BCE988" w14:textId="77777777" w:rsidR="00C24F6F" w:rsidRPr="000C5AC4" w:rsidRDefault="00C24F6F" w:rsidP="002B1847">
            <w:pPr>
              <w:spacing w:after="0" w:line="240" w:lineRule="auto"/>
              <w:rPr>
                <w:rFonts w:ascii="Arial Narrow" w:eastAsia="Times New Roman" w:hAnsi="Arial Narrow" w:cs="Calibri"/>
                <w:b/>
                <w:bCs/>
                <w:color w:val="000000"/>
                <w:sz w:val="18"/>
                <w:szCs w:val="18"/>
                <w:lang w:eastAsia="sk-SK"/>
              </w:rPr>
            </w:pPr>
            <w:r w:rsidRPr="000C5AC4">
              <w:rPr>
                <w:rFonts w:ascii="Arial Narrow" w:eastAsia="Times New Roman" w:hAnsi="Arial Narrow" w:cs="Calibri"/>
                <w:b/>
                <w:bCs/>
                <w:color w:val="000000"/>
                <w:sz w:val="18"/>
                <w:szCs w:val="18"/>
                <w:lang w:eastAsia="sk-SK"/>
              </w:rPr>
              <w:t>Celkom</w:t>
            </w:r>
          </w:p>
        </w:tc>
        <w:tc>
          <w:tcPr>
            <w:tcW w:w="625" w:type="pct"/>
            <w:tcBorders>
              <w:top w:val="single" w:sz="4" w:space="0" w:color="auto"/>
              <w:left w:val="nil"/>
              <w:bottom w:val="single" w:sz="8" w:space="0" w:color="auto"/>
              <w:right w:val="nil"/>
            </w:tcBorders>
            <w:vAlign w:val="center"/>
            <w:hideMark/>
          </w:tcPr>
          <w:p w14:paraId="6757D9E0" w14:textId="77777777" w:rsidR="00C24F6F" w:rsidRPr="000C5AC4" w:rsidRDefault="00C24F6F" w:rsidP="002B1847">
            <w:pPr>
              <w:spacing w:after="0" w:line="240" w:lineRule="auto"/>
              <w:jc w:val="center"/>
              <w:rPr>
                <w:rFonts w:ascii="Arial Narrow" w:eastAsia="Times New Roman" w:hAnsi="Arial Narrow" w:cs="Calibri"/>
                <w:b/>
                <w:bCs/>
                <w:sz w:val="18"/>
                <w:szCs w:val="18"/>
                <w:lang w:eastAsia="sk-SK"/>
              </w:rPr>
            </w:pPr>
            <w:r w:rsidRPr="000C5AC4">
              <w:rPr>
                <w:rFonts w:ascii="Arial Narrow" w:eastAsia="Times New Roman" w:hAnsi="Arial Narrow" w:cs="Calibri"/>
                <w:b/>
                <w:bCs/>
                <w:sz w:val="18"/>
                <w:szCs w:val="18"/>
                <w:lang w:eastAsia="sk-SK"/>
              </w:rPr>
              <w:t>-1</w:t>
            </w:r>
            <w:r>
              <w:rPr>
                <w:rFonts w:ascii="Arial Narrow" w:eastAsia="Times New Roman" w:hAnsi="Arial Narrow" w:cs="Calibri"/>
                <w:b/>
                <w:bCs/>
                <w:sz w:val="18"/>
                <w:szCs w:val="18"/>
                <w:lang w:eastAsia="sk-SK"/>
              </w:rPr>
              <w:t>32</w:t>
            </w:r>
            <w:r w:rsidRPr="000C5AC4">
              <w:rPr>
                <w:rFonts w:ascii="Arial Narrow" w:eastAsia="Times New Roman" w:hAnsi="Arial Narrow" w:cs="Calibri"/>
                <w:b/>
                <w:bCs/>
                <w:sz w:val="18"/>
                <w:szCs w:val="18"/>
                <w:lang w:eastAsia="sk-SK"/>
              </w:rPr>
              <w:t>,</w:t>
            </w:r>
            <w:r>
              <w:rPr>
                <w:rFonts w:ascii="Arial Narrow" w:eastAsia="Times New Roman" w:hAnsi="Arial Narrow" w:cs="Calibri"/>
                <w:b/>
                <w:bCs/>
                <w:sz w:val="18"/>
                <w:szCs w:val="18"/>
                <w:lang w:eastAsia="sk-SK"/>
              </w:rPr>
              <w:t>3</w:t>
            </w:r>
            <w:r w:rsidRPr="000C5AC4">
              <w:rPr>
                <w:rFonts w:ascii="Arial Narrow" w:eastAsia="Times New Roman" w:hAnsi="Arial Narrow" w:cs="Calibri"/>
                <w:b/>
                <w:bCs/>
                <w:sz w:val="18"/>
                <w:szCs w:val="18"/>
                <w:lang w:eastAsia="sk-SK"/>
              </w:rPr>
              <w:t xml:space="preserve"> %</w:t>
            </w:r>
          </w:p>
        </w:tc>
      </w:tr>
      <w:tr w:rsidR="00C24F6F" w:rsidRPr="008E7F52" w14:paraId="364438C5" w14:textId="77777777" w:rsidTr="002B1847">
        <w:trPr>
          <w:trHeight w:val="300"/>
        </w:trPr>
        <w:tc>
          <w:tcPr>
            <w:tcW w:w="4375" w:type="pct"/>
            <w:tcBorders>
              <w:top w:val="single" w:sz="8" w:space="0" w:color="auto"/>
              <w:left w:val="nil"/>
              <w:bottom w:val="nil"/>
              <w:right w:val="nil"/>
            </w:tcBorders>
            <w:vAlign w:val="center"/>
            <w:hideMark/>
          </w:tcPr>
          <w:p w14:paraId="4701F8A2" w14:textId="77777777" w:rsidR="00C24F6F" w:rsidRPr="000C5AC4" w:rsidRDefault="00C24F6F" w:rsidP="002B1847">
            <w:pPr>
              <w:spacing w:after="0" w:line="240" w:lineRule="auto"/>
              <w:rPr>
                <w:rFonts w:ascii="Arial Narrow" w:eastAsia="Times New Roman" w:hAnsi="Arial Narrow" w:cs="Calibri"/>
                <w:i/>
                <w:iCs/>
                <w:color w:val="000000"/>
                <w:sz w:val="16"/>
                <w:szCs w:val="16"/>
                <w:lang w:eastAsia="sk-SK"/>
              </w:rPr>
            </w:pPr>
            <w:r w:rsidRPr="000C5AC4">
              <w:rPr>
                <w:rFonts w:ascii="Arial Narrow" w:eastAsia="Times New Roman" w:hAnsi="Arial Narrow" w:cs="Calibri"/>
                <w:i/>
                <w:iCs/>
                <w:color w:val="000000"/>
                <w:sz w:val="16"/>
                <w:szCs w:val="16"/>
                <w:lang w:eastAsia="sk-SK"/>
              </w:rPr>
              <w:t>Pozn.: (+) vplyvy znižujúce výšku implicitných záväzkov (-) vplyvy zvyšujúce výšku implicitných záväzkov.</w:t>
            </w:r>
          </w:p>
        </w:tc>
        <w:tc>
          <w:tcPr>
            <w:tcW w:w="625" w:type="pct"/>
            <w:tcBorders>
              <w:top w:val="single" w:sz="8" w:space="0" w:color="auto"/>
              <w:left w:val="nil"/>
              <w:bottom w:val="nil"/>
              <w:right w:val="nil"/>
            </w:tcBorders>
            <w:noWrap/>
            <w:vAlign w:val="center"/>
            <w:hideMark/>
          </w:tcPr>
          <w:p w14:paraId="31AC3399" w14:textId="77777777" w:rsidR="00C24F6F" w:rsidRPr="000C5AC4" w:rsidRDefault="00C24F6F" w:rsidP="002B1847">
            <w:pPr>
              <w:spacing w:after="0" w:line="240" w:lineRule="auto"/>
              <w:jc w:val="right"/>
              <w:rPr>
                <w:rFonts w:ascii="Arial Narrow" w:eastAsia="Times New Roman" w:hAnsi="Arial Narrow" w:cs="Calibri"/>
                <w:i/>
                <w:iCs/>
                <w:color w:val="000000"/>
                <w:sz w:val="16"/>
                <w:szCs w:val="16"/>
                <w:lang w:eastAsia="sk-SK"/>
              </w:rPr>
            </w:pPr>
            <w:r w:rsidRPr="000C5AC4">
              <w:rPr>
                <w:rFonts w:ascii="Arial Narrow" w:eastAsia="Times New Roman" w:hAnsi="Arial Narrow" w:cs="Calibri"/>
                <w:i/>
                <w:iCs/>
                <w:color w:val="000000"/>
                <w:sz w:val="16"/>
                <w:szCs w:val="16"/>
                <w:lang w:eastAsia="sk-SK"/>
              </w:rPr>
              <w:t>Zdroj: MF SR</w:t>
            </w:r>
          </w:p>
        </w:tc>
      </w:tr>
    </w:tbl>
    <w:p w14:paraId="72429C47" w14:textId="77777777" w:rsidR="00C24F6F" w:rsidRPr="008E7F52" w:rsidRDefault="00C24F6F" w:rsidP="00C24F6F">
      <w:pPr>
        <w:pStyle w:val="ifptext"/>
        <w:rPr>
          <w:highlight w:val="yellow"/>
        </w:rPr>
      </w:pPr>
    </w:p>
    <w:p w14:paraId="00725146" w14:textId="77777777" w:rsidR="00C24F6F" w:rsidRPr="00735572" w:rsidRDefault="00C24F6F" w:rsidP="00C24F6F">
      <w:pPr>
        <w:rPr>
          <w:color w:val="2C9ADC"/>
        </w:rPr>
      </w:pPr>
      <w:r w:rsidRPr="00735572">
        <w:rPr>
          <w:rFonts w:ascii="Arial Narrow" w:hAnsi="Arial Narrow"/>
          <w:b/>
          <w:color w:val="2C9ADC"/>
          <w:sz w:val="24"/>
          <w:szCs w:val="24"/>
        </w:rPr>
        <w:lastRenderedPageBreak/>
        <w:t>Príloha 3 – Prognóza hrubého dlhu verejnej správy podľa hotovostných tokov</w:t>
      </w:r>
    </w:p>
    <w:p w14:paraId="3CA4991C" w14:textId="77777777" w:rsidR="00C24F6F" w:rsidRPr="00735572" w:rsidRDefault="00C24F6F" w:rsidP="00C24F6F">
      <w:pPr>
        <w:spacing w:after="0"/>
        <w:jc w:val="both"/>
        <w:rPr>
          <w:rFonts w:ascii="Arial Narrow" w:hAnsi="Arial Narrow"/>
        </w:rPr>
      </w:pPr>
      <w:bookmarkStart w:id="66" w:name="_Toc526783488"/>
      <w:bookmarkStart w:id="67" w:name="_Toc53500236"/>
      <w:r w:rsidRPr="00735572">
        <w:rPr>
          <w:rFonts w:ascii="Arial Narrow" w:hAnsi="Arial Narrow"/>
        </w:rPr>
        <w:t xml:space="preserve">Vývoj nominálneho dlhu bude ostane na celom horizonte ovplyvnený potrebou krytia hotovostných schodkov štátneho rozpočtu. Úverová aktivita ostatných subjektov verejnej prispeje k rastu zadlženia verejnej správy, s najväčším vplyvom spoločnostiach železničnej dopravy. </w:t>
      </w:r>
      <w:bookmarkStart w:id="68" w:name="_Toc85887947"/>
      <w:bookmarkStart w:id="69" w:name="_Toc117765236"/>
      <w:r w:rsidRPr="00735572">
        <w:rPr>
          <w:rFonts w:ascii="Arial Narrow" w:hAnsi="Arial Narrow"/>
        </w:rPr>
        <w:t>K nárastu zadlženia verejnej správy prispejú aj ostatné subjekty verejnej správy Eximbanka a dopravné podniky miest a obcí. Pod nárast zadlženia sa podpíšu aj stále vysoké diskonty pri emisii dlhopisov. Pretrvávajúce vysoké úrokové sadzby totiž pri nízkych kupónoch štátnych dlhopisov z emisií v minulosti zvyšujú požadované diskonty pri súčasných aukciách.</w:t>
      </w:r>
    </w:p>
    <w:p w14:paraId="1192A73C" w14:textId="77777777" w:rsidR="00C24F6F" w:rsidRPr="00750062" w:rsidRDefault="00C24F6F" w:rsidP="00C24F6F">
      <w:pPr>
        <w:spacing w:after="0"/>
        <w:jc w:val="both"/>
        <w:rPr>
          <w:rFonts w:ascii="Arial Narrow" w:hAnsi="Arial Narrow"/>
          <w:sz w:val="8"/>
        </w:rPr>
      </w:pPr>
    </w:p>
    <w:p w14:paraId="4226627E" w14:textId="405803CF" w:rsidR="00C24F6F" w:rsidRPr="00750062" w:rsidRDefault="00C24F6F" w:rsidP="00C24F6F">
      <w:pPr>
        <w:pStyle w:val="Tabuka"/>
        <w:framePr w:wrap="around"/>
      </w:pPr>
      <w:bookmarkStart w:id="70" w:name="_Toc153185521"/>
      <w:bookmarkStart w:id="71" w:name="_Toc196813471"/>
      <w:bookmarkStart w:id="72" w:name="_Toc228177384"/>
      <w:r w:rsidRPr="00750062">
        <w:t xml:space="preserve">TABUĽKA </w:t>
      </w:r>
      <w:fldSimple w:instr=" SEQ TABUĽKA \* ARABIC ">
        <w:r w:rsidR="008765E2">
          <w:rPr>
            <w:noProof/>
          </w:rPr>
          <w:t>11</w:t>
        </w:r>
      </w:fldSimple>
      <w:r w:rsidRPr="00750062">
        <w:t xml:space="preserve"> – Hotovostné vplyvy na zmenu nominálneho dlhu v scenári rozpočtových cieľov (mil. eur)</w:t>
      </w:r>
      <w:bookmarkEnd w:id="66"/>
      <w:bookmarkEnd w:id="67"/>
      <w:bookmarkEnd w:id="68"/>
      <w:bookmarkEnd w:id="69"/>
      <w:bookmarkEnd w:id="70"/>
      <w:bookmarkEnd w:id="71"/>
      <w:bookmarkEnd w:id="72"/>
    </w:p>
    <w:tbl>
      <w:tblPr>
        <w:tblW w:w="5000" w:type="pct"/>
        <w:tblLayout w:type="fixed"/>
        <w:tblCellMar>
          <w:left w:w="70" w:type="dxa"/>
          <w:right w:w="70" w:type="dxa"/>
        </w:tblCellMar>
        <w:tblLook w:val="0400" w:firstRow="0" w:lastRow="0" w:firstColumn="0" w:lastColumn="0" w:noHBand="0" w:noVBand="1"/>
      </w:tblPr>
      <w:tblGrid>
        <w:gridCol w:w="3971"/>
        <w:gridCol w:w="725"/>
        <w:gridCol w:w="726"/>
        <w:gridCol w:w="726"/>
        <w:gridCol w:w="726"/>
        <w:gridCol w:w="445"/>
        <w:gridCol w:w="281"/>
        <w:gridCol w:w="726"/>
        <w:gridCol w:w="726"/>
        <w:gridCol w:w="20"/>
      </w:tblGrid>
      <w:tr w:rsidR="00C24F6F" w:rsidRPr="008E7F52" w14:paraId="22A28D7D" w14:textId="77777777" w:rsidTr="002B1847">
        <w:trPr>
          <w:gridAfter w:val="1"/>
          <w:wAfter w:w="11" w:type="pct"/>
          <w:trHeight w:val="249"/>
        </w:trPr>
        <w:tc>
          <w:tcPr>
            <w:tcW w:w="2189" w:type="pct"/>
            <w:tcBorders>
              <w:left w:val="nil"/>
              <w:bottom w:val="single" w:sz="4" w:space="0" w:color="auto"/>
            </w:tcBorders>
          </w:tcPr>
          <w:p w14:paraId="559D505E" w14:textId="77777777" w:rsidR="00C24F6F" w:rsidRPr="00750062" w:rsidRDefault="00C24F6F" w:rsidP="002B1847">
            <w:pPr>
              <w:spacing w:after="0" w:line="240" w:lineRule="auto"/>
              <w:rPr>
                <w:rFonts w:ascii="Arial Narrow" w:hAnsi="Arial Narrow"/>
                <w:sz w:val="16"/>
                <w:szCs w:val="16"/>
              </w:rPr>
            </w:pPr>
          </w:p>
        </w:tc>
        <w:tc>
          <w:tcPr>
            <w:tcW w:w="400" w:type="pct"/>
            <w:tcBorders>
              <w:bottom w:val="single" w:sz="4" w:space="0" w:color="auto"/>
            </w:tcBorders>
          </w:tcPr>
          <w:p w14:paraId="0F2102C3" w14:textId="77777777" w:rsidR="00C24F6F" w:rsidRPr="00750062" w:rsidRDefault="00C24F6F" w:rsidP="002B1847">
            <w:pPr>
              <w:spacing w:after="0"/>
              <w:jc w:val="right"/>
              <w:rPr>
                <w:rFonts w:ascii="Arial Narrow" w:hAnsi="Arial Narrow" w:cs="Arial"/>
                <w:b/>
                <w:bCs/>
                <w:sz w:val="16"/>
                <w:szCs w:val="16"/>
              </w:rPr>
            </w:pPr>
            <w:r w:rsidRPr="00750062">
              <w:rPr>
                <w:rFonts w:ascii="Arial Narrow" w:hAnsi="Arial Narrow" w:cs="Times New Roman"/>
                <w:b/>
                <w:sz w:val="16"/>
                <w:szCs w:val="16"/>
              </w:rPr>
              <w:t>2022</w:t>
            </w:r>
          </w:p>
        </w:tc>
        <w:tc>
          <w:tcPr>
            <w:tcW w:w="400" w:type="pct"/>
            <w:tcBorders>
              <w:bottom w:val="single" w:sz="4" w:space="0" w:color="auto"/>
            </w:tcBorders>
          </w:tcPr>
          <w:p w14:paraId="0073B9CD" w14:textId="77777777" w:rsidR="00C24F6F" w:rsidRPr="00750062" w:rsidRDefault="00C24F6F" w:rsidP="002B1847">
            <w:pPr>
              <w:spacing w:after="0"/>
              <w:jc w:val="right"/>
              <w:rPr>
                <w:rFonts w:ascii="Arial Narrow" w:hAnsi="Arial Narrow" w:cs="Arial"/>
                <w:b/>
                <w:bCs/>
                <w:sz w:val="16"/>
                <w:szCs w:val="16"/>
              </w:rPr>
            </w:pPr>
            <w:r w:rsidRPr="00750062">
              <w:rPr>
                <w:rFonts w:ascii="Arial Narrow" w:hAnsi="Arial Narrow" w:cs="Times New Roman"/>
                <w:b/>
                <w:sz w:val="16"/>
                <w:szCs w:val="16"/>
              </w:rPr>
              <w:t>2023</w:t>
            </w:r>
          </w:p>
        </w:tc>
        <w:tc>
          <w:tcPr>
            <w:tcW w:w="400" w:type="pct"/>
            <w:tcBorders>
              <w:bottom w:val="single" w:sz="4" w:space="0" w:color="auto"/>
            </w:tcBorders>
          </w:tcPr>
          <w:p w14:paraId="72ABA178" w14:textId="77777777" w:rsidR="00C24F6F" w:rsidRPr="00750062" w:rsidRDefault="00C24F6F" w:rsidP="002B1847">
            <w:pPr>
              <w:spacing w:after="0"/>
              <w:jc w:val="right"/>
              <w:rPr>
                <w:rFonts w:ascii="Arial Narrow" w:hAnsi="Arial Narrow" w:cs="Arial"/>
                <w:b/>
                <w:bCs/>
                <w:sz w:val="16"/>
                <w:szCs w:val="16"/>
              </w:rPr>
            </w:pPr>
            <w:r w:rsidRPr="00750062">
              <w:rPr>
                <w:rFonts w:ascii="Arial Narrow" w:hAnsi="Arial Narrow" w:cs="Times New Roman"/>
                <w:b/>
                <w:sz w:val="16"/>
                <w:szCs w:val="16"/>
              </w:rPr>
              <w:t>2024</w:t>
            </w:r>
          </w:p>
        </w:tc>
        <w:tc>
          <w:tcPr>
            <w:tcW w:w="400" w:type="pct"/>
            <w:tcBorders>
              <w:bottom w:val="single" w:sz="4" w:space="0" w:color="auto"/>
            </w:tcBorders>
          </w:tcPr>
          <w:p w14:paraId="3D5E7B0C" w14:textId="77777777" w:rsidR="00C24F6F" w:rsidRPr="00750062" w:rsidRDefault="00C24F6F" w:rsidP="002B1847">
            <w:pPr>
              <w:spacing w:after="0"/>
              <w:jc w:val="right"/>
              <w:rPr>
                <w:rFonts w:ascii="Arial Narrow" w:hAnsi="Arial Narrow" w:cs="Arial"/>
                <w:b/>
                <w:bCs/>
                <w:sz w:val="16"/>
                <w:szCs w:val="16"/>
              </w:rPr>
            </w:pPr>
            <w:r w:rsidRPr="00750062">
              <w:rPr>
                <w:rFonts w:ascii="Arial Narrow" w:hAnsi="Arial Narrow" w:cs="Times New Roman"/>
                <w:b/>
                <w:sz w:val="16"/>
                <w:szCs w:val="16"/>
              </w:rPr>
              <w:t xml:space="preserve">2025 </w:t>
            </w:r>
          </w:p>
        </w:tc>
        <w:tc>
          <w:tcPr>
            <w:tcW w:w="400" w:type="pct"/>
            <w:gridSpan w:val="2"/>
            <w:tcBorders>
              <w:bottom w:val="single" w:sz="4" w:space="0" w:color="auto"/>
            </w:tcBorders>
          </w:tcPr>
          <w:p w14:paraId="6CA34383" w14:textId="77777777" w:rsidR="00C24F6F" w:rsidRPr="00750062" w:rsidRDefault="00C24F6F" w:rsidP="002B1847">
            <w:pPr>
              <w:spacing w:after="0"/>
              <w:jc w:val="right"/>
              <w:rPr>
                <w:rFonts w:ascii="Arial Narrow" w:hAnsi="Arial Narrow" w:cs="Arial"/>
                <w:b/>
                <w:bCs/>
                <w:sz w:val="16"/>
                <w:szCs w:val="16"/>
              </w:rPr>
            </w:pPr>
            <w:r w:rsidRPr="00750062">
              <w:rPr>
                <w:rFonts w:ascii="Arial Narrow" w:hAnsi="Arial Narrow" w:cs="Times New Roman"/>
                <w:b/>
                <w:sz w:val="16"/>
                <w:szCs w:val="16"/>
              </w:rPr>
              <w:t>2026 OS</w:t>
            </w:r>
          </w:p>
        </w:tc>
        <w:tc>
          <w:tcPr>
            <w:tcW w:w="400" w:type="pct"/>
            <w:tcBorders>
              <w:bottom w:val="single" w:sz="4" w:space="0" w:color="auto"/>
            </w:tcBorders>
          </w:tcPr>
          <w:p w14:paraId="4E61F5B8" w14:textId="77777777" w:rsidR="00C24F6F" w:rsidRPr="00750062" w:rsidRDefault="00C24F6F" w:rsidP="002B1847">
            <w:pPr>
              <w:spacing w:after="0"/>
              <w:jc w:val="right"/>
              <w:rPr>
                <w:rFonts w:ascii="Arial Narrow" w:hAnsi="Arial Narrow" w:cs="Arial"/>
                <w:b/>
                <w:bCs/>
                <w:sz w:val="16"/>
                <w:szCs w:val="16"/>
              </w:rPr>
            </w:pPr>
            <w:r w:rsidRPr="00750062">
              <w:rPr>
                <w:rFonts w:ascii="Arial Narrow" w:hAnsi="Arial Narrow" w:cs="Times New Roman"/>
                <w:b/>
                <w:sz w:val="16"/>
                <w:szCs w:val="16"/>
              </w:rPr>
              <w:t>2027 N</w:t>
            </w:r>
          </w:p>
        </w:tc>
        <w:tc>
          <w:tcPr>
            <w:tcW w:w="400" w:type="pct"/>
            <w:tcBorders>
              <w:bottom w:val="single" w:sz="4" w:space="0" w:color="auto"/>
            </w:tcBorders>
          </w:tcPr>
          <w:p w14:paraId="1F1C7ADF" w14:textId="77777777" w:rsidR="00C24F6F" w:rsidRPr="00750062" w:rsidRDefault="00C24F6F" w:rsidP="002B1847">
            <w:pPr>
              <w:spacing w:after="0"/>
              <w:jc w:val="right"/>
              <w:rPr>
                <w:rFonts w:ascii="Arial Narrow" w:hAnsi="Arial Narrow" w:cs="Arial"/>
                <w:b/>
                <w:bCs/>
                <w:sz w:val="16"/>
                <w:szCs w:val="16"/>
              </w:rPr>
            </w:pPr>
            <w:r w:rsidRPr="00750062">
              <w:rPr>
                <w:rFonts w:ascii="Arial Narrow" w:hAnsi="Arial Narrow" w:cs="Times New Roman"/>
                <w:b/>
                <w:sz w:val="16"/>
                <w:szCs w:val="16"/>
              </w:rPr>
              <w:t>2028 N</w:t>
            </w:r>
          </w:p>
        </w:tc>
      </w:tr>
      <w:tr w:rsidR="00C24F6F" w:rsidRPr="00DC7573" w14:paraId="54E0446F" w14:textId="77777777" w:rsidTr="002B1847">
        <w:trPr>
          <w:gridAfter w:val="1"/>
          <w:wAfter w:w="11" w:type="pct"/>
          <w:trHeight w:val="251"/>
        </w:trPr>
        <w:tc>
          <w:tcPr>
            <w:tcW w:w="2189" w:type="pct"/>
            <w:tcBorders>
              <w:top w:val="single" w:sz="4" w:space="0" w:color="auto"/>
              <w:left w:val="nil"/>
              <w:bottom w:val="single" w:sz="4" w:space="0" w:color="auto"/>
            </w:tcBorders>
            <w:vAlign w:val="center"/>
          </w:tcPr>
          <w:p w14:paraId="511AAB08" w14:textId="77777777" w:rsidR="00C24F6F" w:rsidRPr="00DC7573" w:rsidRDefault="00C24F6F" w:rsidP="002B1847">
            <w:pPr>
              <w:spacing w:after="0" w:line="240" w:lineRule="auto"/>
              <w:rPr>
                <w:rFonts w:ascii="Arial Narrow" w:hAnsi="Arial Narrow"/>
                <w:b/>
                <w:sz w:val="16"/>
                <w:szCs w:val="16"/>
              </w:rPr>
            </w:pPr>
            <w:r w:rsidRPr="00DC7573">
              <w:rPr>
                <w:rFonts w:ascii="Arial Narrow" w:hAnsi="Arial Narrow"/>
                <w:b/>
                <w:sz w:val="16"/>
                <w:szCs w:val="16"/>
              </w:rPr>
              <w:t>A. Hrubý dlh verejnej správy (k 1.1.)</w:t>
            </w:r>
          </w:p>
        </w:tc>
        <w:tc>
          <w:tcPr>
            <w:tcW w:w="400" w:type="pct"/>
            <w:tcBorders>
              <w:top w:val="single" w:sz="4" w:space="0" w:color="auto"/>
              <w:bottom w:val="single" w:sz="4" w:space="0" w:color="auto"/>
            </w:tcBorders>
            <w:vAlign w:val="center"/>
          </w:tcPr>
          <w:p w14:paraId="07203BB5" w14:textId="77777777" w:rsidR="00C24F6F" w:rsidRPr="00DC7573" w:rsidRDefault="00C24F6F" w:rsidP="002B1847">
            <w:pPr>
              <w:spacing w:after="0"/>
              <w:jc w:val="right"/>
              <w:rPr>
                <w:rFonts w:ascii="Arial Narrow" w:hAnsi="Arial Narrow" w:cs="Arial"/>
                <w:b/>
                <w:bCs/>
                <w:sz w:val="14"/>
                <w:szCs w:val="14"/>
              </w:rPr>
            </w:pPr>
            <w:r w:rsidRPr="00DC7573">
              <w:rPr>
                <w:rFonts w:ascii="Arial Narrow" w:hAnsi="Arial Narrow" w:cs="Arial"/>
                <w:b/>
                <w:bCs/>
                <w:sz w:val="14"/>
                <w:szCs w:val="14"/>
              </w:rPr>
              <w:t>61 356</w:t>
            </w:r>
          </w:p>
        </w:tc>
        <w:tc>
          <w:tcPr>
            <w:tcW w:w="400" w:type="pct"/>
            <w:tcBorders>
              <w:top w:val="single" w:sz="4" w:space="0" w:color="auto"/>
              <w:bottom w:val="single" w:sz="4" w:space="0" w:color="auto"/>
            </w:tcBorders>
            <w:vAlign w:val="center"/>
          </w:tcPr>
          <w:p w14:paraId="7A9F5482" w14:textId="77777777" w:rsidR="00C24F6F" w:rsidRPr="00DC7573" w:rsidRDefault="00C24F6F" w:rsidP="002B1847">
            <w:pPr>
              <w:spacing w:after="0"/>
              <w:jc w:val="right"/>
              <w:rPr>
                <w:rFonts w:ascii="Arial Narrow" w:hAnsi="Arial Narrow" w:cs="Arial"/>
                <w:b/>
                <w:bCs/>
                <w:sz w:val="14"/>
                <w:szCs w:val="14"/>
              </w:rPr>
            </w:pPr>
            <w:r w:rsidRPr="00DC7573">
              <w:rPr>
                <w:rFonts w:ascii="Arial Narrow" w:hAnsi="Arial Narrow" w:cs="Arial"/>
                <w:b/>
                <w:bCs/>
                <w:sz w:val="14"/>
                <w:szCs w:val="14"/>
              </w:rPr>
              <w:t>63 509</w:t>
            </w:r>
          </w:p>
        </w:tc>
        <w:tc>
          <w:tcPr>
            <w:tcW w:w="400" w:type="pct"/>
            <w:tcBorders>
              <w:top w:val="single" w:sz="4" w:space="0" w:color="auto"/>
              <w:bottom w:val="single" w:sz="4" w:space="0" w:color="auto"/>
            </w:tcBorders>
            <w:vAlign w:val="center"/>
          </w:tcPr>
          <w:p w14:paraId="4D7A038D" w14:textId="77777777" w:rsidR="00C24F6F" w:rsidRPr="00DC7573" w:rsidRDefault="00C24F6F" w:rsidP="002B1847">
            <w:pPr>
              <w:spacing w:after="0"/>
              <w:jc w:val="right"/>
              <w:rPr>
                <w:rFonts w:ascii="Arial Narrow" w:hAnsi="Arial Narrow" w:cs="Arial"/>
                <w:b/>
                <w:bCs/>
                <w:sz w:val="14"/>
                <w:szCs w:val="14"/>
              </w:rPr>
            </w:pPr>
            <w:r w:rsidRPr="00DC7573">
              <w:rPr>
                <w:rFonts w:ascii="Arial Narrow" w:hAnsi="Arial Narrow" w:cs="Arial"/>
                <w:b/>
                <w:bCs/>
                <w:sz w:val="14"/>
                <w:szCs w:val="14"/>
              </w:rPr>
              <w:t>68 882</w:t>
            </w:r>
          </w:p>
        </w:tc>
        <w:tc>
          <w:tcPr>
            <w:tcW w:w="400" w:type="pct"/>
            <w:tcBorders>
              <w:top w:val="single" w:sz="4" w:space="0" w:color="auto"/>
              <w:bottom w:val="single" w:sz="4" w:space="0" w:color="auto"/>
            </w:tcBorders>
            <w:vAlign w:val="center"/>
          </w:tcPr>
          <w:p w14:paraId="5CE709AB" w14:textId="77777777" w:rsidR="00C24F6F" w:rsidRPr="00DC7573" w:rsidRDefault="00C24F6F" w:rsidP="002B1847">
            <w:pPr>
              <w:spacing w:after="0"/>
              <w:jc w:val="right"/>
              <w:rPr>
                <w:rFonts w:ascii="Arial Narrow" w:hAnsi="Arial Narrow" w:cs="Arial"/>
                <w:b/>
                <w:bCs/>
                <w:sz w:val="14"/>
                <w:szCs w:val="14"/>
              </w:rPr>
            </w:pPr>
            <w:r w:rsidRPr="00DC7573">
              <w:rPr>
                <w:rFonts w:ascii="Arial Narrow" w:hAnsi="Arial Narrow" w:cs="Arial"/>
                <w:b/>
                <w:bCs/>
                <w:sz w:val="14"/>
                <w:szCs w:val="14"/>
              </w:rPr>
              <w:t>77 735</w:t>
            </w:r>
          </w:p>
        </w:tc>
        <w:tc>
          <w:tcPr>
            <w:tcW w:w="400" w:type="pct"/>
            <w:gridSpan w:val="2"/>
            <w:tcBorders>
              <w:top w:val="single" w:sz="4" w:space="0" w:color="auto"/>
              <w:bottom w:val="single" w:sz="4" w:space="0" w:color="auto"/>
            </w:tcBorders>
            <w:vAlign w:val="center"/>
          </w:tcPr>
          <w:p w14:paraId="266ACFF9" w14:textId="77777777" w:rsidR="00C24F6F" w:rsidRPr="00DC7573" w:rsidRDefault="00C24F6F" w:rsidP="002B1847">
            <w:pPr>
              <w:spacing w:after="0"/>
              <w:jc w:val="right"/>
              <w:rPr>
                <w:rFonts w:ascii="Arial Narrow" w:hAnsi="Arial Narrow" w:cs="Arial"/>
                <w:b/>
                <w:bCs/>
                <w:sz w:val="14"/>
                <w:szCs w:val="14"/>
              </w:rPr>
            </w:pPr>
            <w:r w:rsidRPr="00DC7573">
              <w:rPr>
                <w:rFonts w:ascii="Arial Narrow" w:hAnsi="Arial Narrow" w:cs="Arial"/>
                <w:b/>
                <w:bCs/>
                <w:sz w:val="14"/>
                <w:szCs w:val="14"/>
              </w:rPr>
              <w:t>83 957</w:t>
            </w:r>
          </w:p>
        </w:tc>
        <w:tc>
          <w:tcPr>
            <w:tcW w:w="400" w:type="pct"/>
            <w:tcBorders>
              <w:top w:val="single" w:sz="4" w:space="0" w:color="auto"/>
              <w:bottom w:val="single" w:sz="4" w:space="0" w:color="auto"/>
            </w:tcBorders>
            <w:vAlign w:val="center"/>
          </w:tcPr>
          <w:p w14:paraId="6AB937AE" w14:textId="77777777" w:rsidR="00C24F6F" w:rsidRPr="00DC7573" w:rsidRDefault="00C24F6F" w:rsidP="002B1847">
            <w:pPr>
              <w:spacing w:after="0"/>
              <w:jc w:val="right"/>
              <w:rPr>
                <w:rFonts w:ascii="Arial Narrow" w:hAnsi="Arial Narrow" w:cs="Arial"/>
                <w:b/>
                <w:bCs/>
                <w:sz w:val="14"/>
                <w:szCs w:val="14"/>
              </w:rPr>
            </w:pPr>
            <w:r w:rsidRPr="00DC7573">
              <w:rPr>
                <w:rFonts w:ascii="Arial Narrow" w:hAnsi="Arial Narrow" w:cs="Arial"/>
                <w:b/>
                <w:bCs/>
                <w:sz w:val="14"/>
                <w:szCs w:val="14"/>
              </w:rPr>
              <w:t>90 653</w:t>
            </w:r>
          </w:p>
        </w:tc>
        <w:tc>
          <w:tcPr>
            <w:tcW w:w="400" w:type="pct"/>
            <w:tcBorders>
              <w:top w:val="single" w:sz="4" w:space="0" w:color="auto"/>
              <w:bottom w:val="single" w:sz="4" w:space="0" w:color="auto"/>
            </w:tcBorders>
            <w:vAlign w:val="center"/>
          </w:tcPr>
          <w:p w14:paraId="5E99FF34" w14:textId="77777777" w:rsidR="00C24F6F" w:rsidRPr="00DC7573" w:rsidRDefault="00C24F6F" w:rsidP="002B1847">
            <w:pPr>
              <w:spacing w:after="0"/>
              <w:jc w:val="right"/>
              <w:rPr>
                <w:rFonts w:ascii="Arial Narrow" w:hAnsi="Arial Narrow" w:cs="Arial"/>
                <w:b/>
                <w:bCs/>
                <w:sz w:val="14"/>
                <w:szCs w:val="14"/>
              </w:rPr>
            </w:pPr>
            <w:r w:rsidRPr="00DC7573">
              <w:rPr>
                <w:rFonts w:ascii="Arial Narrow" w:hAnsi="Arial Narrow" w:cs="Arial"/>
                <w:b/>
                <w:bCs/>
                <w:sz w:val="14"/>
                <w:szCs w:val="14"/>
              </w:rPr>
              <w:t>96 644</w:t>
            </w:r>
          </w:p>
        </w:tc>
      </w:tr>
      <w:tr w:rsidR="00C24F6F" w:rsidRPr="00DC7573" w14:paraId="1300A7F6" w14:textId="77777777" w:rsidTr="002B1847">
        <w:trPr>
          <w:gridAfter w:val="1"/>
          <w:wAfter w:w="11" w:type="pct"/>
          <w:trHeight w:val="251"/>
        </w:trPr>
        <w:tc>
          <w:tcPr>
            <w:tcW w:w="2189" w:type="pct"/>
            <w:tcBorders>
              <w:top w:val="single" w:sz="4" w:space="0" w:color="auto"/>
              <w:left w:val="nil"/>
            </w:tcBorders>
            <w:vAlign w:val="center"/>
          </w:tcPr>
          <w:p w14:paraId="3AAE284C" w14:textId="77777777" w:rsidR="00C24F6F" w:rsidRPr="00DC7573" w:rsidRDefault="00C24F6F" w:rsidP="002B1847">
            <w:pPr>
              <w:spacing w:after="0" w:line="240" w:lineRule="auto"/>
              <w:rPr>
                <w:rFonts w:ascii="Arial Narrow" w:hAnsi="Arial Narrow"/>
                <w:b/>
                <w:sz w:val="16"/>
                <w:szCs w:val="16"/>
              </w:rPr>
            </w:pPr>
            <w:r w:rsidRPr="00DC7573">
              <w:rPr>
                <w:rFonts w:ascii="Arial Narrow" w:hAnsi="Arial Narrow"/>
                <w:b/>
                <w:sz w:val="16"/>
                <w:szCs w:val="16"/>
              </w:rPr>
              <w:t>B. Celková medziročná zmena hrubého dlhu VS</w:t>
            </w:r>
          </w:p>
        </w:tc>
        <w:tc>
          <w:tcPr>
            <w:tcW w:w="400" w:type="pct"/>
            <w:tcBorders>
              <w:top w:val="single" w:sz="4" w:space="0" w:color="auto"/>
            </w:tcBorders>
            <w:vAlign w:val="center"/>
          </w:tcPr>
          <w:p w14:paraId="464CBA82" w14:textId="77777777" w:rsidR="00C24F6F" w:rsidRPr="00DC7573" w:rsidRDefault="00C24F6F" w:rsidP="002B1847">
            <w:pPr>
              <w:spacing w:after="0"/>
              <w:jc w:val="right"/>
              <w:rPr>
                <w:rFonts w:ascii="Arial Narrow" w:hAnsi="Arial Narrow" w:cs="Arial"/>
                <w:b/>
                <w:bCs/>
                <w:sz w:val="14"/>
                <w:szCs w:val="14"/>
              </w:rPr>
            </w:pPr>
            <w:r w:rsidRPr="00DC7573">
              <w:rPr>
                <w:rFonts w:ascii="Arial Narrow" w:hAnsi="Arial Narrow" w:cs="Arial"/>
                <w:b/>
                <w:bCs/>
                <w:sz w:val="14"/>
                <w:szCs w:val="14"/>
              </w:rPr>
              <w:t>2 153</w:t>
            </w:r>
          </w:p>
        </w:tc>
        <w:tc>
          <w:tcPr>
            <w:tcW w:w="400" w:type="pct"/>
            <w:tcBorders>
              <w:top w:val="single" w:sz="4" w:space="0" w:color="auto"/>
            </w:tcBorders>
            <w:vAlign w:val="center"/>
          </w:tcPr>
          <w:p w14:paraId="089BF156" w14:textId="77777777" w:rsidR="00C24F6F" w:rsidRPr="00DC7573" w:rsidRDefault="00C24F6F" w:rsidP="002B1847">
            <w:pPr>
              <w:spacing w:after="0"/>
              <w:jc w:val="right"/>
              <w:rPr>
                <w:rFonts w:ascii="Arial Narrow" w:hAnsi="Arial Narrow" w:cs="Arial"/>
                <w:b/>
                <w:bCs/>
                <w:sz w:val="14"/>
                <w:szCs w:val="14"/>
              </w:rPr>
            </w:pPr>
            <w:r w:rsidRPr="00DC7573">
              <w:rPr>
                <w:rFonts w:ascii="Arial Narrow" w:hAnsi="Arial Narrow" w:cs="Arial"/>
                <w:b/>
                <w:bCs/>
                <w:sz w:val="14"/>
                <w:szCs w:val="14"/>
              </w:rPr>
              <w:t>5 374</w:t>
            </w:r>
          </w:p>
        </w:tc>
        <w:tc>
          <w:tcPr>
            <w:tcW w:w="400" w:type="pct"/>
            <w:tcBorders>
              <w:top w:val="single" w:sz="4" w:space="0" w:color="auto"/>
            </w:tcBorders>
            <w:vAlign w:val="center"/>
          </w:tcPr>
          <w:p w14:paraId="61861721" w14:textId="77777777" w:rsidR="00C24F6F" w:rsidRPr="00DC7573" w:rsidRDefault="00C24F6F" w:rsidP="002B1847">
            <w:pPr>
              <w:spacing w:after="0"/>
              <w:jc w:val="right"/>
              <w:rPr>
                <w:rFonts w:ascii="Arial Narrow" w:hAnsi="Arial Narrow" w:cs="Arial"/>
                <w:b/>
                <w:bCs/>
                <w:sz w:val="14"/>
                <w:szCs w:val="14"/>
              </w:rPr>
            </w:pPr>
            <w:r w:rsidRPr="00DC7573">
              <w:rPr>
                <w:rFonts w:ascii="Arial Narrow" w:hAnsi="Arial Narrow" w:cs="Arial"/>
                <w:b/>
                <w:bCs/>
                <w:sz w:val="14"/>
                <w:szCs w:val="14"/>
              </w:rPr>
              <w:t>8 853</w:t>
            </w:r>
          </w:p>
        </w:tc>
        <w:tc>
          <w:tcPr>
            <w:tcW w:w="400" w:type="pct"/>
            <w:tcBorders>
              <w:top w:val="single" w:sz="4" w:space="0" w:color="auto"/>
            </w:tcBorders>
            <w:vAlign w:val="center"/>
          </w:tcPr>
          <w:p w14:paraId="7032313D" w14:textId="77777777" w:rsidR="00C24F6F" w:rsidRPr="00DC7573" w:rsidRDefault="00C24F6F" w:rsidP="002B1847">
            <w:pPr>
              <w:spacing w:after="0"/>
              <w:jc w:val="right"/>
              <w:rPr>
                <w:rFonts w:ascii="Arial Narrow" w:hAnsi="Arial Narrow" w:cs="Arial"/>
                <w:b/>
                <w:bCs/>
                <w:sz w:val="14"/>
                <w:szCs w:val="14"/>
              </w:rPr>
            </w:pPr>
            <w:r w:rsidRPr="00DC7573">
              <w:rPr>
                <w:rFonts w:ascii="Arial Narrow" w:hAnsi="Arial Narrow" w:cs="Arial"/>
                <w:b/>
                <w:bCs/>
                <w:sz w:val="14"/>
                <w:szCs w:val="14"/>
              </w:rPr>
              <w:t>6 222</w:t>
            </w:r>
          </w:p>
        </w:tc>
        <w:tc>
          <w:tcPr>
            <w:tcW w:w="400" w:type="pct"/>
            <w:gridSpan w:val="2"/>
            <w:tcBorders>
              <w:top w:val="single" w:sz="4" w:space="0" w:color="auto"/>
            </w:tcBorders>
            <w:vAlign w:val="center"/>
          </w:tcPr>
          <w:p w14:paraId="5097F2B6" w14:textId="77777777" w:rsidR="00C24F6F" w:rsidRPr="00DC7573" w:rsidRDefault="00C24F6F" w:rsidP="002B1847">
            <w:pPr>
              <w:spacing w:after="0"/>
              <w:jc w:val="right"/>
              <w:rPr>
                <w:rFonts w:ascii="Arial Narrow" w:hAnsi="Arial Narrow" w:cs="Arial"/>
                <w:b/>
                <w:bCs/>
                <w:sz w:val="14"/>
                <w:szCs w:val="14"/>
              </w:rPr>
            </w:pPr>
            <w:r w:rsidRPr="00DC7573">
              <w:rPr>
                <w:rFonts w:ascii="Arial Narrow" w:hAnsi="Arial Narrow" w:cs="Arial"/>
                <w:b/>
                <w:bCs/>
                <w:sz w:val="14"/>
                <w:szCs w:val="14"/>
              </w:rPr>
              <w:t>6 696</w:t>
            </w:r>
          </w:p>
        </w:tc>
        <w:tc>
          <w:tcPr>
            <w:tcW w:w="400" w:type="pct"/>
            <w:tcBorders>
              <w:top w:val="single" w:sz="4" w:space="0" w:color="auto"/>
            </w:tcBorders>
            <w:vAlign w:val="center"/>
          </w:tcPr>
          <w:p w14:paraId="70470C34" w14:textId="77777777" w:rsidR="00C24F6F" w:rsidRPr="00DC7573" w:rsidRDefault="00C24F6F" w:rsidP="002B1847">
            <w:pPr>
              <w:spacing w:after="0"/>
              <w:jc w:val="right"/>
              <w:rPr>
                <w:rFonts w:ascii="Arial Narrow" w:hAnsi="Arial Narrow" w:cs="Arial"/>
                <w:b/>
                <w:bCs/>
                <w:sz w:val="14"/>
                <w:szCs w:val="14"/>
              </w:rPr>
            </w:pPr>
            <w:r w:rsidRPr="00DC7573">
              <w:rPr>
                <w:rFonts w:ascii="Arial Narrow" w:hAnsi="Arial Narrow" w:cs="Arial"/>
                <w:b/>
                <w:bCs/>
                <w:sz w:val="14"/>
                <w:szCs w:val="14"/>
              </w:rPr>
              <w:t>5 991</w:t>
            </w:r>
          </w:p>
        </w:tc>
        <w:tc>
          <w:tcPr>
            <w:tcW w:w="400" w:type="pct"/>
            <w:tcBorders>
              <w:top w:val="single" w:sz="4" w:space="0" w:color="auto"/>
            </w:tcBorders>
            <w:vAlign w:val="center"/>
          </w:tcPr>
          <w:p w14:paraId="70AC09CB" w14:textId="77777777" w:rsidR="00C24F6F" w:rsidRPr="00DC7573" w:rsidRDefault="00C24F6F" w:rsidP="002B1847">
            <w:pPr>
              <w:spacing w:after="0"/>
              <w:jc w:val="right"/>
              <w:rPr>
                <w:rFonts w:ascii="Arial Narrow" w:hAnsi="Arial Narrow" w:cs="Arial"/>
                <w:b/>
                <w:bCs/>
                <w:sz w:val="14"/>
                <w:szCs w:val="14"/>
              </w:rPr>
            </w:pPr>
            <w:r w:rsidRPr="00DC7573">
              <w:rPr>
                <w:rFonts w:ascii="Arial Narrow" w:hAnsi="Arial Narrow" w:cs="Arial"/>
                <w:b/>
                <w:bCs/>
                <w:sz w:val="14"/>
                <w:szCs w:val="14"/>
              </w:rPr>
              <w:t>5 777</w:t>
            </w:r>
          </w:p>
        </w:tc>
      </w:tr>
      <w:tr w:rsidR="00C24F6F" w:rsidRPr="00DC7573" w14:paraId="138B1014" w14:textId="77777777" w:rsidTr="002B1847">
        <w:trPr>
          <w:gridAfter w:val="1"/>
          <w:wAfter w:w="11" w:type="pct"/>
          <w:trHeight w:val="251"/>
        </w:trPr>
        <w:tc>
          <w:tcPr>
            <w:tcW w:w="2189" w:type="pct"/>
            <w:tcBorders>
              <w:top w:val="nil"/>
              <w:left w:val="nil"/>
            </w:tcBorders>
            <w:vAlign w:val="center"/>
          </w:tcPr>
          <w:p w14:paraId="1B383B8C" w14:textId="77777777" w:rsidR="00C24F6F" w:rsidRPr="00DC7573" w:rsidRDefault="00C24F6F" w:rsidP="002B1847">
            <w:pPr>
              <w:spacing w:after="0" w:line="240" w:lineRule="auto"/>
              <w:rPr>
                <w:rFonts w:ascii="Arial Narrow" w:hAnsi="Arial Narrow"/>
                <w:sz w:val="16"/>
                <w:szCs w:val="16"/>
              </w:rPr>
            </w:pPr>
            <w:r w:rsidRPr="00DC7573">
              <w:rPr>
                <w:rFonts w:ascii="Arial Narrow" w:hAnsi="Arial Narrow"/>
                <w:sz w:val="16"/>
                <w:szCs w:val="16"/>
              </w:rPr>
              <w:t>- hotovostný deficit ŠR</w:t>
            </w:r>
          </w:p>
        </w:tc>
        <w:tc>
          <w:tcPr>
            <w:tcW w:w="400" w:type="pct"/>
            <w:tcBorders>
              <w:top w:val="nil"/>
            </w:tcBorders>
            <w:vAlign w:val="center"/>
          </w:tcPr>
          <w:p w14:paraId="57511FA8" w14:textId="77777777" w:rsidR="00C24F6F" w:rsidRPr="00DC7573" w:rsidRDefault="00C24F6F" w:rsidP="002B1847">
            <w:pPr>
              <w:spacing w:after="0"/>
              <w:jc w:val="right"/>
              <w:rPr>
                <w:rFonts w:ascii="Arial Narrow" w:hAnsi="Arial Narrow" w:cs="Arial"/>
                <w:sz w:val="14"/>
                <w:szCs w:val="14"/>
              </w:rPr>
            </w:pPr>
            <w:r w:rsidRPr="00DC7573">
              <w:rPr>
                <w:rFonts w:ascii="Arial Narrow" w:hAnsi="Arial Narrow" w:cs="Arial"/>
                <w:sz w:val="14"/>
                <w:szCs w:val="14"/>
              </w:rPr>
              <w:t>4 525</w:t>
            </w:r>
          </w:p>
        </w:tc>
        <w:tc>
          <w:tcPr>
            <w:tcW w:w="400" w:type="pct"/>
            <w:tcBorders>
              <w:top w:val="nil"/>
            </w:tcBorders>
            <w:vAlign w:val="center"/>
          </w:tcPr>
          <w:p w14:paraId="5E3859E7" w14:textId="77777777" w:rsidR="00C24F6F" w:rsidRPr="00DC7573" w:rsidRDefault="00C24F6F" w:rsidP="002B1847">
            <w:pPr>
              <w:spacing w:after="0"/>
              <w:jc w:val="right"/>
              <w:rPr>
                <w:rFonts w:ascii="Arial Narrow" w:hAnsi="Arial Narrow" w:cs="Arial"/>
                <w:sz w:val="14"/>
                <w:szCs w:val="14"/>
              </w:rPr>
            </w:pPr>
            <w:r w:rsidRPr="00DC7573">
              <w:rPr>
                <w:rFonts w:ascii="Arial Narrow" w:hAnsi="Arial Narrow" w:cs="Arial"/>
                <w:sz w:val="14"/>
                <w:szCs w:val="14"/>
              </w:rPr>
              <w:t>7 675</w:t>
            </w:r>
          </w:p>
        </w:tc>
        <w:tc>
          <w:tcPr>
            <w:tcW w:w="400" w:type="pct"/>
            <w:tcBorders>
              <w:top w:val="nil"/>
            </w:tcBorders>
            <w:vAlign w:val="center"/>
          </w:tcPr>
          <w:p w14:paraId="32DDE602" w14:textId="77777777" w:rsidR="00C24F6F" w:rsidRPr="00DC7573" w:rsidRDefault="00C24F6F" w:rsidP="002B1847">
            <w:pPr>
              <w:spacing w:after="0"/>
              <w:jc w:val="right"/>
              <w:rPr>
                <w:rFonts w:ascii="Arial Narrow" w:hAnsi="Arial Narrow" w:cs="Arial"/>
                <w:sz w:val="14"/>
                <w:szCs w:val="14"/>
              </w:rPr>
            </w:pPr>
            <w:r w:rsidRPr="00DC7573">
              <w:rPr>
                <w:rFonts w:ascii="Arial Narrow" w:hAnsi="Arial Narrow" w:cs="Arial"/>
                <w:sz w:val="14"/>
                <w:szCs w:val="14"/>
              </w:rPr>
              <w:t>6 366</w:t>
            </w:r>
          </w:p>
        </w:tc>
        <w:tc>
          <w:tcPr>
            <w:tcW w:w="400" w:type="pct"/>
            <w:tcBorders>
              <w:top w:val="nil"/>
            </w:tcBorders>
            <w:vAlign w:val="center"/>
          </w:tcPr>
          <w:p w14:paraId="05CDB492" w14:textId="77777777" w:rsidR="00C24F6F" w:rsidRPr="00DC7573" w:rsidRDefault="00C24F6F" w:rsidP="002B1847">
            <w:pPr>
              <w:spacing w:after="0"/>
              <w:jc w:val="right"/>
              <w:rPr>
                <w:rFonts w:ascii="Arial Narrow" w:hAnsi="Arial Narrow" w:cs="Arial"/>
                <w:sz w:val="14"/>
                <w:szCs w:val="14"/>
              </w:rPr>
            </w:pPr>
            <w:r w:rsidRPr="00DC7573">
              <w:rPr>
                <w:rFonts w:ascii="Arial Narrow" w:hAnsi="Arial Narrow" w:cs="Arial"/>
                <w:sz w:val="14"/>
                <w:szCs w:val="14"/>
              </w:rPr>
              <w:t>6 108</w:t>
            </w:r>
          </w:p>
        </w:tc>
        <w:tc>
          <w:tcPr>
            <w:tcW w:w="400" w:type="pct"/>
            <w:gridSpan w:val="2"/>
            <w:tcBorders>
              <w:top w:val="nil"/>
            </w:tcBorders>
            <w:vAlign w:val="center"/>
          </w:tcPr>
          <w:p w14:paraId="3F94F059" w14:textId="77777777" w:rsidR="00C24F6F" w:rsidRPr="00DC7573" w:rsidRDefault="00C24F6F" w:rsidP="002B1847">
            <w:pPr>
              <w:spacing w:after="0"/>
              <w:jc w:val="right"/>
              <w:rPr>
                <w:rFonts w:ascii="Arial Narrow" w:hAnsi="Arial Narrow" w:cs="Arial"/>
                <w:sz w:val="14"/>
                <w:szCs w:val="14"/>
              </w:rPr>
            </w:pPr>
            <w:r w:rsidRPr="00DC7573">
              <w:rPr>
                <w:rFonts w:ascii="Arial Narrow" w:hAnsi="Arial Narrow" w:cs="Arial"/>
                <w:sz w:val="14"/>
                <w:szCs w:val="14"/>
              </w:rPr>
              <w:t>5 937</w:t>
            </w:r>
          </w:p>
        </w:tc>
        <w:tc>
          <w:tcPr>
            <w:tcW w:w="400" w:type="pct"/>
            <w:tcBorders>
              <w:top w:val="nil"/>
            </w:tcBorders>
            <w:vAlign w:val="center"/>
          </w:tcPr>
          <w:p w14:paraId="4FD55FB9" w14:textId="77777777" w:rsidR="00C24F6F" w:rsidRPr="00DC7573" w:rsidRDefault="00C24F6F" w:rsidP="002B1847">
            <w:pPr>
              <w:spacing w:after="0"/>
              <w:jc w:val="right"/>
              <w:rPr>
                <w:rFonts w:ascii="Arial Narrow" w:hAnsi="Arial Narrow" w:cs="Arial"/>
                <w:sz w:val="14"/>
                <w:szCs w:val="14"/>
              </w:rPr>
            </w:pPr>
            <w:r w:rsidRPr="00DC7573">
              <w:rPr>
                <w:rFonts w:ascii="Arial Narrow" w:hAnsi="Arial Narrow" w:cs="Arial"/>
                <w:sz w:val="14"/>
                <w:szCs w:val="14"/>
              </w:rPr>
              <w:t>5 994</w:t>
            </w:r>
          </w:p>
        </w:tc>
        <w:tc>
          <w:tcPr>
            <w:tcW w:w="400" w:type="pct"/>
            <w:tcBorders>
              <w:top w:val="nil"/>
            </w:tcBorders>
            <w:vAlign w:val="center"/>
          </w:tcPr>
          <w:p w14:paraId="47C60A6F" w14:textId="77777777" w:rsidR="00C24F6F" w:rsidRPr="00DC7573" w:rsidRDefault="00C24F6F" w:rsidP="002B1847">
            <w:pPr>
              <w:spacing w:after="0"/>
              <w:jc w:val="right"/>
              <w:rPr>
                <w:rFonts w:ascii="Arial Narrow" w:hAnsi="Arial Narrow" w:cs="Arial"/>
                <w:sz w:val="14"/>
                <w:szCs w:val="14"/>
              </w:rPr>
            </w:pPr>
            <w:r w:rsidRPr="00DC7573">
              <w:rPr>
                <w:rFonts w:ascii="Arial Narrow" w:hAnsi="Arial Narrow" w:cs="Arial"/>
                <w:sz w:val="14"/>
                <w:szCs w:val="14"/>
              </w:rPr>
              <w:t>6 951</w:t>
            </w:r>
          </w:p>
        </w:tc>
      </w:tr>
      <w:tr w:rsidR="00C24F6F" w:rsidRPr="00ED214C" w14:paraId="49717636" w14:textId="77777777" w:rsidTr="002B1847">
        <w:trPr>
          <w:gridAfter w:val="1"/>
          <w:wAfter w:w="11" w:type="pct"/>
          <w:trHeight w:val="251"/>
        </w:trPr>
        <w:tc>
          <w:tcPr>
            <w:tcW w:w="2189" w:type="pct"/>
            <w:tcBorders>
              <w:top w:val="nil"/>
              <w:left w:val="nil"/>
            </w:tcBorders>
            <w:vAlign w:val="center"/>
          </w:tcPr>
          <w:p w14:paraId="58F49B3E" w14:textId="77777777" w:rsidR="00C24F6F" w:rsidRPr="000276D7" w:rsidRDefault="00C24F6F" w:rsidP="002B1847">
            <w:pPr>
              <w:spacing w:after="0" w:line="240" w:lineRule="auto"/>
              <w:rPr>
                <w:rFonts w:ascii="Arial Narrow" w:hAnsi="Arial Narrow"/>
                <w:sz w:val="16"/>
                <w:szCs w:val="16"/>
              </w:rPr>
            </w:pPr>
            <w:r w:rsidRPr="000276D7">
              <w:rPr>
                <w:rFonts w:ascii="Arial Narrow" w:hAnsi="Arial Narrow"/>
                <w:sz w:val="16"/>
                <w:szCs w:val="16"/>
              </w:rPr>
              <w:t>- prostriedky ŠP využité na financovanie hotovostného deficitu ŠR</w:t>
            </w:r>
          </w:p>
        </w:tc>
        <w:tc>
          <w:tcPr>
            <w:tcW w:w="400" w:type="pct"/>
            <w:tcBorders>
              <w:top w:val="nil"/>
            </w:tcBorders>
            <w:vAlign w:val="center"/>
          </w:tcPr>
          <w:p w14:paraId="3AF47A68"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-1 150</w:t>
            </w:r>
          </w:p>
        </w:tc>
        <w:tc>
          <w:tcPr>
            <w:tcW w:w="400" w:type="pct"/>
            <w:tcBorders>
              <w:top w:val="nil"/>
            </w:tcBorders>
            <w:vAlign w:val="center"/>
          </w:tcPr>
          <w:p w14:paraId="5008BC4D"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-2 587</w:t>
            </w:r>
          </w:p>
        </w:tc>
        <w:tc>
          <w:tcPr>
            <w:tcW w:w="400" w:type="pct"/>
            <w:tcBorders>
              <w:top w:val="nil"/>
            </w:tcBorders>
            <w:vAlign w:val="center"/>
          </w:tcPr>
          <w:p w14:paraId="7A2CAB9D"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1 571</w:t>
            </w:r>
          </w:p>
        </w:tc>
        <w:tc>
          <w:tcPr>
            <w:tcW w:w="400" w:type="pct"/>
            <w:tcBorders>
              <w:top w:val="nil"/>
            </w:tcBorders>
            <w:vAlign w:val="center"/>
          </w:tcPr>
          <w:p w14:paraId="1EC0977B"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-257</w:t>
            </w:r>
          </w:p>
        </w:tc>
        <w:tc>
          <w:tcPr>
            <w:tcW w:w="400" w:type="pct"/>
            <w:gridSpan w:val="2"/>
            <w:tcBorders>
              <w:top w:val="nil"/>
            </w:tcBorders>
            <w:vAlign w:val="center"/>
          </w:tcPr>
          <w:p w14:paraId="5D7FFD75"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-354</w:t>
            </w:r>
          </w:p>
        </w:tc>
        <w:tc>
          <w:tcPr>
            <w:tcW w:w="400" w:type="pct"/>
            <w:tcBorders>
              <w:top w:val="nil"/>
            </w:tcBorders>
            <w:vAlign w:val="center"/>
          </w:tcPr>
          <w:p w14:paraId="122B5F0D"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-265</w:t>
            </w:r>
          </w:p>
        </w:tc>
        <w:tc>
          <w:tcPr>
            <w:tcW w:w="400" w:type="pct"/>
            <w:tcBorders>
              <w:top w:val="nil"/>
            </w:tcBorders>
            <w:vAlign w:val="center"/>
          </w:tcPr>
          <w:p w14:paraId="24EA3EA1"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-1 535</w:t>
            </w:r>
          </w:p>
        </w:tc>
      </w:tr>
      <w:tr w:rsidR="00C24F6F" w:rsidRPr="00ED214C" w14:paraId="7C6F0982" w14:textId="77777777" w:rsidTr="002B1847">
        <w:trPr>
          <w:gridAfter w:val="1"/>
          <w:wAfter w:w="11" w:type="pct"/>
          <w:trHeight w:val="251"/>
        </w:trPr>
        <w:tc>
          <w:tcPr>
            <w:tcW w:w="2189" w:type="pct"/>
            <w:tcBorders>
              <w:top w:val="nil"/>
              <w:left w:val="nil"/>
            </w:tcBorders>
            <w:vAlign w:val="center"/>
          </w:tcPr>
          <w:p w14:paraId="20D0D9A6" w14:textId="77777777" w:rsidR="00C24F6F" w:rsidRPr="00ED214C" w:rsidRDefault="00C24F6F" w:rsidP="002B1847">
            <w:pPr>
              <w:spacing w:after="0" w:line="240" w:lineRule="auto"/>
              <w:rPr>
                <w:rFonts w:ascii="Arial Narrow" w:hAnsi="Arial Narrow"/>
                <w:sz w:val="16"/>
                <w:szCs w:val="16"/>
              </w:rPr>
            </w:pPr>
            <w:r w:rsidRPr="00ED214C">
              <w:rPr>
                <w:rFonts w:ascii="Arial Narrow" w:hAnsi="Arial Narrow"/>
                <w:sz w:val="16"/>
                <w:szCs w:val="16"/>
              </w:rPr>
              <w:t>- zadlženie ostatných subjektov VS</w:t>
            </w:r>
          </w:p>
        </w:tc>
        <w:tc>
          <w:tcPr>
            <w:tcW w:w="400" w:type="pct"/>
            <w:tcBorders>
              <w:top w:val="nil"/>
            </w:tcBorders>
            <w:vAlign w:val="center"/>
          </w:tcPr>
          <w:p w14:paraId="073A7B97"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118</w:t>
            </w:r>
          </w:p>
        </w:tc>
        <w:tc>
          <w:tcPr>
            <w:tcW w:w="400" w:type="pct"/>
            <w:tcBorders>
              <w:top w:val="nil"/>
            </w:tcBorders>
            <w:vAlign w:val="center"/>
          </w:tcPr>
          <w:p w14:paraId="69A411DD"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175</w:t>
            </w:r>
          </w:p>
        </w:tc>
        <w:tc>
          <w:tcPr>
            <w:tcW w:w="400" w:type="pct"/>
            <w:tcBorders>
              <w:top w:val="nil"/>
            </w:tcBorders>
            <w:vAlign w:val="center"/>
          </w:tcPr>
          <w:p w14:paraId="564E4C76"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-32</w:t>
            </w:r>
          </w:p>
        </w:tc>
        <w:tc>
          <w:tcPr>
            <w:tcW w:w="400" w:type="pct"/>
            <w:tcBorders>
              <w:top w:val="nil"/>
            </w:tcBorders>
            <w:vAlign w:val="center"/>
          </w:tcPr>
          <w:p w14:paraId="14D82A67"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155</w:t>
            </w:r>
          </w:p>
        </w:tc>
        <w:tc>
          <w:tcPr>
            <w:tcW w:w="400" w:type="pct"/>
            <w:gridSpan w:val="2"/>
            <w:tcBorders>
              <w:top w:val="nil"/>
            </w:tcBorders>
            <w:vAlign w:val="center"/>
          </w:tcPr>
          <w:p w14:paraId="43DF7B99"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80</w:t>
            </w:r>
          </w:p>
        </w:tc>
        <w:tc>
          <w:tcPr>
            <w:tcW w:w="400" w:type="pct"/>
            <w:tcBorders>
              <w:top w:val="nil"/>
            </w:tcBorders>
            <w:vAlign w:val="center"/>
          </w:tcPr>
          <w:p w14:paraId="6F956FAD"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58</w:t>
            </w:r>
          </w:p>
        </w:tc>
        <w:tc>
          <w:tcPr>
            <w:tcW w:w="400" w:type="pct"/>
            <w:tcBorders>
              <w:top w:val="nil"/>
            </w:tcBorders>
            <w:vAlign w:val="center"/>
          </w:tcPr>
          <w:p w14:paraId="52EA2A8B"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30</w:t>
            </w:r>
          </w:p>
        </w:tc>
      </w:tr>
      <w:tr w:rsidR="00C24F6F" w:rsidRPr="00ED214C" w14:paraId="2FD037FF" w14:textId="77777777" w:rsidTr="002B1847">
        <w:trPr>
          <w:gridAfter w:val="1"/>
          <w:wAfter w:w="11" w:type="pct"/>
          <w:trHeight w:val="251"/>
        </w:trPr>
        <w:tc>
          <w:tcPr>
            <w:tcW w:w="2189" w:type="pct"/>
            <w:tcBorders>
              <w:top w:val="nil"/>
              <w:left w:val="nil"/>
            </w:tcBorders>
            <w:vAlign w:val="center"/>
          </w:tcPr>
          <w:p w14:paraId="4ACCB976" w14:textId="77777777" w:rsidR="00C24F6F" w:rsidRPr="00ED214C" w:rsidRDefault="00C24F6F" w:rsidP="002B1847">
            <w:pPr>
              <w:spacing w:after="0" w:line="240" w:lineRule="auto"/>
              <w:ind w:left="356"/>
              <w:rPr>
                <w:rFonts w:ascii="Arial Narrow" w:hAnsi="Arial Narrow"/>
                <w:sz w:val="16"/>
                <w:szCs w:val="16"/>
              </w:rPr>
            </w:pPr>
            <w:r w:rsidRPr="00ED214C">
              <w:rPr>
                <w:rFonts w:ascii="Arial Narrow" w:hAnsi="Arial Narrow"/>
                <w:sz w:val="16"/>
                <w:szCs w:val="16"/>
              </w:rPr>
              <w:t>z toho: ŽSR + ŽSSK</w:t>
            </w:r>
          </w:p>
        </w:tc>
        <w:tc>
          <w:tcPr>
            <w:tcW w:w="400" w:type="pct"/>
            <w:tcBorders>
              <w:top w:val="nil"/>
            </w:tcBorders>
            <w:vAlign w:val="center"/>
          </w:tcPr>
          <w:p w14:paraId="2AF3B9D0"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-62</w:t>
            </w:r>
          </w:p>
        </w:tc>
        <w:tc>
          <w:tcPr>
            <w:tcW w:w="400" w:type="pct"/>
            <w:tcBorders>
              <w:top w:val="nil"/>
            </w:tcBorders>
            <w:vAlign w:val="center"/>
          </w:tcPr>
          <w:p w14:paraId="632C2126"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-9</w:t>
            </w:r>
          </w:p>
        </w:tc>
        <w:tc>
          <w:tcPr>
            <w:tcW w:w="400" w:type="pct"/>
            <w:tcBorders>
              <w:top w:val="nil"/>
            </w:tcBorders>
            <w:vAlign w:val="center"/>
          </w:tcPr>
          <w:p w14:paraId="2F009EAD"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-43</w:t>
            </w:r>
          </w:p>
        </w:tc>
        <w:tc>
          <w:tcPr>
            <w:tcW w:w="400" w:type="pct"/>
            <w:tcBorders>
              <w:top w:val="nil"/>
            </w:tcBorders>
            <w:vAlign w:val="center"/>
          </w:tcPr>
          <w:p w14:paraId="45D40D97"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-15</w:t>
            </w:r>
          </w:p>
        </w:tc>
        <w:tc>
          <w:tcPr>
            <w:tcW w:w="400" w:type="pct"/>
            <w:gridSpan w:val="2"/>
            <w:tcBorders>
              <w:top w:val="nil"/>
            </w:tcBorders>
            <w:vAlign w:val="center"/>
          </w:tcPr>
          <w:p w14:paraId="731A4347"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64</w:t>
            </w:r>
          </w:p>
        </w:tc>
        <w:tc>
          <w:tcPr>
            <w:tcW w:w="400" w:type="pct"/>
            <w:tcBorders>
              <w:top w:val="nil"/>
            </w:tcBorders>
            <w:vAlign w:val="center"/>
          </w:tcPr>
          <w:p w14:paraId="5193EA6F"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52</w:t>
            </w:r>
          </w:p>
        </w:tc>
        <w:tc>
          <w:tcPr>
            <w:tcW w:w="400" w:type="pct"/>
            <w:tcBorders>
              <w:top w:val="nil"/>
            </w:tcBorders>
            <w:vAlign w:val="center"/>
          </w:tcPr>
          <w:p w14:paraId="3295970A"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28</w:t>
            </w:r>
          </w:p>
        </w:tc>
      </w:tr>
      <w:tr w:rsidR="00C24F6F" w:rsidRPr="00ED214C" w14:paraId="557F04D7" w14:textId="77777777" w:rsidTr="002B1847">
        <w:trPr>
          <w:gridAfter w:val="1"/>
          <w:wAfter w:w="11" w:type="pct"/>
          <w:trHeight w:val="251"/>
        </w:trPr>
        <w:tc>
          <w:tcPr>
            <w:tcW w:w="2189" w:type="pct"/>
            <w:tcBorders>
              <w:top w:val="nil"/>
              <w:left w:val="nil"/>
            </w:tcBorders>
            <w:vAlign w:val="center"/>
          </w:tcPr>
          <w:p w14:paraId="6200F18C" w14:textId="77777777" w:rsidR="00C24F6F" w:rsidRPr="00ED214C" w:rsidRDefault="00C24F6F" w:rsidP="002B1847">
            <w:pPr>
              <w:spacing w:after="0" w:line="240" w:lineRule="auto"/>
              <w:ind w:left="356"/>
              <w:rPr>
                <w:rFonts w:ascii="Arial Narrow" w:hAnsi="Arial Narrow"/>
                <w:sz w:val="16"/>
                <w:szCs w:val="16"/>
              </w:rPr>
            </w:pPr>
            <w:r w:rsidRPr="00ED214C">
              <w:rPr>
                <w:rFonts w:ascii="Arial Narrow" w:hAnsi="Arial Narrow"/>
                <w:sz w:val="16"/>
                <w:szCs w:val="16"/>
              </w:rPr>
              <w:t>z toho: Eximbanka</w:t>
            </w:r>
          </w:p>
        </w:tc>
        <w:tc>
          <w:tcPr>
            <w:tcW w:w="400" w:type="pct"/>
            <w:tcBorders>
              <w:top w:val="nil"/>
            </w:tcBorders>
            <w:vAlign w:val="center"/>
          </w:tcPr>
          <w:p w14:paraId="593F85BD"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14</w:t>
            </w:r>
          </w:p>
        </w:tc>
        <w:tc>
          <w:tcPr>
            <w:tcW w:w="400" w:type="pct"/>
            <w:tcBorders>
              <w:top w:val="nil"/>
            </w:tcBorders>
            <w:vAlign w:val="center"/>
          </w:tcPr>
          <w:p w14:paraId="74FA837E"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-1</w:t>
            </w:r>
          </w:p>
        </w:tc>
        <w:tc>
          <w:tcPr>
            <w:tcW w:w="400" w:type="pct"/>
            <w:tcBorders>
              <w:top w:val="nil"/>
            </w:tcBorders>
            <w:vAlign w:val="center"/>
          </w:tcPr>
          <w:p w14:paraId="49935ED3"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57</w:t>
            </w:r>
          </w:p>
        </w:tc>
        <w:tc>
          <w:tcPr>
            <w:tcW w:w="400" w:type="pct"/>
            <w:tcBorders>
              <w:top w:val="nil"/>
            </w:tcBorders>
            <w:vAlign w:val="center"/>
          </w:tcPr>
          <w:p w14:paraId="35A9ADC7"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50</w:t>
            </w:r>
          </w:p>
        </w:tc>
        <w:tc>
          <w:tcPr>
            <w:tcW w:w="400" w:type="pct"/>
            <w:gridSpan w:val="2"/>
            <w:tcBorders>
              <w:top w:val="nil"/>
            </w:tcBorders>
            <w:vAlign w:val="center"/>
          </w:tcPr>
          <w:p w14:paraId="497C7F10"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96</w:t>
            </w:r>
          </w:p>
        </w:tc>
        <w:tc>
          <w:tcPr>
            <w:tcW w:w="400" w:type="pct"/>
            <w:tcBorders>
              <w:top w:val="nil"/>
            </w:tcBorders>
            <w:vAlign w:val="center"/>
          </w:tcPr>
          <w:p w14:paraId="48236580"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50</w:t>
            </w:r>
          </w:p>
        </w:tc>
        <w:tc>
          <w:tcPr>
            <w:tcW w:w="400" w:type="pct"/>
            <w:tcBorders>
              <w:top w:val="nil"/>
            </w:tcBorders>
            <w:vAlign w:val="center"/>
          </w:tcPr>
          <w:p w14:paraId="10F9AD6E"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50</w:t>
            </w:r>
          </w:p>
        </w:tc>
      </w:tr>
      <w:tr w:rsidR="00C24F6F" w:rsidRPr="00ED214C" w14:paraId="41C19C8B" w14:textId="77777777" w:rsidTr="002B1847">
        <w:trPr>
          <w:gridAfter w:val="1"/>
          <w:wAfter w:w="11" w:type="pct"/>
          <w:trHeight w:val="251"/>
        </w:trPr>
        <w:tc>
          <w:tcPr>
            <w:tcW w:w="2189" w:type="pct"/>
            <w:tcBorders>
              <w:top w:val="nil"/>
              <w:left w:val="nil"/>
            </w:tcBorders>
            <w:vAlign w:val="center"/>
          </w:tcPr>
          <w:p w14:paraId="04E98892" w14:textId="77777777" w:rsidR="00C24F6F" w:rsidRPr="00ED214C" w:rsidRDefault="00C24F6F" w:rsidP="002B1847">
            <w:pPr>
              <w:spacing w:after="0" w:line="240" w:lineRule="auto"/>
              <w:ind w:left="356"/>
              <w:rPr>
                <w:rFonts w:ascii="Arial Narrow" w:hAnsi="Arial Narrow"/>
                <w:sz w:val="16"/>
                <w:szCs w:val="16"/>
              </w:rPr>
            </w:pPr>
            <w:r w:rsidRPr="00ED214C">
              <w:rPr>
                <w:rFonts w:ascii="Arial Narrow" w:hAnsi="Arial Narrow"/>
                <w:sz w:val="16"/>
                <w:szCs w:val="16"/>
              </w:rPr>
              <w:t>z toho: Dopravné podniky obcí</w:t>
            </w:r>
          </w:p>
        </w:tc>
        <w:tc>
          <w:tcPr>
            <w:tcW w:w="400" w:type="pct"/>
            <w:tcBorders>
              <w:top w:val="nil"/>
            </w:tcBorders>
            <w:vAlign w:val="center"/>
          </w:tcPr>
          <w:p w14:paraId="0E290210"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41</w:t>
            </w:r>
          </w:p>
        </w:tc>
        <w:tc>
          <w:tcPr>
            <w:tcW w:w="400" w:type="pct"/>
            <w:tcBorders>
              <w:top w:val="nil"/>
            </w:tcBorders>
            <w:vAlign w:val="center"/>
          </w:tcPr>
          <w:p w14:paraId="5640DC0E"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-10</w:t>
            </w:r>
          </w:p>
        </w:tc>
        <w:tc>
          <w:tcPr>
            <w:tcW w:w="400" w:type="pct"/>
            <w:tcBorders>
              <w:top w:val="nil"/>
            </w:tcBorders>
            <w:vAlign w:val="center"/>
          </w:tcPr>
          <w:p w14:paraId="1146E06D"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-7</w:t>
            </w:r>
          </w:p>
        </w:tc>
        <w:tc>
          <w:tcPr>
            <w:tcW w:w="400" w:type="pct"/>
            <w:tcBorders>
              <w:top w:val="nil"/>
            </w:tcBorders>
            <w:vAlign w:val="center"/>
          </w:tcPr>
          <w:p w14:paraId="671C792E"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30</w:t>
            </w:r>
          </w:p>
        </w:tc>
        <w:tc>
          <w:tcPr>
            <w:tcW w:w="400" w:type="pct"/>
            <w:gridSpan w:val="2"/>
            <w:tcBorders>
              <w:top w:val="nil"/>
            </w:tcBorders>
            <w:vAlign w:val="center"/>
          </w:tcPr>
          <w:p w14:paraId="4A61D3C5"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49</w:t>
            </w:r>
          </w:p>
        </w:tc>
        <w:tc>
          <w:tcPr>
            <w:tcW w:w="400" w:type="pct"/>
            <w:tcBorders>
              <w:top w:val="nil"/>
            </w:tcBorders>
            <w:vAlign w:val="center"/>
          </w:tcPr>
          <w:p w14:paraId="26060249"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36</w:t>
            </w:r>
          </w:p>
        </w:tc>
        <w:tc>
          <w:tcPr>
            <w:tcW w:w="400" w:type="pct"/>
            <w:tcBorders>
              <w:top w:val="nil"/>
            </w:tcBorders>
            <w:vAlign w:val="center"/>
          </w:tcPr>
          <w:p w14:paraId="4F927C91"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33</w:t>
            </w:r>
          </w:p>
        </w:tc>
      </w:tr>
      <w:tr w:rsidR="00C24F6F" w:rsidRPr="00ED214C" w14:paraId="498902D7" w14:textId="77777777" w:rsidTr="002B1847">
        <w:trPr>
          <w:gridAfter w:val="1"/>
          <w:wAfter w:w="11" w:type="pct"/>
          <w:trHeight w:val="251"/>
        </w:trPr>
        <w:tc>
          <w:tcPr>
            <w:tcW w:w="2189" w:type="pct"/>
            <w:tcBorders>
              <w:top w:val="nil"/>
              <w:left w:val="nil"/>
            </w:tcBorders>
            <w:vAlign w:val="center"/>
          </w:tcPr>
          <w:p w14:paraId="3B9F607B" w14:textId="77777777" w:rsidR="00C24F6F" w:rsidRPr="00ED214C" w:rsidRDefault="00C24F6F" w:rsidP="002B1847">
            <w:pPr>
              <w:spacing w:after="0" w:line="240" w:lineRule="auto"/>
              <w:ind w:left="356"/>
              <w:rPr>
                <w:rFonts w:ascii="Arial Narrow" w:hAnsi="Arial Narrow"/>
                <w:sz w:val="16"/>
                <w:szCs w:val="16"/>
              </w:rPr>
            </w:pPr>
            <w:r w:rsidRPr="00ED214C">
              <w:rPr>
                <w:rFonts w:ascii="Arial Narrow" w:hAnsi="Arial Narrow"/>
                <w:sz w:val="16"/>
                <w:szCs w:val="16"/>
              </w:rPr>
              <w:t>z toho: Samospráva (obce a VÚC)</w:t>
            </w:r>
          </w:p>
        </w:tc>
        <w:tc>
          <w:tcPr>
            <w:tcW w:w="400" w:type="pct"/>
            <w:tcBorders>
              <w:top w:val="nil"/>
            </w:tcBorders>
            <w:vAlign w:val="center"/>
          </w:tcPr>
          <w:p w14:paraId="6C451C4F"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149</w:t>
            </w:r>
          </w:p>
        </w:tc>
        <w:tc>
          <w:tcPr>
            <w:tcW w:w="400" w:type="pct"/>
            <w:tcBorders>
              <w:top w:val="nil"/>
            </w:tcBorders>
            <w:vAlign w:val="center"/>
          </w:tcPr>
          <w:p w14:paraId="325BE36F"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222</w:t>
            </w:r>
          </w:p>
        </w:tc>
        <w:tc>
          <w:tcPr>
            <w:tcW w:w="400" w:type="pct"/>
            <w:tcBorders>
              <w:top w:val="nil"/>
            </w:tcBorders>
            <w:vAlign w:val="center"/>
          </w:tcPr>
          <w:p w14:paraId="0A30DFFC"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-33</w:t>
            </w:r>
          </w:p>
        </w:tc>
        <w:tc>
          <w:tcPr>
            <w:tcW w:w="400" w:type="pct"/>
            <w:tcBorders>
              <w:top w:val="nil"/>
            </w:tcBorders>
            <w:vAlign w:val="center"/>
          </w:tcPr>
          <w:p w14:paraId="100D850A"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127</w:t>
            </w:r>
          </w:p>
        </w:tc>
        <w:tc>
          <w:tcPr>
            <w:tcW w:w="400" w:type="pct"/>
            <w:gridSpan w:val="2"/>
            <w:tcBorders>
              <w:top w:val="nil"/>
            </w:tcBorders>
            <w:vAlign w:val="center"/>
          </w:tcPr>
          <w:p w14:paraId="71B596D7"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-46</w:t>
            </w:r>
          </w:p>
        </w:tc>
        <w:tc>
          <w:tcPr>
            <w:tcW w:w="400" w:type="pct"/>
            <w:tcBorders>
              <w:top w:val="nil"/>
            </w:tcBorders>
            <w:vAlign w:val="center"/>
          </w:tcPr>
          <w:p w14:paraId="5E689783"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-45</w:t>
            </w:r>
          </w:p>
        </w:tc>
        <w:tc>
          <w:tcPr>
            <w:tcW w:w="400" w:type="pct"/>
            <w:tcBorders>
              <w:top w:val="nil"/>
            </w:tcBorders>
            <w:vAlign w:val="center"/>
          </w:tcPr>
          <w:p w14:paraId="6D895B86"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-45</w:t>
            </w:r>
          </w:p>
        </w:tc>
      </w:tr>
      <w:tr w:rsidR="00C24F6F" w:rsidRPr="008E7F52" w14:paraId="34AF97F8" w14:textId="77777777" w:rsidTr="002B1847">
        <w:trPr>
          <w:gridAfter w:val="1"/>
          <w:wAfter w:w="11" w:type="pct"/>
          <w:trHeight w:val="251"/>
        </w:trPr>
        <w:tc>
          <w:tcPr>
            <w:tcW w:w="2189" w:type="pct"/>
            <w:tcBorders>
              <w:top w:val="nil"/>
              <w:left w:val="nil"/>
            </w:tcBorders>
            <w:vAlign w:val="center"/>
          </w:tcPr>
          <w:p w14:paraId="283EBFF5" w14:textId="77777777" w:rsidR="00C24F6F" w:rsidRPr="00ED214C" w:rsidRDefault="00C24F6F" w:rsidP="002B1847">
            <w:pPr>
              <w:spacing w:after="0" w:line="240" w:lineRule="auto"/>
              <w:rPr>
                <w:rFonts w:ascii="Arial Narrow" w:hAnsi="Arial Narrow"/>
                <w:sz w:val="16"/>
                <w:szCs w:val="16"/>
              </w:rPr>
            </w:pPr>
            <w:r w:rsidRPr="00ED214C">
              <w:rPr>
                <w:rFonts w:ascii="Arial Narrow" w:hAnsi="Arial Narrow"/>
                <w:sz w:val="16"/>
                <w:szCs w:val="16"/>
              </w:rPr>
              <w:t>- emisný diskont</w:t>
            </w:r>
          </w:p>
        </w:tc>
        <w:tc>
          <w:tcPr>
            <w:tcW w:w="400" w:type="pct"/>
            <w:tcBorders>
              <w:top w:val="nil"/>
            </w:tcBorders>
            <w:vAlign w:val="center"/>
          </w:tcPr>
          <w:p w14:paraId="0A56E948"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542</w:t>
            </w:r>
          </w:p>
        </w:tc>
        <w:tc>
          <w:tcPr>
            <w:tcW w:w="400" w:type="pct"/>
            <w:tcBorders>
              <w:top w:val="nil"/>
            </w:tcBorders>
            <w:vAlign w:val="center"/>
          </w:tcPr>
          <w:p w14:paraId="43402960"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454</w:t>
            </w:r>
          </w:p>
        </w:tc>
        <w:tc>
          <w:tcPr>
            <w:tcW w:w="400" w:type="pct"/>
            <w:tcBorders>
              <w:top w:val="nil"/>
            </w:tcBorders>
            <w:vAlign w:val="center"/>
          </w:tcPr>
          <w:p w14:paraId="0F8026E3"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806</w:t>
            </w:r>
          </w:p>
        </w:tc>
        <w:tc>
          <w:tcPr>
            <w:tcW w:w="400" w:type="pct"/>
            <w:tcBorders>
              <w:top w:val="nil"/>
            </w:tcBorders>
            <w:vAlign w:val="center"/>
          </w:tcPr>
          <w:p w14:paraId="4260923B"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434</w:t>
            </w:r>
          </w:p>
        </w:tc>
        <w:tc>
          <w:tcPr>
            <w:tcW w:w="400" w:type="pct"/>
            <w:gridSpan w:val="2"/>
            <w:tcBorders>
              <w:top w:val="nil"/>
            </w:tcBorders>
            <w:vAlign w:val="center"/>
          </w:tcPr>
          <w:p w14:paraId="0DD6AB04"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 xml:space="preserve">379 </w:t>
            </w:r>
          </w:p>
        </w:tc>
        <w:tc>
          <w:tcPr>
            <w:tcW w:w="400" w:type="pct"/>
            <w:tcBorders>
              <w:top w:val="nil"/>
            </w:tcBorders>
            <w:vAlign w:val="center"/>
          </w:tcPr>
          <w:p w14:paraId="7F6B7A29"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401</w:t>
            </w:r>
          </w:p>
        </w:tc>
        <w:tc>
          <w:tcPr>
            <w:tcW w:w="400" w:type="pct"/>
            <w:tcBorders>
              <w:top w:val="nil"/>
            </w:tcBorders>
            <w:vAlign w:val="center"/>
          </w:tcPr>
          <w:p w14:paraId="593A828F"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329</w:t>
            </w:r>
          </w:p>
        </w:tc>
      </w:tr>
      <w:tr w:rsidR="00C24F6F" w:rsidRPr="008E7F52" w14:paraId="7ECBB16F" w14:textId="77777777" w:rsidTr="002B1847">
        <w:trPr>
          <w:gridAfter w:val="1"/>
          <w:wAfter w:w="11" w:type="pct"/>
          <w:trHeight w:val="251"/>
        </w:trPr>
        <w:tc>
          <w:tcPr>
            <w:tcW w:w="2189" w:type="pct"/>
            <w:tcBorders>
              <w:top w:val="nil"/>
              <w:left w:val="nil"/>
            </w:tcBorders>
            <w:vAlign w:val="center"/>
          </w:tcPr>
          <w:p w14:paraId="4F65CDC6" w14:textId="77777777" w:rsidR="00C24F6F" w:rsidRPr="00ED214C" w:rsidRDefault="00C24F6F" w:rsidP="002B1847">
            <w:pPr>
              <w:spacing w:after="0" w:line="240" w:lineRule="auto"/>
              <w:rPr>
                <w:rFonts w:ascii="Arial Narrow" w:hAnsi="Arial Narrow"/>
                <w:sz w:val="16"/>
                <w:szCs w:val="16"/>
              </w:rPr>
            </w:pPr>
            <w:r w:rsidRPr="00ED214C">
              <w:rPr>
                <w:rFonts w:ascii="Arial Narrow" w:hAnsi="Arial Narrow"/>
                <w:sz w:val="16"/>
                <w:szCs w:val="16"/>
              </w:rPr>
              <w:t>- diskont pri splatnosti</w:t>
            </w:r>
          </w:p>
        </w:tc>
        <w:tc>
          <w:tcPr>
            <w:tcW w:w="400" w:type="pct"/>
            <w:tcBorders>
              <w:top w:val="nil"/>
            </w:tcBorders>
            <w:vAlign w:val="center"/>
          </w:tcPr>
          <w:p w14:paraId="0F94061D"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-11</w:t>
            </w:r>
          </w:p>
        </w:tc>
        <w:tc>
          <w:tcPr>
            <w:tcW w:w="400" w:type="pct"/>
            <w:tcBorders>
              <w:top w:val="nil"/>
            </w:tcBorders>
            <w:vAlign w:val="center"/>
          </w:tcPr>
          <w:p w14:paraId="3CBB5091"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0</w:t>
            </w:r>
          </w:p>
        </w:tc>
        <w:tc>
          <w:tcPr>
            <w:tcW w:w="400" w:type="pct"/>
            <w:tcBorders>
              <w:top w:val="nil"/>
            </w:tcBorders>
            <w:vAlign w:val="center"/>
          </w:tcPr>
          <w:p w14:paraId="790E8FD5"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0</w:t>
            </w:r>
          </w:p>
        </w:tc>
        <w:tc>
          <w:tcPr>
            <w:tcW w:w="400" w:type="pct"/>
            <w:tcBorders>
              <w:top w:val="nil"/>
            </w:tcBorders>
            <w:vAlign w:val="center"/>
          </w:tcPr>
          <w:p w14:paraId="3EB0D152"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0</w:t>
            </w:r>
          </w:p>
        </w:tc>
        <w:tc>
          <w:tcPr>
            <w:tcW w:w="400" w:type="pct"/>
            <w:gridSpan w:val="2"/>
            <w:tcBorders>
              <w:top w:val="nil"/>
            </w:tcBorders>
            <w:vAlign w:val="center"/>
          </w:tcPr>
          <w:p w14:paraId="205B02D8"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-40</w:t>
            </w:r>
          </w:p>
        </w:tc>
        <w:tc>
          <w:tcPr>
            <w:tcW w:w="400" w:type="pct"/>
            <w:tcBorders>
              <w:top w:val="nil"/>
            </w:tcBorders>
            <w:vAlign w:val="center"/>
          </w:tcPr>
          <w:p w14:paraId="5E88D9F4"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-41</w:t>
            </w:r>
          </w:p>
        </w:tc>
        <w:tc>
          <w:tcPr>
            <w:tcW w:w="400" w:type="pct"/>
            <w:tcBorders>
              <w:top w:val="nil"/>
            </w:tcBorders>
            <w:vAlign w:val="center"/>
          </w:tcPr>
          <w:p w14:paraId="431E5C67" w14:textId="77777777" w:rsidR="00C24F6F" w:rsidRPr="00ED214C" w:rsidRDefault="00C24F6F" w:rsidP="002B1847">
            <w:pPr>
              <w:spacing w:after="0"/>
              <w:jc w:val="right"/>
              <w:rPr>
                <w:rFonts w:ascii="Arial Narrow" w:hAnsi="Arial Narrow" w:cs="Arial"/>
                <w:sz w:val="14"/>
                <w:szCs w:val="14"/>
              </w:rPr>
            </w:pPr>
            <w:r w:rsidRPr="00ED214C">
              <w:rPr>
                <w:rFonts w:ascii="Arial Narrow" w:hAnsi="Arial Narrow" w:cs="Arial"/>
                <w:sz w:val="14"/>
                <w:szCs w:val="14"/>
              </w:rPr>
              <w:t>-183</w:t>
            </w:r>
          </w:p>
        </w:tc>
      </w:tr>
      <w:tr w:rsidR="00C24F6F" w:rsidRPr="00D748D2" w14:paraId="1ED0F695" w14:textId="77777777" w:rsidTr="002B1847">
        <w:trPr>
          <w:gridAfter w:val="1"/>
          <w:wAfter w:w="11" w:type="pct"/>
          <w:trHeight w:val="251"/>
        </w:trPr>
        <w:tc>
          <w:tcPr>
            <w:tcW w:w="2189" w:type="pct"/>
            <w:tcBorders>
              <w:top w:val="nil"/>
              <w:left w:val="nil"/>
            </w:tcBorders>
            <w:vAlign w:val="center"/>
          </w:tcPr>
          <w:p w14:paraId="6762DD3E" w14:textId="77777777" w:rsidR="00C24F6F" w:rsidRPr="00D748D2" w:rsidRDefault="00C24F6F" w:rsidP="002B1847">
            <w:pPr>
              <w:spacing w:after="0" w:line="240" w:lineRule="auto"/>
              <w:rPr>
                <w:rFonts w:ascii="Arial Narrow" w:hAnsi="Arial Narrow"/>
                <w:sz w:val="16"/>
                <w:szCs w:val="16"/>
              </w:rPr>
            </w:pPr>
            <w:r w:rsidRPr="00D748D2">
              <w:rPr>
                <w:rFonts w:ascii="Arial Narrow" w:hAnsi="Arial Narrow"/>
                <w:sz w:val="16"/>
                <w:szCs w:val="16"/>
              </w:rPr>
              <w:t>- zmena záruk SR v EFSF</w:t>
            </w:r>
          </w:p>
        </w:tc>
        <w:tc>
          <w:tcPr>
            <w:tcW w:w="400" w:type="pct"/>
            <w:tcBorders>
              <w:top w:val="nil"/>
            </w:tcBorders>
            <w:vAlign w:val="center"/>
          </w:tcPr>
          <w:p w14:paraId="56CE7F58" w14:textId="77777777" w:rsidR="00C24F6F" w:rsidRPr="00D748D2" w:rsidRDefault="00C24F6F" w:rsidP="002B1847">
            <w:pPr>
              <w:spacing w:after="0"/>
              <w:jc w:val="right"/>
              <w:rPr>
                <w:rFonts w:ascii="Arial Narrow" w:hAnsi="Arial Narrow" w:cs="Arial"/>
                <w:sz w:val="14"/>
                <w:szCs w:val="14"/>
              </w:rPr>
            </w:pPr>
            <w:r w:rsidRPr="00D748D2">
              <w:rPr>
                <w:rFonts w:ascii="Arial Narrow" w:hAnsi="Arial Narrow" w:cs="Arial"/>
                <w:sz w:val="14"/>
                <w:szCs w:val="14"/>
              </w:rPr>
              <w:t>118</w:t>
            </w:r>
          </w:p>
        </w:tc>
        <w:tc>
          <w:tcPr>
            <w:tcW w:w="400" w:type="pct"/>
            <w:tcBorders>
              <w:top w:val="nil"/>
            </w:tcBorders>
            <w:vAlign w:val="center"/>
          </w:tcPr>
          <w:p w14:paraId="4AF83B6B" w14:textId="77777777" w:rsidR="00C24F6F" w:rsidRPr="00D748D2" w:rsidRDefault="00C24F6F" w:rsidP="002B1847">
            <w:pPr>
              <w:spacing w:after="0"/>
              <w:jc w:val="right"/>
              <w:rPr>
                <w:rFonts w:ascii="Arial Narrow" w:hAnsi="Arial Narrow" w:cs="Arial"/>
                <w:sz w:val="14"/>
                <w:szCs w:val="14"/>
              </w:rPr>
            </w:pPr>
            <w:r w:rsidRPr="00D748D2">
              <w:rPr>
                <w:rFonts w:ascii="Arial Narrow" w:hAnsi="Arial Narrow" w:cs="Arial"/>
                <w:sz w:val="14"/>
                <w:szCs w:val="14"/>
              </w:rPr>
              <w:t>-5</w:t>
            </w:r>
          </w:p>
        </w:tc>
        <w:tc>
          <w:tcPr>
            <w:tcW w:w="400" w:type="pct"/>
            <w:tcBorders>
              <w:top w:val="nil"/>
            </w:tcBorders>
            <w:vAlign w:val="center"/>
          </w:tcPr>
          <w:p w14:paraId="300C59A7" w14:textId="77777777" w:rsidR="00C24F6F" w:rsidRPr="00D748D2" w:rsidRDefault="00C24F6F" w:rsidP="002B1847">
            <w:pPr>
              <w:spacing w:after="0"/>
              <w:jc w:val="right"/>
              <w:rPr>
                <w:rFonts w:ascii="Arial Narrow" w:hAnsi="Arial Narrow" w:cs="Arial"/>
                <w:sz w:val="14"/>
                <w:szCs w:val="14"/>
              </w:rPr>
            </w:pPr>
            <w:r w:rsidRPr="00D748D2">
              <w:rPr>
                <w:rFonts w:ascii="Arial Narrow" w:hAnsi="Arial Narrow" w:cs="Arial"/>
                <w:sz w:val="14"/>
                <w:szCs w:val="14"/>
              </w:rPr>
              <w:t>-2</w:t>
            </w:r>
          </w:p>
        </w:tc>
        <w:tc>
          <w:tcPr>
            <w:tcW w:w="400" w:type="pct"/>
            <w:tcBorders>
              <w:top w:val="nil"/>
            </w:tcBorders>
            <w:vAlign w:val="center"/>
          </w:tcPr>
          <w:p w14:paraId="64D83714" w14:textId="77777777" w:rsidR="00C24F6F" w:rsidRPr="00D748D2" w:rsidRDefault="00C24F6F" w:rsidP="002B1847">
            <w:pPr>
              <w:spacing w:after="0"/>
              <w:jc w:val="right"/>
              <w:rPr>
                <w:rFonts w:ascii="Arial Narrow" w:hAnsi="Arial Narrow" w:cs="Arial"/>
                <w:sz w:val="14"/>
                <w:szCs w:val="14"/>
              </w:rPr>
            </w:pPr>
            <w:r w:rsidRPr="00D748D2">
              <w:rPr>
                <w:rFonts w:ascii="Arial Narrow" w:hAnsi="Arial Narrow" w:cs="Arial"/>
                <w:sz w:val="14"/>
                <w:szCs w:val="14"/>
              </w:rPr>
              <w:t>0</w:t>
            </w:r>
          </w:p>
        </w:tc>
        <w:tc>
          <w:tcPr>
            <w:tcW w:w="400" w:type="pct"/>
            <w:gridSpan w:val="2"/>
            <w:tcBorders>
              <w:top w:val="nil"/>
            </w:tcBorders>
            <w:vAlign w:val="center"/>
          </w:tcPr>
          <w:p w14:paraId="55C5EB2E" w14:textId="77777777" w:rsidR="00C24F6F" w:rsidRPr="00D748D2" w:rsidRDefault="00C24F6F" w:rsidP="002B1847">
            <w:pPr>
              <w:spacing w:after="0"/>
              <w:jc w:val="right"/>
              <w:rPr>
                <w:rFonts w:ascii="Arial Narrow" w:hAnsi="Arial Narrow" w:cs="Arial"/>
                <w:sz w:val="14"/>
                <w:szCs w:val="14"/>
              </w:rPr>
            </w:pPr>
            <w:r w:rsidRPr="00D748D2">
              <w:rPr>
                <w:rFonts w:ascii="Arial Narrow" w:hAnsi="Arial Narrow" w:cs="Arial"/>
                <w:sz w:val="14"/>
                <w:szCs w:val="14"/>
              </w:rPr>
              <w:t>0</w:t>
            </w:r>
          </w:p>
        </w:tc>
        <w:tc>
          <w:tcPr>
            <w:tcW w:w="400" w:type="pct"/>
            <w:tcBorders>
              <w:top w:val="nil"/>
            </w:tcBorders>
            <w:vAlign w:val="center"/>
          </w:tcPr>
          <w:p w14:paraId="24DC39A6" w14:textId="77777777" w:rsidR="00C24F6F" w:rsidRPr="00D748D2" w:rsidRDefault="00C24F6F" w:rsidP="002B1847">
            <w:pPr>
              <w:spacing w:after="0"/>
              <w:jc w:val="right"/>
              <w:rPr>
                <w:rFonts w:ascii="Arial Narrow" w:hAnsi="Arial Narrow" w:cs="Arial"/>
                <w:sz w:val="14"/>
                <w:szCs w:val="14"/>
              </w:rPr>
            </w:pPr>
            <w:r w:rsidRPr="00D748D2">
              <w:rPr>
                <w:rFonts w:ascii="Arial Narrow" w:hAnsi="Arial Narrow" w:cs="Arial"/>
                <w:sz w:val="14"/>
                <w:szCs w:val="14"/>
              </w:rPr>
              <w:t>0</w:t>
            </w:r>
          </w:p>
        </w:tc>
        <w:tc>
          <w:tcPr>
            <w:tcW w:w="400" w:type="pct"/>
            <w:tcBorders>
              <w:top w:val="nil"/>
            </w:tcBorders>
            <w:vAlign w:val="center"/>
          </w:tcPr>
          <w:p w14:paraId="2F9C6B66" w14:textId="77777777" w:rsidR="00C24F6F" w:rsidRPr="00D748D2" w:rsidRDefault="00C24F6F" w:rsidP="002B1847">
            <w:pPr>
              <w:spacing w:after="0"/>
              <w:jc w:val="right"/>
              <w:rPr>
                <w:rFonts w:ascii="Arial Narrow" w:hAnsi="Arial Narrow" w:cs="Arial"/>
                <w:sz w:val="14"/>
                <w:szCs w:val="14"/>
              </w:rPr>
            </w:pPr>
            <w:r w:rsidRPr="00D748D2">
              <w:rPr>
                <w:rFonts w:ascii="Arial Narrow" w:hAnsi="Arial Narrow" w:cs="Arial"/>
                <w:sz w:val="14"/>
                <w:szCs w:val="14"/>
              </w:rPr>
              <w:t>0</w:t>
            </w:r>
          </w:p>
        </w:tc>
      </w:tr>
      <w:tr w:rsidR="00C24F6F" w:rsidRPr="008E7F52" w14:paraId="2A3D9DB5" w14:textId="77777777" w:rsidTr="002B1847">
        <w:trPr>
          <w:gridAfter w:val="1"/>
          <w:wAfter w:w="11" w:type="pct"/>
          <w:trHeight w:val="251"/>
        </w:trPr>
        <w:tc>
          <w:tcPr>
            <w:tcW w:w="2189" w:type="pct"/>
            <w:tcBorders>
              <w:left w:val="nil"/>
              <w:bottom w:val="single" w:sz="4" w:space="0" w:color="auto"/>
            </w:tcBorders>
            <w:vAlign w:val="center"/>
          </w:tcPr>
          <w:p w14:paraId="51907364" w14:textId="77777777" w:rsidR="00C24F6F" w:rsidRPr="00A9281D" w:rsidRDefault="00C24F6F" w:rsidP="002B1847">
            <w:pPr>
              <w:spacing w:after="0" w:line="240" w:lineRule="auto"/>
              <w:rPr>
                <w:rFonts w:ascii="Arial Narrow" w:hAnsi="Arial Narrow"/>
                <w:sz w:val="16"/>
                <w:szCs w:val="16"/>
              </w:rPr>
            </w:pPr>
            <w:r w:rsidRPr="00A9281D">
              <w:rPr>
                <w:rFonts w:ascii="Arial Narrow" w:hAnsi="Arial Narrow"/>
                <w:sz w:val="16"/>
                <w:szCs w:val="16"/>
              </w:rPr>
              <w:t>- ostatné*</w:t>
            </w:r>
          </w:p>
        </w:tc>
        <w:tc>
          <w:tcPr>
            <w:tcW w:w="400" w:type="pct"/>
            <w:tcBorders>
              <w:bottom w:val="single" w:sz="4" w:space="0" w:color="auto"/>
            </w:tcBorders>
            <w:vAlign w:val="center"/>
          </w:tcPr>
          <w:p w14:paraId="2DA7A530" w14:textId="77777777" w:rsidR="00C24F6F" w:rsidRPr="00A9281D" w:rsidRDefault="00C24F6F" w:rsidP="002B1847">
            <w:pPr>
              <w:spacing w:after="0"/>
              <w:jc w:val="right"/>
              <w:rPr>
                <w:rFonts w:ascii="Arial Narrow" w:hAnsi="Arial Narrow" w:cs="Arial"/>
                <w:sz w:val="14"/>
                <w:szCs w:val="14"/>
              </w:rPr>
            </w:pPr>
            <w:r w:rsidRPr="00A9281D">
              <w:rPr>
                <w:rFonts w:ascii="Arial Narrow" w:hAnsi="Arial Narrow" w:cs="Arial"/>
                <w:sz w:val="14"/>
                <w:szCs w:val="14"/>
              </w:rPr>
              <w:t>-1 989</w:t>
            </w:r>
          </w:p>
        </w:tc>
        <w:tc>
          <w:tcPr>
            <w:tcW w:w="400" w:type="pct"/>
            <w:tcBorders>
              <w:bottom w:val="single" w:sz="4" w:space="0" w:color="auto"/>
            </w:tcBorders>
            <w:vAlign w:val="center"/>
          </w:tcPr>
          <w:p w14:paraId="1378DE75" w14:textId="77777777" w:rsidR="00C24F6F" w:rsidRPr="00A9281D" w:rsidRDefault="00C24F6F" w:rsidP="002B1847">
            <w:pPr>
              <w:spacing w:after="0"/>
              <w:jc w:val="right"/>
              <w:rPr>
                <w:rFonts w:ascii="Arial Narrow" w:hAnsi="Arial Narrow" w:cs="Arial"/>
                <w:sz w:val="14"/>
                <w:szCs w:val="14"/>
              </w:rPr>
            </w:pPr>
            <w:r w:rsidRPr="00A9281D">
              <w:rPr>
                <w:rFonts w:ascii="Arial Narrow" w:hAnsi="Arial Narrow" w:cs="Arial"/>
                <w:sz w:val="14"/>
                <w:szCs w:val="14"/>
              </w:rPr>
              <w:t>-339</w:t>
            </w:r>
          </w:p>
        </w:tc>
        <w:tc>
          <w:tcPr>
            <w:tcW w:w="400" w:type="pct"/>
            <w:tcBorders>
              <w:bottom w:val="single" w:sz="4" w:space="0" w:color="auto"/>
            </w:tcBorders>
            <w:vAlign w:val="center"/>
          </w:tcPr>
          <w:p w14:paraId="1EFAF4F0" w14:textId="77777777" w:rsidR="00C24F6F" w:rsidRPr="00A9281D" w:rsidRDefault="00C24F6F" w:rsidP="002B1847">
            <w:pPr>
              <w:spacing w:after="0"/>
              <w:jc w:val="right"/>
              <w:rPr>
                <w:rFonts w:ascii="Arial Narrow" w:hAnsi="Arial Narrow" w:cs="Arial"/>
                <w:sz w:val="14"/>
                <w:szCs w:val="14"/>
              </w:rPr>
            </w:pPr>
            <w:r w:rsidRPr="00A9281D">
              <w:rPr>
                <w:rFonts w:ascii="Arial Narrow" w:hAnsi="Arial Narrow" w:cs="Arial"/>
                <w:sz w:val="14"/>
                <w:szCs w:val="14"/>
              </w:rPr>
              <w:t>144</w:t>
            </w:r>
          </w:p>
        </w:tc>
        <w:tc>
          <w:tcPr>
            <w:tcW w:w="400" w:type="pct"/>
            <w:tcBorders>
              <w:bottom w:val="single" w:sz="4" w:space="0" w:color="auto"/>
            </w:tcBorders>
            <w:vAlign w:val="center"/>
          </w:tcPr>
          <w:p w14:paraId="1C936B23" w14:textId="77777777" w:rsidR="00C24F6F" w:rsidRPr="00A9281D" w:rsidRDefault="00C24F6F" w:rsidP="002B1847">
            <w:pPr>
              <w:spacing w:after="0"/>
              <w:jc w:val="right"/>
              <w:rPr>
                <w:rFonts w:ascii="Arial Narrow" w:hAnsi="Arial Narrow" w:cs="Arial"/>
                <w:sz w:val="14"/>
                <w:szCs w:val="14"/>
              </w:rPr>
            </w:pPr>
            <w:r w:rsidRPr="00A9281D">
              <w:rPr>
                <w:rFonts w:ascii="Arial Narrow" w:hAnsi="Arial Narrow" w:cs="Arial"/>
                <w:sz w:val="14"/>
                <w:szCs w:val="14"/>
              </w:rPr>
              <w:t>-218</w:t>
            </w:r>
          </w:p>
        </w:tc>
        <w:tc>
          <w:tcPr>
            <w:tcW w:w="400" w:type="pct"/>
            <w:gridSpan w:val="2"/>
            <w:tcBorders>
              <w:bottom w:val="single" w:sz="4" w:space="0" w:color="auto"/>
            </w:tcBorders>
            <w:vAlign w:val="center"/>
          </w:tcPr>
          <w:p w14:paraId="5E81F049" w14:textId="77777777" w:rsidR="00C24F6F" w:rsidRPr="00A9281D" w:rsidRDefault="00C24F6F" w:rsidP="002B1847">
            <w:pPr>
              <w:spacing w:after="0"/>
              <w:jc w:val="right"/>
              <w:rPr>
                <w:rFonts w:ascii="Arial Narrow" w:hAnsi="Arial Narrow" w:cs="Arial"/>
                <w:sz w:val="14"/>
                <w:szCs w:val="14"/>
              </w:rPr>
            </w:pPr>
            <w:r w:rsidRPr="00A9281D">
              <w:rPr>
                <w:rFonts w:ascii="Arial Narrow" w:hAnsi="Arial Narrow" w:cs="Arial"/>
                <w:sz w:val="14"/>
                <w:szCs w:val="14"/>
              </w:rPr>
              <w:t>-12</w:t>
            </w:r>
          </w:p>
        </w:tc>
        <w:tc>
          <w:tcPr>
            <w:tcW w:w="400" w:type="pct"/>
            <w:tcBorders>
              <w:bottom w:val="single" w:sz="4" w:space="0" w:color="auto"/>
            </w:tcBorders>
            <w:vAlign w:val="center"/>
          </w:tcPr>
          <w:p w14:paraId="39EC00CE" w14:textId="77777777" w:rsidR="00C24F6F" w:rsidRPr="00A9281D" w:rsidRDefault="00C24F6F" w:rsidP="002B1847">
            <w:pPr>
              <w:spacing w:after="0"/>
              <w:jc w:val="right"/>
              <w:rPr>
                <w:rFonts w:ascii="Arial Narrow" w:hAnsi="Arial Narrow" w:cs="Arial"/>
                <w:sz w:val="14"/>
                <w:szCs w:val="14"/>
              </w:rPr>
            </w:pPr>
            <w:r w:rsidRPr="00A9281D">
              <w:rPr>
                <w:rFonts w:ascii="Arial Narrow" w:hAnsi="Arial Narrow" w:cs="Arial"/>
                <w:sz w:val="14"/>
                <w:szCs w:val="14"/>
              </w:rPr>
              <w:t>-14</w:t>
            </w:r>
          </w:p>
        </w:tc>
        <w:tc>
          <w:tcPr>
            <w:tcW w:w="400" w:type="pct"/>
            <w:tcBorders>
              <w:bottom w:val="single" w:sz="4" w:space="0" w:color="auto"/>
            </w:tcBorders>
            <w:vAlign w:val="center"/>
          </w:tcPr>
          <w:p w14:paraId="2DE7A1F9" w14:textId="77777777" w:rsidR="00C24F6F" w:rsidRPr="00A9281D" w:rsidRDefault="00C24F6F" w:rsidP="002B1847">
            <w:pPr>
              <w:spacing w:after="0"/>
              <w:jc w:val="right"/>
              <w:rPr>
                <w:rFonts w:ascii="Arial Narrow" w:hAnsi="Arial Narrow" w:cs="Arial"/>
                <w:sz w:val="14"/>
                <w:szCs w:val="14"/>
              </w:rPr>
            </w:pPr>
            <w:r w:rsidRPr="00A9281D">
              <w:rPr>
                <w:rFonts w:ascii="Arial Narrow" w:hAnsi="Arial Narrow" w:cs="Arial"/>
                <w:sz w:val="14"/>
                <w:szCs w:val="14"/>
              </w:rPr>
              <w:t>0</w:t>
            </w:r>
          </w:p>
        </w:tc>
      </w:tr>
      <w:tr w:rsidR="00C24F6F" w:rsidRPr="00D748D2" w14:paraId="10EBE7F0" w14:textId="77777777" w:rsidTr="002B1847">
        <w:trPr>
          <w:gridAfter w:val="1"/>
          <w:wAfter w:w="11" w:type="pct"/>
          <w:trHeight w:val="251"/>
        </w:trPr>
        <w:tc>
          <w:tcPr>
            <w:tcW w:w="2189" w:type="pct"/>
            <w:tcBorders>
              <w:top w:val="single" w:sz="4" w:space="0" w:color="auto"/>
              <w:left w:val="nil"/>
            </w:tcBorders>
            <w:vAlign w:val="center"/>
          </w:tcPr>
          <w:p w14:paraId="18D7F0D6" w14:textId="77777777" w:rsidR="00C24F6F" w:rsidRPr="00D748D2" w:rsidRDefault="00C24F6F" w:rsidP="002B1847">
            <w:pPr>
              <w:spacing w:after="0" w:line="240" w:lineRule="auto"/>
              <w:rPr>
                <w:rFonts w:ascii="Arial Narrow" w:hAnsi="Arial Narrow"/>
                <w:b/>
                <w:sz w:val="16"/>
                <w:szCs w:val="16"/>
              </w:rPr>
            </w:pPr>
            <w:r w:rsidRPr="00D748D2">
              <w:rPr>
                <w:rFonts w:ascii="Arial Narrow" w:hAnsi="Arial Narrow"/>
                <w:b/>
                <w:sz w:val="16"/>
                <w:szCs w:val="16"/>
              </w:rPr>
              <w:t>C. Hrubý dlh verejnej správy (k 31.12.)</w:t>
            </w:r>
          </w:p>
        </w:tc>
        <w:tc>
          <w:tcPr>
            <w:tcW w:w="400" w:type="pct"/>
            <w:tcBorders>
              <w:top w:val="single" w:sz="4" w:space="0" w:color="auto"/>
            </w:tcBorders>
            <w:vAlign w:val="center"/>
          </w:tcPr>
          <w:p w14:paraId="2F3F118B" w14:textId="77777777" w:rsidR="00C24F6F" w:rsidRPr="00D748D2" w:rsidRDefault="00C24F6F" w:rsidP="002B1847">
            <w:pPr>
              <w:spacing w:after="0"/>
              <w:jc w:val="right"/>
              <w:rPr>
                <w:rFonts w:ascii="Arial Narrow" w:hAnsi="Arial Narrow" w:cs="Arial"/>
                <w:b/>
                <w:bCs/>
                <w:sz w:val="14"/>
                <w:szCs w:val="14"/>
              </w:rPr>
            </w:pPr>
            <w:r w:rsidRPr="00D748D2">
              <w:rPr>
                <w:rFonts w:ascii="Arial Narrow" w:hAnsi="Arial Narrow" w:cs="Arial"/>
                <w:b/>
                <w:bCs/>
                <w:sz w:val="14"/>
                <w:szCs w:val="14"/>
              </w:rPr>
              <w:t>63 509</w:t>
            </w:r>
          </w:p>
        </w:tc>
        <w:tc>
          <w:tcPr>
            <w:tcW w:w="400" w:type="pct"/>
            <w:tcBorders>
              <w:top w:val="single" w:sz="4" w:space="0" w:color="auto"/>
            </w:tcBorders>
            <w:vAlign w:val="center"/>
          </w:tcPr>
          <w:p w14:paraId="2190C622" w14:textId="77777777" w:rsidR="00C24F6F" w:rsidRPr="00D748D2" w:rsidRDefault="00C24F6F" w:rsidP="002B1847">
            <w:pPr>
              <w:spacing w:after="0"/>
              <w:jc w:val="right"/>
              <w:rPr>
                <w:rFonts w:ascii="Arial Narrow" w:hAnsi="Arial Narrow" w:cs="Arial"/>
                <w:b/>
                <w:bCs/>
                <w:sz w:val="14"/>
                <w:szCs w:val="14"/>
              </w:rPr>
            </w:pPr>
            <w:r w:rsidRPr="00D748D2">
              <w:rPr>
                <w:rFonts w:ascii="Arial Narrow" w:hAnsi="Arial Narrow" w:cs="Arial"/>
                <w:b/>
                <w:bCs/>
                <w:sz w:val="14"/>
                <w:szCs w:val="14"/>
              </w:rPr>
              <w:t>68 882</w:t>
            </w:r>
          </w:p>
        </w:tc>
        <w:tc>
          <w:tcPr>
            <w:tcW w:w="400" w:type="pct"/>
            <w:tcBorders>
              <w:top w:val="single" w:sz="4" w:space="0" w:color="auto"/>
            </w:tcBorders>
            <w:vAlign w:val="center"/>
          </w:tcPr>
          <w:p w14:paraId="4A0DC883" w14:textId="77777777" w:rsidR="00C24F6F" w:rsidRPr="00D748D2" w:rsidRDefault="00C24F6F" w:rsidP="002B1847">
            <w:pPr>
              <w:spacing w:after="0"/>
              <w:jc w:val="right"/>
              <w:rPr>
                <w:rFonts w:ascii="Arial Narrow" w:hAnsi="Arial Narrow" w:cs="Arial"/>
                <w:b/>
                <w:bCs/>
                <w:sz w:val="14"/>
                <w:szCs w:val="14"/>
              </w:rPr>
            </w:pPr>
            <w:r w:rsidRPr="00D748D2">
              <w:rPr>
                <w:rFonts w:ascii="Arial Narrow" w:hAnsi="Arial Narrow" w:cs="Arial"/>
                <w:b/>
                <w:bCs/>
                <w:sz w:val="14"/>
                <w:szCs w:val="14"/>
              </w:rPr>
              <w:t>77 735</w:t>
            </w:r>
          </w:p>
        </w:tc>
        <w:tc>
          <w:tcPr>
            <w:tcW w:w="400" w:type="pct"/>
            <w:tcBorders>
              <w:top w:val="single" w:sz="4" w:space="0" w:color="auto"/>
            </w:tcBorders>
            <w:vAlign w:val="center"/>
          </w:tcPr>
          <w:p w14:paraId="0DD23258" w14:textId="77777777" w:rsidR="00C24F6F" w:rsidRPr="00D748D2" w:rsidRDefault="00C24F6F" w:rsidP="002B1847">
            <w:pPr>
              <w:spacing w:after="0"/>
              <w:jc w:val="right"/>
              <w:rPr>
                <w:rFonts w:ascii="Arial Narrow" w:hAnsi="Arial Narrow" w:cs="Arial"/>
                <w:b/>
                <w:bCs/>
                <w:sz w:val="14"/>
                <w:szCs w:val="14"/>
              </w:rPr>
            </w:pPr>
            <w:r w:rsidRPr="00D748D2">
              <w:rPr>
                <w:rFonts w:ascii="Arial Narrow" w:hAnsi="Arial Narrow" w:cs="Arial"/>
                <w:b/>
                <w:bCs/>
                <w:sz w:val="14"/>
                <w:szCs w:val="14"/>
              </w:rPr>
              <w:t>83 957</w:t>
            </w:r>
          </w:p>
        </w:tc>
        <w:tc>
          <w:tcPr>
            <w:tcW w:w="400" w:type="pct"/>
            <w:gridSpan w:val="2"/>
            <w:tcBorders>
              <w:top w:val="single" w:sz="4" w:space="0" w:color="auto"/>
            </w:tcBorders>
            <w:vAlign w:val="center"/>
          </w:tcPr>
          <w:p w14:paraId="53E20AE5" w14:textId="77777777" w:rsidR="00C24F6F" w:rsidRPr="00D748D2" w:rsidRDefault="00C24F6F" w:rsidP="002B1847">
            <w:pPr>
              <w:spacing w:after="0"/>
              <w:jc w:val="right"/>
              <w:rPr>
                <w:rFonts w:ascii="Arial Narrow" w:hAnsi="Arial Narrow" w:cs="Arial"/>
                <w:b/>
                <w:bCs/>
                <w:sz w:val="14"/>
                <w:szCs w:val="14"/>
              </w:rPr>
            </w:pPr>
            <w:r w:rsidRPr="00D748D2">
              <w:rPr>
                <w:rFonts w:ascii="Arial Narrow" w:hAnsi="Arial Narrow" w:cs="Arial"/>
                <w:b/>
                <w:bCs/>
                <w:sz w:val="14"/>
                <w:szCs w:val="14"/>
              </w:rPr>
              <w:t>90 653</w:t>
            </w:r>
          </w:p>
        </w:tc>
        <w:tc>
          <w:tcPr>
            <w:tcW w:w="400" w:type="pct"/>
            <w:tcBorders>
              <w:top w:val="single" w:sz="4" w:space="0" w:color="auto"/>
            </w:tcBorders>
            <w:vAlign w:val="center"/>
          </w:tcPr>
          <w:p w14:paraId="21C8E47C" w14:textId="77777777" w:rsidR="00C24F6F" w:rsidRPr="00D748D2" w:rsidRDefault="00C24F6F" w:rsidP="002B1847">
            <w:pPr>
              <w:spacing w:after="0"/>
              <w:jc w:val="right"/>
              <w:rPr>
                <w:rFonts w:ascii="Arial Narrow" w:hAnsi="Arial Narrow" w:cs="Arial"/>
                <w:b/>
                <w:bCs/>
                <w:sz w:val="14"/>
                <w:szCs w:val="14"/>
              </w:rPr>
            </w:pPr>
            <w:r w:rsidRPr="00D748D2">
              <w:rPr>
                <w:rFonts w:ascii="Arial Narrow" w:hAnsi="Arial Narrow" w:cs="Arial"/>
                <w:b/>
                <w:bCs/>
                <w:sz w:val="14"/>
                <w:szCs w:val="14"/>
              </w:rPr>
              <w:t>96 644</w:t>
            </w:r>
          </w:p>
        </w:tc>
        <w:tc>
          <w:tcPr>
            <w:tcW w:w="400" w:type="pct"/>
            <w:tcBorders>
              <w:top w:val="single" w:sz="4" w:space="0" w:color="auto"/>
            </w:tcBorders>
            <w:vAlign w:val="center"/>
          </w:tcPr>
          <w:p w14:paraId="32F2351A" w14:textId="77777777" w:rsidR="00C24F6F" w:rsidRPr="00D748D2" w:rsidRDefault="00C24F6F" w:rsidP="002B1847">
            <w:pPr>
              <w:spacing w:after="0"/>
              <w:jc w:val="right"/>
              <w:rPr>
                <w:rFonts w:ascii="Arial Narrow" w:hAnsi="Arial Narrow" w:cs="Arial"/>
                <w:b/>
                <w:bCs/>
                <w:sz w:val="14"/>
                <w:szCs w:val="14"/>
              </w:rPr>
            </w:pPr>
            <w:r w:rsidRPr="00D748D2">
              <w:rPr>
                <w:rFonts w:ascii="Arial Narrow" w:hAnsi="Arial Narrow" w:cs="Arial"/>
                <w:b/>
                <w:bCs/>
                <w:sz w:val="14"/>
                <w:szCs w:val="14"/>
              </w:rPr>
              <w:t>102 421</w:t>
            </w:r>
          </w:p>
        </w:tc>
      </w:tr>
      <w:tr w:rsidR="00C24F6F" w:rsidRPr="00D748D2" w14:paraId="272E33E3" w14:textId="77777777" w:rsidTr="002B1847">
        <w:trPr>
          <w:gridAfter w:val="1"/>
          <w:wAfter w:w="11" w:type="pct"/>
          <w:trHeight w:val="251"/>
        </w:trPr>
        <w:tc>
          <w:tcPr>
            <w:tcW w:w="2189" w:type="pct"/>
            <w:tcBorders>
              <w:top w:val="nil"/>
              <w:left w:val="nil"/>
              <w:bottom w:val="single" w:sz="4" w:space="0" w:color="auto"/>
            </w:tcBorders>
            <w:vAlign w:val="center"/>
          </w:tcPr>
          <w:p w14:paraId="452D8C39" w14:textId="77777777" w:rsidR="00C24F6F" w:rsidRPr="00D748D2" w:rsidRDefault="00C24F6F" w:rsidP="002B1847">
            <w:pPr>
              <w:spacing w:after="0" w:line="240" w:lineRule="auto"/>
              <w:ind w:left="214"/>
              <w:rPr>
                <w:rFonts w:ascii="Arial Narrow" w:hAnsi="Arial Narrow"/>
                <w:b/>
                <w:sz w:val="16"/>
                <w:szCs w:val="16"/>
              </w:rPr>
            </w:pPr>
            <w:r w:rsidRPr="00D748D2">
              <w:rPr>
                <w:rFonts w:ascii="Arial Narrow" w:hAnsi="Arial Narrow"/>
                <w:b/>
                <w:sz w:val="16"/>
                <w:szCs w:val="16"/>
              </w:rPr>
              <w:t>v % HDP</w:t>
            </w:r>
          </w:p>
        </w:tc>
        <w:tc>
          <w:tcPr>
            <w:tcW w:w="400" w:type="pct"/>
            <w:tcBorders>
              <w:top w:val="nil"/>
              <w:bottom w:val="single" w:sz="4" w:space="0" w:color="auto"/>
            </w:tcBorders>
            <w:vAlign w:val="center"/>
          </w:tcPr>
          <w:p w14:paraId="7F693CB9" w14:textId="77777777" w:rsidR="00C24F6F" w:rsidRPr="00D748D2" w:rsidRDefault="00C24F6F" w:rsidP="002B1847">
            <w:pPr>
              <w:spacing w:after="0"/>
              <w:jc w:val="right"/>
              <w:rPr>
                <w:rFonts w:ascii="Arial Narrow" w:hAnsi="Arial Narrow" w:cs="Arial"/>
                <w:b/>
                <w:bCs/>
                <w:sz w:val="14"/>
                <w:szCs w:val="14"/>
              </w:rPr>
            </w:pPr>
            <w:r w:rsidRPr="00D748D2">
              <w:rPr>
                <w:rFonts w:ascii="Arial Narrow" w:hAnsi="Arial Narrow" w:cs="Arial"/>
                <w:b/>
                <w:bCs/>
                <w:sz w:val="14"/>
                <w:szCs w:val="14"/>
              </w:rPr>
              <w:t>57,8</w:t>
            </w:r>
          </w:p>
        </w:tc>
        <w:tc>
          <w:tcPr>
            <w:tcW w:w="400" w:type="pct"/>
            <w:tcBorders>
              <w:top w:val="nil"/>
              <w:bottom w:val="single" w:sz="4" w:space="0" w:color="auto"/>
            </w:tcBorders>
            <w:vAlign w:val="center"/>
          </w:tcPr>
          <w:p w14:paraId="034B7322" w14:textId="77777777" w:rsidR="00C24F6F" w:rsidRPr="00D748D2" w:rsidRDefault="00C24F6F" w:rsidP="002B1847">
            <w:pPr>
              <w:spacing w:after="0"/>
              <w:jc w:val="right"/>
              <w:rPr>
                <w:rFonts w:ascii="Arial Narrow" w:hAnsi="Arial Narrow" w:cs="Arial"/>
                <w:b/>
                <w:bCs/>
                <w:sz w:val="14"/>
                <w:szCs w:val="14"/>
              </w:rPr>
            </w:pPr>
            <w:r w:rsidRPr="00D748D2">
              <w:rPr>
                <w:rFonts w:ascii="Arial Narrow" w:hAnsi="Arial Narrow" w:cs="Arial"/>
                <w:b/>
                <w:bCs/>
                <w:sz w:val="14"/>
                <w:szCs w:val="14"/>
              </w:rPr>
              <w:t>55,8</w:t>
            </w:r>
          </w:p>
        </w:tc>
        <w:tc>
          <w:tcPr>
            <w:tcW w:w="400" w:type="pct"/>
            <w:tcBorders>
              <w:top w:val="nil"/>
              <w:bottom w:val="single" w:sz="4" w:space="0" w:color="auto"/>
            </w:tcBorders>
            <w:vAlign w:val="center"/>
          </w:tcPr>
          <w:p w14:paraId="008C7E73" w14:textId="77777777" w:rsidR="00C24F6F" w:rsidRPr="00D748D2" w:rsidRDefault="00C24F6F" w:rsidP="002B1847">
            <w:pPr>
              <w:spacing w:after="0"/>
              <w:jc w:val="right"/>
              <w:rPr>
                <w:rFonts w:ascii="Arial Narrow" w:hAnsi="Arial Narrow" w:cs="Arial"/>
                <w:b/>
                <w:bCs/>
                <w:sz w:val="14"/>
                <w:szCs w:val="14"/>
              </w:rPr>
            </w:pPr>
            <w:r w:rsidRPr="00D748D2">
              <w:rPr>
                <w:rFonts w:ascii="Arial Narrow" w:hAnsi="Arial Narrow" w:cs="Arial"/>
                <w:b/>
                <w:bCs/>
                <w:sz w:val="14"/>
                <w:szCs w:val="14"/>
              </w:rPr>
              <w:t>59,7</w:t>
            </w:r>
          </w:p>
        </w:tc>
        <w:tc>
          <w:tcPr>
            <w:tcW w:w="400" w:type="pct"/>
            <w:tcBorders>
              <w:top w:val="nil"/>
              <w:bottom w:val="single" w:sz="4" w:space="0" w:color="auto"/>
            </w:tcBorders>
            <w:vAlign w:val="center"/>
          </w:tcPr>
          <w:p w14:paraId="28DBC3DE" w14:textId="77777777" w:rsidR="00C24F6F" w:rsidRPr="00D748D2" w:rsidRDefault="00C24F6F" w:rsidP="002B1847">
            <w:pPr>
              <w:spacing w:after="0"/>
              <w:jc w:val="right"/>
              <w:rPr>
                <w:rFonts w:ascii="Arial Narrow" w:hAnsi="Arial Narrow" w:cs="Arial"/>
                <w:b/>
                <w:bCs/>
                <w:sz w:val="14"/>
                <w:szCs w:val="14"/>
              </w:rPr>
            </w:pPr>
            <w:r w:rsidRPr="00D748D2">
              <w:rPr>
                <w:rFonts w:ascii="Arial Narrow" w:hAnsi="Arial Narrow" w:cs="Arial"/>
                <w:b/>
                <w:bCs/>
                <w:sz w:val="14"/>
                <w:szCs w:val="14"/>
              </w:rPr>
              <w:t>61,4</w:t>
            </w:r>
          </w:p>
        </w:tc>
        <w:tc>
          <w:tcPr>
            <w:tcW w:w="400" w:type="pct"/>
            <w:gridSpan w:val="2"/>
            <w:tcBorders>
              <w:top w:val="nil"/>
              <w:bottom w:val="single" w:sz="4" w:space="0" w:color="auto"/>
            </w:tcBorders>
            <w:vAlign w:val="center"/>
          </w:tcPr>
          <w:p w14:paraId="11F5EE11" w14:textId="77777777" w:rsidR="00C24F6F" w:rsidRPr="00D748D2" w:rsidRDefault="00C24F6F" w:rsidP="002B1847">
            <w:pPr>
              <w:spacing w:after="0"/>
              <w:jc w:val="right"/>
              <w:rPr>
                <w:rFonts w:ascii="Arial Narrow" w:hAnsi="Arial Narrow" w:cs="Arial"/>
                <w:b/>
                <w:bCs/>
                <w:sz w:val="14"/>
                <w:szCs w:val="14"/>
              </w:rPr>
            </w:pPr>
            <w:r w:rsidRPr="00D748D2">
              <w:rPr>
                <w:rFonts w:ascii="Arial Narrow" w:hAnsi="Arial Narrow" w:cs="Arial"/>
                <w:b/>
                <w:bCs/>
                <w:sz w:val="14"/>
                <w:szCs w:val="14"/>
              </w:rPr>
              <w:t>63,3</w:t>
            </w:r>
          </w:p>
        </w:tc>
        <w:tc>
          <w:tcPr>
            <w:tcW w:w="400" w:type="pct"/>
            <w:tcBorders>
              <w:top w:val="nil"/>
              <w:bottom w:val="single" w:sz="4" w:space="0" w:color="auto"/>
            </w:tcBorders>
            <w:vAlign w:val="center"/>
          </w:tcPr>
          <w:p w14:paraId="22BAC161" w14:textId="77777777" w:rsidR="00C24F6F" w:rsidRPr="00D748D2" w:rsidRDefault="00C24F6F" w:rsidP="002B1847">
            <w:pPr>
              <w:spacing w:after="0"/>
              <w:jc w:val="right"/>
              <w:rPr>
                <w:rFonts w:ascii="Arial Narrow" w:hAnsi="Arial Narrow" w:cs="Arial"/>
                <w:b/>
                <w:bCs/>
                <w:sz w:val="14"/>
                <w:szCs w:val="14"/>
              </w:rPr>
            </w:pPr>
            <w:r w:rsidRPr="00D748D2">
              <w:rPr>
                <w:rFonts w:ascii="Arial Narrow" w:hAnsi="Arial Narrow" w:cs="Arial"/>
                <w:b/>
                <w:bCs/>
                <w:sz w:val="14"/>
                <w:szCs w:val="14"/>
              </w:rPr>
              <w:t>65,1</w:t>
            </w:r>
          </w:p>
        </w:tc>
        <w:tc>
          <w:tcPr>
            <w:tcW w:w="400" w:type="pct"/>
            <w:tcBorders>
              <w:top w:val="nil"/>
              <w:bottom w:val="single" w:sz="4" w:space="0" w:color="auto"/>
            </w:tcBorders>
            <w:vAlign w:val="center"/>
          </w:tcPr>
          <w:p w14:paraId="71997519" w14:textId="77777777" w:rsidR="00C24F6F" w:rsidRPr="00D748D2" w:rsidRDefault="00C24F6F" w:rsidP="002B1847">
            <w:pPr>
              <w:spacing w:after="0"/>
              <w:jc w:val="right"/>
              <w:rPr>
                <w:rFonts w:ascii="Arial Narrow" w:hAnsi="Arial Narrow" w:cs="Arial"/>
                <w:b/>
                <w:bCs/>
                <w:sz w:val="14"/>
                <w:szCs w:val="14"/>
              </w:rPr>
            </w:pPr>
            <w:r w:rsidRPr="00D748D2">
              <w:rPr>
                <w:rFonts w:ascii="Arial Narrow" w:hAnsi="Arial Narrow" w:cs="Arial"/>
                <w:b/>
                <w:bCs/>
                <w:sz w:val="14"/>
                <w:szCs w:val="14"/>
              </w:rPr>
              <w:t>66,2</w:t>
            </w:r>
          </w:p>
        </w:tc>
      </w:tr>
      <w:tr w:rsidR="00C24F6F" w:rsidRPr="00750062" w14:paraId="1E57D28B" w14:textId="77777777" w:rsidTr="002B1847">
        <w:trPr>
          <w:gridAfter w:val="1"/>
          <w:wAfter w:w="11" w:type="pct"/>
          <w:trHeight w:val="251"/>
        </w:trPr>
        <w:tc>
          <w:tcPr>
            <w:tcW w:w="2189" w:type="pct"/>
            <w:tcBorders>
              <w:top w:val="single" w:sz="4" w:space="0" w:color="auto"/>
              <w:left w:val="nil"/>
              <w:right w:val="nil"/>
            </w:tcBorders>
            <w:vAlign w:val="center"/>
          </w:tcPr>
          <w:p w14:paraId="328947A2" w14:textId="77777777" w:rsidR="00C24F6F" w:rsidRPr="00750062" w:rsidRDefault="00C24F6F" w:rsidP="002B1847">
            <w:pPr>
              <w:spacing w:after="0" w:line="240" w:lineRule="auto"/>
              <w:rPr>
                <w:rFonts w:ascii="Arial Narrow" w:hAnsi="Arial Narrow"/>
                <w:b/>
                <w:sz w:val="16"/>
                <w:szCs w:val="16"/>
              </w:rPr>
            </w:pPr>
            <w:r w:rsidRPr="00750062">
              <w:rPr>
                <w:rFonts w:ascii="Arial Narrow" w:hAnsi="Arial Narrow"/>
                <w:b/>
                <w:sz w:val="16"/>
                <w:szCs w:val="16"/>
              </w:rPr>
              <w:t>D. Zmena hrubého dlhu prognóze v strednodobom pláne (MTP) v p.b.</w:t>
            </w:r>
          </w:p>
        </w:tc>
        <w:tc>
          <w:tcPr>
            <w:tcW w:w="400" w:type="pct"/>
            <w:tcBorders>
              <w:top w:val="single" w:sz="4" w:space="0" w:color="auto"/>
              <w:left w:val="nil"/>
              <w:bottom w:val="nil"/>
              <w:right w:val="nil"/>
            </w:tcBorders>
            <w:vAlign w:val="center"/>
          </w:tcPr>
          <w:p w14:paraId="578DE638" w14:textId="77777777" w:rsidR="00C24F6F" w:rsidRPr="00750062" w:rsidRDefault="00C24F6F" w:rsidP="002B1847">
            <w:pPr>
              <w:spacing w:after="0"/>
              <w:jc w:val="right"/>
              <w:rPr>
                <w:rFonts w:ascii="Arial Narrow" w:hAnsi="Arial Narrow" w:cs="Arial"/>
                <w:b/>
                <w:bCs/>
                <w:sz w:val="14"/>
                <w:szCs w:val="14"/>
              </w:rPr>
            </w:pPr>
            <w:r w:rsidRPr="00750062">
              <w:rPr>
                <w:rFonts w:ascii="Arial Narrow" w:hAnsi="Arial Narrow" w:cs="Arial"/>
                <w:b/>
                <w:bCs/>
                <w:sz w:val="14"/>
                <w:szCs w:val="14"/>
              </w:rPr>
              <w:t>-0,1</w:t>
            </w:r>
          </w:p>
        </w:tc>
        <w:tc>
          <w:tcPr>
            <w:tcW w:w="400" w:type="pct"/>
            <w:tcBorders>
              <w:top w:val="single" w:sz="4" w:space="0" w:color="auto"/>
              <w:left w:val="nil"/>
              <w:bottom w:val="nil"/>
              <w:right w:val="nil"/>
            </w:tcBorders>
            <w:vAlign w:val="center"/>
          </w:tcPr>
          <w:p w14:paraId="79C5E069" w14:textId="77777777" w:rsidR="00C24F6F" w:rsidRPr="00750062" w:rsidRDefault="00C24F6F" w:rsidP="002B1847">
            <w:pPr>
              <w:spacing w:after="0"/>
              <w:jc w:val="right"/>
              <w:rPr>
                <w:rFonts w:ascii="Arial Narrow" w:hAnsi="Arial Narrow" w:cs="Arial"/>
                <w:b/>
                <w:bCs/>
                <w:sz w:val="14"/>
                <w:szCs w:val="14"/>
              </w:rPr>
            </w:pPr>
            <w:r w:rsidRPr="00750062">
              <w:rPr>
                <w:rFonts w:ascii="Arial Narrow" w:hAnsi="Arial Narrow" w:cs="Arial"/>
                <w:b/>
                <w:bCs/>
                <w:sz w:val="14"/>
                <w:szCs w:val="14"/>
              </w:rPr>
              <w:t>-0,3</w:t>
            </w:r>
          </w:p>
        </w:tc>
        <w:tc>
          <w:tcPr>
            <w:tcW w:w="400" w:type="pct"/>
            <w:tcBorders>
              <w:top w:val="single" w:sz="4" w:space="0" w:color="auto"/>
              <w:left w:val="nil"/>
              <w:bottom w:val="nil"/>
              <w:right w:val="nil"/>
            </w:tcBorders>
            <w:vAlign w:val="center"/>
          </w:tcPr>
          <w:p w14:paraId="373F15D4" w14:textId="77777777" w:rsidR="00C24F6F" w:rsidRPr="00750062" w:rsidRDefault="00C24F6F" w:rsidP="002B1847">
            <w:pPr>
              <w:spacing w:after="0"/>
              <w:jc w:val="right"/>
              <w:rPr>
                <w:rFonts w:ascii="Arial Narrow" w:hAnsi="Arial Narrow" w:cs="Arial"/>
                <w:b/>
                <w:bCs/>
                <w:sz w:val="14"/>
                <w:szCs w:val="14"/>
              </w:rPr>
            </w:pPr>
            <w:r w:rsidRPr="00750062">
              <w:rPr>
                <w:rFonts w:ascii="Arial Narrow" w:hAnsi="Arial Narrow" w:cs="Arial"/>
                <w:b/>
                <w:bCs/>
                <w:sz w:val="14"/>
                <w:szCs w:val="14"/>
              </w:rPr>
              <w:t>0,8</w:t>
            </w:r>
          </w:p>
        </w:tc>
        <w:tc>
          <w:tcPr>
            <w:tcW w:w="400" w:type="pct"/>
            <w:tcBorders>
              <w:top w:val="single" w:sz="4" w:space="0" w:color="auto"/>
              <w:left w:val="nil"/>
              <w:bottom w:val="nil"/>
              <w:right w:val="nil"/>
            </w:tcBorders>
            <w:vAlign w:val="center"/>
          </w:tcPr>
          <w:p w14:paraId="0A353F42" w14:textId="77777777" w:rsidR="00C24F6F" w:rsidRPr="00750062" w:rsidRDefault="00C24F6F" w:rsidP="002B1847">
            <w:pPr>
              <w:spacing w:after="0"/>
              <w:jc w:val="right"/>
              <w:rPr>
                <w:rFonts w:ascii="Arial Narrow" w:hAnsi="Arial Narrow" w:cs="Arial"/>
                <w:b/>
                <w:bCs/>
                <w:sz w:val="14"/>
                <w:szCs w:val="14"/>
              </w:rPr>
            </w:pPr>
            <w:r w:rsidRPr="00750062">
              <w:rPr>
                <w:rFonts w:ascii="Arial Narrow" w:hAnsi="Arial Narrow" w:cs="Arial"/>
                <w:b/>
                <w:bCs/>
                <w:sz w:val="14"/>
                <w:szCs w:val="14"/>
              </w:rPr>
              <w:t>1,8</w:t>
            </w:r>
          </w:p>
        </w:tc>
        <w:tc>
          <w:tcPr>
            <w:tcW w:w="400" w:type="pct"/>
            <w:gridSpan w:val="2"/>
            <w:tcBorders>
              <w:top w:val="single" w:sz="4" w:space="0" w:color="auto"/>
              <w:left w:val="nil"/>
              <w:bottom w:val="nil"/>
              <w:right w:val="nil"/>
            </w:tcBorders>
            <w:vAlign w:val="center"/>
          </w:tcPr>
          <w:p w14:paraId="37C88744" w14:textId="77777777" w:rsidR="00C24F6F" w:rsidRPr="00750062" w:rsidRDefault="00C24F6F" w:rsidP="002B1847">
            <w:pPr>
              <w:spacing w:after="0"/>
              <w:jc w:val="right"/>
              <w:rPr>
                <w:rFonts w:ascii="Arial Narrow" w:hAnsi="Arial Narrow" w:cs="Arial"/>
                <w:b/>
                <w:bCs/>
                <w:sz w:val="14"/>
                <w:szCs w:val="14"/>
              </w:rPr>
            </w:pPr>
            <w:r w:rsidRPr="00750062">
              <w:rPr>
                <w:rFonts w:ascii="Arial Narrow" w:hAnsi="Arial Narrow" w:cs="Arial"/>
                <w:b/>
                <w:bCs/>
                <w:sz w:val="14"/>
                <w:szCs w:val="14"/>
              </w:rPr>
              <w:t>2,9</w:t>
            </w:r>
          </w:p>
        </w:tc>
        <w:tc>
          <w:tcPr>
            <w:tcW w:w="400" w:type="pct"/>
            <w:tcBorders>
              <w:top w:val="single" w:sz="4" w:space="0" w:color="auto"/>
              <w:left w:val="nil"/>
              <w:bottom w:val="nil"/>
              <w:right w:val="nil"/>
            </w:tcBorders>
            <w:vAlign w:val="center"/>
          </w:tcPr>
          <w:p w14:paraId="22FA0FB3" w14:textId="77777777" w:rsidR="00C24F6F" w:rsidRPr="00750062" w:rsidRDefault="00C24F6F" w:rsidP="002B1847">
            <w:pPr>
              <w:spacing w:after="0"/>
              <w:jc w:val="right"/>
              <w:rPr>
                <w:rFonts w:ascii="Arial Narrow" w:hAnsi="Arial Narrow" w:cs="Arial"/>
                <w:b/>
                <w:bCs/>
                <w:sz w:val="14"/>
                <w:szCs w:val="14"/>
              </w:rPr>
            </w:pPr>
            <w:r w:rsidRPr="00750062">
              <w:rPr>
                <w:rFonts w:ascii="Arial Narrow" w:hAnsi="Arial Narrow" w:cs="Arial"/>
                <w:b/>
                <w:bCs/>
                <w:sz w:val="14"/>
                <w:szCs w:val="14"/>
              </w:rPr>
              <w:t>4,6</w:t>
            </w:r>
          </w:p>
        </w:tc>
        <w:tc>
          <w:tcPr>
            <w:tcW w:w="400" w:type="pct"/>
            <w:tcBorders>
              <w:top w:val="single" w:sz="4" w:space="0" w:color="auto"/>
              <w:left w:val="nil"/>
              <w:bottom w:val="nil"/>
              <w:right w:val="nil"/>
            </w:tcBorders>
            <w:vAlign w:val="center"/>
          </w:tcPr>
          <w:p w14:paraId="6E391141" w14:textId="77777777" w:rsidR="00C24F6F" w:rsidRPr="00750062" w:rsidRDefault="00C24F6F" w:rsidP="002B1847">
            <w:pPr>
              <w:spacing w:after="0"/>
              <w:jc w:val="right"/>
              <w:rPr>
                <w:rFonts w:ascii="Arial Narrow" w:hAnsi="Arial Narrow" w:cs="Arial"/>
                <w:b/>
                <w:bCs/>
                <w:sz w:val="14"/>
                <w:szCs w:val="14"/>
              </w:rPr>
            </w:pPr>
            <w:r w:rsidRPr="00750062">
              <w:rPr>
                <w:rFonts w:ascii="Arial Narrow" w:hAnsi="Arial Narrow" w:cs="Arial"/>
                <w:b/>
                <w:bCs/>
                <w:sz w:val="14"/>
                <w:szCs w:val="14"/>
              </w:rPr>
              <w:t>5,9</w:t>
            </w:r>
          </w:p>
        </w:tc>
      </w:tr>
      <w:tr w:rsidR="00C24F6F" w:rsidRPr="00750062" w14:paraId="2561307E" w14:textId="77777777" w:rsidTr="002B1847">
        <w:trPr>
          <w:gridAfter w:val="1"/>
          <w:wAfter w:w="11" w:type="pct"/>
          <w:trHeight w:val="251"/>
        </w:trPr>
        <w:tc>
          <w:tcPr>
            <w:tcW w:w="2189" w:type="pct"/>
            <w:tcBorders>
              <w:left w:val="nil"/>
              <w:bottom w:val="nil"/>
              <w:right w:val="nil"/>
            </w:tcBorders>
            <w:vAlign w:val="center"/>
          </w:tcPr>
          <w:p w14:paraId="2A34CF93" w14:textId="77777777" w:rsidR="00C24F6F" w:rsidRPr="00750062" w:rsidRDefault="00C24F6F" w:rsidP="002B1847">
            <w:pPr>
              <w:spacing w:after="0" w:line="240" w:lineRule="auto"/>
              <w:ind w:firstLine="356"/>
              <w:rPr>
                <w:rFonts w:ascii="Arial Narrow" w:hAnsi="Arial Narrow"/>
                <w:sz w:val="16"/>
                <w:szCs w:val="16"/>
              </w:rPr>
            </w:pPr>
            <w:r w:rsidRPr="00750062">
              <w:rPr>
                <w:rFonts w:ascii="Arial Narrow" w:hAnsi="Arial Narrow"/>
                <w:sz w:val="16"/>
                <w:szCs w:val="16"/>
              </w:rPr>
              <w:t xml:space="preserve">z toho: príspevok zmeny prognózy nom. HDP </w:t>
            </w:r>
          </w:p>
        </w:tc>
        <w:tc>
          <w:tcPr>
            <w:tcW w:w="400" w:type="pct"/>
            <w:tcBorders>
              <w:top w:val="nil"/>
              <w:left w:val="nil"/>
              <w:bottom w:val="nil"/>
              <w:right w:val="nil"/>
            </w:tcBorders>
            <w:vAlign w:val="center"/>
          </w:tcPr>
          <w:p w14:paraId="470C1344" w14:textId="77777777" w:rsidR="00C24F6F" w:rsidRPr="00750062" w:rsidRDefault="00C24F6F" w:rsidP="002B1847">
            <w:pPr>
              <w:spacing w:after="0"/>
              <w:jc w:val="right"/>
              <w:rPr>
                <w:rFonts w:ascii="Arial Narrow" w:hAnsi="Arial Narrow" w:cs="Arial"/>
                <w:sz w:val="14"/>
                <w:szCs w:val="14"/>
              </w:rPr>
            </w:pPr>
            <w:r w:rsidRPr="00750062">
              <w:rPr>
                <w:rFonts w:ascii="Arial Narrow" w:hAnsi="Arial Narrow" w:cs="Arial"/>
                <w:sz w:val="14"/>
                <w:szCs w:val="14"/>
              </w:rPr>
              <w:t>-0,1</w:t>
            </w:r>
          </w:p>
        </w:tc>
        <w:tc>
          <w:tcPr>
            <w:tcW w:w="400" w:type="pct"/>
            <w:tcBorders>
              <w:top w:val="nil"/>
              <w:left w:val="nil"/>
              <w:bottom w:val="nil"/>
              <w:right w:val="nil"/>
            </w:tcBorders>
            <w:vAlign w:val="center"/>
          </w:tcPr>
          <w:p w14:paraId="354C01E1" w14:textId="77777777" w:rsidR="00C24F6F" w:rsidRPr="00750062" w:rsidRDefault="00C24F6F" w:rsidP="002B1847">
            <w:pPr>
              <w:spacing w:after="0"/>
              <w:jc w:val="right"/>
              <w:rPr>
                <w:rFonts w:ascii="Arial Narrow" w:hAnsi="Arial Narrow" w:cs="Arial"/>
                <w:sz w:val="14"/>
                <w:szCs w:val="14"/>
              </w:rPr>
            </w:pPr>
            <w:r w:rsidRPr="00750062">
              <w:rPr>
                <w:rFonts w:ascii="Arial Narrow" w:hAnsi="Arial Narrow" w:cs="Arial"/>
                <w:sz w:val="14"/>
                <w:szCs w:val="14"/>
              </w:rPr>
              <w:t>-0,3</w:t>
            </w:r>
          </w:p>
        </w:tc>
        <w:tc>
          <w:tcPr>
            <w:tcW w:w="400" w:type="pct"/>
            <w:tcBorders>
              <w:top w:val="nil"/>
              <w:left w:val="nil"/>
              <w:bottom w:val="nil"/>
              <w:right w:val="nil"/>
            </w:tcBorders>
            <w:vAlign w:val="center"/>
          </w:tcPr>
          <w:p w14:paraId="3FF0D6FA" w14:textId="77777777" w:rsidR="00C24F6F" w:rsidRPr="00750062" w:rsidRDefault="00C24F6F" w:rsidP="002B1847">
            <w:pPr>
              <w:spacing w:after="0"/>
              <w:jc w:val="right"/>
              <w:rPr>
                <w:rFonts w:ascii="Arial Narrow" w:hAnsi="Arial Narrow" w:cs="Arial"/>
                <w:sz w:val="14"/>
                <w:szCs w:val="14"/>
              </w:rPr>
            </w:pPr>
            <w:r w:rsidRPr="00750062">
              <w:rPr>
                <w:rFonts w:ascii="Arial Narrow" w:hAnsi="Arial Narrow" w:cs="Arial"/>
                <w:sz w:val="14"/>
                <w:szCs w:val="14"/>
              </w:rPr>
              <w:t>0,5</w:t>
            </w:r>
          </w:p>
        </w:tc>
        <w:tc>
          <w:tcPr>
            <w:tcW w:w="400" w:type="pct"/>
            <w:tcBorders>
              <w:top w:val="nil"/>
              <w:left w:val="nil"/>
              <w:bottom w:val="nil"/>
              <w:right w:val="nil"/>
            </w:tcBorders>
            <w:vAlign w:val="center"/>
          </w:tcPr>
          <w:p w14:paraId="1573FE2E" w14:textId="77777777" w:rsidR="00C24F6F" w:rsidRPr="00750062" w:rsidRDefault="00C24F6F" w:rsidP="002B1847">
            <w:pPr>
              <w:spacing w:after="0"/>
              <w:jc w:val="right"/>
              <w:rPr>
                <w:rFonts w:ascii="Arial Narrow" w:hAnsi="Arial Narrow" w:cs="Arial"/>
                <w:sz w:val="14"/>
                <w:szCs w:val="14"/>
              </w:rPr>
            </w:pPr>
            <w:r w:rsidRPr="00750062">
              <w:rPr>
                <w:rFonts w:ascii="Arial Narrow" w:hAnsi="Arial Narrow" w:cs="Arial"/>
                <w:sz w:val="14"/>
                <w:szCs w:val="14"/>
              </w:rPr>
              <w:t>1,4</w:t>
            </w:r>
          </w:p>
        </w:tc>
        <w:tc>
          <w:tcPr>
            <w:tcW w:w="400" w:type="pct"/>
            <w:gridSpan w:val="2"/>
            <w:tcBorders>
              <w:top w:val="nil"/>
              <w:left w:val="nil"/>
              <w:bottom w:val="nil"/>
              <w:right w:val="nil"/>
            </w:tcBorders>
            <w:vAlign w:val="center"/>
          </w:tcPr>
          <w:p w14:paraId="1DEAD785" w14:textId="77777777" w:rsidR="00C24F6F" w:rsidRPr="00750062" w:rsidRDefault="00C24F6F" w:rsidP="002B1847">
            <w:pPr>
              <w:spacing w:after="0"/>
              <w:jc w:val="right"/>
              <w:rPr>
                <w:rFonts w:ascii="Arial Narrow" w:hAnsi="Arial Narrow" w:cs="Arial"/>
                <w:sz w:val="14"/>
                <w:szCs w:val="14"/>
              </w:rPr>
            </w:pPr>
            <w:r w:rsidRPr="00750062">
              <w:rPr>
                <w:rFonts w:ascii="Arial Narrow" w:hAnsi="Arial Narrow" w:cs="Arial"/>
                <w:sz w:val="14"/>
                <w:szCs w:val="14"/>
              </w:rPr>
              <w:t>1,7</w:t>
            </w:r>
          </w:p>
        </w:tc>
        <w:tc>
          <w:tcPr>
            <w:tcW w:w="400" w:type="pct"/>
            <w:tcBorders>
              <w:top w:val="nil"/>
              <w:left w:val="nil"/>
              <w:bottom w:val="nil"/>
              <w:right w:val="nil"/>
            </w:tcBorders>
            <w:vAlign w:val="center"/>
          </w:tcPr>
          <w:p w14:paraId="555AD49E" w14:textId="77777777" w:rsidR="00C24F6F" w:rsidRPr="00750062" w:rsidRDefault="00C24F6F" w:rsidP="002B1847">
            <w:pPr>
              <w:spacing w:after="0"/>
              <w:jc w:val="right"/>
              <w:rPr>
                <w:rFonts w:ascii="Arial Narrow" w:hAnsi="Arial Narrow" w:cs="Arial"/>
                <w:sz w:val="14"/>
                <w:szCs w:val="14"/>
              </w:rPr>
            </w:pPr>
            <w:r w:rsidRPr="00750062">
              <w:rPr>
                <w:rFonts w:ascii="Arial Narrow" w:hAnsi="Arial Narrow" w:cs="Arial"/>
                <w:sz w:val="14"/>
                <w:szCs w:val="14"/>
              </w:rPr>
              <w:t>1,5</w:t>
            </w:r>
          </w:p>
        </w:tc>
        <w:tc>
          <w:tcPr>
            <w:tcW w:w="400" w:type="pct"/>
            <w:tcBorders>
              <w:top w:val="nil"/>
              <w:left w:val="nil"/>
              <w:bottom w:val="nil"/>
              <w:right w:val="nil"/>
            </w:tcBorders>
            <w:vAlign w:val="center"/>
          </w:tcPr>
          <w:p w14:paraId="189BA04C" w14:textId="77777777" w:rsidR="00C24F6F" w:rsidRPr="00750062" w:rsidRDefault="00C24F6F" w:rsidP="002B1847">
            <w:pPr>
              <w:spacing w:after="0"/>
              <w:jc w:val="right"/>
              <w:rPr>
                <w:rFonts w:ascii="Arial Narrow" w:hAnsi="Arial Narrow" w:cs="Arial"/>
                <w:sz w:val="14"/>
                <w:szCs w:val="14"/>
              </w:rPr>
            </w:pPr>
            <w:r w:rsidRPr="00750062">
              <w:rPr>
                <w:rFonts w:ascii="Arial Narrow" w:hAnsi="Arial Narrow" w:cs="Arial"/>
                <w:sz w:val="14"/>
                <w:szCs w:val="14"/>
              </w:rPr>
              <w:t>1,5</w:t>
            </w:r>
          </w:p>
        </w:tc>
      </w:tr>
      <w:tr w:rsidR="00C24F6F" w:rsidRPr="00750062" w14:paraId="7080DD22" w14:textId="77777777" w:rsidTr="002B1847">
        <w:trPr>
          <w:gridAfter w:val="1"/>
          <w:wAfter w:w="11" w:type="pct"/>
          <w:trHeight w:val="251"/>
        </w:trPr>
        <w:tc>
          <w:tcPr>
            <w:tcW w:w="2189" w:type="pct"/>
            <w:tcBorders>
              <w:top w:val="nil"/>
              <w:left w:val="nil"/>
              <w:bottom w:val="single" w:sz="8" w:space="0" w:color="000000"/>
              <w:right w:val="nil"/>
            </w:tcBorders>
            <w:vAlign w:val="center"/>
          </w:tcPr>
          <w:p w14:paraId="1C8E240C" w14:textId="77777777" w:rsidR="00C24F6F" w:rsidRPr="00750062" w:rsidRDefault="00C24F6F" w:rsidP="002B1847">
            <w:pPr>
              <w:spacing w:after="0" w:line="240" w:lineRule="auto"/>
              <w:ind w:firstLine="356"/>
              <w:rPr>
                <w:rFonts w:ascii="Arial Narrow" w:hAnsi="Arial Narrow"/>
                <w:sz w:val="16"/>
                <w:szCs w:val="16"/>
              </w:rPr>
            </w:pPr>
            <w:r w:rsidRPr="00750062">
              <w:rPr>
                <w:rFonts w:ascii="Arial Narrow" w:hAnsi="Arial Narrow"/>
                <w:sz w:val="16"/>
                <w:szCs w:val="16"/>
              </w:rPr>
              <w:t xml:space="preserve">            príspevok zmeny prognózy nom. dlhu</w:t>
            </w:r>
          </w:p>
        </w:tc>
        <w:tc>
          <w:tcPr>
            <w:tcW w:w="400" w:type="pct"/>
            <w:tcBorders>
              <w:top w:val="nil"/>
              <w:left w:val="nil"/>
              <w:bottom w:val="single" w:sz="8" w:space="0" w:color="000000"/>
              <w:right w:val="nil"/>
            </w:tcBorders>
            <w:vAlign w:val="center"/>
          </w:tcPr>
          <w:p w14:paraId="1409A4C6" w14:textId="77777777" w:rsidR="00C24F6F" w:rsidRPr="00750062" w:rsidRDefault="00C24F6F" w:rsidP="002B1847">
            <w:pPr>
              <w:spacing w:after="0"/>
              <w:jc w:val="right"/>
              <w:rPr>
                <w:rFonts w:ascii="Arial Narrow" w:hAnsi="Arial Narrow" w:cs="Arial"/>
                <w:sz w:val="14"/>
                <w:szCs w:val="14"/>
              </w:rPr>
            </w:pPr>
            <w:r w:rsidRPr="00750062">
              <w:rPr>
                <w:rFonts w:ascii="Arial Narrow" w:hAnsi="Arial Narrow" w:cs="Arial"/>
                <w:sz w:val="14"/>
                <w:szCs w:val="14"/>
              </w:rPr>
              <w:t>0,0</w:t>
            </w:r>
          </w:p>
        </w:tc>
        <w:tc>
          <w:tcPr>
            <w:tcW w:w="400" w:type="pct"/>
            <w:tcBorders>
              <w:top w:val="nil"/>
              <w:left w:val="nil"/>
              <w:bottom w:val="single" w:sz="8" w:space="0" w:color="000000"/>
              <w:right w:val="nil"/>
            </w:tcBorders>
            <w:vAlign w:val="center"/>
          </w:tcPr>
          <w:p w14:paraId="5102ED30" w14:textId="77777777" w:rsidR="00C24F6F" w:rsidRPr="00750062" w:rsidRDefault="00C24F6F" w:rsidP="002B1847">
            <w:pPr>
              <w:spacing w:after="0"/>
              <w:jc w:val="right"/>
              <w:rPr>
                <w:rFonts w:ascii="Arial Narrow" w:hAnsi="Arial Narrow" w:cs="Arial"/>
                <w:sz w:val="14"/>
                <w:szCs w:val="14"/>
              </w:rPr>
            </w:pPr>
            <w:r w:rsidRPr="00750062">
              <w:rPr>
                <w:rFonts w:ascii="Arial Narrow" w:hAnsi="Arial Narrow" w:cs="Arial"/>
                <w:sz w:val="14"/>
                <w:szCs w:val="14"/>
              </w:rPr>
              <w:t>0,0</w:t>
            </w:r>
          </w:p>
        </w:tc>
        <w:tc>
          <w:tcPr>
            <w:tcW w:w="400" w:type="pct"/>
            <w:tcBorders>
              <w:top w:val="nil"/>
              <w:left w:val="nil"/>
              <w:bottom w:val="single" w:sz="8" w:space="0" w:color="000000"/>
              <w:right w:val="nil"/>
            </w:tcBorders>
            <w:vAlign w:val="center"/>
          </w:tcPr>
          <w:p w14:paraId="7852192F" w14:textId="77777777" w:rsidR="00C24F6F" w:rsidRPr="00750062" w:rsidRDefault="00C24F6F" w:rsidP="002B1847">
            <w:pPr>
              <w:spacing w:after="0"/>
              <w:jc w:val="right"/>
              <w:rPr>
                <w:rFonts w:ascii="Arial Narrow" w:hAnsi="Arial Narrow" w:cs="Arial"/>
                <w:sz w:val="14"/>
                <w:szCs w:val="14"/>
              </w:rPr>
            </w:pPr>
            <w:r w:rsidRPr="00750062">
              <w:rPr>
                <w:rFonts w:ascii="Arial Narrow" w:hAnsi="Arial Narrow" w:cs="Arial"/>
                <w:sz w:val="14"/>
                <w:szCs w:val="14"/>
              </w:rPr>
              <w:t>0,4</w:t>
            </w:r>
          </w:p>
        </w:tc>
        <w:tc>
          <w:tcPr>
            <w:tcW w:w="400" w:type="pct"/>
            <w:tcBorders>
              <w:top w:val="nil"/>
              <w:left w:val="nil"/>
              <w:bottom w:val="single" w:sz="8" w:space="0" w:color="000000"/>
              <w:right w:val="nil"/>
            </w:tcBorders>
            <w:vAlign w:val="center"/>
          </w:tcPr>
          <w:p w14:paraId="009D1C9C" w14:textId="77777777" w:rsidR="00C24F6F" w:rsidRPr="00750062" w:rsidRDefault="00C24F6F" w:rsidP="002B1847">
            <w:pPr>
              <w:spacing w:after="0"/>
              <w:jc w:val="right"/>
              <w:rPr>
                <w:rFonts w:ascii="Arial Narrow" w:hAnsi="Arial Narrow" w:cs="Arial"/>
                <w:sz w:val="14"/>
                <w:szCs w:val="14"/>
              </w:rPr>
            </w:pPr>
            <w:r w:rsidRPr="00750062">
              <w:rPr>
                <w:rFonts w:ascii="Arial Narrow" w:hAnsi="Arial Narrow" w:cs="Arial"/>
                <w:sz w:val="14"/>
                <w:szCs w:val="14"/>
              </w:rPr>
              <w:t>0,5</w:t>
            </w:r>
          </w:p>
        </w:tc>
        <w:tc>
          <w:tcPr>
            <w:tcW w:w="400" w:type="pct"/>
            <w:gridSpan w:val="2"/>
            <w:tcBorders>
              <w:top w:val="nil"/>
              <w:left w:val="nil"/>
              <w:bottom w:val="single" w:sz="8" w:space="0" w:color="000000"/>
              <w:right w:val="nil"/>
            </w:tcBorders>
            <w:vAlign w:val="center"/>
          </w:tcPr>
          <w:p w14:paraId="265F3BF4" w14:textId="77777777" w:rsidR="00C24F6F" w:rsidRPr="00750062" w:rsidRDefault="00C24F6F" w:rsidP="002B1847">
            <w:pPr>
              <w:spacing w:after="0"/>
              <w:jc w:val="right"/>
              <w:rPr>
                <w:rFonts w:ascii="Arial Narrow" w:hAnsi="Arial Narrow" w:cs="Arial"/>
                <w:sz w:val="14"/>
                <w:szCs w:val="14"/>
              </w:rPr>
            </w:pPr>
            <w:r w:rsidRPr="00750062">
              <w:rPr>
                <w:rFonts w:ascii="Arial Narrow" w:hAnsi="Arial Narrow" w:cs="Arial"/>
                <w:sz w:val="14"/>
                <w:szCs w:val="14"/>
              </w:rPr>
              <w:t>1,2</w:t>
            </w:r>
          </w:p>
        </w:tc>
        <w:tc>
          <w:tcPr>
            <w:tcW w:w="400" w:type="pct"/>
            <w:tcBorders>
              <w:top w:val="nil"/>
              <w:left w:val="nil"/>
              <w:bottom w:val="single" w:sz="8" w:space="0" w:color="000000"/>
              <w:right w:val="nil"/>
            </w:tcBorders>
            <w:vAlign w:val="center"/>
          </w:tcPr>
          <w:p w14:paraId="2E8BCAB9" w14:textId="77777777" w:rsidR="00C24F6F" w:rsidRPr="00750062" w:rsidRDefault="00C24F6F" w:rsidP="002B1847">
            <w:pPr>
              <w:spacing w:after="0"/>
              <w:jc w:val="right"/>
              <w:rPr>
                <w:rFonts w:ascii="Arial Narrow" w:hAnsi="Arial Narrow" w:cs="Arial"/>
                <w:sz w:val="14"/>
                <w:szCs w:val="14"/>
              </w:rPr>
            </w:pPr>
            <w:r w:rsidRPr="00750062">
              <w:rPr>
                <w:rFonts w:ascii="Arial Narrow" w:hAnsi="Arial Narrow" w:cs="Arial"/>
                <w:sz w:val="14"/>
                <w:szCs w:val="14"/>
              </w:rPr>
              <w:t>3,1</w:t>
            </w:r>
          </w:p>
        </w:tc>
        <w:tc>
          <w:tcPr>
            <w:tcW w:w="400" w:type="pct"/>
            <w:tcBorders>
              <w:top w:val="nil"/>
              <w:left w:val="nil"/>
              <w:bottom w:val="single" w:sz="8" w:space="0" w:color="000000"/>
              <w:right w:val="nil"/>
            </w:tcBorders>
            <w:vAlign w:val="center"/>
          </w:tcPr>
          <w:p w14:paraId="43ECDA56" w14:textId="77777777" w:rsidR="00C24F6F" w:rsidRPr="00750062" w:rsidRDefault="00C24F6F" w:rsidP="002B1847">
            <w:pPr>
              <w:spacing w:after="0"/>
              <w:jc w:val="right"/>
              <w:rPr>
                <w:rFonts w:ascii="Arial Narrow" w:hAnsi="Arial Narrow" w:cs="Arial"/>
                <w:sz w:val="14"/>
                <w:szCs w:val="14"/>
              </w:rPr>
            </w:pPr>
            <w:r w:rsidRPr="00750062">
              <w:rPr>
                <w:rFonts w:ascii="Arial Narrow" w:hAnsi="Arial Narrow" w:cs="Arial"/>
                <w:sz w:val="14"/>
                <w:szCs w:val="14"/>
              </w:rPr>
              <w:t>4,4</w:t>
            </w:r>
          </w:p>
        </w:tc>
      </w:tr>
      <w:tr w:rsidR="00C24F6F" w:rsidRPr="00750062" w14:paraId="262AD0FC" w14:textId="77777777" w:rsidTr="002B1847">
        <w:trPr>
          <w:gridAfter w:val="1"/>
          <w:wAfter w:w="11" w:type="pct"/>
          <w:trHeight w:val="251"/>
        </w:trPr>
        <w:tc>
          <w:tcPr>
            <w:tcW w:w="2189" w:type="pct"/>
            <w:tcBorders>
              <w:top w:val="nil"/>
              <w:left w:val="nil"/>
              <w:bottom w:val="single" w:sz="8" w:space="0" w:color="000000"/>
              <w:right w:val="nil"/>
            </w:tcBorders>
            <w:vAlign w:val="center"/>
          </w:tcPr>
          <w:p w14:paraId="1AB0593D" w14:textId="77777777" w:rsidR="00C24F6F" w:rsidRPr="00750062" w:rsidRDefault="00C24F6F" w:rsidP="002B1847">
            <w:pPr>
              <w:spacing w:after="0" w:line="240" w:lineRule="auto"/>
              <w:ind w:firstLine="72"/>
              <w:rPr>
                <w:rFonts w:ascii="Arial Narrow" w:hAnsi="Arial Narrow"/>
                <w:i/>
                <w:sz w:val="14"/>
                <w:szCs w:val="14"/>
              </w:rPr>
            </w:pPr>
            <w:r w:rsidRPr="00750062">
              <w:rPr>
                <w:rFonts w:ascii="Arial Narrow" w:hAnsi="Arial Narrow"/>
                <w:i/>
                <w:sz w:val="14"/>
                <w:szCs w:val="14"/>
              </w:rPr>
              <w:t>p.m. príspevok SR do ESM</w:t>
            </w:r>
          </w:p>
        </w:tc>
        <w:tc>
          <w:tcPr>
            <w:tcW w:w="400" w:type="pct"/>
            <w:tcBorders>
              <w:top w:val="nil"/>
              <w:left w:val="nil"/>
              <w:bottom w:val="single" w:sz="8" w:space="0" w:color="000000"/>
              <w:right w:val="nil"/>
            </w:tcBorders>
            <w:vAlign w:val="center"/>
          </w:tcPr>
          <w:p w14:paraId="7A5C449C" w14:textId="77777777" w:rsidR="00C24F6F" w:rsidRPr="00750062" w:rsidRDefault="00C24F6F" w:rsidP="002B1847">
            <w:pPr>
              <w:spacing w:after="0" w:line="240" w:lineRule="auto"/>
              <w:jc w:val="right"/>
              <w:rPr>
                <w:rFonts w:ascii="Arial Narrow" w:hAnsi="Arial Narrow"/>
                <w:i/>
                <w:iCs/>
                <w:sz w:val="14"/>
                <w:szCs w:val="16"/>
              </w:rPr>
            </w:pPr>
            <w:r w:rsidRPr="00750062">
              <w:rPr>
                <w:rFonts w:ascii="Arial Narrow" w:hAnsi="Arial Narrow" w:cs="Arial"/>
                <w:i/>
                <w:iCs/>
                <w:sz w:val="14"/>
                <w:szCs w:val="14"/>
              </w:rPr>
              <w:t>0</w:t>
            </w:r>
          </w:p>
        </w:tc>
        <w:tc>
          <w:tcPr>
            <w:tcW w:w="400" w:type="pct"/>
            <w:tcBorders>
              <w:top w:val="nil"/>
              <w:left w:val="nil"/>
              <w:bottom w:val="single" w:sz="8" w:space="0" w:color="000000"/>
              <w:right w:val="nil"/>
            </w:tcBorders>
            <w:vAlign w:val="center"/>
          </w:tcPr>
          <w:p w14:paraId="40C11181" w14:textId="77777777" w:rsidR="00C24F6F" w:rsidRPr="00750062" w:rsidRDefault="00C24F6F" w:rsidP="002B1847">
            <w:pPr>
              <w:spacing w:after="0" w:line="240" w:lineRule="auto"/>
              <w:jc w:val="right"/>
              <w:rPr>
                <w:rFonts w:ascii="Arial Narrow" w:hAnsi="Arial Narrow"/>
                <w:i/>
                <w:iCs/>
                <w:sz w:val="14"/>
                <w:szCs w:val="16"/>
              </w:rPr>
            </w:pPr>
            <w:r w:rsidRPr="00750062">
              <w:rPr>
                <w:rFonts w:ascii="Arial Narrow" w:hAnsi="Arial Narrow" w:cs="Arial"/>
                <w:i/>
                <w:iCs/>
                <w:sz w:val="14"/>
                <w:szCs w:val="14"/>
              </w:rPr>
              <w:t>-1</w:t>
            </w:r>
          </w:p>
        </w:tc>
        <w:tc>
          <w:tcPr>
            <w:tcW w:w="400" w:type="pct"/>
            <w:tcBorders>
              <w:top w:val="nil"/>
              <w:left w:val="nil"/>
              <w:bottom w:val="single" w:sz="8" w:space="0" w:color="000000"/>
              <w:right w:val="nil"/>
            </w:tcBorders>
            <w:vAlign w:val="center"/>
          </w:tcPr>
          <w:p w14:paraId="49C94D04" w14:textId="77777777" w:rsidR="00C24F6F" w:rsidRPr="00750062" w:rsidRDefault="00C24F6F" w:rsidP="002B1847">
            <w:pPr>
              <w:spacing w:after="0" w:line="240" w:lineRule="auto"/>
              <w:jc w:val="right"/>
              <w:rPr>
                <w:rFonts w:ascii="Arial Narrow" w:hAnsi="Arial Narrow"/>
                <w:i/>
                <w:iCs/>
                <w:sz w:val="14"/>
                <w:szCs w:val="16"/>
              </w:rPr>
            </w:pPr>
            <w:r w:rsidRPr="00750062">
              <w:rPr>
                <w:rFonts w:ascii="Arial Narrow" w:hAnsi="Arial Narrow" w:cs="Arial"/>
                <w:i/>
                <w:iCs/>
                <w:sz w:val="14"/>
                <w:szCs w:val="14"/>
              </w:rPr>
              <w:t>0</w:t>
            </w:r>
          </w:p>
        </w:tc>
        <w:tc>
          <w:tcPr>
            <w:tcW w:w="400" w:type="pct"/>
            <w:tcBorders>
              <w:top w:val="nil"/>
              <w:left w:val="nil"/>
              <w:bottom w:val="single" w:sz="8" w:space="0" w:color="000000"/>
              <w:right w:val="nil"/>
            </w:tcBorders>
            <w:vAlign w:val="center"/>
          </w:tcPr>
          <w:p w14:paraId="4A9C7369" w14:textId="77777777" w:rsidR="00C24F6F" w:rsidRPr="00750062" w:rsidRDefault="00C24F6F" w:rsidP="002B1847">
            <w:pPr>
              <w:spacing w:after="0" w:line="240" w:lineRule="auto"/>
              <w:jc w:val="right"/>
              <w:rPr>
                <w:rFonts w:ascii="Arial Narrow" w:hAnsi="Arial Narrow"/>
                <w:i/>
                <w:iCs/>
                <w:sz w:val="14"/>
                <w:szCs w:val="16"/>
              </w:rPr>
            </w:pPr>
            <w:r w:rsidRPr="00750062">
              <w:rPr>
                <w:rFonts w:ascii="Arial Narrow" w:hAnsi="Arial Narrow" w:cs="Arial"/>
                <w:i/>
                <w:iCs/>
                <w:sz w:val="14"/>
                <w:szCs w:val="14"/>
              </w:rPr>
              <w:t>0</w:t>
            </w:r>
          </w:p>
        </w:tc>
        <w:tc>
          <w:tcPr>
            <w:tcW w:w="400" w:type="pct"/>
            <w:gridSpan w:val="2"/>
            <w:tcBorders>
              <w:top w:val="nil"/>
              <w:left w:val="nil"/>
              <w:bottom w:val="single" w:sz="8" w:space="0" w:color="000000"/>
              <w:right w:val="nil"/>
            </w:tcBorders>
            <w:vAlign w:val="center"/>
          </w:tcPr>
          <w:p w14:paraId="6F045EA1" w14:textId="77777777" w:rsidR="00C24F6F" w:rsidRPr="00750062" w:rsidRDefault="00C24F6F" w:rsidP="002B1847">
            <w:pPr>
              <w:spacing w:after="0" w:line="240" w:lineRule="auto"/>
              <w:jc w:val="right"/>
              <w:rPr>
                <w:rFonts w:ascii="Arial Narrow" w:hAnsi="Arial Narrow"/>
                <w:i/>
                <w:iCs/>
                <w:sz w:val="14"/>
                <w:szCs w:val="16"/>
              </w:rPr>
            </w:pPr>
            <w:r w:rsidRPr="00750062">
              <w:rPr>
                <w:rFonts w:ascii="Arial Narrow" w:hAnsi="Arial Narrow" w:cs="Arial"/>
                <w:i/>
                <w:iCs/>
                <w:sz w:val="14"/>
                <w:szCs w:val="14"/>
              </w:rPr>
              <w:t>0</w:t>
            </w:r>
          </w:p>
        </w:tc>
        <w:tc>
          <w:tcPr>
            <w:tcW w:w="400" w:type="pct"/>
            <w:tcBorders>
              <w:top w:val="nil"/>
              <w:left w:val="nil"/>
              <w:bottom w:val="single" w:sz="8" w:space="0" w:color="000000"/>
              <w:right w:val="nil"/>
            </w:tcBorders>
            <w:vAlign w:val="center"/>
          </w:tcPr>
          <w:p w14:paraId="15AF3E60" w14:textId="77777777" w:rsidR="00C24F6F" w:rsidRPr="00750062" w:rsidRDefault="00C24F6F" w:rsidP="002B1847">
            <w:pPr>
              <w:spacing w:after="0" w:line="240" w:lineRule="auto"/>
              <w:jc w:val="right"/>
              <w:rPr>
                <w:rFonts w:ascii="Arial Narrow" w:hAnsi="Arial Narrow"/>
                <w:i/>
                <w:iCs/>
                <w:sz w:val="14"/>
                <w:szCs w:val="16"/>
              </w:rPr>
            </w:pPr>
            <w:r w:rsidRPr="00750062">
              <w:rPr>
                <w:rFonts w:ascii="Arial Narrow" w:hAnsi="Arial Narrow" w:cs="Arial"/>
                <w:i/>
                <w:iCs/>
                <w:sz w:val="14"/>
                <w:szCs w:val="14"/>
              </w:rPr>
              <w:t>0</w:t>
            </w:r>
          </w:p>
        </w:tc>
        <w:tc>
          <w:tcPr>
            <w:tcW w:w="400" w:type="pct"/>
            <w:tcBorders>
              <w:top w:val="nil"/>
              <w:left w:val="nil"/>
              <w:bottom w:val="single" w:sz="8" w:space="0" w:color="000000"/>
              <w:right w:val="nil"/>
            </w:tcBorders>
            <w:vAlign w:val="center"/>
          </w:tcPr>
          <w:p w14:paraId="7EF8B453" w14:textId="77777777" w:rsidR="00C24F6F" w:rsidRPr="00750062" w:rsidRDefault="00C24F6F" w:rsidP="002B1847">
            <w:pPr>
              <w:spacing w:after="0" w:line="240" w:lineRule="auto"/>
              <w:jc w:val="right"/>
              <w:rPr>
                <w:rFonts w:ascii="Arial Narrow" w:hAnsi="Arial Narrow"/>
                <w:i/>
                <w:iCs/>
                <w:sz w:val="14"/>
                <w:szCs w:val="16"/>
              </w:rPr>
            </w:pPr>
            <w:r w:rsidRPr="00750062">
              <w:rPr>
                <w:rFonts w:ascii="Arial Narrow" w:hAnsi="Arial Narrow" w:cs="Arial"/>
                <w:i/>
                <w:iCs/>
                <w:sz w:val="14"/>
                <w:szCs w:val="14"/>
              </w:rPr>
              <w:t>0</w:t>
            </w:r>
          </w:p>
        </w:tc>
      </w:tr>
      <w:tr w:rsidR="00C24F6F" w:rsidRPr="00750062" w14:paraId="1E0E3409" w14:textId="77777777" w:rsidTr="002B1847">
        <w:trPr>
          <w:trHeight w:val="249"/>
        </w:trPr>
        <w:tc>
          <w:tcPr>
            <w:tcW w:w="4034" w:type="pct"/>
            <w:gridSpan w:val="6"/>
            <w:tcBorders>
              <w:left w:val="nil"/>
              <w:right w:val="nil"/>
            </w:tcBorders>
            <w:vAlign w:val="center"/>
          </w:tcPr>
          <w:p w14:paraId="53A01EB3" w14:textId="77777777" w:rsidR="00C24F6F" w:rsidRPr="00750062" w:rsidRDefault="00C24F6F" w:rsidP="002B1847">
            <w:pPr>
              <w:spacing w:after="0" w:line="240" w:lineRule="auto"/>
              <w:rPr>
                <w:rFonts w:ascii="Arial Narrow" w:hAnsi="Arial Narrow"/>
                <w:sz w:val="16"/>
                <w:szCs w:val="16"/>
              </w:rPr>
            </w:pPr>
            <w:r w:rsidRPr="00750062">
              <w:rPr>
                <w:rFonts w:ascii="Arial Narrow" w:hAnsi="Arial Narrow"/>
                <w:i/>
                <w:sz w:val="16"/>
                <w:szCs w:val="16"/>
              </w:rPr>
              <w:t xml:space="preserve">Pozn.: * vrátane zmeny zdrojov subjektov mimo sektora verejnej správy. Plusové položky zvyšujú dlh verejnej správy k 31.12. príslušného roku, mínusové položky dlh znižujú. </w:t>
            </w:r>
            <w:r w:rsidRPr="00750062">
              <w:rPr>
                <w:rFonts w:ascii="Arial Narrow" w:eastAsia="Times New Roman" w:hAnsi="Arial Narrow" w:cs="Times New Roman"/>
                <w:bCs/>
                <w:i/>
                <w:color w:val="000000"/>
                <w:sz w:val="16"/>
                <w:szCs w:val="16"/>
                <w:lang w:eastAsia="sk-SK"/>
              </w:rPr>
              <w:t>OS</w:t>
            </w:r>
            <w:r w:rsidRPr="00750062">
              <w:rPr>
                <w:rFonts w:ascii="Arial Narrow" w:hAnsi="Arial Narrow"/>
                <w:i/>
                <w:sz w:val="16"/>
                <w:szCs w:val="16"/>
                <w:lang w:eastAsia="sk-SK"/>
              </w:rPr>
              <w:t xml:space="preserve"> – očakávaná skutočnosť ku koncu roka; N – návrh rozpočtu verejnej správy.</w:t>
            </w:r>
          </w:p>
        </w:tc>
        <w:tc>
          <w:tcPr>
            <w:tcW w:w="966" w:type="pct"/>
            <w:gridSpan w:val="4"/>
            <w:tcBorders>
              <w:left w:val="nil"/>
              <w:right w:val="nil"/>
            </w:tcBorders>
            <w:vAlign w:val="center"/>
          </w:tcPr>
          <w:p w14:paraId="40C699FC" w14:textId="77777777" w:rsidR="00C24F6F" w:rsidRPr="00750062" w:rsidRDefault="00C24F6F" w:rsidP="002B1847">
            <w:pPr>
              <w:spacing w:after="0" w:line="240" w:lineRule="auto"/>
              <w:jc w:val="right"/>
              <w:rPr>
                <w:rFonts w:ascii="Arial Narrow" w:hAnsi="Arial Narrow"/>
                <w:i/>
                <w:sz w:val="16"/>
                <w:szCs w:val="16"/>
              </w:rPr>
            </w:pPr>
            <w:r w:rsidRPr="00750062">
              <w:rPr>
                <w:rFonts w:ascii="Arial Narrow" w:hAnsi="Arial Narrow"/>
                <w:i/>
                <w:sz w:val="16"/>
                <w:szCs w:val="16"/>
              </w:rPr>
              <w:t>Zdroj: MF SR</w:t>
            </w:r>
          </w:p>
        </w:tc>
      </w:tr>
    </w:tbl>
    <w:p w14:paraId="21EF0ECB" w14:textId="77777777" w:rsidR="00C24F6F" w:rsidRPr="008E7F52" w:rsidRDefault="00C24F6F" w:rsidP="00C24F6F">
      <w:pPr>
        <w:pStyle w:val="ifppannex"/>
        <w:rPr>
          <w:highlight w:val="yellow"/>
        </w:rPr>
      </w:pPr>
    </w:p>
    <w:p w14:paraId="6B174D32" w14:textId="77777777" w:rsidR="00C24F6F" w:rsidRPr="008E7F52" w:rsidRDefault="00C24F6F" w:rsidP="00C24F6F">
      <w:pPr>
        <w:rPr>
          <w:highlight w:val="yellow"/>
        </w:rPr>
        <w:sectPr w:rsidR="00C24F6F" w:rsidRPr="008E7F52" w:rsidSect="00C24F6F">
          <w:headerReference w:type="default" r:id="rId148"/>
          <w:footerReference w:type="even" r:id="rId149"/>
          <w:footerReference w:type="default" r:id="rId150"/>
          <w:footerReference w:type="first" r:id="rId151"/>
          <w:pgSz w:w="11906" w:h="16838"/>
          <w:pgMar w:top="1417" w:right="1417" w:bottom="1417" w:left="1417" w:header="708" w:footer="397" w:gutter="0"/>
          <w:cols w:space="708"/>
          <w:docGrid w:linePitch="360"/>
        </w:sectPr>
      </w:pPr>
      <w:r w:rsidRPr="008E7F52">
        <w:rPr>
          <w:highlight w:val="yellow"/>
        </w:rPr>
        <w:br w:type="page"/>
      </w:r>
    </w:p>
    <w:p w14:paraId="77F973FE" w14:textId="77777777" w:rsidR="00C24F6F" w:rsidRPr="00E44D5C" w:rsidRDefault="00C24F6F" w:rsidP="00C24F6F">
      <w:pPr>
        <w:spacing w:before="360" w:after="240"/>
        <w:jc w:val="both"/>
        <w:rPr>
          <w:rFonts w:ascii="Arial Narrow" w:hAnsi="Arial Narrow"/>
          <w:b/>
          <w:color w:val="2C9ADC"/>
          <w:sz w:val="24"/>
          <w:szCs w:val="24"/>
        </w:rPr>
      </w:pPr>
      <w:r w:rsidRPr="00E44D5C">
        <w:rPr>
          <w:rFonts w:ascii="Arial Narrow" w:hAnsi="Arial Narrow"/>
          <w:b/>
          <w:color w:val="2C9ADC"/>
          <w:sz w:val="24"/>
          <w:szCs w:val="24"/>
        </w:rPr>
        <w:lastRenderedPageBreak/>
        <w:t>Príloha 4 – Diskrečné opatrenia (DRM a DEM)</w:t>
      </w:r>
    </w:p>
    <w:p w14:paraId="37E3C8CA" w14:textId="544A87CB" w:rsidR="00C24F6F" w:rsidRPr="00E44D5C" w:rsidRDefault="00C24F6F" w:rsidP="00C24F6F">
      <w:pPr>
        <w:pStyle w:val="Tabuka"/>
        <w:framePr w:wrap="around" w:hAnchor="page" w:x="1451" w:y="2328"/>
      </w:pPr>
      <w:bookmarkStart w:id="73" w:name="_Toc526783499"/>
      <w:bookmarkStart w:id="74" w:name="_Toc53500239"/>
      <w:bookmarkStart w:id="75" w:name="_Toc85887950"/>
      <w:bookmarkStart w:id="76" w:name="_Toc117765238"/>
      <w:bookmarkStart w:id="77" w:name="_Toc153185524"/>
      <w:bookmarkStart w:id="78" w:name="_Toc179811536"/>
      <w:bookmarkStart w:id="79" w:name="_Toc196813473"/>
      <w:bookmarkStart w:id="80" w:name="_Toc228177385"/>
      <w:r w:rsidRPr="00C24F6F">
        <w:t xml:space="preserve">TABUĽKA </w:t>
      </w:r>
      <w:fldSimple w:instr=" SEQ TABUĽKA \* ARABIC ">
        <w:r w:rsidR="008765E2">
          <w:rPr>
            <w:noProof/>
          </w:rPr>
          <w:t>12</w:t>
        </w:r>
      </w:fldSimple>
      <w:r w:rsidRPr="00E44D5C">
        <w:t xml:space="preserve"> – Diskrečné príjmové opatrenia – medziročné vplyvy opatrení (mil. eur, ESA2010)</w:t>
      </w:r>
      <w:bookmarkEnd w:id="73"/>
      <w:bookmarkEnd w:id="74"/>
      <w:bookmarkEnd w:id="75"/>
      <w:bookmarkEnd w:id="76"/>
      <w:bookmarkEnd w:id="77"/>
      <w:bookmarkEnd w:id="78"/>
      <w:bookmarkEnd w:id="79"/>
      <w:bookmarkEnd w:id="80"/>
    </w:p>
    <w:p w14:paraId="389ACE6A" w14:textId="77777777" w:rsidR="00C24F6F" w:rsidRPr="00E44D5C" w:rsidRDefault="00C24F6F" w:rsidP="00C24F6F">
      <w:pPr>
        <w:spacing w:after="0" w:line="240" w:lineRule="auto"/>
        <w:jc w:val="both"/>
        <w:rPr>
          <w:rFonts w:ascii="Arial Narrow" w:hAnsi="Arial Narrow"/>
        </w:rPr>
      </w:pPr>
      <w:r w:rsidRPr="00E44D5C">
        <w:rPr>
          <w:rFonts w:ascii="Arial Narrow" w:hAnsi="Arial Narrow"/>
        </w:rPr>
        <w:t>Metodika EK definuje diskrečné príjmové opatrenia ako opatrenia legislatívneho charakteru</w:t>
      </w:r>
      <w:r w:rsidRPr="00E44D5C">
        <w:rPr>
          <w:rStyle w:val="Odkaznapoznmkupodiarou"/>
        </w:rPr>
        <w:footnoteReference w:id="31"/>
      </w:r>
      <w:r w:rsidRPr="00E44D5C">
        <w:rPr>
          <w:rFonts w:ascii="Arial Narrow" w:hAnsi="Arial Narrow"/>
        </w:rPr>
        <w:t xml:space="preserve"> s vplyvom na príjmy verejnej správy. Ich vyhodnocovanie sa uskutočňuje pomocou tzv. dodatočných vplyvov (marginálnych zmien) týchto opatrení. Rozlišuje sa, či sa jedná o trvalé alebo jednorazové opatrenie. Trvalé opatrenie sa zaznamená s vplyvom v prvom roku (v čase nadobudnutia účinnosti) a v ostatných rokoch bez vplyvu. Inými slovami, zmena vplyvu opatrenia v nasledujúcich rokoch z dôvodu makroekonomického vývoja sa nezohľadňuje. Ak dochádza k rozdielnym vplyvom kvôli posunutej platnosti opatrenia zaznamená sa len marginálna zmena.</w:t>
      </w:r>
      <w:r w:rsidRPr="00E44D5C">
        <w:rPr>
          <w:rStyle w:val="Odkaznapoznmkupodiarou"/>
        </w:rPr>
        <w:footnoteReference w:id="32"/>
      </w:r>
      <w:r w:rsidRPr="00E44D5C">
        <w:rPr>
          <w:rFonts w:ascii="Arial Narrow" w:hAnsi="Arial Narrow"/>
        </w:rPr>
        <w:t xml:space="preserve"> Pri jednorazových príjmových opatreniach sa zaznamenáva vplyv v jednom roku a v nasledujúcom výpadok v rovnakej sume, tzn. celkový vplyv opatrenia v dvoch po sebe idúcich rokoch je nulový.</w:t>
      </w:r>
    </w:p>
    <w:p w14:paraId="25ED9AF7" w14:textId="77777777" w:rsidR="00C24F6F" w:rsidRPr="008E7F52" w:rsidRDefault="00C24F6F" w:rsidP="00C24F6F">
      <w:pPr>
        <w:spacing w:after="0" w:line="240" w:lineRule="auto"/>
        <w:jc w:val="both"/>
        <w:rPr>
          <w:rFonts w:ascii="Arial Narrow" w:hAnsi="Arial Narrow"/>
          <w:highlight w:val="yellow"/>
        </w:rPr>
      </w:pPr>
    </w:p>
    <w:tbl>
      <w:tblPr>
        <w:tblW w:w="9072" w:type="dxa"/>
        <w:tblCellMar>
          <w:left w:w="70" w:type="dxa"/>
          <w:right w:w="70" w:type="dxa"/>
        </w:tblCellMar>
        <w:tblLook w:val="04A0" w:firstRow="1" w:lastRow="0" w:firstColumn="1" w:lastColumn="0" w:noHBand="0" w:noVBand="1"/>
      </w:tblPr>
      <w:tblGrid>
        <w:gridCol w:w="6237"/>
        <w:gridCol w:w="567"/>
        <w:gridCol w:w="567"/>
        <w:gridCol w:w="567"/>
        <w:gridCol w:w="589"/>
        <w:gridCol w:w="545"/>
      </w:tblGrid>
      <w:tr w:rsidR="00C24F6F" w:rsidRPr="008E7F52" w14:paraId="5DB6EDD3" w14:textId="77777777" w:rsidTr="002B1847">
        <w:trPr>
          <w:trHeight w:val="26"/>
        </w:trPr>
        <w:tc>
          <w:tcPr>
            <w:tcW w:w="6237" w:type="dxa"/>
            <w:tcBorders>
              <w:top w:val="single" w:sz="4" w:space="0" w:color="auto"/>
              <w:left w:val="nil"/>
              <w:bottom w:val="single" w:sz="8" w:space="0" w:color="auto"/>
              <w:right w:val="nil"/>
            </w:tcBorders>
            <w:noWrap/>
            <w:vAlign w:val="center"/>
            <w:hideMark/>
          </w:tcPr>
          <w:p w14:paraId="275EC322" w14:textId="77777777" w:rsidR="00C24F6F" w:rsidRPr="008E7F52" w:rsidRDefault="00C24F6F" w:rsidP="002B1847">
            <w:pPr>
              <w:spacing w:after="0" w:line="240" w:lineRule="auto"/>
              <w:rPr>
                <w:rFonts w:ascii="Arial Narrow" w:eastAsia="Times New Roman" w:hAnsi="Arial Narrow" w:cs="Times New Roman"/>
                <w:b/>
                <w:bCs/>
                <w:color w:val="000000"/>
                <w:sz w:val="16"/>
                <w:szCs w:val="16"/>
                <w:highlight w:val="yellow"/>
                <w:lang w:eastAsia="sk-SK"/>
              </w:rPr>
            </w:pPr>
            <w:r w:rsidRPr="00E44D5C">
              <w:rPr>
                <w:rFonts w:ascii="Arial Narrow" w:eastAsia="Times New Roman" w:hAnsi="Arial Narrow" w:cs="Times New Roman"/>
                <w:b/>
                <w:bCs/>
                <w:color w:val="000000"/>
                <w:sz w:val="16"/>
                <w:szCs w:val="16"/>
                <w:lang w:eastAsia="sk-SK"/>
              </w:rPr>
              <w:t>Popis</w:t>
            </w:r>
          </w:p>
        </w:tc>
        <w:tc>
          <w:tcPr>
            <w:tcW w:w="567" w:type="dxa"/>
            <w:tcBorders>
              <w:top w:val="single" w:sz="4" w:space="0" w:color="auto"/>
              <w:left w:val="nil"/>
              <w:bottom w:val="single" w:sz="8" w:space="0" w:color="auto"/>
              <w:right w:val="nil"/>
            </w:tcBorders>
            <w:noWrap/>
            <w:vAlign w:val="center"/>
            <w:hideMark/>
          </w:tcPr>
          <w:p w14:paraId="7970BB2D" w14:textId="77777777" w:rsidR="00C24F6F" w:rsidRPr="00E44D5C" w:rsidRDefault="00C24F6F" w:rsidP="002B1847">
            <w:pPr>
              <w:spacing w:after="0" w:line="240" w:lineRule="auto"/>
              <w:jc w:val="center"/>
              <w:rPr>
                <w:rFonts w:ascii="Arial Narrow" w:eastAsia="Times New Roman" w:hAnsi="Arial Narrow" w:cs="Times New Roman"/>
                <w:b/>
                <w:bCs/>
                <w:color w:val="000000"/>
                <w:sz w:val="16"/>
                <w:szCs w:val="16"/>
                <w:lang w:eastAsia="sk-SK"/>
              </w:rPr>
            </w:pPr>
            <w:r w:rsidRPr="00E44D5C">
              <w:rPr>
                <w:rFonts w:ascii="Arial Narrow" w:eastAsia="Times New Roman" w:hAnsi="Arial Narrow" w:cs="Times New Roman"/>
                <w:b/>
                <w:bCs/>
                <w:color w:val="000000"/>
                <w:sz w:val="16"/>
                <w:szCs w:val="16"/>
                <w:lang w:eastAsia="sk-SK"/>
              </w:rPr>
              <w:t>2024</w:t>
            </w:r>
          </w:p>
        </w:tc>
        <w:tc>
          <w:tcPr>
            <w:tcW w:w="567" w:type="dxa"/>
            <w:tcBorders>
              <w:top w:val="single" w:sz="4" w:space="0" w:color="auto"/>
              <w:left w:val="nil"/>
              <w:bottom w:val="single" w:sz="8" w:space="0" w:color="auto"/>
              <w:right w:val="nil"/>
            </w:tcBorders>
            <w:noWrap/>
            <w:hideMark/>
          </w:tcPr>
          <w:p w14:paraId="74C9A6A7" w14:textId="77777777" w:rsidR="00C24F6F" w:rsidRPr="00E44D5C" w:rsidRDefault="00C24F6F" w:rsidP="002B1847">
            <w:pPr>
              <w:spacing w:after="0" w:line="240" w:lineRule="auto"/>
              <w:jc w:val="center"/>
              <w:rPr>
                <w:rFonts w:ascii="Arial Narrow" w:eastAsia="Times New Roman" w:hAnsi="Arial Narrow" w:cs="Times New Roman"/>
                <w:b/>
                <w:bCs/>
                <w:color w:val="000000"/>
                <w:sz w:val="16"/>
                <w:szCs w:val="16"/>
                <w:lang w:eastAsia="sk-SK"/>
              </w:rPr>
            </w:pPr>
            <w:r w:rsidRPr="00E44D5C">
              <w:rPr>
                <w:rFonts w:ascii="Arial Narrow" w:eastAsia="Times New Roman" w:hAnsi="Arial Narrow" w:cs="Times New Roman"/>
                <w:b/>
                <w:bCs/>
                <w:color w:val="000000"/>
                <w:sz w:val="16"/>
                <w:szCs w:val="16"/>
                <w:lang w:eastAsia="sk-SK"/>
              </w:rPr>
              <w:t>2025</w:t>
            </w:r>
          </w:p>
        </w:tc>
        <w:tc>
          <w:tcPr>
            <w:tcW w:w="567" w:type="dxa"/>
            <w:tcBorders>
              <w:top w:val="single" w:sz="4" w:space="0" w:color="auto"/>
              <w:left w:val="nil"/>
              <w:bottom w:val="single" w:sz="8" w:space="0" w:color="auto"/>
              <w:right w:val="nil"/>
            </w:tcBorders>
            <w:noWrap/>
            <w:vAlign w:val="center"/>
            <w:hideMark/>
          </w:tcPr>
          <w:p w14:paraId="770B57DD" w14:textId="77777777" w:rsidR="00C24F6F" w:rsidRPr="00E44D5C" w:rsidRDefault="00C24F6F" w:rsidP="002B1847">
            <w:pPr>
              <w:spacing w:after="0" w:line="240" w:lineRule="auto"/>
              <w:jc w:val="center"/>
              <w:rPr>
                <w:rFonts w:ascii="Arial Narrow" w:eastAsia="Times New Roman" w:hAnsi="Arial Narrow" w:cs="Times New Roman"/>
                <w:b/>
                <w:bCs/>
                <w:color w:val="000000"/>
                <w:sz w:val="16"/>
                <w:szCs w:val="16"/>
                <w:lang w:eastAsia="sk-SK"/>
              </w:rPr>
            </w:pPr>
            <w:r w:rsidRPr="00E44D5C">
              <w:rPr>
                <w:rFonts w:ascii="Arial Narrow" w:eastAsia="Times New Roman" w:hAnsi="Arial Narrow" w:cs="Times New Roman"/>
                <w:b/>
                <w:bCs/>
                <w:color w:val="000000"/>
                <w:sz w:val="16"/>
                <w:szCs w:val="16"/>
                <w:lang w:eastAsia="sk-SK"/>
              </w:rPr>
              <w:t>2026</w:t>
            </w:r>
          </w:p>
        </w:tc>
        <w:tc>
          <w:tcPr>
            <w:tcW w:w="589" w:type="dxa"/>
            <w:tcBorders>
              <w:top w:val="single" w:sz="4" w:space="0" w:color="auto"/>
              <w:left w:val="nil"/>
              <w:bottom w:val="single" w:sz="8" w:space="0" w:color="auto"/>
              <w:right w:val="nil"/>
            </w:tcBorders>
            <w:noWrap/>
            <w:hideMark/>
          </w:tcPr>
          <w:p w14:paraId="0936BB97" w14:textId="77777777" w:rsidR="00C24F6F" w:rsidRPr="00E44D5C" w:rsidRDefault="00C24F6F" w:rsidP="002B1847">
            <w:pPr>
              <w:spacing w:after="0" w:line="240" w:lineRule="auto"/>
              <w:jc w:val="center"/>
              <w:rPr>
                <w:rFonts w:ascii="Arial Narrow" w:eastAsia="Times New Roman" w:hAnsi="Arial Narrow" w:cs="Times New Roman"/>
                <w:b/>
                <w:bCs/>
                <w:color w:val="000000"/>
                <w:sz w:val="16"/>
                <w:szCs w:val="16"/>
                <w:lang w:eastAsia="sk-SK"/>
              </w:rPr>
            </w:pPr>
            <w:r w:rsidRPr="00E44D5C">
              <w:rPr>
                <w:rFonts w:ascii="Arial Narrow" w:eastAsia="Times New Roman" w:hAnsi="Arial Narrow" w:cs="Times New Roman"/>
                <w:b/>
                <w:bCs/>
                <w:color w:val="000000"/>
                <w:sz w:val="16"/>
                <w:szCs w:val="16"/>
                <w:lang w:eastAsia="sk-SK"/>
              </w:rPr>
              <w:t>2027</w:t>
            </w:r>
          </w:p>
        </w:tc>
        <w:tc>
          <w:tcPr>
            <w:tcW w:w="545" w:type="dxa"/>
            <w:tcBorders>
              <w:top w:val="single" w:sz="4" w:space="0" w:color="auto"/>
              <w:left w:val="nil"/>
              <w:bottom w:val="single" w:sz="8" w:space="0" w:color="auto"/>
              <w:right w:val="nil"/>
            </w:tcBorders>
            <w:noWrap/>
            <w:hideMark/>
          </w:tcPr>
          <w:p w14:paraId="13C73E8A" w14:textId="77777777" w:rsidR="00C24F6F" w:rsidRPr="00E44D5C" w:rsidRDefault="00C24F6F" w:rsidP="002B1847">
            <w:pPr>
              <w:spacing w:after="0" w:line="240" w:lineRule="auto"/>
              <w:jc w:val="center"/>
              <w:rPr>
                <w:rFonts w:ascii="Arial Narrow" w:eastAsia="Times New Roman" w:hAnsi="Arial Narrow" w:cs="Times New Roman"/>
                <w:b/>
                <w:bCs/>
                <w:color w:val="000000"/>
                <w:sz w:val="16"/>
                <w:szCs w:val="16"/>
                <w:lang w:eastAsia="sk-SK"/>
              </w:rPr>
            </w:pPr>
            <w:r w:rsidRPr="00E44D5C">
              <w:rPr>
                <w:rFonts w:ascii="Arial Narrow" w:eastAsia="Times New Roman" w:hAnsi="Arial Narrow" w:cs="Times New Roman"/>
                <w:b/>
                <w:bCs/>
                <w:color w:val="000000"/>
                <w:sz w:val="16"/>
                <w:szCs w:val="16"/>
                <w:lang w:eastAsia="sk-SK"/>
              </w:rPr>
              <w:t>2028</w:t>
            </w:r>
          </w:p>
        </w:tc>
      </w:tr>
      <w:tr w:rsidR="00C24F6F" w:rsidRPr="008E7F52" w14:paraId="1B7F61D3" w14:textId="77777777" w:rsidTr="002B1847">
        <w:trPr>
          <w:trHeight w:val="26"/>
        </w:trPr>
        <w:tc>
          <w:tcPr>
            <w:tcW w:w="6237" w:type="dxa"/>
            <w:tcBorders>
              <w:top w:val="nil"/>
              <w:left w:val="nil"/>
              <w:bottom w:val="nil"/>
              <w:right w:val="nil"/>
            </w:tcBorders>
          </w:tcPr>
          <w:p w14:paraId="4DCEB29C" w14:textId="77777777" w:rsidR="00C24F6F" w:rsidRPr="00E44D5C" w:rsidRDefault="00C24F6F" w:rsidP="002B1847">
            <w:pPr>
              <w:pStyle w:val="Bezriadkovania"/>
              <w:rPr>
                <w:sz w:val="16"/>
                <w:szCs w:val="16"/>
              </w:rPr>
            </w:pPr>
            <w:r w:rsidRPr="00E44D5C">
              <w:rPr>
                <w:sz w:val="16"/>
                <w:szCs w:val="16"/>
              </w:rPr>
              <w:t>Zrušenie koncesionárskych poplatkov</w:t>
            </w:r>
          </w:p>
        </w:tc>
        <w:tc>
          <w:tcPr>
            <w:tcW w:w="567" w:type="dxa"/>
            <w:tcBorders>
              <w:top w:val="nil"/>
              <w:left w:val="nil"/>
              <w:bottom w:val="nil"/>
              <w:right w:val="nil"/>
            </w:tcBorders>
            <w:noWrap/>
          </w:tcPr>
          <w:p w14:paraId="0DA6E749" w14:textId="77777777" w:rsidR="00C24F6F" w:rsidRPr="00E44D5C" w:rsidRDefault="00C24F6F" w:rsidP="002B1847">
            <w:pPr>
              <w:pStyle w:val="Bezriadkovania"/>
              <w:jc w:val="center"/>
              <w:rPr>
                <w:sz w:val="16"/>
                <w:szCs w:val="16"/>
              </w:rPr>
            </w:pPr>
            <w:r w:rsidRPr="00D63DCD">
              <w:rPr>
                <w:sz w:val="16"/>
                <w:szCs w:val="16"/>
              </w:rPr>
              <w:t>-35</w:t>
            </w:r>
          </w:p>
        </w:tc>
        <w:tc>
          <w:tcPr>
            <w:tcW w:w="567" w:type="dxa"/>
            <w:tcBorders>
              <w:top w:val="nil"/>
              <w:left w:val="nil"/>
              <w:bottom w:val="nil"/>
              <w:right w:val="nil"/>
            </w:tcBorders>
            <w:noWrap/>
          </w:tcPr>
          <w:p w14:paraId="5703A27A"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417CFCAF" w14:textId="77777777" w:rsidR="00C24F6F" w:rsidRPr="00E44D5C" w:rsidRDefault="00C24F6F" w:rsidP="002B1847">
            <w:pPr>
              <w:pStyle w:val="Bezriadkovania"/>
              <w:jc w:val="center"/>
              <w:rPr>
                <w:sz w:val="16"/>
                <w:szCs w:val="16"/>
              </w:rPr>
            </w:pPr>
            <w:r w:rsidRPr="00D63DCD">
              <w:rPr>
                <w:sz w:val="16"/>
                <w:szCs w:val="16"/>
              </w:rPr>
              <w:t>0</w:t>
            </w:r>
          </w:p>
        </w:tc>
        <w:tc>
          <w:tcPr>
            <w:tcW w:w="589" w:type="dxa"/>
            <w:tcBorders>
              <w:top w:val="nil"/>
              <w:left w:val="nil"/>
              <w:bottom w:val="nil"/>
              <w:right w:val="nil"/>
            </w:tcBorders>
            <w:noWrap/>
          </w:tcPr>
          <w:p w14:paraId="72F6A1A9" w14:textId="77777777" w:rsidR="00C24F6F" w:rsidRPr="00E44D5C" w:rsidRDefault="00C24F6F" w:rsidP="002B1847">
            <w:pPr>
              <w:pStyle w:val="Bezriadkovania"/>
              <w:jc w:val="center"/>
              <w:rPr>
                <w:sz w:val="16"/>
                <w:szCs w:val="16"/>
              </w:rPr>
            </w:pPr>
            <w:r w:rsidRPr="00D63DCD">
              <w:rPr>
                <w:sz w:val="16"/>
                <w:szCs w:val="16"/>
              </w:rPr>
              <w:t>0</w:t>
            </w:r>
          </w:p>
        </w:tc>
        <w:tc>
          <w:tcPr>
            <w:tcW w:w="545" w:type="dxa"/>
            <w:tcBorders>
              <w:top w:val="nil"/>
              <w:left w:val="nil"/>
              <w:bottom w:val="nil"/>
              <w:right w:val="nil"/>
            </w:tcBorders>
            <w:noWrap/>
          </w:tcPr>
          <w:p w14:paraId="7AA4B34C"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2B57F47A" w14:textId="77777777" w:rsidTr="002B1847">
        <w:trPr>
          <w:trHeight w:val="26"/>
        </w:trPr>
        <w:tc>
          <w:tcPr>
            <w:tcW w:w="6237" w:type="dxa"/>
            <w:tcBorders>
              <w:top w:val="nil"/>
              <w:left w:val="nil"/>
              <w:bottom w:val="nil"/>
              <w:right w:val="nil"/>
            </w:tcBorders>
          </w:tcPr>
          <w:p w14:paraId="00D88ED5" w14:textId="77777777" w:rsidR="00C24F6F" w:rsidRPr="00E44D5C" w:rsidRDefault="00C24F6F" w:rsidP="002B1847">
            <w:pPr>
              <w:pStyle w:val="Bezriadkovania"/>
              <w:rPr>
                <w:sz w:val="16"/>
                <w:szCs w:val="16"/>
              </w:rPr>
            </w:pPr>
            <w:r w:rsidRPr="00E44D5C">
              <w:rPr>
                <w:sz w:val="16"/>
                <w:szCs w:val="16"/>
              </w:rPr>
              <w:t>Valorizácia správnych a súdnych poplatkov - od 1Q 2024</w:t>
            </w:r>
          </w:p>
        </w:tc>
        <w:tc>
          <w:tcPr>
            <w:tcW w:w="567" w:type="dxa"/>
            <w:tcBorders>
              <w:top w:val="nil"/>
              <w:left w:val="nil"/>
              <w:bottom w:val="nil"/>
              <w:right w:val="nil"/>
            </w:tcBorders>
            <w:noWrap/>
          </w:tcPr>
          <w:p w14:paraId="0EEC372E" w14:textId="77777777" w:rsidR="00C24F6F" w:rsidRPr="00E44D5C" w:rsidRDefault="00C24F6F" w:rsidP="002B1847">
            <w:pPr>
              <w:pStyle w:val="Bezriadkovania"/>
              <w:jc w:val="center"/>
              <w:rPr>
                <w:sz w:val="16"/>
                <w:szCs w:val="16"/>
              </w:rPr>
            </w:pPr>
            <w:r w:rsidRPr="00D63DCD">
              <w:rPr>
                <w:sz w:val="16"/>
                <w:szCs w:val="16"/>
              </w:rPr>
              <w:t>36</w:t>
            </w:r>
          </w:p>
        </w:tc>
        <w:tc>
          <w:tcPr>
            <w:tcW w:w="567" w:type="dxa"/>
            <w:tcBorders>
              <w:top w:val="nil"/>
              <w:left w:val="nil"/>
              <w:bottom w:val="nil"/>
              <w:right w:val="nil"/>
            </w:tcBorders>
            <w:noWrap/>
          </w:tcPr>
          <w:p w14:paraId="170DA33A" w14:textId="77777777" w:rsidR="00C24F6F" w:rsidRPr="00E44D5C" w:rsidRDefault="00C24F6F" w:rsidP="002B1847">
            <w:pPr>
              <w:pStyle w:val="Bezriadkovania"/>
              <w:jc w:val="center"/>
              <w:rPr>
                <w:sz w:val="16"/>
                <w:szCs w:val="16"/>
              </w:rPr>
            </w:pPr>
            <w:r w:rsidRPr="00D63DCD">
              <w:rPr>
                <w:sz w:val="16"/>
                <w:szCs w:val="16"/>
              </w:rPr>
              <w:t>7</w:t>
            </w:r>
          </w:p>
        </w:tc>
        <w:tc>
          <w:tcPr>
            <w:tcW w:w="567" w:type="dxa"/>
            <w:tcBorders>
              <w:top w:val="nil"/>
              <w:left w:val="nil"/>
              <w:bottom w:val="nil"/>
              <w:right w:val="nil"/>
            </w:tcBorders>
            <w:noWrap/>
          </w:tcPr>
          <w:p w14:paraId="013B99F0" w14:textId="77777777" w:rsidR="00C24F6F" w:rsidRPr="00E44D5C" w:rsidRDefault="00C24F6F" w:rsidP="002B1847">
            <w:pPr>
              <w:pStyle w:val="Bezriadkovania"/>
              <w:jc w:val="center"/>
              <w:rPr>
                <w:sz w:val="16"/>
                <w:szCs w:val="16"/>
              </w:rPr>
            </w:pPr>
            <w:r w:rsidRPr="00D63DCD">
              <w:rPr>
                <w:sz w:val="16"/>
                <w:szCs w:val="16"/>
              </w:rPr>
              <w:t>0</w:t>
            </w:r>
          </w:p>
        </w:tc>
        <w:tc>
          <w:tcPr>
            <w:tcW w:w="589" w:type="dxa"/>
            <w:tcBorders>
              <w:top w:val="nil"/>
              <w:left w:val="nil"/>
              <w:bottom w:val="nil"/>
              <w:right w:val="nil"/>
            </w:tcBorders>
            <w:noWrap/>
          </w:tcPr>
          <w:p w14:paraId="668D4E4F" w14:textId="77777777" w:rsidR="00C24F6F" w:rsidRPr="00E44D5C" w:rsidRDefault="00C24F6F" w:rsidP="002B1847">
            <w:pPr>
              <w:pStyle w:val="Bezriadkovania"/>
              <w:jc w:val="center"/>
              <w:rPr>
                <w:sz w:val="16"/>
                <w:szCs w:val="16"/>
              </w:rPr>
            </w:pPr>
            <w:r w:rsidRPr="00D63DCD">
              <w:rPr>
                <w:sz w:val="16"/>
                <w:szCs w:val="16"/>
              </w:rPr>
              <w:t>0</w:t>
            </w:r>
          </w:p>
        </w:tc>
        <w:tc>
          <w:tcPr>
            <w:tcW w:w="545" w:type="dxa"/>
            <w:tcBorders>
              <w:top w:val="nil"/>
              <w:left w:val="nil"/>
              <w:bottom w:val="nil"/>
              <w:right w:val="nil"/>
            </w:tcBorders>
            <w:noWrap/>
          </w:tcPr>
          <w:p w14:paraId="56022526"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3581E4FA" w14:textId="77777777" w:rsidTr="002B1847">
        <w:trPr>
          <w:trHeight w:val="26"/>
        </w:trPr>
        <w:tc>
          <w:tcPr>
            <w:tcW w:w="6237" w:type="dxa"/>
            <w:tcBorders>
              <w:top w:val="nil"/>
              <w:left w:val="nil"/>
              <w:bottom w:val="nil"/>
              <w:right w:val="nil"/>
            </w:tcBorders>
          </w:tcPr>
          <w:p w14:paraId="684AC5B5" w14:textId="77777777" w:rsidR="00C24F6F" w:rsidRPr="00E44D5C" w:rsidRDefault="00C24F6F" w:rsidP="002B1847">
            <w:pPr>
              <w:pStyle w:val="Bezriadkovania"/>
              <w:rPr>
                <w:sz w:val="16"/>
                <w:szCs w:val="16"/>
              </w:rPr>
            </w:pPr>
            <w:r w:rsidRPr="00E44D5C">
              <w:rPr>
                <w:sz w:val="16"/>
                <w:szCs w:val="16"/>
              </w:rPr>
              <w:t>Zvýšenie poplatku za udržiavanie núdzových zásob ropy o 1 cent</w:t>
            </w:r>
          </w:p>
        </w:tc>
        <w:tc>
          <w:tcPr>
            <w:tcW w:w="567" w:type="dxa"/>
            <w:tcBorders>
              <w:top w:val="nil"/>
              <w:left w:val="nil"/>
              <w:bottom w:val="nil"/>
              <w:right w:val="nil"/>
            </w:tcBorders>
            <w:noWrap/>
          </w:tcPr>
          <w:p w14:paraId="178FA558" w14:textId="77777777" w:rsidR="00C24F6F" w:rsidRPr="00E44D5C" w:rsidRDefault="00C24F6F" w:rsidP="002B1847">
            <w:pPr>
              <w:pStyle w:val="Bezriadkovania"/>
              <w:jc w:val="center"/>
              <w:rPr>
                <w:sz w:val="16"/>
                <w:szCs w:val="16"/>
              </w:rPr>
            </w:pPr>
            <w:r w:rsidRPr="00D63DCD">
              <w:rPr>
                <w:sz w:val="16"/>
                <w:szCs w:val="16"/>
              </w:rPr>
              <w:t>28</w:t>
            </w:r>
          </w:p>
        </w:tc>
        <w:tc>
          <w:tcPr>
            <w:tcW w:w="567" w:type="dxa"/>
            <w:tcBorders>
              <w:top w:val="nil"/>
              <w:left w:val="nil"/>
              <w:bottom w:val="nil"/>
              <w:right w:val="nil"/>
            </w:tcBorders>
            <w:noWrap/>
          </w:tcPr>
          <w:p w14:paraId="7CC6ECB8"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7674412E" w14:textId="77777777" w:rsidR="00C24F6F" w:rsidRPr="00E44D5C" w:rsidRDefault="00C24F6F" w:rsidP="002B1847">
            <w:pPr>
              <w:pStyle w:val="Bezriadkovania"/>
              <w:jc w:val="center"/>
              <w:rPr>
                <w:sz w:val="16"/>
                <w:szCs w:val="16"/>
              </w:rPr>
            </w:pPr>
            <w:r w:rsidRPr="00D63DCD">
              <w:rPr>
                <w:sz w:val="16"/>
                <w:szCs w:val="16"/>
              </w:rPr>
              <w:t>0</w:t>
            </w:r>
          </w:p>
        </w:tc>
        <w:tc>
          <w:tcPr>
            <w:tcW w:w="589" w:type="dxa"/>
            <w:tcBorders>
              <w:top w:val="nil"/>
              <w:left w:val="nil"/>
              <w:bottom w:val="nil"/>
              <w:right w:val="nil"/>
            </w:tcBorders>
            <w:noWrap/>
          </w:tcPr>
          <w:p w14:paraId="64F5891B" w14:textId="77777777" w:rsidR="00C24F6F" w:rsidRPr="00E44D5C" w:rsidRDefault="00C24F6F" w:rsidP="002B1847">
            <w:pPr>
              <w:pStyle w:val="Bezriadkovania"/>
              <w:jc w:val="center"/>
              <w:rPr>
                <w:sz w:val="16"/>
                <w:szCs w:val="16"/>
              </w:rPr>
            </w:pPr>
            <w:r w:rsidRPr="00D63DCD">
              <w:rPr>
                <w:sz w:val="16"/>
                <w:szCs w:val="16"/>
              </w:rPr>
              <w:t>0</w:t>
            </w:r>
          </w:p>
        </w:tc>
        <w:tc>
          <w:tcPr>
            <w:tcW w:w="545" w:type="dxa"/>
            <w:tcBorders>
              <w:top w:val="nil"/>
              <w:left w:val="nil"/>
              <w:bottom w:val="nil"/>
              <w:right w:val="nil"/>
            </w:tcBorders>
            <w:noWrap/>
          </w:tcPr>
          <w:p w14:paraId="3A99B357"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6BC597A5" w14:textId="77777777" w:rsidTr="002B1847">
        <w:trPr>
          <w:trHeight w:val="26"/>
        </w:trPr>
        <w:tc>
          <w:tcPr>
            <w:tcW w:w="6237" w:type="dxa"/>
            <w:tcBorders>
              <w:top w:val="nil"/>
              <w:left w:val="nil"/>
              <w:bottom w:val="nil"/>
              <w:right w:val="nil"/>
            </w:tcBorders>
          </w:tcPr>
          <w:p w14:paraId="533A1287" w14:textId="77777777" w:rsidR="00C24F6F" w:rsidRPr="00E44D5C" w:rsidRDefault="00C24F6F" w:rsidP="002B1847">
            <w:pPr>
              <w:pStyle w:val="Bezriadkovania"/>
              <w:rPr>
                <w:sz w:val="16"/>
                <w:szCs w:val="16"/>
              </w:rPr>
            </w:pPr>
            <w:r w:rsidRPr="00E44D5C">
              <w:rPr>
                <w:sz w:val="16"/>
                <w:szCs w:val="16"/>
              </w:rPr>
              <w:t>Odvody z nadmerného zisku a solidárne príspevky (VHV, elektrárne, ropa)</w:t>
            </w:r>
          </w:p>
        </w:tc>
        <w:tc>
          <w:tcPr>
            <w:tcW w:w="567" w:type="dxa"/>
            <w:tcBorders>
              <w:top w:val="nil"/>
              <w:left w:val="nil"/>
              <w:bottom w:val="nil"/>
              <w:right w:val="nil"/>
            </w:tcBorders>
            <w:noWrap/>
          </w:tcPr>
          <w:p w14:paraId="75E5985C" w14:textId="77777777" w:rsidR="00C24F6F" w:rsidRPr="00E44D5C" w:rsidRDefault="00C24F6F" w:rsidP="002B1847">
            <w:pPr>
              <w:pStyle w:val="Bezriadkovania"/>
              <w:jc w:val="center"/>
              <w:rPr>
                <w:sz w:val="16"/>
                <w:szCs w:val="16"/>
              </w:rPr>
            </w:pPr>
            <w:r w:rsidRPr="00D63DCD">
              <w:rPr>
                <w:sz w:val="16"/>
                <w:szCs w:val="16"/>
              </w:rPr>
              <w:t>-52</w:t>
            </w:r>
          </w:p>
        </w:tc>
        <w:tc>
          <w:tcPr>
            <w:tcW w:w="567" w:type="dxa"/>
            <w:tcBorders>
              <w:top w:val="nil"/>
              <w:left w:val="nil"/>
              <w:bottom w:val="nil"/>
              <w:right w:val="nil"/>
            </w:tcBorders>
            <w:noWrap/>
          </w:tcPr>
          <w:p w14:paraId="04130107" w14:textId="77777777" w:rsidR="00C24F6F" w:rsidRPr="00E44D5C" w:rsidRDefault="00C24F6F" w:rsidP="002B1847">
            <w:pPr>
              <w:pStyle w:val="Bezriadkovania"/>
              <w:jc w:val="center"/>
              <w:rPr>
                <w:sz w:val="16"/>
                <w:szCs w:val="16"/>
              </w:rPr>
            </w:pPr>
            <w:r w:rsidRPr="00D63DCD">
              <w:rPr>
                <w:sz w:val="16"/>
                <w:szCs w:val="16"/>
              </w:rPr>
              <w:t>-90</w:t>
            </w:r>
          </w:p>
        </w:tc>
        <w:tc>
          <w:tcPr>
            <w:tcW w:w="567" w:type="dxa"/>
            <w:tcBorders>
              <w:top w:val="nil"/>
              <w:left w:val="nil"/>
              <w:bottom w:val="nil"/>
              <w:right w:val="nil"/>
            </w:tcBorders>
            <w:noWrap/>
          </w:tcPr>
          <w:p w14:paraId="681B29E7" w14:textId="77777777" w:rsidR="00C24F6F" w:rsidRPr="00E44D5C" w:rsidRDefault="00C24F6F" w:rsidP="002B1847">
            <w:pPr>
              <w:pStyle w:val="Bezriadkovania"/>
              <w:jc w:val="center"/>
              <w:rPr>
                <w:sz w:val="16"/>
                <w:szCs w:val="16"/>
              </w:rPr>
            </w:pPr>
            <w:r w:rsidRPr="00D63DCD">
              <w:rPr>
                <w:sz w:val="16"/>
                <w:szCs w:val="16"/>
              </w:rPr>
              <w:t>-20</w:t>
            </w:r>
          </w:p>
        </w:tc>
        <w:tc>
          <w:tcPr>
            <w:tcW w:w="589" w:type="dxa"/>
            <w:tcBorders>
              <w:top w:val="nil"/>
              <w:left w:val="nil"/>
              <w:bottom w:val="nil"/>
              <w:right w:val="nil"/>
            </w:tcBorders>
            <w:noWrap/>
          </w:tcPr>
          <w:p w14:paraId="7523843E" w14:textId="77777777" w:rsidR="00C24F6F" w:rsidRPr="00E44D5C" w:rsidRDefault="00C24F6F" w:rsidP="002B1847">
            <w:pPr>
              <w:pStyle w:val="Bezriadkovania"/>
              <w:jc w:val="center"/>
              <w:rPr>
                <w:sz w:val="16"/>
                <w:szCs w:val="16"/>
              </w:rPr>
            </w:pPr>
            <w:r w:rsidRPr="00D63DCD">
              <w:rPr>
                <w:sz w:val="16"/>
                <w:szCs w:val="16"/>
              </w:rPr>
              <w:t>-20</w:t>
            </w:r>
          </w:p>
        </w:tc>
        <w:tc>
          <w:tcPr>
            <w:tcW w:w="545" w:type="dxa"/>
            <w:tcBorders>
              <w:top w:val="nil"/>
              <w:left w:val="nil"/>
              <w:bottom w:val="nil"/>
              <w:right w:val="nil"/>
            </w:tcBorders>
            <w:noWrap/>
          </w:tcPr>
          <w:p w14:paraId="6E952BFE"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7F562DAA" w14:textId="77777777" w:rsidTr="002B1847">
        <w:trPr>
          <w:trHeight w:val="26"/>
        </w:trPr>
        <w:tc>
          <w:tcPr>
            <w:tcW w:w="6237" w:type="dxa"/>
            <w:tcBorders>
              <w:top w:val="nil"/>
              <w:left w:val="nil"/>
              <w:bottom w:val="nil"/>
              <w:right w:val="nil"/>
            </w:tcBorders>
          </w:tcPr>
          <w:p w14:paraId="16579632" w14:textId="77777777" w:rsidR="00C24F6F" w:rsidRPr="00E44D5C" w:rsidRDefault="00C24F6F" w:rsidP="002B1847">
            <w:pPr>
              <w:pStyle w:val="Bezriadkovania"/>
              <w:rPr>
                <w:sz w:val="16"/>
                <w:szCs w:val="16"/>
              </w:rPr>
            </w:pPr>
            <w:r w:rsidRPr="00E44D5C">
              <w:rPr>
                <w:sz w:val="16"/>
                <w:szCs w:val="16"/>
              </w:rPr>
              <w:t>Zvýšenie sadzby spotrebnej dane z liehu</w:t>
            </w:r>
          </w:p>
        </w:tc>
        <w:tc>
          <w:tcPr>
            <w:tcW w:w="567" w:type="dxa"/>
            <w:tcBorders>
              <w:top w:val="nil"/>
              <w:left w:val="nil"/>
              <w:bottom w:val="nil"/>
              <w:right w:val="nil"/>
            </w:tcBorders>
            <w:noWrap/>
          </w:tcPr>
          <w:p w14:paraId="3929BC61" w14:textId="77777777" w:rsidR="00C24F6F" w:rsidRPr="00E44D5C" w:rsidRDefault="00C24F6F" w:rsidP="002B1847">
            <w:pPr>
              <w:pStyle w:val="Bezriadkovania"/>
              <w:jc w:val="center"/>
              <w:rPr>
                <w:sz w:val="16"/>
                <w:szCs w:val="16"/>
              </w:rPr>
            </w:pPr>
            <w:r w:rsidRPr="00D63DCD">
              <w:rPr>
                <w:sz w:val="16"/>
                <w:szCs w:val="16"/>
              </w:rPr>
              <w:t>29</w:t>
            </w:r>
          </w:p>
        </w:tc>
        <w:tc>
          <w:tcPr>
            <w:tcW w:w="567" w:type="dxa"/>
            <w:tcBorders>
              <w:top w:val="nil"/>
              <w:left w:val="nil"/>
              <w:bottom w:val="nil"/>
              <w:right w:val="nil"/>
            </w:tcBorders>
            <w:noWrap/>
          </w:tcPr>
          <w:p w14:paraId="112CA245"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7859DA0D" w14:textId="77777777" w:rsidR="00C24F6F" w:rsidRPr="00E44D5C" w:rsidRDefault="00C24F6F" w:rsidP="002B1847">
            <w:pPr>
              <w:pStyle w:val="Bezriadkovania"/>
              <w:jc w:val="center"/>
              <w:rPr>
                <w:sz w:val="16"/>
                <w:szCs w:val="16"/>
              </w:rPr>
            </w:pPr>
            <w:r w:rsidRPr="00D63DCD">
              <w:rPr>
                <w:sz w:val="16"/>
                <w:szCs w:val="16"/>
              </w:rPr>
              <w:t>0</w:t>
            </w:r>
          </w:p>
        </w:tc>
        <w:tc>
          <w:tcPr>
            <w:tcW w:w="589" w:type="dxa"/>
            <w:tcBorders>
              <w:top w:val="nil"/>
              <w:left w:val="nil"/>
              <w:bottom w:val="nil"/>
              <w:right w:val="nil"/>
            </w:tcBorders>
            <w:noWrap/>
          </w:tcPr>
          <w:p w14:paraId="2A0F0C46" w14:textId="77777777" w:rsidR="00C24F6F" w:rsidRPr="00E44D5C" w:rsidRDefault="00C24F6F" w:rsidP="002B1847">
            <w:pPr>
              <w:pStyle w:val="Bezriadkovania"/>
              <w:jc w:val="center"/>
              <w:rPr>
                <w:sz w:val="16"/>
                <w:szCs w:val="16"/>
              </w:rPr>
            </w:pPr>
            <w:r w:rsidRPr="00D63DCD">
              <w:rPr>
                <w:sz w:val="16"/>
                <w:szCs w:val="16"/>
              </w:rPr>
              <w:t>0</w:t>
            </w:r>
          </w:p>
        </w:tc>
        <w:tc>
          <w:tcPr>
            <w:tcW w:w="545" w:type="dxa"/>
            <w:tcBorders>
              <w:top w:val="nil"/>
              <w:left w:val="nil"/>
              <w:bottom w:val="nil"/>
              <w:right w:val="nil"/>
            </w:tcBorders>
            <w:noWrap/>
          </w:tcPr>
          <w:p w14:paraId="1E56B478"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260B1A3C" w14:textId="77777777" w:rsidTr="002B1847">
        <w:trPr>
          <w:trHeight w:val="26"/>
        </w:trPr>
        <w:tc>
          <w:tcPr>
            <w:tcW w:w="6237" w:type="dxa"/>
            <w:tcBorders>
              <w:top w:val="nil"/>
              <w:left w:val="nil"/>
              <w:bottom w:val="nil"/>
              <w:right w:val="nil"/>
            </w:tcBorders>
          </w:tcPr>
          <w:p w14:paraId="2822DD4D" w14:textId="77777777" w:rsidR="00C24F6F" w:rsidRPr="00E44D5C" w:rsidRDefault="00C24F6F" w:rsidP="002B1847">
            <w:pPr>
              <w:pStyle w:val="Bezriadkovania"/>
              <w:rPr>
                <w:sz w:val="16"/>
                <w:szCs w:val="16"/>
              </w:rPr>
            </w:pPr>
            <w:r w:rsidRPr="00E44D5C">
              <w:rPr>
                <w:sz w:val="16"/>
                <w:szCs w:val="16"/>
              </w:rPr>
              <w:t>Úpravy odvodu a reformy II. piliera</w:t>
            </w:r>
          </w:p>
        </w:tc>
        <w:tc>
          <w:tcPr>
            <w:tcW w:w="567" w:type="dxa"/>
            <w:tcBorders>
              <w:top w:val="nil"/>
              <w:left w:val="nil"/>
              <w:bottom w:val="nil"/>
              <w:right w:val="nil"/>
            </w:tcBorders>
            <w:noWrap/>
          </w:tcPr>
          <w:p w14:paraId="5C90A744" w14:textId="77777777" w:rsidR="00C24F6F" w:rsidRPr="00E44D5C" w:rsidRDefault="00C24F6F" w:rsidP="002B1847">
            <w:pPr>
              <w:pStyle w:val="Bezriadkovania"/>
              <w:jc w:val="center"/>
              <w:rPr>
                <w:sz w:val="16"/>
                <w:szCs w:val="16"/>
              </w:rPr>
            </w:pPr>
            <w:r w:rsidRPr="00D63DCD">
              <w:rPr>
                <w:sz w:val="16"/>
                <w:szCs w:val="16"/>
              </w:rPr>
              <w:t>370</w:t>
            </w:r>
          </w:p>
        </w:tc>
        <w:tc>
          <w:tcPr>
            <w:tcW w:w="567" w:type="dxa"/>
            <w:tcBorders>
              <w:top w:val="nil"/>
              <w:left w:val="nil"/>
              <w:bottom w:val="nil"/>
              <w:right w:val="nil"/>
            </w:tcBorders>
            <w:noWrap/>
          </w:tcPr>
          <w:p w14:paraId="346DC2CE" w14:textId="77777777" w:rsidR="00C24F6F" w:rsidRPr="00E44D5C" w:rsidRDefault="00C24F6F" w:rsidP="002B1847">
            <w:pPr>
              <w:pStyle w:val="Bezriadkovania"/>
              <w:jc w:val="center"/>
              <w:rPr>
                <w:sz w:val="16"/>
                <w:szCs w:val="16"/>
              </w:rPr>
            </w:pPr>
            <w:r w:rsidRPr="00D63DCD">
              <w:rPr>
                <w:sz w:val="16"/>
                <w:szCs w:val="16"/>
              </w:rPr>
              <w:t>-50</w:t>
            </w:r>
          </w:p>
        </w:tc>
        <w:tc>
          <w:tcPr>
            <w:tcW w:w="567" w:type="dxa"/>
            <w:tcBorders>
              <w:top w:val="nil"/>
              <w:left w:val="nil"/>
              <w:bottom w:val="nil"/>
              <w:right w:val="nil"/>
            </w:tcBorders>
            <w:noWrap/>
          </w:tcPr>
          <w:p w14:paraId="71D73046" w14:textId="77777777" w:rsidR="00C24F6F" w:rsidRPr="00E44D5C" w:rsidRDefault="00C24F6F" w:rsidP="002B1847">
            <w:pPr>
              <w:pStyle w:val="Bezriadkovania"/>
              <w:jc w:val="center"/>
              <w:rPr>
                <w:sz w:val="16"/>
                <w:szCs w:val="16"/>
              </w:rPr>
            </w:pPr>
            <w:r w:rsidRPr="00D63DCD">
              <w:rPr>
                <w:sz w:val="16"/>
                <w:szCs w:val="16"/>
              </w:rPr>
              <w:t>0</w:t>
            </w:r>
          </w:p>
        </w:tc>
        <w:tc>
          <w:tcPr>
            <w:tcW w:w="589" w:type="dxa"/>
            <w:tcBorders>
              <w:top w:val="nil"/>
              <w:left w:val="nil"/>
              <w:bottom w:val="nil"/>
              <w:right w:val="nil"/>
            </w:tcBorders>
            <w:noWrap/>
          </w:tcPr>
          <w:p w14:paraId="6763ECA8" w14:textId="77777777" w:rsidR="00C24F6F" w:rsidRPr="00E44D5C" w:rsidRDefault="00C24F6F" w:rsidP="002B1847">
            <w:pPr>
              <w:pStyle w:val="Bezriadkovania"/>
              <w:jc w:val="center"/>
              <w:rPr>
                <w:sz w:val="16"/>
                <w:szCs w:val="16"/>
              </w:rPr>
            </w:pPr>
            <w:r w:rsidRPr="00D63DCD">
              <w:rPr>
                <w:sz w:val="16"/>
                <w:szCs w:val="16"/>
              </w:rPr>
              <w:t>0</w:t>
            </w:r>
          </w:p>
        </w:tc>
        <w:tc>
          <w:tcPr>
            <w:tcW w:w="545" w:type="dxa"/>
            <w:tcBorders>
              <w:top w:val="nil"/>
              <w:left w:val="nil"/>
              <w:bottom w:val="nil"/>
              <w:right w:val="nil"/>
            </w:tcBorders>
            <w:noWrap/>
          </w:tcPr>
          <w:p w14:paraId="7F7AD35A"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55317680" w14:textId="77777777" w:rsidTr="002B1847">
        <w:trPr>
          <w:trHeight w:val="26"/>
        </w:trPr>
        <w:tc>
          <w:tcPr>
            <w:tcW w:w="6237" w:type="dxa"/>
            <w:tcBorders>
              <w:top w:val="nil"/>
              <w:left w:val="nil"/>
              <w:bottom w:val="nil"/>
              <w:right w:val="nil"/>
            </w:tcBorders>
          </w:tcPr>
          <w:p w14:paraId="12FA3110" w14:textId="77777777" w:rsidR="00C24F6F" w:rsidRPr="00E44D5C" w:rsidRDefault="00C24F6F" w:rsidP="002B1847">
            <w:pPr>
              <w:pStyle w:val="Bezriadkovania"/>
              <w:rPr>
                <w:sz w:val="16"/>
                <w:szCs w:val="16"/>
              </w:rPr>
            </w:pPr>
            <w:r w:rsidRPr="00E44D5C">
              <w:rPr>
                <w:sz w:val="16"/>
                <w:szCs w:val="16"/>
              </w:rPr>
              <w:t>Zvýšenie sadzby zdravotného poistného zamestnávateľa o 1 p. b.</w:t>
            </w:r>
          </w:p>
        </w:tc>
        <w:tc>
          <w:tcPr>
            <w:tcW w:w="567" w:type="dxa"/>
            <w:tcBorders>
              <w:top w:val="nil"/>
              <w:left w:val="nil"/>
              <w:bottom w:val="nil"/>
              <w:right w:val="nil"/>
            </w:tcBorders>
            <w:noWrap/>
          </w:tcPr>
          <w:p w14:paraId="2338EE4F" w14:textId="77777777" w:rsidR="00C24F6F" w:rsidRPr="00E44D5C" w:rsidRDefault="00C24F6F" w:rsidP="002B1847">
            <w:pPr>
              <w:pStyle w:val="Bezriadkovania"/>
              <w:jc w:val="center"/>
              <w:rPr>
                <w:sz w:val="16"/>
                <w:szCs w:val="16"/>
              </w:rPr>
            </w:pPr>
            <w:r w:rsidRPr="00D63DCD">
              <w:rPr>
                <w:sz w:val="16"/>
                <w:szCs w:val="16"/>
              </w:rPr>
              <w:t>348</w:t>
            </w:r>
          </w:p>
        </w:tc>
        <w:tc>
          <w:tcPr>
            <w:tcW w:w="567" w:type="dxa"/>
            <w:tcBorders>
              <w:top w:val="nil"/>
              <w:left w:val="nil"/>
              <w:bottom w:val="nil"/>
              <w:right w:val="nil"/>
            </w:tcBorders>
            <w:noWrap/>
          </w:tcPr>
          <w:p w14:paraId="5A1B08B7"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5A2A4146" w14:textId="77777777" w:rsidR="00C24F6F" w:rsidRPr="00E44D5C" w:rsidRDefault="00C24F6F" w:rsidP="002B1847">
            <w:pPr>
              <w:pStyle w:val="Bezriadkovania"/>
              <w:jc w:val="center"/>
              <w:rPr>
                <w:sz w:val="16"/>
                <w:szCs w:val="16"/>
              </w:rPr>
            </w:pPr>
            <w:r w:rsidRPr="00D63DCD">
              <w:rPr>
                <w:sz w:val="16"/>
                <w:szCs w:val="16"/>
              </w:rPr>
              <w:t>0</w:t>
            </w:r>
          </w:p>
        </w:tc>
        <w:tc>
          <w:tcPr>
            <w:tcW w:w="589" w:type="dxa"/>
            <w:tcBorders>
              <w:top w:val="nil"/>
              <w:left w:val="nil"/>
              <w:bottom w:val="nil"/>
              <w:right w:val="nil"/>
            </w:tcBorders>
            <w:noWrap/>
          </w:tcPr>
          <w:p w14:paraId="221710BE" w14:textId="77777777" w:rsidR="00C24F6F" w:rsidRPr="00E44D5C" w:rsidRDefault="00C24F6F" w:rsidP="002B1847">
            <w:pPr>
              <w:pStyle w:val="Bezriadkovania"/>
              <w:jc w:val="center"/>
              <w:rPr>
                <w:sz w:val="16"/>
                <w:szCs w:val="16"/>
              </w:rPr>
            </w:pPr>
            <w:r w:rsidRPr="00D63DCD">
              <w:rPr>
                <w:sz w:val="16"/>
                <w:szCs w:val="16"/>
              </w:rPr>
              <w:t>0</w:t>
            </w:r>
          </w:p>
        </w:tc>
        <w:tc>
          <w:tcPr>
            <w:tcW w:w="545" w:type="dxa"/>
            <w:tcBorders>
              <w:top w:val="nil"/>
              <w:left w:val="nil"/>
              <w:bottom w:val="nil"/>
              <w:right w:val="nil"/>
            </w:tcBorders>
            <w:noWrap/>
          </w:tcPr>
          <w:p w14:paraId="69EA1B98" w14:textId="77777777" w:rsidR="00C24F6F" w:rsidRPr="00E44D5C" w:rsidRDefault="00C24F6F" w:rsidP="002B1847">
            <w:pPr>
              <w:pStyle w:val="Bezriadkovania"/>
              <w:jc w:val="center"/>
              <w:rPr>
                <w:sz w:val="16"/>
                <w:szCs w:val="16"/>
              </w:rPr>
            </w:pPr>
            <w:r w:rsidRPr="00D63DCD">
              <w:rPr>
                <w:sz w:val="16"/>
                <w:szCs w:val="16"/>
              </w:rPr>
              <w:t>-348</w:t>
            </w:r>
          </w:p>
        </w:tc>
      </w:tr>
      <w:tr w:rsidR="00C24F6F" w:rsidRPr="008E7F52" w14:paraId="3E571706" w14:textId="77777777" w:rsidTr="002B1847">
        <w:trPr>
          <w:trHeight w:val="26"/>
        </w:trPr>
        <w:tc>
          <w:tcPr>
            <w:tcW w:w="6237" w:type="dxa"/>
            <w:tcBorders>
              <w:top w:val="nil"/>
              <w:left w:val="nil"/>
              <w:bottom w:val="nil"/>
              <w:right w:val="nil"/>
            </w:tcBorders>
          </w:tcPr>
          <w:p w14:paraId="659BF5FF" w14:textId="77777777" w:rsidR="00C24F6F" w:rsidRPr="00E44D5C" w:rsidRDefault="00C24F6F" w:rsidP="002B1847">
            <w:pPr>
              <w:pStyle w:val="Bezriadkovania"/>
              <w:rPr>
                <w:sz w:val="16"/>
                <w:szCs w:val="16"/>
              </w:rPr>
            </w:pPr>
            <w:r w:rsidRPr="00E44D5C">
              <w:rPr>
                <w:sz w:val="16"/>
                <w:szCs w:val="16"/>
              </w:rPr>
              <w:t>Zavedenie spotrebnej dane zo sladených nápojov</w:t>
            </w:r>
          </w:p>
        </w:tc>
        <w:tc>
          <w:tcPr>
            <w:tcW w:w="567" w:type="dxa"/>
            <w:tcBorders>
              <w:top w:val="nil"/>
              <w:left w:val="nil"/>
              <w:bottom w:val="nil"/>
              <w:right w:val="nil"/>
            </w:tcBorders>
            <w:noWrap/>
          </w:tcPr>
          <w:p w14:paraId="2B392E40"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4BB01555" w14:textId="77777777" w:rsidR="00C24F6F" w:rsidRPr="00E44D5C" w:rsidRDefault="00C24F6F" w:rsidP="002B1847">
            <w:pPr>
              <w:pStyle w:val="Bezriadkovania"/>
              <w:jc w:val="center"/>
              <w:rPr>
                <w:sz w:val="16"/>
                <w:szCs w:val="16"/>
              </w:rPr>
            </w:pPr>
            <w:r w:rsidRPr="00D63DCD">
              <w:rPr>
                <w:sz w:val="16"/>
                <w:szCs w:val="16"/>
              </w:rPr>
              <w:t>111</w:t>
            </w:r>
          </w:p>
        </w:tc>
        <w:tc>
          <w:tcPr>
            <w:tcW w:w="567" w:type="dxa"/>
            <w:tcBorders>
              <w:top w:val="nil"/>
              <w:left w:val="nil"/>
              <w:bottom w:val="nil"/>
              <w:right w:val="nil"/>
            </w:tcBorders>
            <w:noWrap/>
          </w:tcPr>
          <w:p w14:paraId="3D2F2DAE" w14:textId="77777777" w:rsidR="00C24F6F" w:rsidRPr="00E44D5C" w:rsidRDefault="00C24F6F" w:rsidP="002B1847">
            <w:pPr>
              <w:pStyle w:val="Bezriadkovania"/>
              <w:jc w:val="center"/>
              <w:rPr>
                <w:sz w:val="16"/>
                <w:szCs w:val="16"/>
              </w:rPr>
            </w:pPr>
            <w:r w:rsidRPr="00D63DCD">
              <w:rPr>
                <w:sz w:val="16"/>
                <w:szCs w:val="16"/>
              </w:rPr>
              <w:t>0</w:t>
            </w:r>
          </w:p>
        </w:tc>
        <w:tc>
          <w:tcPr>
            <w:tcW w:w="589" w:type="dxa"/>
            <w:tcBorders>
              <w:top w:val="nil"/>
              <w:left w:val="nil"/>
              <w:bottom w:val="nil"/>
              <w:right w:val="nil"/>
            </w:tcBorders>
            <w:noWrap/>
          </w:tcPr>
          <w:p w14:paraId="55F830D8" w14:textId="77777777" w:rsidR="00C24F6F" w:rsidRPr="00E44D5C" w:rsidRDefault="00C24F6F" w:rsidP="002B1847">
            <w:pPr>
              <w:pStyle w:val="Bezriadkovania"/>
              <w:jc w:val="center"/>
              <w:rPr>
                <w:sz w:val="16"/>
                <w:szCs w:val="16"/>
              </w:rPr>
            </w:pPr>
            <w:r w:rsidRPr="00D63DCD">
              <w:rPr>
                <w:sz w:val="16"/>
                <w:szCs w:val="16"/>
              </w:rPr>
              <w:t>0</w:t>
            </w:r>
          </w:p>
        </w:tc>
        <w:tc>
          <w:tcPr>
            <w:tcW w:w="545" w:type="dxa"/>
            <w:tcBorders>
              <w:top w:val="nil"/>
              <w:left w:val="nil"/>
              <w:bottom w:val="nil"/>
              <w:right w:val="nil"/>
            </w:tcBorders>
            <w:noWrap/>
          </w:tcPr>
          <w:p w14:paraId="2D76B6FF"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5F47165A" w14:textId="77777777" w:rsidTr="002B1847">
        <w:trPr>
          <w:trHeight w:val="26"/>
        </w:trPr>
        <w:tc>
          <w:tcPr>
            <w:tcW w:w="6237" w:type="dxa"/>
            <w:tcBorders>
              <w:top w:val="nil"/>
              <w:left w:val="nil"/>
              <w:bottom w:val="nil"/>
              <w:right w:val="nil"/>
            </w:tcBorders>
          </w:tcPr>
          <w:p w14:paraId="2E1B1879" w14:textId="77777777" w:rsidR="00C24F6F" w:rsidRPr="00E44D5C" w:rsidRDefault="00C24F6F" w:rsidP="002B1847">
            <w:pPr>
              <w:pStyle w:val="Bezriadkovania"/>
              <w:rPr>
                <w:sz w:val="16"/>
                <w:szCs w:val="16"/>
              </w:rPr>
            </w:pPr>
            <w:r w:rsidRPr="00E44D5C">
              <w:rPr>
                <w:sz w:val="16"/>
                <w:szCs w:val="16"/>
              </w:rPr>
              <w:t>Zvýšenie spotrebných daní z tabakových a súvisiacich výrobkov</w:t>
            </w:r>
          </w:p>
        </w:tc>
        <w:tc>
          <w:tcPr>
            <w:tcW w:w="567" w:type="dxa"/>
            <w:tcBorders>
              <w:top w:val="nil"/>
              <w:left w:val="nil"/>
              <w:bottom w:val="nil"/>
              <w:right w:val="nil"/>
            </w:tcBorders>
            <w:noWrap/>
          </w:tcPr>
          <w:p w14:paraId="6086A4E2" w14:textId="77777777" w:rsidR="00C24F6F" w:rsidRPr="00E44D5C" w:rsidRDefault="00C24F6F" w:rsidP="002B1847">
            <w:pPr>
              <w:pStyle w:val="Bezriadkovania"/>
              <w:jc w:val="center"/>
              <w:rPr>
                <w:sz w:val="16"/>
                <w:szCs w:val="16"/>
              </w:rPr>
            </w:pPr>
            <w:r w:rsidRPr="00D63DCD">
              <w:rPr>
                <w:sz w:val="16"/>
                <w:szCs w:val="16"/>
              </w:rPr>
              <w:t>101</w:t>
            </w:r>
          </w:p>
        </w:tc>
        <w:tc>
          <w:tcPr>
            <w:tcW w:w="567" w:type="dxa"/>
            <w:tcBorders>
              <w:top w:val="nil"/>
              <w:left w:val="nil"/>
              <w:bottom w:val="nil"/>
              <w:right w:val="nil"/>
            </w:tcBorders>
            <w:noWrap/>
          </w:tcPr>
          <w:p w14:paraId="28706485" w14:textId="77777777" w:rsidR="00C24F6F" w:rsidRPr="00E44D5C" w:rsidRDefault="00C24F6F" w:rsidP="002B1847">
            <w:pPr>
              <w:pStyle w:val="Bezriadkovania"/>
              <w:jc w:val="center"/>
              <w:rPr>
                <w:sz w:val="16"/>
                <w:szCs w:val="16"/>
              </w:rPr>
            </w:pPr>
            <w:r w:rsidRPr="00D63DCD">
              <w:rPr>
                <w:sz w:val="16"/>
                <w:szCs w:val="16"/>
              </w:rPr>
              <w:t>48</w:t>
            </w:r>
          </w:p>
        </w:tc>
        <w:tc>
          <w:tcPr>
            <w:tcW w:w="567" w:type="dxa"/>
            <w:tcBorders>
              <w:top w:val="nil"/>
              <w:left w:val="nil"/>
              <w:bottom w:val="nil"/>
              <w:right w:val="nil"/>
            </w:tcBorders>
            <w:noWrap/>
          </w:tcPr>
          <w:p w14:paraId="7ACD03CD" w14:textId="77777777" w:rsidR="00C24F6F" w:rsidRPr="00E44D5C" w:rsidRDefault="00C24F6F" w:rsidP="002B1847">
            <w:pPr>
              <w:pStyle w:val="Bezriadkovania"/>
              <w:jc w:val="center"/>
              <w:rPr>
                <w:sz w:val="16"/>
                <w:szCs w:val="16"/>
              </w:rPr>
            </w:pPr>
            <w:r w:rsidRPr="00D63DCD">
              <w:rPr>
                <w:sz w:val="16"/>
                <w:szCs w:val="16"/>
              </w:rPr>
              <w:t>97</w:t>
            </w:r>
          </w:p>
        </w:tc>
        <w:tc>
          <w:tcPr>
            <w:tcW w:w="589" w:type="dxa"/>
            <w:tcBorders>
              <w:top w:val="nil"/>
              <w:left w:val="nil"/>
              <w:bottom w:val="nil"/>
              <w:right w:val="nil"/>
            </w:tcBorders>
            <w:noWrap/>
          </w:tcPr>
          <w:p w14:paraId="2617C63C" w14:textId="77777777" w:rsidR="00C24F6F" w:rsidRPr="00E44D5C" w:rsidRDefault="00C24F6F" w:rsidP="002B1847">
            <w:pPr>
              <w:pStyle w:val="Bezriadkovania"/>
              <w:jc w:val="center"/>
              <w:rPr>
                <w:sz w:val="16"/>
                <w:szCs w:val="16"/>
              </w:rPr>
            </w:pPr>
            <w:r w:rsidRPr="00D63DCD">
              <w:rPr>
                <w:sz w:val="16"/>
                <w:szCs w:val="16"/>
              </w:rPr>
              <w:t>54</w:t>
            </w:r>
          </w:p>
        </w:tc>
        <w:tc>
          <w:tcPr>
            <w:tcW w:w="545" w:type="dxa"/>
            <w:tcBorders>
              <w:top w:val="nil"/>
              <w:left w:val="nil"/>
              <w:bottom w:val="nil"/>
              <w:right w:val="nil"/>
            </w:tcBorders>
            <w:noWrap/>
          </w:tcPr>
          <w:p w14:paraId="791CC1E3" w14:textId="77777777" w:rsidR="00C24F6F" w:rsidRPr="00E44D5C" w:rsidRDefault="00C24F6F" w:rsidP="002B1847">
            <w:pPr>
              <w:pStyle w:val="Bezriadkovania"/>
              <w:jc w:val="center"/>
              <w:rPr>
                <w:sz w:val="16"/>
                <w:szCs w:val="16"/>
              </w:rPr>
            </w:pPr>
            <w:r w:rsidRPr="00D63DCD">
              <w:rPr>
                <w:sz w:val="16"/>
                <w:szCs w:val="16"/>
              </w:rPr>
              <w:t>94</w:t>
            </w:r>
          </w:p>
        </w:tc>
      </w:tr>
      <w:tr w:rsidR="00C24F6F" w:rsidRPr="008E7F52" w14:paraId="106AB60C" w14:textId="77777777" w:rsidTr="002B1847">
        <w:trPr>
          <w:trHeight w:val="26"/>
        </w:trPr>
        <w:tc>
          <w:tcPr>
            <w:tcW w:w="6237" w:type="dxa"/>
            <w:tcBorders>
              <w:top w:val="nil"/>
              <w:left w:val="nil"/>
              <w:bottom w:val="nil"/>
              <w:right w:val="nil"/>
            </w:tcBorders>
          </w:tcPr>
          <w:p w14:paraId="45316252" w14:textId="77777777" w:rsidR="00C24F6F" w:rsidRPr="00E44D5C" w:rsidRDefault="00C24F6F" w:rsidP="002B1847">
            <w:pPr>
              <w:pStyle w:val="Bezriadkovania"/>
              <w:rPr>
                <w:sz w:val="16"/>
                <w:szCs w:val="16"/>
              </w:rPr>
            </w:pPr>
            <w:r w:rsidRPr="00E44D5C">
              <w:rPr>
                <w:sz w:val="16"/>
                <w:szCs w:val="16"/>
              </w:rPr>
              <w:t>Zvýšenie dane z príjmov právnických osôb na 24 %</w:t>
            </w:r>
          </w:p>
        </w:tc>
        <w:tc>
          <w:tcPr>
            <w:tcW w:w="567" w:type="dxa"/>
            <w:tcBorders>
              <w:top w:val="nil"/>
              <w:left w:val="nil"/>
              <w:bottom w:val="nil"/>
              <w:right w:val="nil"/>
            </w:tcBorders>
            <w:noWrap/>
          </w:tcPr>
          <w:p w14:paraId="1295C5A6"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16CC2D53" w14:textId="77777777" w:rsidR="00C24F6F" w:rsidRPr="00E44D5C" w:rsidRDefault="00C24F6F" w:rsidP="002B1847">
            <w:pPr>
              <w:pStyle w:val="Bezriadkovania"/>
              <w:jc w:val="center"/>
              <w:rPr>
                <w:sz w:val="16"/>
                <w:szCs w:val="16"/>
              </w:rPr>
            </w:pPr>
            <w:r w:rsidRPr="00D63DCD">
              <w:rPr>
                <w:sz w:val="16"/>
                <w:szCs w:val="16"/>
              </w:rPr>
              <w:t>398</w:t>
            </w:r>
          </w:p>
        </w:tc>
        <w:tc>
          <w:tcPr>
            <w:tcW w:w="567" w:type="dxa"/>
            <w:tcBorders>
              <w:top w:val="nil"/>
              <w:left w:val="nil"/>
              <w:bottom w:val="nil"/>
              <w:right w:val="nil"/>
            </w:tcBorders>
            <w:noWrap/>
          </w:tcPr>
          <w:p w14:paraId="31F38F96" w14:textId="77777777" w:rsidR="00C24F6F" w:rsidRPr="00E44D5C" w:rsidRDefault="00C24F6F" w:rsidP="002B1847">
            <w:pPr>
              <w:pStyle w:val="Bezriadkovania"/>
              <w:jc w:val="center"/>
              <w:rPr>
                <w:sz w:val="16"/>
                <w:szCs w:val="16"/>
              </w:rPr>
            </w:pPr>
            <w:r w:rsidRPr="00D63DCD">
              <w:rPr>
                <w:sz w:val="16"/>
                <w:szCs w:val="16"/>
              </w:rPr>
              <w:t>0</w:t>
            </w:r>
          </w:p>
        </w:tc>
        <w:tc>
          <w:tcPr>
            <w:tcW w:w="589" w:type="dxa"/>
            <w:tcBorders>
              <w:top w:val="nil"/>
              <w:left w:val="nil"/>
              <w:bottom w:val="nil"/>
              <w:right w:val="nil"/>
            </w:tcBorders>
            <w:noWrap/>
          </w:tcPr>
          <w:p w14:paraId="67D83D70" w14:textId="77777777" w:rsidR="00C24F6F" w:rsidRPr="00E44D5C" w:rsidRDefault="00C24F6F" w:rsidP="002B1847">
            <w:pPr>
              <w:pStyle w:val="Bezriadkovania"/>
              <w:jc w:val="center"/>
              <w:rPr>
                <w:sz w:val="16"/>
                <w:szCs w:val="16"/>
              </w:rPr>
            </w:pPr>
            <w:r w:rsidRPr="00D63DCD">
              <w:rPr>
                <w:sz w:val="16"/>
                <w:szCs w:val="16"/>
              </w:rPr>
              <w:t>0</w:t>
            </w:r>
          </w:p>
        </w:tc>
        <w:tc>
          <w:tcPr>
            <w:tcW w:w="545" w:type="dxa"/>
            <w:tcBorders>
              <w:top w:val="nil"/>
              <w:left w:val="nil"/>
              <w:bottom w:val="nil"/>
              <w:right w:val="nil"/>
            </w:tcBorders>
            <w:noWrap/>
          </w:tcPr>
          <w:p w14:paraId="6DB9EA9F"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24C6C65D" w14:textId="77777777" w:rsidTr="002B1847">
        <w:trPr>
          <w:trHeight w:val="26"/>
        </w:trPr>
        <w:tc>
          <w:tcPr>
            <w:tcW w:w="6237" w:type="dxa"/>
            <w:tcBorders>
              <w:top w:val="nil"/>
              <w:left w:val="nil"/>
              <w:bottom w:val="nil"/>
              <w:right w:val="nil"/>
            </w:tcBorders>
          </w:tcPr>
          <w:p w14:paraId="68D6AD91" w14:textId="77777777" w:rsidR="00C24F6F" w:rsidRPr="00E44D5C" w:rsidRDefault="00C24F6F" w:rsidP="002B1847">
            <w:pPr>
              <w:pStyle w:val="Bezriadkovania"/>
              <w:rPr>
                <w:sz w:val="16"/>
                <w:szCs w:val="16"/>
              </w:rPr>
            </w:pPr>
            <w:r w:rsidRPr="00E44D5C">
              <w:rPr>
                <w:sz w:val="16"/>
                <w:szCs w:val="16"/>
              </w:rPr>
              <w:t>Úprava cien diaľničných známok, mýta (Eurovignette) a daní z vozidiel</w:t>
            </w:r>
          </w:p>
        </w:tc>
        <w:tc>
          <w:tcPr>
            <w:tcW w:w="567" w:type="dxa"/>
            <w:tcBorders>
              <w:top w:val="nil"/>
              <w:left w:val="nil"/>
              <w:bottom w:val="nil"/>
              <w:right w:val="nil"/>
            </w:tcBorders>
            <w:noWrap/>
          </w:tcPr>
          <w:p w14:paraId="0ECD9142" w14:textId="77777777" w:rsidR="00C24F6F" w:rsidRPr="00E44D5C" w:rsidRDefault="00C24F6F" w:rsidP="002B1847">
            <w:pPr>
              <w:pStyle w:val="Bezriadkovania"/>
              <w:jc w:val="center"/>
              <w:rPr>
                <w:sz w:val="16"/>
                <w:szCs w:val="16"/>
              </w:rPr>
            </w:pPr>
            <w:r w:rsidRPr="00D63DCD">
              <w:rPr>
                <w:sz w:val="16"/>
                <w:szCs w:val="16"/>
              </w:rPr>
              <w:t>-14</w:t>
            </w:r>
          </w:p>
        </w:tc>
        <w:tc>
          <w:tcPr>
            <w:tcW w:w="567" w:type="dxa"/>
            <w:tcBorders>
              <w:top w:val="nil"/>
              <w:left w:val="nil"/>
              <w:bottom w:val="nil"/>
              <w:right w:val="nil"/>
            </w:tcBorders>
            <w:noWrap/>
          </w:tcPr>
          <w:p w14:paraId="7F4A54EF" w14:textId="77777777" w:rsidR="00C24F6F" w:rsidRPr="00E44D5C" w:rsidRDefault="00C24F6F" w:rsidP="002B1847">
            <w:pPr>
              <w:pStyle w:val="Bezriadkovania"/>
              <w:jc w:val="center"/>
              <w:rPr>
                <w:sz w:val="16"/>
                <w:szCs w:val="16"/>
              </w:rPr>
            </w:pPr>
            <w:r w:rsidRPr="00D63DCD">
              <w:rPr>
                <w:sz w:val="16"/>
                <w:szCs w:val="16"/>
              </w:rPr>
              <w:t>61</w:t>
            </w:r>
          </w:p>
        </w:tc>
        <w:tc>
          <w:tcPr>
            <w:tcW w:w="567" w:type="dxa"/>
            <w:tcBorders>
              <w:top w:val="nil"/>
              <w:left w:val="nil"/>
              <w:bottom w:val="nil"/>
              <w:right w:val="nil"/>
            </w:tcBorders>
            <w:noWrap/>
          </w:tcPr>
          <w:p w14:paraId="61A94B5C" w14:textId="77777777" w:rsidR="00C24F6F" w:rsidRPr="00E44D5C" w:rsidRDefault="00C24F6F" w:rsidP="002B1847">
            <w:pPr>
              <w:pStyle w:val="Bezriadkovania"/>
              <w:jc w:val="center"/>
              <w:rPr>
                <w:sz w:val="16"/>
                <w:szCs w:val="16"/>
              </w:rPr>
            </w:pPr>
            <w:r w:rsidRPr="00D63DCD">
              <w:rPr>
                <w:sz w:val="16"/>
                <w:szCs w:val="16"/>
              </w:rPr>
              <w:t>48</w:t>
            </w:r>
          </w:p>
        </w:tc>
        <w:tc>
          <w:tcPr>
            <w:tcW w:w="589" w:type="dxa"/>
            <w:tcBorders>
              <w:top w:val="nil"/>
              <w:left w:val="nil"/>
              <w:bottom w:val="nil"/>
              <w:right w:val="nil"/>
            </w:tcBorders>
            <w:noWrap/>
          </w:tcPr>
          <w:p w14:paraId="36BCF00C" w14:textId="77777777" w:rsidR="00C24F6F" w:rsidRPr="00E44D5C" w:rsidRDefault="00C24F6F" w:rsidP="002B1847">
            <w:pPr>
              <w:pStyle w:val="Bezriadkovania"/>
              <w:jc w:val="center"/>
              <w:rPr>
                <w:sz w:val="16"/>
                <w:szCs w:val="16"/>
              </w:rPr>
            </w:pPr>
            <w:r w:rsidRPr="00D63DCD">
              <w:rPr>
                <w:sz w:val="16"/>
                <w:szCs w:val="16"/>
              </w:rPr>
              <w:t>0</w:t>
            </w:r>
          </w:p>
        </w:tc>
        <w:tc>
          <w:tcPr>
            <w:tcW w:w="545" w:type="dxa"/>
            <w:tcBorders>
              <w:top w:val="nil"/>
              <w:left w:val="nil"/>
              <w:bottom w:val="nil"/>
              <w:right w:val="nil"/>
            </w:tcBorders>
            <w:noWrap/>
          </w:tcPr>
          <w:p w14:paraId="0951DE38"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316D663D" w14:textId="77777777" w:rsidTr="002B1847">
        <w:trPr>
          <w:trHeight w:val="26"/>
        </w:trPr>
        <w:tc>
          <w:tcPr>
            <w:tcW w:w="6237" w:type="dxa"/>
            <w:tcBorders>
              <w:top w:val="nil"/>
              <w:left w:val="nil"/>
              <w:bottom w:val="nil"/>
              <w:right w:val="nil"/>
            </w:tcBorders>
          </w:tcPr>
          <w:p w14:paraId="78B4A437" w14:textId="77777777" w:rsidR="00C24F6F" w:rsidRPr="00E44D5C" w:rsidRDefault="00C24F6F" w:rsidP="002B1847">
            <w:pPr>
              <w:pStyle w:val="Bezriadkovania"/>
              <w:rPr>
                <w:sz w:val="16"/>
                <w:szCs w:val="16"/>
              </w:rPr>
            </w:pPr>
            <w:r w:rsidRPr="00E44D5C">
              <w:rPr>
                <w:sz w:val="16"/>
                <w:szCs w:val="16"/>
              </w:rPr>
              <w:t>Zvýšenie stropov pre platenie sociálnych odvodov</w:t>
            </w:r>
          </w:p>
        </w:tc>
        <w:tc>
          <w:tcPr>
            <w:tcW w:w="567" w:type="dxa"/>
            <w:tcBorders>
              <w:top w:val="nil"/>
              <w:left w:val="nil"/>
              <w:bottom w:val="nil"/>
              <w:right w:val="nil"/>
            </w:tcBorders>
            <w:noWrap/>
          </w:tcPr>
          <w:p w14:paraId="450CC84B"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166CB7E5" w14:textId="77777777" w:rsidR="00C24F6F" w:rsidRPr="00E44D5C" w:rsidRDefault="00C24F6F" w:rsidP="002B1847">
            <w:pPr>
              <w:pStyle w:val="Bezriadkovania"/>
              <w:jc w:val="center"/>
              <w:rPr>
                <w:sz w:val="16"/>
                <w:szCs w:val="16"/>
              </w:rPr>
            </w:pPr>
            <w:r w:rsidRPr="00D63DCD">
              <w:rPr>
                <w:sz w:val="16"/>
                <w:szCs w:val="16"/>
              </w:rPr>
              <w:t>79</w:t>
            </w:r>
          </w:p>
        </w:tc>
        <w:tc>
          <w:tcPr>
            <w:tcW w:w="567" w:type="dxa"/>
            <w:tcBorders>
              <w:top w:val="nil"/>
              <w:left w:val="nil"/>
              <w:bottom w:val="nil"/>
              <w:right w:val="nil"/>
            </w:tcBorders>
            <w:noWrap/>
          </w:tcPr>
          <w:p w14:paraId="63D78D14" w14:textId="77777777" w:rsidR="00C24F6F" w:rsidRPr="00E44D5C" w:rsidRDefault="00C24F6F" w:rsidP="002B1847">
            <w:pPr>
              <w:pStyle w:val="Bezriadkovania"/>
              <w:jc w:val="center"/>
              <w:rPr>
                <w:sz w:val="16"/>
                <w:szCs w:val="16"/>
              </w:rPr>
            </w:pPr>
            <w:r w:rsidRPr="00D63DCD">
              <w:rPr>
                <w:sz w:val="16"/>
                <w:szCs w:val="16"/>
              </w:rPr>
              <w:t>0</w:t>
            </w:r>
          </w:p>
        </w:tc>
        <w:tc>
          <w:tcPr>
            <w:tcW w:w="589" w:type="dxa"/>
            <w:tcBorders>
              <w:top w:val="nil"/>
              <w:left w:val="nil"/>
              <w:bottom w:val="nil"/>
              <w:right w:val="nil"/>
            </w:tcBorders>
            <w:noWrap/>
          </w:tcPr>
          <w:p w14:paraId="5F4C1DA4" w14:textId="77777777" w:rsidR="00C24F6F" w:rsidRPr="00E44D5C" w:rsidRDefault="00C24F6F" w:rsidP="002B1847">
            <w:pPr>
              <w:pStyle w:val="Bezriadkovania"/>
              <w:jc w:val="center"/>
              <w:rPr>
                <w:sz w:val="16"/>
                <w:szCs w:val="16"/>
              </w:rPr>
            </w:pPr>
            <w:r w:rsidRPr="00D63DCD">
              <w:rPr>
                <w:sz w:val="16"/>
                <w:szCs w:val="16"/>
              </w:rPr>
              <w:t>0</w:t>
            </w:r>
          </w:p>
        </w:tc>
        <w:tc>
          <w:tcPr>
            <w:tcW w:w="545" w:type="dxa"/>
            <w:tcBorders>
              <w:top w:val="nil"/>
              <w:left w:val="nil"/>
              <w:bottom w:val="nil"/>
              <w:right w:val="nil"/>
            </w:tcBorders>
            <w:noWrap/>
          </w:tcPr>
          <w:p w14:paraId="061A1391"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51A53512" w14:textId="77777777" w:rsidTr="002B1847">
        <w:trPr>
          <w:trHeight w:val="26"/>
        </w:trPr>
        <w:tc>
          <w:tcPr>
            <w:tcW w:w="6237" w:type="dxa"/>
            <w:tcBorders>
              <w:top w:val="nil"/>
              <w:left w:val="nil"/>
              <w:bottom w:val="nil"/>
              <w:right w:val="nil"/>
            </w:tcBorders>
          </w:tcPr>
          <w:p w14:paraId="4CF7ED5A" w14:textId="77777777" w:rsidR="00C24F6F" w:rsidRPr="00E44D5C" w:rsidRDefault="00C24F6F" w:rsidP="002B1847">
            <w:pPr>
              <w:pStyle w:val="Bezriadkovania"/>
              <w:rPr>
                <w:sz w:val="16"/>
                <w:szCs w:val="16"/>
              </w:rPr>
            </w:pPr>
            <w:r w:rsidRPr="00E44D5C">
              <w:rPr>
                <w:sz w:val="16"/>
                <w:szCs w:val="16"/>
              </w:rPr>
              <w:t>Odvodové úľavy pre sezónne práce (OOP), poľnohosp. a potravinárstvo</w:t>
            </w:r>
          </w:p>
        </w:tc>
        <w:tc>
          <w:tcPr>
            <w:tcW w:w="567" w:type="dxa"/>
            <w:tcBorders>
              <w:top w:val="nil"/>
              <w:left w:val="nil"/>
              <w:bottom w:val="nil"/>
              <w:right w:val="nil"/>
            </w:tcBorders>
            <w:noWrap/>
          </w:tcPr>
          <w:p w14:paraId="5E598291" w14:textId="77777777" w:rsidR="00C24F6F" w:rsidRPr="00E44D5C" w:rsidRDefault="00C24F6F" w:rsidP="002B1847">
            <w:pPr>
              <w:pStyle w:val="Bezriadkovania"/>
              <w:jc w:val="center"/>
              <w:rPr>
                <w:sz w:val="16"/>
                <w:szCs w:val="16"/>
              </w:rPr>
            </w:pPr>
            <w:r w:rsidRPr="00D63DCD">
              <w:rPr>
                <w:sz w:val="16"/>
                <w:szCs w:val="16"/>
              </w:rPr>
              <w:t>-26</w:t>
            </w:r>
          </w:p>
        </w:tc>
        <w:tc>
          <w:tcPr>
            <w:tcW w:w="567" w:type="dxa"/>
            <w:tcBorders>
              <w:top w:val="nil"/>
              <w:left w:val="nil"/>
              <w:bottom w:val="nil"/>
              <w:right w:val="nil"/>
            </w:tcBorders>
            <w:noWrap/>
          </w:tcPr>
          <w:p w14:paraId="2AF2CB98" w14:textId="77777777" w:rsidR="00C24F6F" w:rsidRPr="00E44D5C" w:rsidRDefault="00C24F6F" w:rsidP="002B1847">
            <w:pPr>
              <w:pStyle w:val="Bezriadkovania"/>
              <w:jc w:val="center"/>
              <w:rPr>
                <w:sz w:val="16"/>
                <w:szCs w:val="16"/>
              </w:rPr>
            </w:pPr>
            <w:r w:rsidRPr="00D63DCD">
              <w:rPr>
                <w:sz w:val="16"/>
                <w:szCs w:val="16"/>
              </w:rPr>
              <w:t>48</w:t>
            </w:r>
          </w:p>
        </w:tc>
        <w:tc>
          <w:tcPr>
            <w:tcW w:w="567" w:type="dxa"/>
            <w:tcBorders>
              <w:top w:val="nil"/>
              <w:left w:val="nil"/>
              <w:bottom w:val="nil"/>
              <w:right w:val="nil"/>
            </w:tcBorders>
            <w:noWrap/>
          </w:tcPr>
          <w:p w14:paraId="3F7954AB" w14:textId="77777777" w:rsidR="00C24F6F" w:rsidRPr="00E44D5C" w:rsidRDefault="00C24F6F" w:rsidP="002B1847">
            <w:pPr>
              <w:pStyle w:val="Bezriadkovania"/>
              <w:jc w:val="center"/>
              <w:rPr>
                <w:sz w:val="16"/>
                <w:szCs w:val="16"/>
              </w:rPr>
            </w:pPr>
            <w:r w:rsidRPr="00D63DCD">
              <w:rPr>
                <w:sz w:val="16"/>
                <w:szCs w:val="16"/>
              </w:rPr>
              <w:t>0</w:t>
            </w:r>
          </w:p>
        </w:tc>
        <w:tc>
          <w:tcPr>
            <w:tcW w:w="589" w:type="dxa"/>
            <w:tcBorders>
              <w:top w:val="nil"/>
              <w:left w:val="nil"/>
              <w:bottom w:val="nil"/>
              <w:right w:val="nil"/>
            </w:tcBorders>
            <w:noWrap/>
          </w:tcPr>
          <w:p w14:paraId="2CB204C8" w14:textId="77777777" w:rsidR="00C24F6F" w:rsidRPr="00E44D5C" w:rsidRDefault="00C24F6F" w:rsidP="002B1847">
            <w:pPr>
              <w:pStyle w:val="Bezriadkovania"/>
              <w:jc w:val="center"/>
              <w:rPr>
                <w:sz w:val="16"/>
                <w:szCs w:val="16"/>
              </w:rPr>
            </w:pPr>
            <w:r w:rsidRPr="00D63DCD">
              <w:rPr>
                <w:sz w:val="16"/>
                <w:szCs w:val="16"/>
              </w:rPr>
              <w:t>0</w:t>
            </w:r>
          </w:p>
        </w:tc>
        <w:tc>
          <w:tcPr>
            <w:tcW w:w="545" w:type="dxa"/>
            <w:tcBorders>
              <w:top w:val="nil"/>
              <w:left w:val="nil"/>
              <w:bottom w:val="nil"/>
              <w:right w:val="nil"/>
            </w:tcBorders>
            <w:noWrap/>
          </w:tcPr>
          <w:p w14:paraId="446E2C45"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1705150F" w14:textId="77777777" w:rsidTr="002B1847">
        <w:trPr>
          <w:trHeight w:val="26"/>
        </w:trPr>
        <w:tc>
          <w:tcPr>
            <w:tcW w:w="6237" w:type="dxa"/>
            <w:tcBorders>
              <w:top w:val="nil"/>
              <w:left w:val="nil"/>
              <w:bottom w:val="nil"/>
              <w:right w:val="nil"/>
            </w:tcBorders>
          </w:tcPr>
          <w:p w14:paraId="49F1E3DB" w14:textId="77777777" w:rsidR="00C24F6F" w:rsidRPr="00E44D5C" w:rsidRDefault="00C24F6F" w:rsidP="002B1847">
            <w:pPr>
              <w:pStyle w:val="Bezriadkovania"/>
              <w:rPr>
                <w:sz w:val="16"/>
                <w:szCs w:val="16"/>
              </w:rPr>
            </w:pPr>
            <w:r w:rsidRPr="00E44D5C">
              <w:rPr>
                <w:sz w:val="16"/>
                <w:szCs w:val="16"/>
              </w:rPr>
              <w:t>Polovičný odpočet DPH na podnikové autá pri súkromnom užívaní</w:t>
            </w:r>
          </w:p>
        </w:tc>
        <w:tc>
          <w:tcPr>
            <w:tcW w:w="567" w:type="dxa"/>
            <w:tcBorders>
              <w:top w:val="nil"/>
              <w:left w:val="nil"/>
              <w:bottom w:val="nil"/>
              <w:right w:val="nil"/>
            </w:tcBorders>
            <w:noWrap/>
          </w:tcPr>
          <w:p w14:paraId="5FBF2D1C"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4432823C"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60BB0353" w14:textId="77777777" w:rsidR="00C24F6F" w:rsidRPr="00E44D5C" w:rsidRDefault="00C24F6F" w:rsidP="002B1847">
            <w:pPr>
              <w:pStyle w:val="Bezriadkovania"/>
              <w:jc w:val="center"/>
              <w:rPr>
                <w:sz w:val="16"/>
                <w:szCs w:val="16"/>
              </w:rPr>
            </w:pPr>
            <w:r w:rsidRPr="00D63DCD">
              <w:rPr>
                <w:sz w:val="16"/>
                <w:szCs w:val="16"/>
              </w:rPr>
              <w:t>86</w:t>
            </w:r>
          </w:p>
        </w:tc>
        <w:tc>
          <w:tcPr>
            <w:tcW w:w="589" w:type="dxa"/>
            <w:tcBorders>
              <w:top w:val="nil"/>
              <w:left w:val="nil"/>
              <w:bottom w:val="nil"/>
              <w:right w:val="nil"/>
            </w:tcBorders>
            <w:noWrap/>
          </w:tcPr>
          <w:p w14:paraId="017B6498" w14:textId="77777777" w:rsidR="00C24F6F" w:rsidRPr="00E44D5C" w:rsidRDefault="00C24F6F" w:rsidP="002B1847">
            <w:pPr>
              <w:pStyle w:val="Bezriadkovania"/>
              <w:jc w:val="center"/>
              <w:rPr>
                <w:sz w:val="16"/>
                <w:szCs w:val="16"/>
              </w:rPr>
            </w:pPr>
            <w:r w:rsidRPr="00D63DCD">
              <w:rPr>
                <w:sz w:val="16"/>
                <w:szCs w:val="16"/>
              </w:rPr>
              <w:t>0</w:t>
            </w:r>
          </w:p>
        </w:tc>
        <w:tc>
          <w:tcPr>
            <w:tcW w:w="545" w:type="dxa"/>
            <w:tcBorders>
              <w:top w:val="nil"/>
              <w:left w:val="nil"/>
              <w:bottom w:val="nil"/>
              <w:right w:val="nil"/>
            </w:tcBorders>
            <w:noWrap/>
          </w:tcPr>
          <w:p w14:paraId="75CEBBBC"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5F270F54" w14:textId="77777777" w:rsidTr="002B1847">
        <w:trPr>
          <w:trHeight w:val="26"/>
        </w:trPr>
        <w:tc>
          <w:tcPr>
            <w:tcW w:w="6237" w:type="dxa"/>
            <w:tcBorders>
              <w:top w:val="nil"/>
              <w:left w:val="nil"/>
              <w:bottom w:val="nil"/>
              <w:right w:val="nil"/>
            </w:tcBorders>
          </w:tcPr>
          <w:p w14:paraId="3905A5E9" w14:textId="77777777" w:rsidR="00C24F6F" w:rsidRPr="00E44D5C" w:rsidRDefault="00C24F6F" w:rsidP="002B1847">
            <w:pPr>
              <w:pStyle w:val="Bezriadkovania"/>
              <w:rPr>
                <w:sz w:val="16"/>
                <w:szCs w:val="16"/>
              </w:rPr>
            </w:pPr>
            <w:r w:rsidRPr="00E44D5C">
              <w:rPr>
                <w:sz w:val="16"/>
                <w:szCs w:val="16"/>
              </w:rPr>
              <w:t>Daňová amnestia</w:t>
            </w:r>
          </w:p>
        </w:tc>
        <w:tc>
          <w:tcPr>
            <w:tcW w:w="567" w:type="dxa"/>
            <w:tcBorders>
              <w:top w:val="nil"/>
              <w:left w:val="nil"/>
              <w:bottom w:val="nil"/>
              <w:right w:val="nil"/>
            </w:tcBorders>
            <w:noWrap/>
          </w:tcPr>
          <w:p w14:paraId="28BA9DBC"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1A41F0B8"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6EBC77E4" w14:textId="77777777" w:rsidR="00C24F6F" w:rsidRPr="00E44D5C" w:rsidRDefault="00C24F6F" w:rsidP="002B1847">
            <w:pPr>
              <w:pStyle w:val="Bezriadkovania"/>
              <w:jc w:val="center"/>
              <w:rPr>
                <w:sz w:val="16"/>
                <w:szCs w:val="16"/>
              </w:rPr>
            </w:pPr>
            <w:r w:rsidRPr="00D63DCD">
              <w:rPr>
                <w:sz w:val="16"/>
                <w:szCs w:val="16"/>
              </w:rPr>
              <w:t>81</w:t>
            </w:r>
          </w:p>
        </w:tc>
        <w:tc>
          <w:tcPr>
            <w:tcW w:w="589" w:type="dxa"/>
            <w:tcBorders>
              <w:top w:val="nil"/>
              <w:left w:val="nil"/>
              <w:bottom w:val="nil"/>
              <w:right w:val="nil"/>
            </w:tcBorders>
            <w:noWrap/>
          </w:tcPr>
          <w:p w14:paraId="4F5056BF" w14:textId="77777777" w:rsidR="00C24F6F" w:rsidRPr="00E44D5C" w:rsidRDefault="00C24F6F" w:rsidP="002B1847">
            <w:pPr>
              <w:pStyle w:val="Bezriadkovania"/>
              <w:jc w:val="center"/>
              <w:rPr>
                <w:sz w:val="16"/>
                <w:szCs w:val="16"/>
              </w:rPr>
            </w:pPr>
            <w:r w:rsidRPr="00D63DCD">
              <w:rPr>
                <w:sz w:val="16"/>
                <w:szCs w:val="16"/>
              </w:rPr>
              <w:t>-81</w:t>
            </w:r>
          </w:p>
        </w:tc>
        <w:tc>
          <w:tcPr>
            <w:tcW w:w="545" w:type="dxa"/>
            <w:tcBorders>
              <w:top w:val="nil"/>
              <w:left w:val="nil"/>
              <w:bottom w:val="nil"/>
              <w:right w:val="nil"/>
            </w:tcBorders>
            <w:noWrap/>
          </w:tcPr>
          <w:p w14:paraId="581CAD09"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5DCF2B99" w14:textId="77777777" w:rsidTr="002B1847">
        <w:trPr>
          <w:trHeight w:val="26"/>
        </w:trPr>
        <w:tc>
          <w:tcPr>
            <w:tcW w:w="6237" w:type="dxa"/>
            <w:tcBorders>
              <w:top w:val="nil"/>
              <w:left w:val="nil"/>
              <w:bottom w:val="nil"/>
              <w:right w:val="nil"/>
            </w:tcBorders>
          </w:tcPr>
          <w:p w14:paraId="7883FA48" w14:textId="77777777" w:rsidR="00C24F6F" w:rsidRPr="00E44D5C" w:rsidRDefault="00C24F6F" w:rsidP="002B1847">
            <w:pPr>
              <w:pStyle w:val="Bezriadkovania"/>
              <w:rPr>
                <w:sz w:val="16"/>
                <w:szCs w:val="16"/>
              </w:rPr>
            </w:pPr>
            <w:r w:rsidRPr="00E44D5C">
              <w:rPr>
                <w:sz w:val="16"/>
                <w:szCs w:val="16"/>
              </w:rPr>
              <w:t>Odvodové prázdniny, sociálne odvody a daňová licencia pre živnostníkov</w:t>
            </w:r>
          </w:p>
        </w:tc>
        <w:tc>
          <w:tcPr>
            <w:tcW w:w="567" w:type="dxa"/>
            <w:tcBorders>
              <w:top w:val="nil"/>
              <w:left w:val="nil"/>
              <w:bottom w:val="nil"/>
              <w:right w:val="nil"/>
            </w:tcBorders>
            <w:noWrap/>
          </w:tcPr>
          <w:p w14:paraId="7A258427"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0C4BD0DF"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5398A280" w14:textId="77777777" w:rsidR="00C24F6F" w:rsidRPr="00E44D5C" w:rsidRDefault="00C24F6F" w:rsidP="002B1847">
            <w:pPr>
              <w:pStyle w:val="Bezriadkovania"/>
              <w:jc w:val="center"/>
              <w:rPr>
                <w:sz w:val="16"/>
                <w:szCs w:val="16"/>
              </w:rPr>
            </w:pPr>
            <w:r w:rsidRPr="00D63DCD">
              <w:rPr>
                <w:sz w:val="16"/>
                <w:szCs w:val="16"/>
              </w:rPr>
              <w:t>209</w:t>
            </w:r>
          </w:p>
        </w:tc>
        <w:tc>
          <w:tcPr>
            <w:tcW w:w="589" w:type="dxa"/>
            <w:tcBorders>
              <w:top w:val="nil"/>
              <w:left w:val="nil"/>
              <w:bottom w:val="nil"/>
              <w:right w:val="nil"/>
            </w:tcBorders>
            <w:noWrap/>
          </w:tcPr>
          <w:p w14:paraId="219ED7C7" w14:textId="77777777" w:rsidR="00C24F6F" w:rsidRPr="00E44D5C" w:rsidRDefault="00C24F6F" w:rsidP="002B1847">
            <w:pPr>
              <w:pStyle w:val="Bezriadkovania"/>
              <w:jc w:val="center"/>
              <w:rPr>
                <w:sz w:val="16"/>
                <w:szCs w:val="16"/>
              </w:rPr>
            </w:pPr>
            <w:r w:rsidRPr="00D63DCD">
              <w:rPr>
                <w:sz w:val="16"/>
                <w:szCs w:val="16"/>
              </w:rPr>
              <w:t>107</w:t>
            </w:r>
          </w:p>
        </w:tc>
        <w:tc>
          <w:tcPr>
            <w:tcW w:w="545" w:type="dxa"/>
            <w:tcBorders>
              <w:top w:val="nil"/>
              <w:left w:val="nil"/>
              <w:bottom w:val="nil"/>
              <w:right w:val="nil"/>
            </w:tcBorders>
            <w:noWrap/>
          </w:tcPr>
          <w:p w14:paraId="65C8A783"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1991E111" w14:textId="77777777" w:rsidTr="002B1847">
        <w:trPr>
          <w:trHeight w:val="26"/>
        </w:trPr>
        <w:tc>
          <w:tcPr>
            <w:tcW w:w="6237" w:type="dxa"/>
            <w:tcBorders>
              <w:top w:val="nil"/>
              <w:left w:val="nil"/>
              <w:bottom w:val="nil"/>
              <w:right w:val="nil"/>
            </w:tcBorders>
          </w:tcPr>
          <w:p w14:paraId="6FC872B5" w14:textId="77777777" w:rsidR="00C24F6F" w:rsidRPr="00E44D5C" w:rsidRDefault="00C24F6F" w:rsidP="002B1847">
            <w:pPr>
              <w:pStyle w:val="Bezriadkovania"/>
              <w:rPr>
                <w:sz w:val="16"/>
                <w:szCs w:val="16"/>
              </w:rPr>
            </w:pPr>
            <w:r w:rsidRPr="00E44D5C">
              <w:rPr>
                <w:sz w:val="16"/>
                <w:szCs w:val="16"/>
              </w:rPr>
              <w:t>Vyššie zdanenie hazardu vrátane vkladov na hráčske účty</w:t>
            </w:r>
          </w:p>
        </w:tc>
        <w:tc>
          <w:tcPr>
            <w:tcW w:w="567" w:type="dxa"/>
            <w:tcBorders>
              <w:top w:val="nil"/>
              <w:left w:val="nil"/>
              <w:bottom w:val="nil"/>
              <w:right w:val="nil"/>
            </w:tcBorders>
            <w:noWrap/>
          </w:tcPr>
          <w:p w14:paraId="77E579B2"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397A89E4"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2D08BCC8" w14:textId="77777777" w:rsidR="00C24F6F" w:rsidRPr="00E44D5C" w:rsidRDefault="00C24F6F" w:rsidP="002B1847">
            <w:pPr>
              <w:pStyle w:val="Bezriadkovania"/>
              <w:jc w:val="center"/>
              <w:rPr>
                <w:sz w:val="16"/>
                <w:szCs w:val="16"/>
              </w:rPr>
            </w:pPr>
            <w:r w:rsidRPr="00D63DCD">
              <w:rPr>
                <w:sz w:val="16"/>
                <w:szCs w:val="16"/>
              </w:rPr>
              <w:t>48</w:t>
            </w:r>
          </w:p>
        </w:tc>
        <w:tc>
          <w:tcPr>
            <w:tcW w:w="589" w:type="dxa"/>
            <w:tcBorders>
              <w:top w:val="nil"/>
              <w:left w:val="nil"/>
              <w:bottom w:val="nil"/>
              <w:right w:val="nil"/>
            </w:tcBorders>
            <w:noWrap/>
          </w:tcPr>
          <w:p w14:paraId="433F0D0A" w14:textId="77777777" w:rsidR="00C24F6F" w:rsidRPr="00E44D5C" w:rsidRDefault="00C24F6F" w:rsidP="002B1847">
            <w:pPr>
              <w:pStyle w:val="Bezriadkovania"/>
              <w:jc w:val="center"/>
              <w:rPr>
                <w:sz w:val="16"/>
                <w:szCs w:val="16"/>
              </w:rPr>
            </w:pPr>
            <w:r w:rsidRPr="00D63DCD">
              <w:rPr>
                <w:sz w:val="16"/>
                <w:szCs w:val="16"/>
              </w:rPr>
              <w:t>0</w:t>
            </w:r>
          </w:p>
        </w:tc>
        <w:tc>
          <w:tcPr>
            <w:tcW w:w="545" w:type="dxa"/>
            <w:tcBorders>
              <w:top w:val="nil"/>
              <w:left w:val="nil"/>
              <w:bottom w:val="nil"/>
              <w:right w:val="nil"/>
            </w:tcBorders>
            <w:noWrap/>
          </w:tcPr>
          <w:p w14:paraId="64E3FDF1"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50B385EB" w14:textId="77777777" w:rsidTr="002B1847">
        <w:trPr>
          <w:trHeight w:val="26"/>
        </w:trPr>
        <w:tc>
          <w:tcPr>
            <w:tcW w:w="6237" w:type="dxa"/>
            <w:tcBorders>
              <w:top w:val="nil"/>
              <w:left w:val="nil"/>
              <w:bottom w:val="nil"/>
              <w:right w:val="nil"/>
            </w:tcBorders>
          </w:tcPr>
          <w:p w14:paraId="0C740CD7" w14:textId="77777777" w:rsidR="00C24F6F" w:rsidRPr="00E44D5C" w:rsidRDefault="00C24F6F" w:rsidP="002B1847">
            <w:pPr>
              <w:pStyle w:val="Bezriadkovania"/>
              <w:rPr>
                <w:sz w:val="16"/>
                <w:szCs w:val="16"/>
              </w:rPr>
            </w:pPr>
            <w:r w:rsidRPr="00E44D5C">
              <w:rPr>
                <w:sz w:val="16"/>
                <w:szCs w:val="16"/>
              </w:rPr>
              <w:t>Zvýšenie sadzby dane z poistenia a odvodu z PZP</w:t>
            </w:r>
          </w:p>
        </w:tc>
        <w:tc>
          <w:tcPr>
            <w:tcW w:w="567" w:type="dxa"/>
            <w:tcBorders>
              <w:top w:val="nil"/>
              <w:left w:val="nil"/>
              <w:bottom w:val="nil"/>
              <w:right w:val="nil"/>
            </w:tcBorders>
            <w:noWrap/>
          </w:tcPr>
          <w:p w14:paraId="5B1D4867"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0D6F8F62"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0BDC4EAA" w14:textId="77777777" w:rsidR="00C24F6F" w:rsidRPr="00E44D5C" w:rsidRDefault="00C24F6F" w:rsidP="002B1847">
            <w:pPr>
              <w:pStyle w:val="Bezriadkovania"/>
              <w:jc w:val="center"/>
              <w:rPr>
                <w:sz w:val="16"/>
                <w:szCs w:val="16"/>
              </w:rPr>
            </w:pPr>
            <w:r w:rsidRPr="00D63DCD">
              <w:rPr>
                <w:sz w:val="16"/>
                <w:szCs w:val="16"/>
              </w:rPr>
              <w:t>37</w:t>
            </w:r>
          </w:p>
        </w:tc>
        <w:tc>
          <w:tcPr>
            <w:tcW w:w="589" w:type="dxa"/>
            <w:tcBorders>
              <w:top w:val="nil"/>
              <w:left w:val="nil"/>
              <w:bottom w:val="nil"/>
              <w:right w:val="nil"/>
            </w:tcBorders>
            <w:noWrap/>
          </w:tcPr>
          <w:p w14:paraId="1DC27BBE" w14:textId="77777777" w:rsidR="00C24F6F" w:rsidRPr="00E44D5C" w:rsidRDefault="00C24F6F" w:rsidP="002B1847">
            <w:pPr>
              <w:pStyle w:val="Bezriadkovania"/>
              <w:jc w:val="center"/>
              <w:rPr>
                <w:sz w:val="16"/>
                <w:szCs w:val="16"/>
              </w:rPr>
            </w:pPr>
            <w:r w:rsidRPr="00D63DCD">
              <w:rPr>
                <w:sz w:val="16"/>
                <w:szCs w:val="16"/>
              </w:rPr>
              <w:t>0</w:t>
            </w:r>
          </w:p>
        </w:tc>
        <w:tc>
          <w:tcPr>
            <w:tcW w:w="545" w:type="dxa"/>
            <w:tcBorders>
              <w:top w:val="nil"/>
              <w:left w:val="nil"/>
              <w:bottom w:val="nil"/>
              <w:right w:val="nil"/>
            </w:tcBorders>
            <w:noWrap/>
          </w:tcPr>
          <w:p w14:paraId="4911F367"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1EBC296F" w14:textId="77777777" w:rsidTr="002B1847">
        <w:trPr>
          <w:trHeight w:val="26"/>
        </w:trPr>
        <w:tc>
          <w:tcPr>
            <w:tcW w:w="6237" w:type="dxa"/>
            <w:tcBorders>
              <w:top w:val="nil"/>
              <w:left w:val="nil"/>
              <w:bottom w:val="nil"/>
              <w:right w:val="nil"/>
            </w:tcBorders>
          </w:tcPr>
          <w:p w14:paraId="12255780" w14:textId="77777777" w:rsidR="00C24F6F" w:rsidRPr="00E44D5C" w:rsidRDefault="00C24F6F" w:rsidP="002B1847">
            <w:pPr>
              <w:pStyle w:val="Bezriadkovania"/>
              <w:rPr>
                <w:sz w:val="16"/>
                <w:szCs w:val="16"/>
              </w:rPr>
            </w:pPr>
            <w:r w:rsidRPr="00E44D5C">
              <w:rPr>
                <w:sz w:val="16"/>
                <w:szCs w:val="16"/>
              </w:rPr>
              <w:t>Daňová licencia, daňová hranica mikrodaňovníkov a dorovnávacia daň</w:t>
            </w:r>
          </w:p>
        </w:tc>
        <w:tc>
          <w:tcPr>
            <w:tcW w:w="567" w:type="dxa"/>
            <w:tcBorders>
              <w:top w:val="nil"/>
              <w:left w:val="nil"/>
              <w:bottom w:val="nil"/>
              <w:right w:val="nil"/>
            </w:tcBorders>
            <w:noWrap/>
          </w:tcPr>
          <w:p w14:paraId="3D9A75C8" w14:textId="77777777" w:rsidR="00C24F6F" w:rsidRPr="00E44D5C" w:rsidRDefault="00C24F6F" w:rsidP="002B1847">
            <w:pPr>
              <w:pStyle w:val="Bezriadkovania"/>
              <w:jc w:val="center"/>
              <w:rPr>
                <w:sz w:val="16"/>
                <w:szCs w:val="16"/>
              </w:rPr>
            </w:pPr>
            <w:r w:rsidRPr="00D63DCD">
              <w:rPr>
                <w:sz w:val="16"/>
                <w:szCs w:val="16"/>
              </w:rPr>
              <w:t>127</w:t>
            </w:r>
          </w:p>
        </w:tc>
        <w:tc>
          <w:tcPr>
            <w:tcW w:w="567" w:type="dxa"/>
            <w:tcBorders>
              <w:top w:val="nil"/>
              <w:left w:val="nil"/>
              <w:bottom w:val="nil"/>
              <w:right w:val="nil"/>
            </w:tcBorders>
            <w:noWrap/>
          </w:tcPr>
          <w:p w14:paraId="69A560E8" w14:textId="77777777" w:rsidR="00C24F6F" w:rsidRPr="00E44D5C" w:rsidRDefault="00C24F6F" w:rsidP="002B1847">
            <w:pPr>
              <w:pStyle w:val="Bezriadkovania"/>
              <w:jc w:val="center"/>
              <w:rPr>
                <w:sz w:val="16"/>
                <w:szCs w:val="16"/>
              </w:rPr>
            </w:pPr>
            <w:r w:rsidRPr="00D63DCD">
              <w:rPr>
                <w:sz w:val="16"/>
                <w:szCs w:val="16"/>
              </w:rPr>
              <w:t>-58</w:t>
            </w:r>
          </w:p>
        </w:tc>
        <w:tc>
          <w:tcPr>
            <w:tcW w:w="567" w:type="dxa"/>
            <w:tcBorders>
              <w:top w:val="nil"/>
              <w:left w:val="nil"/>
              <w:bottom w:val="nil"/>
              <w:right w:val="nil"/>
            </w:tcBorders>
            <w:noWrap/>
          </w:tcPr>
          <w:p w14:paraId="088389AA" w14:textId="77777777" w:rsidR="00C24F6F" w:rsidRPr="00E44D5C" w:rsidRDefault="00C24F6F" w:rsidP="002B1847">
            <w:pPr>
              <w:pStyle w:val="Bezriadkovania"/>
              <w:jc w:val="center"/>
              <w:rPr>
                <w:sz w:val="16"/>
                <w:szCs w:val="16"/>
              </w:rPr>
            </w:pPr>
            <w:r w:rsidRPr="00D63DCD">
              <w:rPr>
                <w:sz w:val="16"/>
                <w:szCs w:val="16"/>
              </w:rPr>
              <w:t>11</w:t>
            </w:r>
          </w:p>
        </w:tc>
        <w:tc>
          <w:tcPr>
            <w:tcW w:w="589" w:type="dxa"/>
            <w:tcBorders>
              <w:top w:val="nil"/>
              <w:left w:val="nil"/>
              <w:bottom w:val="nil"/>
              <w:right w:val="nil"/>
            </w:tcBorders>
            <w:noWrap/>
          </w:tcPr>
          <w:p w14:paraId="3944E905" w14:textId="77777777" w:rsidR="00C24F6F" w:rsidRPr="00E44D5C" w:rsidRDefault="00C24F6F" w:rsidP="002B1847">
            <w:pPr>
              <w:pStyle w:val="Bezriadkovania"/>
              <w:jc w:val="center"/>
              <w:rPr>
                <w:sz w:val="16"/>
                <w:szCs w:val="16"/>
              </w:rPr>
            </w:pPr>
            <w:r w:rsidRPr="00D63DCD">
              <w:rPr>
                <w:sz w:val="16"/>
                <w:szCs w:val="16"/>
              </w:rPr>
              <w:t>0</w:t>
            </w:r>
          </w:p>
        </w:tc>
        <w:tc>
          <w:tcPr>
            <w:tcW w:w="545" w:type="dxa"/>
            <w:tcBorders>
              <w:top w:val="nil"/>
              <w:left w:val="nil"/>
              <w:bottom w:val="nil"/>
              <w:right w:val="nil"/>
            </w:tcBorders>
            <w:noWrap/>
          </w:tcPr>
          <w:p w14:paraId="23AC2961"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4EE14DC6" w14:textId="77777777" w:rsidTr="002B1847">
        <w:trPr>
          <w:trHeight w:val="26"/>
        </w:trPr>
        <w:tc>
          <w:tcPr>
            <w:tcW w:w="6237" w:type="dxa"/>
            <w:tcBorders>
              <w:top w:val="nil"/>
              <w:left w:val="nil"/>
              <w:bottom w:val="nil"/>
              <w:right w:val="nil"/>
            </w:tcBorders>
          </w:tcPr>
          <w:p w14:paraId="338E4DD5" w14:textId="77777777" w:rsidR="00C24F6F" w:rsidRPr="00E44D5C" w:rsidRDefault="00C24F6F" w:rsidP="002B1847">
            <w:pPr>
              <w:pStyle w:val="Bezriadkovania"/>
              <w:rPr>
                <w:sz w:val="16"/>
                <w:szCs w:val="16"/>
              </w:rPr>
            </w:pPr>
            <w:r w:rsidRPr="00E44D5C">
              <w:rPr>
                <w:sz w:val="16"/>
                <w:szCs w:val="16"/>
              </w:rPr>
              <w:t>Úprava osobitných odvodov z regulovaných odvetví</w:t>
            </w:r>
          </w:p>
        </w:tc>
        <w:tc>
          <w:tcPr>
            <w:tcW w:w="567" w:type="dxa"/>
            <w:tcBorders>
              <w:top w:val="nil"/>
              <w:left w:val="nil"/>
              <w:bottom w:val="nil"/>
              <w:right w:val="nil"/>
            </w:tcBorders>
            <w:noWrap/>
          </w:tcPr>
          <w:p w14:paraId="754CBB4B" w14:textId="77777777" w:rsidR="00C24F6F" w:rsidRPr="00E44D5C" w:rsidRDefault="00C24F6F" w:rsidP="002B1847">
            <w:pPr>
              <w:pStyle w:val="Bezriadkovania"/>
              <w:jc w:val="center"/>
              <w:rPr>
                <w:sz w:val="16"/>
                <w:szCs w:val="16"/>
              </w:rPr>
            </w:pPr>
            <w:r w:rsidRPr="00D63DCD">
              <w:rPr>
                <w:sz w:val="16"/>
                <w:szCs w:val="16"/>
              </w:rPr>
              <w:t>334</w:t>
            </w:r>
          </w:p>
        </w:tc>
        <w:tc>
          <w:tcPr>
            <w:tcW w:w="567" w:type="dxa"/>
            <w:tcBorders>
              <w:top w:val="nil"/>
              <w:left w:val="nil"/>
              <w:bottom w:val="nil"/>
              <w:right w:val="nil"/>
            </w:tcBorders>
            <w:noWrap/>
          </w:tcPr>
          <w:p w14:paraId="1BBA2110" w14:textId="77777777" w:rsidR="00C24F6F" w:rsidRPr="00E44D5C" w:rsidRDefault="00C24F6F" w:rsidP="002B1847">
            <w:pPr>
              <w:pStyle w:val="Bezriadkovania"/>
              <w:jc w:val="center"/>
              <w:rPr>
                <w:sz w:val="16"/>
                <w:szCs w:val="16"/>
              </w:rPr>
            </w:pPr>
            <w:r w:rsidRPr="00D63DCD">
              <w:rPr>
                <w:sz w:val="16"/>
                <w:szCs w:val="16"/>
              </w:rPr>
              <w:t>-13</w:t>
            </w:r>
          </w:p>
        </w:tc>
        <w:tc>
          <w:tcPr>
            <w:tcW w:w="567" w:type="dxa"/>
            <w:tcBorders>
              <w:top w:val="nil"/>
              <w:left w:val="nil"/>
              <w:bottom w:val="nil"/>
              <w:right w:val="nil"/>
            </w:tcBorders>
            <w:noWrap/>
          </w:tcPr>
          <w:p w14:paraId="4E931D2E" w14:textId="77777777" w:rsidR="00C24F6F" w:rsidRPr="00E44D5C" w:rsidRDefault="00C24F6F" w:rsidP="002B1847">
            <w:pPr>
              <w:pStyle w:val="Bezriadkovania"/>
              <w:jc w:val="center"/>
              <w:rPr>
                <w:sz w:val="16"/>
                <w:szCs w:val="16"/>
              </w:rPr>
            </w:pPr>
            <w:r w:rsidRPr="00D63DCD">
              <w:rPr>
                <w:sz w:val="16"/>
                <w:szCs w:val="16"/>
              </w:rPr>
              <w:t>-26</w:t>
            </w:r>
          </w:p>
        </w:tc>
        <w:tc>
          <w:tcPr>
            <w:tcW w:w="589" w:type="dxa"/>
            <w:tcBorders>
              <w:top w:val="nil"/>
              <w:left w:val="nil"/>
              <w:bottom w:val="nil"/>
              <w:right w:val="nil"/>
            </w:tcBorders>
            <w:noWrap/>
          </w:tcPr>
          <w:p w14:paraId="7CD35AA7" w14:textId="77777777" w:rsidR="00C24F6F" w:rsidRPr="00E44D5C" w:rsidRDefault="00C24F6F" w:rsidP="002B1847">
            <w:pPr>
              <w:pStyle w:val="Bezriadkovania"/>
              <w:jc w:val="center"/>
              <w:rPr>
                <w:sz w:val="16"/>
                <w:szCs w:val="16"/>
              </w:rPr>
            </w:pPr>
            <w:r w:rsidRPr="00D63DCD">
              <w:rPr>
                <w:sz w:val="16"/>
                <w:szCs w:val="16"/>
              </w:rPr>
              <w:t>-45</w:t>
            </w:r>
          </w:p>
        </w:tc>
        <w:tc>
          <w:tcPr>
            <w:tcW w:w="545" w:type="dxa"/>
            <w:tcBorders>
              <w:top w:val="nil"/>
              <w:left w:val="nil"/>
              <w:bottom w:val="nil"/>
              <w:right w:val="nil"/>
            </w:tcBorders>
            <w:noWrap/>
          </w:tcPr>
          <w:p w14:paraId="5349BCEA" w14:textId="77777777" w:rsidR="00C24F6F" w:rsidRPr="00E44D5C" w:rsidRDefault="00C24F6F" w:rsidP="002B1847">
            <w:pPr>
              <w:pStyle w:val="Bezriadkovania"/>
              <w:jc w:val="center"/>
              <w:rPr>
                <w:sz w:val="16"/>
                <w:szCs w:val="16"/>
              </w:rPr>
            </w:pPr>
            <w:r w:rsidRPr="00D63DCD">
              <w:rPr>
                <w:sz w:val="16"/>
                <w:szCs w:val="16"/>
              </w:rPr>
              <w:t>-121</w:t>
            </w:r>
          </w:p>
        </w:tc>
      </w:tr>
      <w:tr w:rsidR="00C24F6F" w:rsidRPr="008E7F52" w14:paraId="7704531B" w14:textId="77777777" w:rsidTr="002B1847">
        <w:trPr>
          <w:trHeight w:val="26"/>
        </w:trPr>
        <w:tc>
          <w:tcPr>
            <w:tcW w:w="6237" w:type="dxa"/>
            <w:tcBorders>
              <w:top w:val="nil"/>
              <w:left w:val="nil"/>
              <w:bottom w:val="nil"/>
              <w:right w:val="nil"/>
            </w:tcBorders>
          </w:tcPr>
          <w:p w14:paraId="34718CEE" w14:textId="77777777" w:rsidR="00C24F6F" w:rsidRPr="00E44D5C" w:rsidRDefault="00C24F6F" w:rsidP="002B1847">
            <w:pPr>
              <w:pStyle w:val="Bezriadkovania"/>
              <w:rPr>
                <w:sz w:val="16"/>
                <w:szCs w:val="16"/>
              </w:rPr>
            </w:pPr>
            <w:r w:rsidRPr="00E44D5C">
              <w:rPr>
                <w:sz w:val="16"/>
                <w:szCs w:val="16"/>
              </w:rPr>
              <w:t>Úprava daní z príjmu, sociálnych a zdravotných odvodov fyzických osôb</w:t>
            </w:r>
          </w:p>
        </w:tc>
        <w:tc>
          <w:tcPr>
            <w:tcW w:w="567" w:type="dxa"/>
            <w:tcBorders>
              <w:top w:val="nil"/>
              <w:left w:val="nil"/>
              <w:bottom w:val="nil"/>
              <w:right w:val="nil"/>
            </w:tcBorders>
            <w:noWrap/>
          </w:tcPr>
          <w:p w14:paraId="033864CD"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257FB3E3"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2F24D3C6" w14:textId="77777777" w:rsidR="00C24F6F" w:rsidRPr="00E44D5C" w:rsidRDefault="00C24F6F" w:rsidP="002B1847">
            <w:pPr>
              <w:pStyle w:val="Bezriadkovania"/>
              <w:jc w:val="center"/>
              <w:rPr>
                <w:sz w:val="16"/>
                <w:szCs w:val="16"/>
              </w:rPr>
            </w:pPr>
            <w:r w:rsidRPr="00D63DCD">
              <w:rPr>
                <w:sz w:val="16"/>
                <w:szCs w:val="16"/>
              </w:rPr>
              <w:t>604</w:t>
            </w:r>
          </w:p>
        </w:tc>
        <w:tc>
          <w:tcPr>
            <w:tcW w:w="589" w:type="dxa"/>
            <w:tcBorders>
              <w:top w:val="nil"/>
              <w:left w:val="nil"/>
              <w:bottom w:val="nil"/>
              <w:right w:val="nil"/>
            </w:tcBorders>
            <w:noWrap/>
          </w:tcPr>
          <w:p w14:paraId="32DD2846" w14:textId="77777777" w:rsidR="00C24F6F" w:rsidRPr="00E44D5C" w:rsidRDefault="00C24F6F" w:rsidP="002B1847">
            <w:pPr>
              <w:pStyle w:val="Bezriadkovania"/>
              <w:jc w:val="center"/>
              <w:rPr>
                <w:sz w:val="16"/>
                <w:szCs w:val="16"/>
              </w:rPr>
            </w:pPr>
            <w:r w:rsidRPr="00D63DCD">
              <w:rPr>
                <w:sz w:val="16"/>
                <w:szCs w:val="16"/>
              </w:rPr>
              <w:t>0</w:t>
            </w:r>
          </w:p>
        </w:tc>
        <w:tc>
          <w:tcPr>
            <w:tcW w:w="545" w:type="dxa"/>
            <w:tcBorders>
              <w:top w:val="nil"/>
              <w:left w:val="nil"/>
              <w:bottom w:val="nil"/>
              <w:right w:val="nil"/>
            </w:tcBorders>
            <w:noWrap/>
          </w:tcPr>
          <w:p w14:paraId="695EDAFF"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530613B6" w14:textId="77777777" w:rsidTr="002B1847">
        <w:trPr>
          <w:trHeight w:val="26"/>
        </w:trPr>
        <w:tc>
          <w:tcPr>
            <w:tcW w:w="6237" w:type="dxa"/>
            <w:tcBorders>
              <w:top w:val="nil"/>
              <w:left w:val="nil"/>
              <w:bottom w:val="nil"/>
              <w:right w:val="nil"/>
            </w:tcBorders>
          </w:tcPr>
          <w:p w14:paraId="7BF53747" w14:textId="77777777" w:rsidR="00C24F6F" w:rsidRPr="00E44D5C" w:rsidRDefault="00C24F6F" w:rsidP="002B1847">
            <w:pPr>
              <w:pStyle w:val="Bezriadkovania"/>
              <w:rPr>
                <w:sz w:val="16"/>
                <w:szCs w:val="16"/>
              </w:rPr>
            </w:pPr>
            <w:r w:rsidRPr="00E44D5C">
              <w:rPr>
                <w:sz w:val="16"/>
                <w:szCs w:val="16"/>
              </w:rPr>
              <w:t>Zákon proti vynúteným živnostiam</w:t>
            </w:r>
          </w:p>
        </w:tc>
        <w:tc>
          <w:tcPr>
            <w:tcW w:w="567" w:type="dxa"/>
            <w:tcBorders>
              <w:top w:val="nil"/>
              <w:left w:val="nil"/>
              <w:bottom w:val="nil"/>
              <w:right w:val="nil"/>
            </w:tcBorders>
            <w:noWrap/>
          </w:tcPr>
          <w:p w14:paraId="0956A465"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5BED6512"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3D4B4E16" w14:textId="77777777" w:rsidR="00C24F6F" w:rsidRPr="00E44D5C" w:rsidRDefault="00C24F6F" w:rsidP="002B1847">
            <w:pPr>
              <w:pStyle w:val="Bezriadkovania"/>
              <w:jc w:val="center"/>
              <w:rPr>
                <w:sz w:val="16"/>
                <w:szCs w:val="16"/>
              </w:rPr>
            </w:pPr>
            <w:r w:rsidRPr="00D63DCD">
              <w:rPr>
                <w:sz w:val="16"/>
                <w:szCs w:val="16"/>
              </w:rPr>
              <w:t>0</w:t>
            </w:r>
          </w:p>
        </w:tc>
        <w:tc>
          <w:tcPr>
            <w:tcW w:w="589" w:type="dxa"/>
            <w:tcBorders>
              <w:top w:val="nil"/>
              <w:left w:val="nil"/>
              <w:bottom w:val="nil"/>
              <w:right w:val="nil"/>
            </w:tcBorders>
            <w:noWrap/>
          </w:tcPr>
          <w:p w14:paraId="0CFF8713" w14:textId="77777777" w:rsidR="00C24F6F" w:rsidRPr="00E44D5C" w:rsidRDefault="00C24F6F" w:rsidP="002B1847">
            <w:pPr>
              <w:pStyle w:val="Bezriadkovania"/>
              <w:jc w:val="center"/>
              <w:rPr>
                <w:sz w:val="16"/>
                <w:szCs w:val="16"/>
              </w:rPr>
            </w:pPr>
            <w:r w:rsidRPr="00D63DCD">
              <w:rPr>
                <w:sz w:val="16"/>
                <w:szCs w:val="16"/>
              </w:rPr>
              <w:t>40</w:t>
            </w:r>
          </w:p>
        </w:tc>
        <w:tc>
          <w:tcPr>
            <w:tcW w:w="545" w:type="dxa"/>
            <w:tcBorders>
              <w:top w:val="nil"/>
              <w:left w:val="nil"/>
              <w:bottom w:val="nil"/>
              <w:right w:val="nil"/>
            </w:tcBorders>
            <w:noWrap/>
          </w:tcPr>
          <w:p w14:paraId="41ED98A7"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5A1512FD" w14:textId="77777777" w:rsidTr="002B1847">
        <w:trPr>
          <w:trHeight w:val="26"/>
        </w:trPr>
        <w:tc>
          <w:tcPr>
            <w:tcW w:w="6237" w:type="dxa"/>
            <w:tcBorders>
              <w:top w:val="nil"/>
              <w:left w:val="nil"/>
              <w:bottom w:val="nil"/>
              <w:right w:val="nil"/>
            </w:tcBorders>
          </w:tcPr>
          <w:p w14:paraId="2B2F0D2D" w14:textId="77777777" w:rsidR="00C24F6F" w:rsidRPr="00E44D5C" w:rsidRDefault="00C24F6F" w:rsidP="002B1847">
            <w:pPr>
              <w:pStyle w:val="Bezriadkovania"/>
              <w:rPr>
                <w:sz w:val="16"/>
                <w:szCs w:val="16"/>
              </w:rPr>
            </w:pPr>
            <w:r w:rsidRPr="00E44D5C">
              <w:rPr>
                <w:sz w:val="16"/>
                <w:szCs w:val="16"/>
              </w:rPr>
              <w:t xml:space="preserve">Zavedenie úhrady za použitie prvotných materiálov </w:t>
            </w:r>
          </w:p>
        </w:tc>
        <w:tc>
          <w:tcPr>
            <w:tcW w:w="567" w:type="dxa"/>
            <w:tcBorders>
              <w:top w:val="nil"/>
              <w:left w:val="nil"/>
              <w:bottom w:val="nil"/>
              <w:right w:val="nil"/>
            </w:tcBorders>
            <w:noWrap/>
          </w:tcPr>
          <w:p w14:paraId="47194BF1"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3083392A"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3534C737" w14:textId="77777777" w:rsidR="00C24F6F" w:rsidRPr="00E44D5C" w:rsidRDefault="00C24F6F" w:rsidP="002B1847">
            <w:pPr>
              <w:pStyle w:val="Bezriadkovania"/>
              <w:jc w:val="center"/>
              <w:rPr>
                <w:sz w:val="16"/>
                <w:szCs w:val="16"/>
              </w:rPr>
            </w:pPr>
            <w:r w:rsidRPr="00D63DCD">
              <w:rPr>
                <w:sz w:val="16"/>
                <w:szCs w:val="16"/>
              </w:rPr>
              <w:t>24</w:t>
            </w:r>
          </w:p>
        </w:tc>
        <w:tc>
          <w:tcPr>
            <w:tcW w:w="589" w:type="dxa"/>
            <w:tcBorders>
              <w:top w:val="nil"/>
              <w:left w:val="nil"/>
              <w:bottom w:val="nil"/>
              <w:right w:val="nil"/>
            </w:tcBorders>
            <w:noWrap/>
          </w:tcPr>
          <w:p w14:paraId="44CB6358" w14:textId="77777777" w:rsidR="00C24F6F" w:rsidRPr="00E44D5C" w:rsidRDefault="00C24F6F" w:rsidP="002B1847">
            <w:pPr>
              <w:pStyle w:val="Bezriadkovania"/>
              <w:jc w:val="center"/>
              <w:rPr>
                <w:sz w:val="16"/>
                <w:szCs w:val="16"/>
              </w:rPr>
            </w:pPr>
            <w:r w:rsidRPr="00D63DCD">
              <w:rPr>
                <w:sz w:val="16"/>
                <w:szCs w:val="16"/>
              </w:rPr>
              <w:t>0</w:t>
            </w:r>
          </w:p>
        </w:tc>
        <w:tc>
          <w:tcPr>
            <w:tcW w:w="545" w:type="dxa"/>
            <w:tcBorders>
              <w:top w:val="nil"/>
              <w:left w:val="nil"/>
              <w:bottom w:val="nil"/>
              <w:right w:val="nil"/>
            </w:tcBorders>
            <w:noWrap/>
          </w:tcPr>
          <w:p w14:paraId="49AF030E"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2EE48B48" w14:textId="77777777" w:rsidTr="002B1847">
        <w:trPr>
          <w:trHeight w:val="26"/>
        </w:trPr>
        <w:tc>
          <w:tcPr>
            <w:tcW w:w="6237" w:type="dxa"/>
            <w:tcBorders>
              <w:top w:val="nil"/>
              <w:left w:val="nil"/>
              <w:bottom w:val="nil"/>
              <w:right w:val="nil"/>
            </w:tcBorders>
          </w:tcPr>
          <w:p w14:paraId="75866B1E" w14:textId="77777777" w:rsidR="00C24F6F" w:rsidRPr="00E44D5C" w:rsidRDefault="00C24F6F" w:rsidP="002B1847">
            <w:pPr>
              <w:pStyle w:val="Bezriadkovania"/>
              <w:rPr>
                <w:sz w:val="16"/>
                <w:szCs w:val="16"/>
              </w:rPr>
            </w:pPr>
            <w:r w:rsidRPr="00E44D5C">
              <w:rPr>
                <w:sz w:val="16"/>
                <w:szCs w:val="16"/>
              </w:rPr>
              <w:t>Zavedenie dane z finančný transakcií a jej neskoršie úpravy</w:t>
            </w:r>
          </w:p>
        </w:tc>
        <w:tc>
          <w:tcPr>
            <w:tcW w:w="567" w:type="dxa"/>
            <w:tcBorders>
              <w:top w:val="nil"/>
              <w:left w:val="nil"/>
              <w:bottom w:val="nil"/>
              <w:right w:val="nil"/>
            </w:tcBorders>
            <w:noWrap/>
          </w:tcPr>
          <w:p w14:paraId="40C85DBA"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61C07DE9" w14:textId="77777777" w:rsidR="00C24F6F" w:rsidRPr="00E44D5C" w:rsidRDefault="00C24F6F" w:rsidP="002B1847">
            <w:pPr>
              <w:pStyle w:val="Bezriadkovania"/>
              <w:jc w:val="center"/>
              <w:rPr>
                <w:sz w:val="16"/>
                <w:szCs w:val="16"/>
              </w:rPr>
            </w:pPr>
            <w:r w:rsidRPr="00D63DCD">
              <w:rPr>
                <w:sz w:val="16"/>
                <w:szCs w:val="16"/>
              </w:rPr>
              <w:t>349</w:t>
            </w:r>
          </w:p>
        </w:tc>
        <w:tc>
          <w:tcPr>
            <w:tcW w:w="567" w:type="dxa"/>
            <w:tcBorders>
              <w:top w:val="nil"/>
              <w:left w:val="nil"/>
              <w:bottom w:val="nil"/>
              <w:right w:val="nil"/>
            </w:tcBorders>
            <w:noWrap/>
          </w:tcPr>
          <w:p w14:paraId="30AB4F94" w14:textId="77777777" w:rsidR="00C24F6F" w:rsidRPr="00E44D5C" w:rsidRDefault="00C24F6F" w:rsidP="002B1847">
            <w:pPr>
              <w:pStyle w:val="Bezriadkovania"/>
              <w:jc w:val="center"/>
              <w:rPr>
                <w:sz w:val="16"/>
                <w:szCs w:val="16"/>
              </w:rPr>
            </w:pPr>
            <w:r w:rsidRPr="00D63DCD">
              <w:rPr>
                <w:sz w:val="16"/>
                <w:szCs w:val="16"/>
              </w:rPr>
              <w:t>89</w:t>
            </w:r>
          </w:p>
        </w:tc>
        <w:tc>
          <w:tcPr>
            <w:tcW w:w="589" w:type="dxa"/>
            <w:tcBorders>
              <w:top w:val="nil"/>
              <w:left w:val="nil"/>
              <w:bottom w:val="nil"/>
              <w:right w:val="nil"/>
            </w:tcBorders>
            <w:noWrap/>
          </w:tcPr>
          <w:p w14:paraId="3718A4E0" w14:textId="77777777" w:rsidR="00C24F6F" w:rsidRPr="00E44D5C" w:rsidRDefault="00C24F6F" w:rsidP="002B1847">
            <w:pPr>
              <w:pStyle w:val="Bezriadkovania"/>
              <w:jc w:val="center"/>
              <w:rPr>
                <w:sz w:val="16"/>
                <w:szCs w:val="16"/>
              </w:rPr>
            </w:pPr>
            <w:r w:rsidRPr="00D63DCD">
              <w:rPr>
                <w:sz w:val="16"/>
                <w:szCs w:val="16"/>
              </w:rPr>
              <w:t>0</w:t>
            </w:r>
          </w:p>
        </w:tc>
        <w:tc>
          <w:tcPr>
            <w:tcW w:w="545" w:type="dxa"/>
            <w:tcBorders>
              <w:top w:val="nil"/>
              <w:left w:val="nil"/>
              <w:bottom w:val="nil"/>
              <w:right w:val="nil"/>
            </w:tcBorders>
            <w:noWrap/>
          </w:tcPr>
          <w:p w14:paraId="477A037C"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20E8D87E" w14:textId="77777777" w:rsidTr="002B1847">
        <w:trPr>
          <w:trHeight w:val="26"/>
        </w:trPr>
        <w:tc>
          <w:tcPr>
            <w:tcW w:w="6237" w:type="dxa"/>
            <w:tcBorders>
              <w:top w:val="nil"/>
              <w:left w:val="nil"/>
              <w:bottom w:val="nil"/>
              <w:right w:val="nil"/>
            </w:tcBorders>
          </w:tcPr>
          <w:p w14:paraId="10C01DD4" w14:textId="77777777" w:rsidR="00C24F6F" w:rsidRPr="00E44D5C" w:rsidRDefault="00C24F6F" w:rsidP="002B1847">
            <w:pPr>
              <w:pStyle w:val="Bezriadkovania"/>
              <w:rPr>
                <w:sz w:val="16"/>
                <w:szCs w:val="16"/>
              </w:rPr>
            </w:pPr>
            <w:r w:rsidRPr="00E44D5C">
              <w:rPr>
                <w:sz w:val="16"/>
                <w:szCs w:val="16"/>
              </w:rPr>
              <w:t>Úprava daní z pridanej hodnoty (DPH)</w:t>
            </w:r>
          </w:p>
        </w:tc>
        <w:tc>
          <w:tcPr>
            <w:tcW w:w="567" w:type="dxa"/>
            <w:tcBorders>
              <w:top w:val="nil"/>
              <w:left w:val="nil"/>
              <w:bottom w:val="nil"/>
              <w:right w:val="nil"/>
            </w:tcBorders>
            <w:noWrap/>
          </w:tcPr>
          <w:p w14:paraId="35450B3C" w14:textId="77777777" w:rsidR="00C24F6F" w:rsidRPr="00E44D5C" w:rsidRDefault="00C24F6F" w:rsidP="002B1847">
            <w:pPr>
              <w:pStyle w:val="Bezriadkovania"/>
              <w:jc w:val="center"/>
              <w:rPr>
                <w:sz w:val="16"/>
                <w:szCs w:val="16"/>
              </w:rPr>
            </w:pPr>
            <w:r w:rsidRPr="00D63DCD">
              <w:rPr>
                <w:sz w:val="16"/>
                <w:szCs w:val="16"/>
              </w:rPr>
              <w:t>30</w:t>
            </w:r>
          </w:p>
        </w:tc>
        <w:tc>
          <w:tcPr>
            <w:tcW w:w="567" w:type="dxa"/>
            <w:tcBorders>
              <w:top w:val="nil"/>
              <w:left w:val="nil"/>
              <w:bottom w:val="nil"/>
              <w:right w:val="nil"/>
            </w:tcBorders>
            <w:noWrap/>
          </w:tcPr>
          <w:p w14:paraId="34CCBFA2" w14:textId="77777777" w:rsidR="00C24F6F" w:rsidRPr="00E44D5C" w:rsidRDefault="00C24F6F" w:rsidP="002B1847">
            <w:pPr>
              <w:pStyle w:val="Bezriadkovania"/>
              <w:jc w:val="center"/>
              <w:rPr>
                <w:sz w:val="16"/>
                <w:szCs w:val="16"/>
              </w:rPr>
            </w:pPr>
            <w:r w:rsidRPr="00D63DCD">
              <w:rPr>
                <w:sz w:val="16"/>
                <w:szCs w:val="16"/>
              </w:rPr>
              <w:t>717</w:t>
            </w:r>
          </w:p>
        </w:tc>
        <w:tc>
          <w:tcPr>
            <w:tcW w:w="567" w:type="dxa"/>
            <w:tcBorders>
              <w:top w:val="nil"/>
              <w:left w:val="nil"/>
              <w:bottom w:val="nil"/>
              <w:right w:val="nil"/>
            </w:tcBorders>
            <w:noWrap/>
          </w:tcPr>
          <w:p w14:paraId="2DE08497" w14:textId="77777777" w:rsidR="00C24F6F" w:rsidRPr="00E44D5C" w:rsidRDefault="00C24F6F" w:rsidP="002B1847">
            <w:pPr>
              <w:pStyle w:val="Bezriadkovania"/>
              <w:jc w:val="center"/>
              <w:rPr>
                <w:sz w:val="16"/>
                <w:szCs w:val="16"/>
              </w:rPr>
            </w:pPr>
            <w:r w:rsidRPr="00D63DCD">
              <w:rPr>
                <w:sz w:val="16"/>
                <w:szCs w:val="16"/>
              </w:rPr>
              <w:t>80</w:t>
            </w:r>
          </w:p>
        </w:tc>
        <w:tc>
          <w:tcPr>
            <w:tcW w:w="589" w:type="dxa"/>
            <w:tcBorders>
              <w:top w:val="nil"/>
              <w:left w:val="nil"/>
              <w:bottom w:val="nil"/>
              <w:right w:val="nil"/>
            </w:tcBorders>
            <w:noWrap/>
          </w:tcPr>
          <w:p w14:paraId="194B6D6C" w14:textId="77777777" w:rsidR="00C24F6F" w:rsidRPr="00E44D5C" w:rsidRDefault="00C24F6F" w:rsidP="002B1847">
            <w:pPr>
              <w:pStyle w:val="Bezriadkovania"/>
              <w:jc w:val="center"/>
              <w:rPr>
                <w:sz w:val="16"/>
                <w:szCs w:val="16"/>
              </w:rPr>
            </w:pPr>
            <w:r w:rsidRPr="00D63DCD">
              <w:rPr>
                <w:sz w:val="16"/>
                <w:szCs w:val="16"/>
              </w:rPr>
              <w:t>0</w:t>
            </w:r>
          </w:p>
        </w:tc>
        <w:tc>
          <w:tcPr>
            <w:tcW w:w="545" w:type="dxa"/>
            <w:tcBorders>
              <w:top w:val="nil"/>
              <w:left w:val="nil"/>
              <w:bottom w:val="nil"/>
              <w:right w:val="nil"/>
            </w:tcBorders>
            <w:noWrap/>
          </w:tcPr>
          <w:p w14:paraId="7DB19688"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593A7D82" w14:textId="77777777" w:rsidTr="002B1847">
        <w:trPr>
          <w:trHeight w:val="26"/>
        </w:trPr>
        <w:tc>
          <w:tcPr>
            <w:tcW w:w="6237" w:type="dxa"/>
            <w:tcBorders>
              <w:top w:val="nil"/>
              <w:left w:val="nil"/>
              <w:bottom w:val="nil"/>
              <w:right w:val="nil"/>
            </w:tcBorders>
          </w:tcPr>
          <w:p w14:paraId="1FC621A2" w14:textId="77777777" w:rsidR="00C24F6F" w:rsidRPr="00E44D5C" w:rsidRDefault="00C24F6F" w:rsidP="002B1847">
            <w:pPr>
              <w:pStyle w:val="Bezriadkovania"/>
              <w:rPr>
                <w:sz w:val="16"/>
                <w:szCs w:val="16"/>
              </w:rPr>
            </w:pPr>
            <w:r w:rsidRPr="00E44D5C">
              <w:rPr>
                <w:sz w:val="16"/>
                <w:szCs w:val="16"/>
              </w:rPr>
              <w:t>Štátne dlhopisy oslob</w:t>
            </w:r>
            <w:r>
              <w:rPr>
                <w:sz w:val="16"/>
                <w:szCs w:val="16"/>
              </w:rPr>
              <w:t>o</w:t>
            </w:r>
            <w:r w:rsidRPr="00E44D5C">
              <w:rPr>
                <w:sz w:val="16"/>
                <w:szCs w:val="16"/>
              </w:rPr>
              <w:t>dené od daní (dlhopisy pre ľudí a iné)</w:t>
            </w:r>
          </w:p>
        </w:tc>
        <w:tc>
          <w:tcPr>
            <w:tcW w:w="567" w:type="dxa"/>
            <w:tcBorders>
              <w:top w:val="nil"/>
              <w:left w:val="nil"/>
              <w:bottom w:val="nil"/>
              <w:right w:val="nil"/>
            </w:tcBorders>
            <w:noWrap/>
          </w:tcPr>
          <w:p w14:paraId="0F04FEC0"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4DADB662" w14:textId="77777777" w:rsidR="00C24F6F" w:rsidRPr="00E44D5C" w:rsidRDefault="00C24F6F" w:rsidP="002B1847">
            <w:pPr>
              <w:pStyle w:val="Bezriadkovania"/>
              <w:jc w:val="center"/>
              <w:rPr>
                <w:sz w:val="16"/>
                <w:szCs w:val="16"/>
              </w:rPr>
            </w:pPr>
            <w:r w:rsidRPr="00D63DCD">
              <w:rPr>
                <w:sz w:val="16"/>
                <w:szCs w:val="16"/>
              </w:rPr>
              <w:t>-93</w:t>
            </w:r>
          </w:p>
        </w:tc>
        <w:tc>
          <w:tcPr>
            <w:tcW w:w="567" w:type="dxa"/>
            <w:tcBorders>
              <w:top w:val="nil"/>
              <w:left w:val="nil"/>
              <w:bottom w:val="nil"/>
              <w:right w:val="nil"/>
            </w:tcBorders>
            <w:noWrap/>
          </w:tcPr>
          <w:p w14:paraId="1C3AB501" w14:textId="77777777" w:rsidR="00C24F6F" w:rsidRPr="00E44D5C" w:rsidRDefault="00C24F6F" w:rsidP="002B1847">
            <w:pPr>
              <w:pStyle w:val="Bezriadkovania"/>
              <w:jc w:val="center"/>
              <w:rPr>
                <w:sz w:val="16"/>
                <w:szCs w:val="16"/>
              </w:rPr>
            </w:pPr>
            <w:r w:rsidRPr="00D63DCD">
              <w:rPr>
                <w:sz w:val="16"/>
                <w:szCs w:val="16"/>
              </w:rPr>
              <w:t>-25</w:t>
            </w:r>
          </w:p>
        </w:tc>
        <w:tc>
          <w:tcPr>
            <w:tcW w:w="589" w:type="dxa"/>
            <w:tcBorders>
              <w:top w:val="nil"/>
              <w:left w:val="nil"/>
              <w:bottom w:val="nil"/>
              <w:right w:val="nil"/>
            </w:tcBorders>
            <w:noWrap/>
          </w:tcPr>
          <w:p w14:paraId="133EB451" w14:textId="77777777" w:rsidR="00C24F6F" w:rsidRPr="00E44D5C" w:rsidRDefault="00C24F6F" w:rsidP="002B1847">
            <w:pPr>
              <w:pStyle w:val="Bezriadkovania"/>
              <w:jc w:val="center"/>
              <w:rPr>
                <w:sz w:val="16"/>
                <w:szCs w:val="16"/>
              </w:rPr>
            </w:pPr>
            <w:r w:rsidRPr="00D63DCD">
              <w:rPr>
                <w:sz w:val="16"/>
                <w:szCs w:val="16"/>
              </w:rPr>
              <w:t>6</w:t>
            </w:r>
          </w:p>
        </w:tc>
        <w:tc>
          <w:tcPr>
            <w:tcW w:w="545" w:type="dxa"/>
            <w:tcBorders>
              <w:top w:val="nil"/>
              <w:left w:val="nil"/>
              <w:bottom w:val="nil"/>
              <w:right w:val="nil"/>
            </w:tcBorders>
            <w:noWrap/>
          </w:tcPr>
          <w:p w14:paraId="67984FCE" w14:textId="77777777" w:rsidR="00C24F6F" w:rsidRPr="00E44D5C" w:rsidRDefault="00C24F6F" w:rsidP="002B1847">
            <w:pPr>
              <w:pStyle w:val="Bezriadkovania"/>
              <w:jc w:val="center"/>
              <w:rPr>
                <w:sz w:val="16"/>
                <w:szCs w:val="16"/>
              </w:rPr>
            </w:pPr>
            <w:r w:rsidRPr="00D63DCD">
              <w:rPr>
                <w:sz w:val="16"/>
                <w:szCs w:val="16"/>
              </w:rPr>
              <w:t>29</w:t>
            </w:r>
          </w:p>
        </w:tc>
      </w:tr>
      <w:tr w:rsidR="00C24F6F" w:rsidRPr="008E7F52" w14:paraId="0708294D" w14:textId="77777777" w:rsidTr="002B1847">
        <w:trPr>
          <w:trHeight w:val="26"/>
        </w:trPr>
        <w:tc>
          <w:tcPr>
            <w:tcW w:w="6237" w:type="dxa"/>
            <w:tcBorders>
              <w:top w:val="nil"/>
              <w:left w:val="nil"/>
              <w:bottom w:val="nil"/>
              <w:right w:val="nil"/>
            </w:tcBorders>
          </w:tcPr>
          <w:p w14:paraId="33EDBEBE" w14:textId="77777777" w:rsidR="00C24F6F" w:rsidRPr="00E44D5C" w:rsidRDefault="00C24F6F" w:rsidP="002B1847">
            <w:pPr>
              <w:pStyle w:val="Bezriadkovania"/>
              <w:rPr>
                <w:sz w:val="16"/>
                <w:szCs w:val="16"/>
              </w:rPr>
            </w:pPr>
            <w:r w:rsidRPr="00E44D5C">
              <w:rPr>
                <w:sz w:val="16"/>
                <w:szCs w:val="16"/>
              </w:rPr>
              <w:t>Zmena sadzieb daní a poplatkov obcí (odpad, ubytovanie, nehnuteľnosti)</w:t>
            </w:r>
          </w:p>
        </w:tc>
        <w:tc>
          <w:tcPr>
            <w:tcW w:w="567" w:type="dxa"/>
            <w:tcBorders>
              <w:top w:val="nil"/>
              <w:left w:val="nil"/>
              <w:bottom w:val="nil"/>
              <w:right w:val="nil"/>
            </w:tcBorders>
            <w:noWrap/>
          </w:tcPr>
          <w:p w14:paraId="42BB42AF" w14:textId="77777777" w:rsidR="00C24F6F" w:rsidRPr="00E44D5C" w:rsidRDefault="00C24F6F" w:rsidP="002B1847">
            <w:pPr>
              <w:pStyle w:val="Bezriadkovania"/>
              <w:jc w:val="center"/>
              <w:rPr>
                <w:sz w:val="16"/>
                <w:szCs w:val="16"/>
              </w:rPr>
            </w:pPr>
            <w:r w:rsidRPr="00D63DCD">
              <w:rPr>
                <w:sz w:val="16"/>
                <w:szCs w:val="16"/>
              </w:rPr>
              <w:t>168</w:t>
            </w:r>
          </w:p>
        </w:tc>
        <w:tc>
          <w:tcPr>
            <w:tcW w:w="567" w:type="dxa"/>
            <w:tcBorders>
              <w:top w:val="nil"/>
              <w:left w:val="nil"/>
              <w:bottom w:val="nil"/>
              <w:right w:val="nil"/>
            </w:tcBorders>
            <w:noWrap/>
          </w:tcPr>
          <w:p w14:paraId="24FA0E3D" w14:textId="77777777" w:rsidR="00C24F6F" w:rsidRPr="00E44D5C" w:rsidRDefault="00C24F6F" w:rsidP="002B1847">
            <w:pPr>
              <w:pStyle w:val="Bezriadkovania"/>
              <w:jc w:val="center"/>
              <w:rPr>
                <w:sz w:val="16"/>
                <w:szCs w:val="16"/>
              </w:rPr>
            </w:pPr>
            <w:r w:rsidRPr="00D63DCD">
              <w:rPr>
                <w:sz w:val="16"/>
                <w:szCs w:val="16"/>
              </w:rPr>
              <w:t>40</w:t>
            </w:r>
          </w:p>
        </w:tc>
        <w:tc>
          <w:tcPr>
            <w:tcW w:w="567" w:type="dxa"/>
            <w:tcBorders>
              <w:top w:val="nil"/>
              <w:left w:val="nil"/>
              <w:bottom w:val="nil"/>
              <w:right w:val="nil"/>
            </w:tcBorders>
            <w:noWrap/>
          </w:tcPr>
          <w:p w14:paraId="28010BC2" w14:textId="77777777" w:rsidR="00C24F6F" w:rsidRPr="00E44D5C" w:rsidRDefault="00C24F6F" w:rsidP="002B1847">
            <w:pPr>
              <w:pStyle w:val="Bezriadkovania"/>
              <w:jc w:val="center"/>
              <w:rPr>
                <w:sz w:val="16"/>
                <w:szCs w:val="16"/>
              </w:rPr>
            </w:pPr>
            <w:r w:rsidRPr="00D63DCD">
              <w:rPr>
                <w:sz w:val="16"/>
                <w:szCs w:val="16"/>
              </w:rPr>
              <w:t>4</w:t>
            </w:r>
          </w:p>
        </w:tc>
        <w:tc>
          <w:tcPr>
            <w:tcW w:w="589" w:type="dxa"/>
            <w:tcBorders>
              <w:top w:val="nil"/>
              <w:left w:val="nil"/>
              <w:bottom w:val="nil"/>
              <w:right w:val="nil"/>
            </w:tcBorders>
            <w:noWrap/>
          </w:tcPr>
          <w:p w14:paraId="4B2CE3E6" w14:textId="77777777" w:rsidR="00C24F6F" w:rsidRPr="00E44D5C" w:rsidRDefault="00C24F6F" w:rsidP="002B1847">
            <w:pPr>
              <w:pStyle w:val="Bezriadkovania"/>
              <w:jc w:val="center"/>
              <w:rPr>
                <w:sz w:val="16"/>
                <w:szCs w:val="16"/>
              </w:rPr>
            </w:pPr>
            <w:r w:rsidRPr="00D63DCD">
              <w:rPr>
                <w:sz w:val="16"/>
                <w:szCs w:val="16"/>
              </w:rPr>
              <w:t>0</w:t>
            </w:r>
          </w:p>
        </w:tc>
        <w:tc>
          <w:tcPr>
            <w:tcW w:w="545" w:type="dxa"/>
            <w:tcBorders>
              <w:top w:val="nil"/>
              <w:left w:val="nil"/>
              <w:bottom w:val="nil"/>
              <w:right w:val="nil"/>
            </w:tcBorders>
            <w:noWrap/>
          </w:tcPr>
          <w:p w14:paraId="142FC0E7"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2F8D1418" w14:textId="77777777" w:rsidTr="002B1847">
        <w:trPr>
          <w:trHeight w:val="26"/>
        </w:trPr>
        <w:tc>
          <w:tcPr>
            <w:tcW w:w="6237" w:type="dxa"/>
            <w:tcBorders>
              <w:top w:val="nil"/>
              <w:left w:val="nil"/>
              <w:bottom w:val="nil"/>
              <w:right w:val="nil"/>
            </w:tcBorders>
          </w:tcPr>
          <w:p w14:paraId="5F25181B" w14:textId="77777777" w:rsidR="00C24F6F" w:rsidRPr="00E44D5C" w:rsidRDefault="00C24F6F" w:rsidP="002B1847">
            <w:pPr>
              <w:pStyle w:val="Bezriadkovania"/>
              <w:rPr>
                <w:sz w:val="16"/>
                <w:szCs w:val="16"/>
              </w:rPr>
            </w:pPr>
            <w:r w:rsidRPr="00E44D5C">
              <w:rPr>
                <w:sz w:val="16"/>
                <w:szCs w:val="16"/>
              </w:rPr>
              <w:t>Navýšenie platby za poistencov štátu</w:t>
            </w:r>
          </w:p>
        </w:tc>
        <w:tc>
          <w:tcPr>
            <w:tcW w:w="567" w:type="dxa"/>
            <w:tcBorders>
              <w:top w:val="nil"/>
              <w:left w:val="nil"/>
              <w:bottom w:val="nil"/>
              <w:right w:val="nil"/>
            </w:tcBorders>
            <w:noWrap/>
          </w:tcPr>
          <w:p w14:paraId="2D1AB94C" w14:textId="77777777" w:rsidR="00C24F6F" w:rsidRPr="00E44D5C" w:rsidRDefault="00C24F6F" w:rsidP="002B1847">
            <w:pPr>
              <w:pStyle w:val="Bezriadkovania"/>
              <w:jc w:val="center"/>
              <w:rPr>
                <w:sz w:val="16"/>
                <w:szCs w:val="16"/>
              </w:rPr>
            </w:pPr>
            <w:r w:rsidRPr="00D63DCD">
              <w:rPr>
                <w:sz w:val="16"/>
                <w:szCs w:val="16"/>
              </w:rPr>
              <w:t>-129</w:t>
            </w:r>
          </w:p>
        </w:tc>
        <w:tc>
          <w:tcPr>
            <w:tcW w:w="567" w:type="dxa"/>
            <w:tcBorders>
              <w:top w:val="nil"/>
              <w:left w:val="nil"/>
              <w:bottom w:val="nil"/>
              <w:right w:val="nil"/>
            </w:tcBorders>
            <w:noWrap/>
          </w:tcPr>
          <w:p w14:paraId="75436B41" w14:textId="77777777" w:rsidR="00C24F6F" w:rsidRPr="00E44D5C" w:rsidRDefault="00C24F6F" w:rsidP="002B1847">
            <w:pPr>
              <w:pStyle w:val="Bezriadkovania"/>
              <w:jc w:val="center"/>
              <w:rPr>
                <w:sz w:val="16"/>
                <w:szCs w:val="16"/>
              </w:rPr>
            </w:pPr>
            <w:r w:rsidRPr="00D63DCD">
              <w:rPr>
                <w:sz w:val="16"/>
                <w:szCs w:val="16"/>
              </w:rPr>
              <w:t>-88</w:t>
            </w:r>
          </w:p>
        </w:tc>
        <w:tc>
          <w:tcPr>
            <w:tcW w:w="567" w:type="dxa"/>
            <w:tcBorders>
              <w:top w:val="nil"/>
              <w:left w:val="nil"/>
              <w:bottom w:val="nil"/>
              <w:right w:val="nil"/>
            </w:tcBorders>
            <w:noWrap/>
          </w:tcPr>
          <w:p w14:paraId="367683DE" w14:textId="77777777" w:rsidR="00C24F6F" w:rsidRPr="00E44D5C" w:rsidRDefault="00C24F6F" w:rsidP="002B1847">
            <w:pPr>
              <w:pStyle w:val="Bezriadkovania"/>
              <w:jc w:val="center"/>
              <w:rPr>
                <w:sz w:val="16"/>
                <w:szCs w:val="16"/>
              </w:rPr>
            </w:pPr>
            <w:r w:rsidRPr="00D63DCD">
              <w:rPr>
                <w:sz w:val="16"/>
                <w:szCs w:val="16"/>
              </w:rPr>
              <w:t>-374</w:t>
            </w:r>
          </w:p>
        </w:tc>
        <w:tc>
          <w:tcPr>
            <w:tcW w:w="589" w:type="dxa"/>
            <w:tcBorders>
              <w:top w:val="nil"/>
              <w:left w:val="nil"/>
              <w:bottom w:val="nil"/>
              <w:right w:val="nil"/>
            </w:tcBorders>
            <w:noWrap/>
          </w:tcPr>
          <w:p w14:paraId="7BAD9ACF" w14:textId="77777777" w:rsidR="00C24F6F" w:rsidRPr="00E44D5C" w:rsidRDefault="00C24F6F" w:rsidP="002B1847">
            <w:pPr>
              <w:pStyle w:val="Bezriadkovania"/>
              <w:jc w:val="center"/>
              <w:rPr>
                <w:sz w:val="16"/>
                <w:szCs w:val="16"/>
              </w:rPr>
            </w:pPr>
            <w:r w:rsidRPr="00D63DCD">
              <w:rPr>
                <w:sz w:val="16"/>
                <w:szCs w:val="16"/>
              </w:rPr>
              <w:t>0</w:t>
            </w:r>
          </w:p>
        </w:tc>
        <w:tc>
          <w:tcPr>
            <w:tcW w:w="545" w:type="dxa"/>
            <w:tcBorders>
              <w:top w:val="nil"/>
              <w:left w:val="nil"/>
              <w:bottom w:val="nil"/>
              <w:right w:val="nil"/>
            </w:tcBorders>
            <w:noWrap/>
          </w:tcPr>
          <w:p w14:paraId="4E18FC1F"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2D482B50" w14:textId="77777777" w:rsidTr="002B1847">
        <w:trPr>
          <w:trHeight w:val="26"/>
        </w:trPr>
        <w:tc>
          <w:tcPr>
            <w:tcW w:w="6237" w:type="dxa"/>
            <w:tcBorders>
              <w:top w:val="nil"/>
              <w:left w:val="nil"/>
              <w:bottom w:val="nil"/>
              <w:right w:val="nil"/>
            </w:tcBorders>
          </w:tcPr>
          <w:p w14:paraId="5248A699" w14:textId="77777777" w:rsidR="00C24F6F" w:rsidRPr="00E44D5C" w:rsidRDefault="00C24F6F" w:rsidP="002B1847">
            <w:pPr>
              <w:pStyle w:val="Bezriadkovania"/>
              <w:rPr>
                <w:sz w:val="16"/>
                <w:szCs w:val="16"/>
              </w:rPr>
            </w:pPr>
            <w:r w:rsidRPr="00E44D5C">
              <w:rPr>
                <w:sz w:val="16"/>
                <w:szCs w:val="16"/>
              </w:rPr>
              <w:t>Poistné za poistencov štátu nahradené transferom do Soc. poisťovne</w:t>
            </w:r>
          </w:p>
        </w:tc>
        <w:tc>
          <w:tcPr>
            <w:tcW w:w="567" w:type="dxa"/>
            <w:tcBorders>
              <w:top w:val="nil"/>
              <w:left w:val="nil"/>
              <w:bottom w:val="nil"/>
              <w:right w:val="nil"/>
            </w:tcBorders>
            <w:noWrap/>
          </w:tcPr>
          <w:p w14:paraId="482C192B"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5ECE5B70"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2D96C935" w14:textId="77777777" w:rsidR="00C24F6F" w:rsidRPr="00E44D5C" w:rsidRDefault="00C24F6F" w:rsidP="002B1847">
            <w:pPr>
              <w:pStyle w:val="Bezriadkovania"/>
              <w:jc w:val="center"/>
              <w:rPr>
                <w:sz w:val="16"/>
                <w:szCs w:val="16"/>
              </w:rPr>
            </w:pPr>
            <w:r w:rsidRPr="00D63DCD">
              <w:rPr>
                <w:sz w:val="16"/>
                <w:szCs w:val="16"/>
              </w:rPr>
              <w:t>-472</w:t>
            </w:r>
          </w:p>
        </w:tc>
        <w:tc>
          <w:tcPr>
            <w:tcW w:w="589" w:type="dxa"/>
            <w:tcBorders>
              <w:top w:val="nil"/>
              <w:left w:val="nil"/>
              <w:bottom w:val="nil"/>
              <w:right w:val="nil"/>
            </w:tcBorders>
            <w:noWrap/>
          </w:tcPr>
          <w:p w14:paraId="0CB1B0DA" w14:textId="77777777" w:rsidR="00C24F6F" w:rsidRPr="00E44D5C" w:rsidRDefault="00C24F6F" w:rsidP="002B1847">
            <w:pPr>
              <w:pStyle w:val="Bezriadkovania"/>
              <w:jc w:val="center"/>
              <w:rPr>
                <w:sz w:val="16"/>
                <w:szCs w:val="16"/>
              </w:rPr>
            </w:pPr>
            <w:r w:rsidRPr="00D63DCD">
              <w:rPr>
                <w:sz w:val="16"/>
                <w:szCs w:val="16"/>
              </w:rPr>
              <w:t>0</w:t>
            </w:r>
          </w:p>
        </w:tc>
        <w:tc>
          <w:tcPr>
            <w:tcW w:w="545" w:type="dxa"/>
            <w:tcBorders>
              <w:top w:val="nil"/>
              <w:left w:val="nil"/>
              <w:bottom w:val="nil"/>
              <w:right w:val="nil"/>
            </w:tcBorders>
            <w:noWrap/>
          </w:tcPr>
          <w:p w14:paraId="17DA5052"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667F1E25" w14:textId="77777777" w:rsidTr="002B1847">
        <w:trPr>
          <w:trHeight w:val="26"/>
        </w:trPr>
        <w:tc>
          <w:tcPr>
            <w:tcW w:w="6237" w:type="dxa"/>
            <w:tcBorders>
              <w:top w:val="nil"/>
              <w:left w:val="nil"/>
              <w:bottom w:val="nil"/>
              <w:right w:val="nil"/>
            </w:tcBorders>
          </w:tcPr>
          <w:p w14:paraId="44B26784" w14:textId="77777777" w:rsidR="00C24F6F" w:rsidRPr="00E44D5C" w:rsidRDefault="00C24F6F" w:rsidP="002B1847">
            <w:pPr>
              <w:pStyle w:val="Bezriadkovania"/>
              <w:rPr>
                <w:sz w:val="16"/>
                <w:szCs w:val="16"/>
              </w:rPr>
            </w:pPr>
            <w:r w:rsidRPr="00E44D5C">
              <w:rPr>
                <w:sz w:val="16"/>
                <w:szCs w:val="16"/>
              </w:rPr>
              <w:t>Ostatné drobné opatrenia na D.2</w:t>
            </w:r>
          </w:p>
        </w:tc>
        <w:tc>
          <w:tcPr>
            <w:tcW w:w="567" w:type="dxa"/>
            <w:tcBorders>
              <w:top w:val="nil"/>
              <w:left w:val="nil"/>
              <w:bottom w:val="nil"/>
              <w:right w:val="nil"/>
            </w:tcBorders>
            <w:noWrap/>
          </w:tcPr>
          <w:p w14:paraId="0B3A096D"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4C883F3D"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21EEDA2F" w14:textId="77777777" w:rsidR="00C24F6F" w:rsidRPr="00E44D5C" w:rsidRDefault="00C24F6F" w:rsidP="002B1847">
            <w:pPr>
              <w:pStyle w:val="Bezriadkovania"/>
              <w:jc w:val="center"/>
              <w:rPr>
                <w:sz w:val="16"/>
                <w:szCs w:val="16"/>
              </w:rPr>
            </w:pPr>
            <w:r w:rsidRPr="00D63DCD">
              <w:rPr>
                <w:sz w:val="16"/>
                <w:szCs w:val="16"/>
              </w:rPr>
              <w:t>8</w:t>
            </w:r>
          </w:p>
        </w:tc>
        <w:tc>
          <w:tcPr>
            <w:tcW w:w="589" w:type="dxa"/>
            <w:tcBorders>
              <w:top w:val="nil"/>
              <w:left w:val="nil"/>
              <w:bottom w:val="nil"/>
              <w:right w:val="nil"/>
            </w:tcBorders>
            <w:noWrap/>
          </w:tcPr>
          <w:p w14:paraId="6334FA70" w14:textId="77777777" w:rsidR="00C24F6F" w:rsidRPr="00E44D5C" w:rsidRDefault="00C24F6F" w:rsidP="002B1847">
            <w:pPr>
              <w:pStyle w:val="Bezriadkovania"/>
              <w:jc w:val="center"/>
              <w:rPr>
                <w:sz w:val="16"/>
                <w:szCs w:val="16"/>
              </w:rPr>
            </w:pPr>
            <w:r w:rsidRPr="00D63DCD">
              <w:rPr>
                <w:sz w:val="16"/>
                <w:szCs w:val="16"/>
              </w:rPr>
              <w:t>0</w:t>
            </w:r>
          </w:p>
        </w:tc>
        <w:tc>
          <w:tcPr>
            <w:tcW w:w="545" w:type="dxa"/>
            <w:tcBorders>
              <w:top w:val="nil"/>
              <w:left w:val="nil"/>
              <w:bottom w:val="nil"/>
              <w:right w:val="nil"/>
            </w:tcBorders>
            <w:noWrap/>
          </w:tcPr>
          <w:p w14:paraId="027891D4"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02922C8F" w14:textId="77777777" w:rsidTr="002B1847">
        <w:trPr>
          <w:trHeight w:val="26"/>
        </w:trPr>
        <w:tc>
          <w:tcPr>
            <w:tcW w:w="6237" w:type="dxa"/>
            <w:tcBorders>
              <w:top w:val="nil"/>
              <w:left w:val="nil"/>
              <w:bottom w:val="nil"/>
              <w:right w:val="nil"/>
            </w:tcBorders>
          </w:tcPr>
          <w:p w14:paraId="35B4711F" w14:textId="77777777" w:rsidR="00C24F6F" w:rsidRPr="00E44D5C" w:rsidRDefault="00C24F6F" w:rsidP="002B1847">
            <w:pPr>
              <w:pStyle w:val="Bezriadkovania"/>
              <w:rPr>
                <w:sz w:val="16"/>
                <w:szCs w:val="16"/>
              </w:rPr>
            </w:pPr>
            <w:r w:rsidRPr="00E44D5C">
              <w:rPr>
                <w:sz w:val="16"/>
                <w:szCs w:val="16"/>
              </w:rPr>
              <w:t>Ostatné drobné opatrenia na D.5</w:t>
            </w:r>
          </w:p>
        </w:tc>
        <w:tc>
          <w:tcPr>
            <w:tcW w:w="567" w:type="dxa"/>
            <w:tcBorders>
              <w:top w:val="nil"/>
              <w:left w:val="nil"/>
              <w:bottom w:val="nil"/>
              <w:right w:val="nil"/>
            </w:tcBorders>
            <w:noWrap/>
          </w:tcPr>
          <w:p w14:paraId="66649085" w14:textId="77777777" w:rsidR="00C24F6F" w:rsidRPr="00E44D5C" w:rsidRDefault="00C24F6F" w:rsidP="002B1847">
            <w:pPr>
              <w:pStyle w:val="Bezriadkovania"/>
              <w:jc w:val="center"/>
              <w:rPr>
                <w:sz w:val="16"/>
                <w:szCs w:val="16"/>
              </w:rPr>
            </w:pPr>
            <w:r w:rsidRPr="00D63DCD">
              <w:rPr>
                <w:sz w:val="16"/>
                <w:szCs w:val="16"/>
              </w:rPr>
              <w:t>2</w:t>
            </w:r>
          </w:p>
        </w:tc>
        <w:tc>
          <w:tcPr>
            <w:tcW w:w="567" w:type="dxa"/>
            <w:tcBorders>
              <w:top w:val="nil"/>
              <w:left w:val="nil"/>
              <w:bottom w:val="nil"/>
              <w:right w:val="nil"/>
            </w:tcBorders>
            <w:noWrap/>
          </w:tcPr>
          <w:p w14:paraId="3B092B7D" w14:textId="77777777" w:rsidR="00C24F6F" w:rsidRPr="00E44D5C" w:rsidRDefault="00C24F6F" w:rsidP="002B1847">
            <w:pPr>
              <w:pStyle w:val="Bezriadkovania"/>
              <w:jc w:val="center"/>
              <w:rPr>
                <w:sz w:val="16"/>
                <w:szCs w:val="16"/>
              </w:rPr>
            </w:pPr>
            <w:r w:rsidRPr="00D63DCD">
              <w:rPr>
                <w:sz w:val="16"/>
                <w:szCs w:val="16"/>
              </w:rPr>
              <w:t>-8</w:t>
            </w:r>
          </w:p>
        </w:tc>
        <w:tc>
          <w:tcPr>
            <w:tcW w:w="567" w:type="dxa"/>
            <w:tcBorders>
              <w:top w:val="nil"/>
              <w:left w:val="nil"/>
              <w:bottom w:val="nil"/>
              <w:right w:val="nil"/>
            </w:tcBorders>
            <w:noWrap/>
          </w:tcPr>
          <w:p w14:paraId="69D626D6" w14:textId="77777777" w:rsidR="00C24F6F" w:rsidRPr="00E44D5C" w:rsidRDefault="00C24F6F" w:rsidP="002B1847">
            <w:pPr>
              <w:pStyle w:val="Bezriadkovania"/>
              <w:jc w:val="center"/>
              <w:rPr>
                <w:sz w:val="16"/>
                <w:szCs w:val="16"/>
              </w:rPr>
            </w:pPr>
            <w:r w:rsidRPr="00D63DCD">
              <w:rPr>
                <w:sz w:val="16"/>
                <w:szCs w:val="16"/>
              </w:rPr>
              <w:t>-18</w:t>
            </w:r>
          </w:p>
        </w:tc>
        <w:tc>
          <w:tcPr>
            <w:tcW w:w="589" w:type="dxa"/>
            <w:tcBorders>
              <w:top w:val="nil"/>
              <w:left w:val="nil"/>
              <w:bottom w:val="nil"/>
              <w:right w:val="nil"/>
            </w:tcBorders>
            <w:noWrap/>
          </w:tcPr>
          <w:p w14:paraId="579CC412" w14:textId="77777777" w:rsidR="00C24F6F" w:rsidRPr="00E44D5C" w:rsidRDefault="00C24F6F" w:rsidP="002B1847">
            <w:pPr>
              <w:pStyle w:val="Bezriadkovania"/>
              <w:jc w:val="center"/>
              <w:rPr>
                <w:sz w:val="16"/>
                <w:szCs w:val="16"/>
              </w:rPr>
            </w:pPr>
            <w:r w:rsidRPr="00D63DCD">
              <w:rPr>
                <w:sz w:val="16"/>
                <w:szCs w:val="16"/>
              </w:rPr>
              <w:t>-4</w:t>
            </w:r>
          </w:p>
        </w:tc>
        <w:tc>
          <w:tcPr>
            <w:tcW w:w="545" w:type="dxa"/>
            <w:tcBorders>
              <w:top w:val="nil"/>
              <w:left w:val="nil"/>
              <w:bottom w:val="nil"/>
              <w:right w:val="nil"/>
            </w:tcBorders>
            <w:noWrap/>
          </w:tcPr>
          <w:p w14:paraId="341AC8B2" w14:textId="77777777" w:rsidR="00C24F6F" w:rsidRPr="00E44D5C" w:rsidRDefault="00C24F6F" w:rsidP="002B1847">
            <w:pPr>
              <w:pStyle w:val="Bezriadkovania"/>
              <w:jc w:val="center"/>
              <w:rPr>
                <w:sz w:val="16"/>
                <w:szCs w:val="16"/>
              </w:rPr>
            </w:pPr>
            <w:r w:rsidRPr="00D63DCD">
              <w:rPr>
                <w:sz w:val="16"/>
                <w:szCs w:val="16"/>
              </w:rPr>
              <w:t>-10</w:t>
            </w:r>
          </w:p>
        </w:tc>
      </w:tr>
      <w:tr w:rsidR="00C24F6F" w:rsidRPr="008E7F52" w14:paraId="69128344" w14:textId="77777777" w:rsidTr="002B1847">
        <w:trPr>
          <w:trHeight w:val="26"/>
        </w:trPr>
        <w:tc>
          <w:tcPr>
            <w:tcW w:w="6237" w:type="dxa"/>
            <w:tcBorders>
              <w:top w:val="nil"/>
              <w:left w:val="nil"/>
              <w:bottom w:val="nil"/>
              <w:right w:val="nil"/>
            </w:tcBorders>
          </w:tcPr>
          <w:p w14:paraId="3CC41FE6" w14:textId="77777777" w:rsidR="00C24F6F" w:rsidRPr="00E44D5C" w:rsidRDefault="00C24F6F" w:rsidP="002B1847">
            <w:pPr>
              <w:pStyle w:val="Bezriadkovania"/>
              <w:rPr>
                <w:sz w:val="16"/>
                <w:szCs w:val="16"/>
              </w:rPr>
            </w:pPr>
            <w:r w:rsidRPr="00E44D5C">
              <w:rPr>
                <w:sz w:val="16"/>
                <w:szCs w:val="16"/>
              </w:rPr>
              <w:t>Ostatné drobné opatrenia na D.61</w:t>
            </w:r>
          </w:p>
        </w:tc>
        <w:tc>
          <w:tcPr>
            <w:tcW w:w="567" w:type="dxa"/>
            <w:tcBorders>
              <w:top w:val="nil"/>
              <w:left w:val="nil"/>
              <w:bottom w:val="nil"/>
              <w:right w:val="nil"/>
            </w:tcBorders>
            <w:noWrap/>
          </w:tcPr>
          <w:p w14:paraId="4B088C01" w14:textId="77777777" w:rsidR="00C24F6F" w:rsidRPr="00E44D5C" w:rsidRDefault="00C24F6F" w:rsidP="002B1847">
            <w:pPr>
              <w:pStyle w:val="Bezriadkovania"/>
              <w:jc w:val="center"/>
              <w:rPr>
                <w:sz w:val="16"/>
                <w:szCs w:val="16"/>
              </w:rPr>
            </w:pPr>
            <w:r w:rsidRPr="00D63DCD">
              <w:rPr>
                <w:sz w:val="16"/>
                <w:szCs w:val="16"/>
              </w:rPr>
              <w:t>-4</w:t>
            </w:r>
          </w:p>
        </w:tc>
        <w:tc>
          <w:tcPr>
            <w:tcW w:w="567" w:type="dxa"/>
            <w:tcBorders>
              <w:top w:val="nil"/>
              <w:left w:val="nil"/>
              <w:bottom w:val="nil"/>
              <w:right w:val="nil"/>
            </w:tcBorders>
            <w:noWrap/>
          </w:tcPr>
          <w:p w14:paraId="21EFDDDA" w14:textId="77777777" w:rsidR="00C24F6F" w:rsidRPr="00E44D5C" w:rsidRDefault="00C24F6F" w:rsidP="002B1847">
            <w:pPr>
              <w:pStyle w:val="Bezriadkovania"/>
              <w:jc w:val="center"/>
              <w:rPr>
                <w:sz w:val="16"/>
                <w:szCs w:val="16"/>
              </w:rPr>
            </w:pPr>
            <w:r w:rsidRPr="00D63DCD">
              <w:rPr>
                <w:sz w:val="16"/>
                <w:szCs w:val="16"/>
              </w:rPr>
              <w:t>-14</w:t>
            </w:r>
          </w:p>
        </w:tc>
        <w:tc>
          <w:tcPr>
            <w:tcW w:w="567" w:type="dxa"/>
            <w:tcBorders>
              <w:top w:val="nil"/>
              <w:left w:val="nil"/>
              <w:bottom w:val="nil"/>
              <w:right w:val="nil"/>
            </w:tcBorders>
            <w:noWrap/>
          </w:tcPr>
          <w:p w14:paraId="0A1EC5B9" w14:textId="77777777" w:rsidR="00C24F6F" w:rsidRPr="00E44D5C" w:rsidRDefault="00C24F6F" w:rsidP="002B1847">
            <w:pPr>
              <w:pStyle w:val="Bezriadkovania"/>
              <w:jc w:val="center"/>
              <w:rPr>
                <w:sz w:val="16"/>
                <w:szCs w:val="16"/>
              </w:rPr>
            </w:pPr>
            <w:r w:rsidRPr="00D63DCD">
              <w:rPr>
                <w:sz w:val="16"/>
                <w:szCs w:val="16"/>
              </w:rPr>
              <w:t>-3</w:t>
            </w:r>
          </w:p>
        </w:tc>
        <w:tc>
          <w:tcPr>
            <w:tcW w:w="589" w:type="dxa"/>
            <w:tcBorders>
              <w:top w:val="nil"/>
              <w:left w:val="nil"/>
              <w:bottom w:val="nil"/>
              <w:right w:val="nil"/>
            </w:tcBorders>
            <w:noWrap/>
          </w:tcPr>
          <w:p w14:paraId="5993EF4C" w14:textId="77777777" w:rsidR="00C24F6F" w:rsidRPr="00E44D5C" w:rsidRDefault="00C24F6F" w:rsidP="002B1847">
            <w:pPr>
              <w:pStyle w:val="Bezriadkovania"/>
              <w:jc w:val="center"/>
              <w:rPr>
                <w:sz w:val="16"/>
                <w:szCs w:val="16"/>
              </w:rPr>
            </w:pPr>
            <w:r w:rsidRPr="00D63DCD">
              <w:rPr>
                <w:sz w:val="16"/>
                <w:szCs w:val="16"/>
              </w:rPr>
              <w:t>0</w:t>
            </w:r>
          </w:p>
        </w:tc>
        <w:tc>
          <w:tcPr>
            <w:tcW w:w="545" w:type="dxa"/>
            <w:tcBorders>
              <w:top w:val="nil"/>
              <w:left w:val="nil"/>
              <w:bottom w:val="nil"/>
              <w:right w:val="nil"/>
            </w:tcBorders>
            <w:noWrap/>
          </w:tcPr>
          <w:p w14:paraId="1B500D14"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05ECBFED" w14:textId="77777777" w:rsidTr="002B1847">
        <w:trPr>
          <w:trHeight w:val="26"/>
        </w:trPr>
        <w:tc>
          <w:tcPr>
            <w:tcW w:w="6237" w:type="dxa"/>
            <w:tcBorders>
              <w:top w:val="nil"/>
              <w:left w:val="nil"/>
              <w:bottom w:val="nil"/>
              <w:right w:val="nil"/>
            </w:tcBorders>
          </w:tcPr>
          <w:p w14:paraId="0642C117" w14:textId="77777777" w:rsidR="00C24F6F" w:rsidRPr="00E44D5C" w:rsidRDefault="00C24F6F" w:rsidP="002B1847">
            <w:pPr>
              <w:pStyle w:val="Bezriadkovania"/>
              <w:rPr>
                <w:sz w:val="16"/>
                <w:szCs w:val="16"/>
              </w:rPr>
            </w:pPr>
            <w:r w:rsidRPr="00E44D5C">
              <w:rPr>
                <w:sz w:val="16"/>
                <w:szCs w:val="16"/>
              </w:rPr>
              <w:t>Ostatné drobné opatrenia na P.11</w:t>
            </w:r>
          </w:p>
        </w:tc>
        <w:tc>
          <w:tcPr>
            <w:tcW w:w="567" w:type="dxa"/>
            <w:tcBorders>
              <w:top w:val="nil"/>
              <w:left w:val="nil"/>
              <w:bottom w:val="nil"/>
              <w:right w:val="nil"/>
            </w:tcBorders>
            <w:noWrap/>
          </w:tcPr>
          <w:p w14:paraId="49F64CB9"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08EA25FC"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nil"/>
              <w:left w:val="nil"/>
              <w:bottom w:val="nil"/>
              <w:right w:val="nil"/>
            </w:tcBorders>
            <w:noWrap/>
          </w:tcPr>
          <w:p w14:paraId="19BFE0AF" w14:textId="77777777" w:rsidR="00C24F6F" w:rsidRPr="00E44D5C" w:rsidRDefault="00C24F6F" w:rsidP="002B1847">
            <w:pPr>
              <w:pStyle w:val="Bezriadkovania"/>
              <w:jc w:val="center"/>
              <w:rPr>
                <w:sz w:val="16"/>
                <w:szCs w:val="16"/>
              </w:rPr>
            </w:pPr>
            <w:r w:rsidRPr="00D63DCD">
              <w:rPr>
                <w:sz w:val="16"/>
                <w:szCs w:val="16"/>
              </w:rPr>
              <w:t>10</w:t>
            </w:r>
          </w:p>
        </w:tc>
        <w:tc>
          <w:tcPr>
            <w:tcW w:w="589" w:type="dxa"/>
            <w:tcBorders>
              <w:top w:val="nil"/>
              <w:left w:val="nil"/>
              <w:bottom w:val="nil"/>
              <w:right w:val="nil"/>
            </w:tcBorders>
            <w:noWrap/>
          </w:tcPr>
          <w:p w14:paraId="711B4C86" w14:textId="77777777" w:rsidR="00C24F6F" w:rsidRPr="00E44D5C" w:rsidRDefault="00C24F6F" w:rsidP="002B1847">
            <w:pPr>
              <w:pStyle w:val="Bezriadkovania"/>
              <w:jc w:val="center"/>
              <w:rPr>
                <w:sz w:val="16"/>
                <w:szCs w:val="16"/>
              </w:rPr>
            </w:pPr>
            <w:r w:rsidRPr="00D63DCD">
              <w:rPr>
                <w:sz w:val="16"/>
                <w:szCs w:val="16"/>
              </w:rPr>
              <w:t>-15</w:t>
            </w:r>
          </w:p>
        </w:tc>
        <w:tc>
          <w:tcPr>
            <w:tcW w:w="545" w:type="dxa"/>
            <w:tcBorders>
              <w:top w:val="nil"/>
              <w:left w:val="nil"/>
              <w:bottom w:val="nil"/>
              <w:right w:val="nil"/>
            </w:tcBorders>
            <w:noWrap/>
          </w:tcPr>
          <w:p w14:paraId="3F539E4D" w14:textId="77777777" w:rsidR="00C24F6F" w:rsidRPr="00E44D5C" w:rsidRDefault="00C24F6F" w:rsidP="002B1847">
            <w:pPr>
              <w:pStyle w:val="Bezriadkovania"/>
              <w:jc w:val="center"/>
              <w:rPr>
                <w:sz w:val="16"/>
                <w:szCs w:val="16"/>
              </w:rPr>
            </w:pPr>
            <w:r w:rsidRPr="00D63DCD">
              <w:rPr>
                <w:sz w:val="16"/>
                <w:szCs w:val="16"/>
              </w:rPr>
              <w:t>0</w:t>
            </w:r>
          </w:p>
        </w:tc>
      </w:tr>
      <w:tr w:rsidR="00C24F6F" w:rsidRPr="008E7F52" w14:paraId="6C94815C" w14:textId="77777777" w:rsidTr="002B1847">
        <w:trPr>
          <w:trHeight w:val="26"/>
        </w:trPr>
        <w:tc>
          <w:tcPr>
            <w:tcW w:w="6237" w:type="dxa"/>
            <w:tcBorders>
              <w:top w:val="single" w:sz="4" w:space="0" w:color="auto"/>
              <w:left w:val="nil"/>
              <w:bottom w:val="single" w:sz="4" w:space="0" w:color="auto"/>
              <w:right w:val="nil"/>
            </w:tcBorders>
          </w:tcPr>
          <w:p w14:paraId="668B934E" w14:textId="77777777" w:rsidR="00C24F6F" w:rsidRPr="008E7F52" w:rsidRDefault="00C24F6F" w:rsidP="002B1847">
            <w:pPr>
              <w:pStyle w:val="Bezriadkovania"/>
              <w:rPr>
                <w:b/>
                <w:sz w:val="16"/>
                <w:szCs w:val="16"/>
                <w:highlight w:val="yellow"/>
              </w:rPr>
            </w:pPr>
            <w:r w:rsidRPr="00E44D5C">
              <w:rPr>
                <w:b/>
                <w:sz w:val="16"/>
                <w:szCs w:val="16"/>
              </w:rPr>
              <w:t>Spolu</w:t>
            </w:r>
          </w:p>
        </w:tc>
        <w:tc>
          <w:tcPr>
            <w:tcW w:w="567" w:type="dxa"/>
            <w:tcBorders>
              <w:top w:val="single" w:sz="4" w:space="0" w:color="auto"/>
              <w:left w:val="nil"/>
              <w:bottom w:val="single" w:sz="4" w:space="0" w:color="auto"/>
              <w:right w:val="nil"/>
            </w:tcBorders>
            <w:noWrap/>
          </w:tcPr>
          <w:p w14:paraId="139EF79F" w14:textId="77777777" w:rsidR="00C24F6F" w:rsidRPr="00D63DCD" w:rsidRDefault="00C24F6F" w:rsidP="002B1847">
            <w:pPr>
              <w:spacing w:after="0" w:line="240" w:lineRule="auto"/>
              <w:jc w:val="center"/>
              <w:rPr>
                <w:rFonts w:ascii="Arial Narrow" w:eastAsia="Times New Roman" w:hAnsi="Arial Narrow" w:cs="Times New Roman"/>
                <w:b/>
                <w:bCs/>
                <w:color w:val="000000"/>
                <w:sz w:val="16"/>
                <w:szCs w:val="16"/>
                <w:lang w:eastAsia="sk-SK"/>
              </w:rPr>
            </w:pPr>
            <w:r w:rsidRPr="00D63DCD">
              <w:rPr>
                <w:rFonts w:ascii="Arial Narrow" w:eastAsia="Times New Roman" w:hAnsi="Arial Narrow" w:cs="Times New Roman"/>
                <w:b/>
                <w:bCs/>
                <w:color w:val="000000"/>
                <w:sz w:val="16"/>
                <w:szCs w:val="16"/>
                <w:lang w:eastAsia="sk-SK"/>
              </w:rPr>
              <w:t>1314</w:t>
            </w:r>
          </w:p>
        </w:tc>
        <w:tc>
          <w:tcPr>
            <w:tcW w:w="567" w:type="dxa"/>
            <w:tcBorders>
              <w:top w:val="single" w:sz="4" w:space="0" w:color="auto"/>
              <w:left w:val="nil"/>
              <w:bottom w:val="single" w:sz="4" w:space="0" w:color="auto"/>
              <w:right w:val="nil"/>
            </w:tcBorders>
            <w:noWrap/>
          </w:tcPr>
          <w:p w14:paraId="548E51E6" w14:textId="77777777" w:rsidR="00C24F6F" w:rsidRPr="00D63DCD" w:rsidRDefault="00C24F6F" w:rsidP="002B1847">
            <w:pPr>
              <w:spacing w:after="0" w:line="240" w:lineRule="auto"/>
              <w:jc w:val="center"/>
              <w:rPr>
                <w:rFonts w:ascii="Arial Narrow" w:eastAsia="Times New Roman" w:hAnsi="Arial Narrow" w:cs="Times New Roman"/>
                <w:b/>
                <w:bCs/>
                <w:color w:val="000000"/>
                <w:sz w:val="16"/>
                <w:szCs w:val="16"/>
                <w:lang w:eastAsia="sk-SK"/>
              </w:rPr>
            </w:pPr>
            <w:r w:rsidRPr="00D63DCD">
              <w:rPr>
                <w:rFonts w:ascii="Arial Narrow" w:eastAsia="Times New Roman" w:hAnsi="Arial Narrow" w:cs="Times New Roman"/>
                <w:b/>
                <w:bCs/>
                <w:color w:val="000000"/>
                <w:sz w:val="16"/>
                <w:szCs w:val="16"/>
                <w:lang w:eastAsia="sk-SK"/>
              </w:rPr>
              <w:t>1446</w:t>
            </w:r>
          </w:p>
        </w:tc>
        <w:tc>
          <w:tcPr>
            <w:tcW w:w="567" w:type="dxa"/>
            <w:tcBorders>
              <w:top w:val="single" w:sz="4" w:space="0" w:color="auto"/>
              <w:left w:val="nil"/>
              <w:bottom w:val="single" w:sz="4" w:space="0" w:color="auto"/>
              <w:right w:val="nil"/>
            </w:tcBorders>
            <w:noWrap/>
          </w:tcPr>
          <w:p w14:paraId="72E8B4CD" w14:textId="77777777" w:rsidR="00C24F6F" w:rsidRPr="00D63DCD" w:rsidRDefault="00C24F6F" w:rsidP="002B1847">
            <w:pPr>
              <w:spacing w:after="0" w:line="240" w:lineRule="auto"/>
              <w:jc w:val="center"/>
              <w:rPr>
                <w:rFonts w:ascii="Arial Narrow" w:eastAsia="Times New Roman" w:hAnsi="Arial Narrow" w:cs="Times New Roman"/>
                <w:b/>
                <w:bCs/>
                <w:color w:val="000000"/>
                <w:sz w:val="16"/>
                <w:szCs w:val="16"/>
                <w:lang w:eastAsia="sk-SK"/>
              </w:rPr>
            </w:pPr>
            <w:r w:rsidRPr="00D63DCD">
              <w:rPr>
                <w:rFonts w:ascii="Arial Narrow" w:eastAsia="Times New Roman" w:hAnsi="Arial Narrow" w:cs="Times New Roman"/>
                <w:b/>
                <w:bCs/>
                <w:color w:val="000000"/>
                <w:sz w:val="16"/>
                <w:szCs w:val="16"/>
                <w:lang w:eastAsia="sk-SK"/>
              </w:rPr>
              <w:t>499</w:t>
            </w:r>
          </w:p>
        </w:tc>
        <w:tc>
          <w:tcPr>
            <w:tcW w:w="589" w:type="dxa"/>
            <w:tcBorders>
              <w:top w:val="single" w:sz="4" w:space="0" w:color="auto"/>
              <w:left w:val="nil"/>
              <w:bottom w:val="single" w:sz="4" w:space="0" w:color="auto"/>
              <w:right w:val="nil"/>
            </w:tcBorders>
            <w:noWrap/>
          </w:tcPr>
          <w:p w14:paraId="646D0AEA" w14:textId="77777777" w:rsidR="00C24F6F" w:rsidRPr="00D63DCD" w:rsidRDefault="00C24F6F" w:rsidP="002B1847">
            <w:pPr>
              <w:spacing w:after="0" w:line="240" w:lineRule="auto"/>
              <w:jc w:val="center"/>
              <w:rPr>
                <w:rFonts w:ascii="Arial Narrow" w:eastAsia="Times New Roman" w:hAnsi="Arial Narrow" w:cs="Times New Roman"/>
                <w:b/>
                <w:bCs/>
                <w:color w:val="000000"/>
                <w:sz w:val="16"/>
                <w:szCs w:val="16"/>
                <w:lang w:eastAsia="sk-SK"/>
              </w:rPr>
            </w:pPr>
            <w:r w:rsidRPr="00D63DCD">
              <w:rPr>
                <w:rFonts w:ascii="Arial Narrow" w:eastAsia="Times New Roman" w:hAnsi="Arial Narrow" w:cs="Times New Roman"/>
                <w:b/>
                <w:bCs/>
                <w:color w:val="000000"/>
                <w:sz w:val="16"/>
                <w:szCs w:val="16"/>
                <w:lang w:eastAsia="sk-SK"/>
              </w:rPr>
              <w:t>42</w:t>
            </w:r>
          </w:p>
        </w:tc>
        <w:tc>
          <w:tcPr>
            <w:tcW w:w="545" w:type="dxa"/>
            <w:tcBorders>
              <w:top w:val="single" w:sz="4" w:space="0" w:color="auto"/>
              <w:left w:val="nil"/>
              <w:bottom w:val="single" w:sz="4" w:space="0" w:color="auto"/>
              <w:right w:val="nil"/>
            </w:tcBorders>
            <w:noWrap/>
          </w:tcPr>
          <w:p w14:paraId="4648A952" w14:textId="77777777" w:rsidR="00C24F6F" w:rsidRPr="00D63DCD" w:rsidRDefault="00C24F6F" w:rsidP="002B1847">
            <w:pPr>
              <w:spacing w:after="0" w:line="240" w:lineRule="auto"/>
              <w:jc w:val="center"/>
              <w:rPr>
                <w:rFonts w:ascii="Arial Narrow" w:eastAsia="Times New Roman" w:hAnsi="Arial Narrow" w:cs="Times New Roman"/>
                <w:b/>
                <w:bCs/>
                <w:color w:val="000000"/>
                <w:sz w:val="16"/>
                <w:szCs w:val="16"/>
                <w:lang w:eastAsia="sk-SK"/>
              </w:rPr>
            </w:pPr>
            <w:r w:rsidRPr="00D63DCD">
              <w:rPr>
                <w:rFonts w:ascii="Arial Narrow" w:eastAsia="Times New Roman" w:hAnsi="Arial Narrow" w:cs="Times New Roman"/>
                <w:b/>
                <w:bCs/>
                <w:color w:val="000000"/>
                <w:sz w:val="16"/>
                <w:szCs w:val="16"/>
                <w:lang w:eastAsia="sk-SK"/>
              </w:rPr>
              <w:t>-355</w:t>
            </w:r>
          </w:p>
        </w:tc>
      </w:tr>
    </w:tbl>
    <w:p w14:paraId="183386B5" w14:textId="77777777" w:rsidR="00C24F6F" w:rsidRPr="00E44D5C" w:rsidRDefault="00C24F6F" w:rsidP="00C24F6F">
      <w:pPr>
        <w:spacing w:after="0"/>
        <w:jc w:val="right"/>
        <w:rPr>
          <w:rFonts w:ascii="Arial Narrow" w:hAnsi="Arial Narrow"/>
          <w:i/>
          <w:sz w:val="16"/>
          <w:szCs w:val="16"/>
        </w:rPr>
      </w:pPr>
      <w:r w:rsidRPr="00E44D5C">
        <w:rPr>
          <w:rFonts w:ascii="Arial Narrow" w:hAnsi="Arial Narrow"/>
          <w:i/>
          <w:sz w:val="16"/>
          <w:szCs w:val="16"/>
        </w:rPr>
        <w:t>Zdroj: MF SR</w:t>
      </w:r>
    </w:p>
    <w:p w14:paraId="0BC390F8" w14:textId="77777777" w:rsidR="00C24F6F" w:rsidRPr="00E44D5C" w:rsidRDefault="00C24F6F" w:rsidP="00C24F6F">
      <w:pPr>
        <w:pStyle w:val="Bezriadkovania"/>
        <w:rPr>
          <w:rFonts w:eastAsiaTheme="minorHAnsi" w:cstheme="minorBidi"/>
          <w:i/>
          <w:kern w:val="2"/>
          <w:sz w:val="16"/>
          <w:szCs w:val="16"/>
          <w14:ligatures w14:val="standardContextual"/>
        </w:rPr>
      </w:pPr>
      <w:r w:rsidRPr="00E44D5C">
        <w:rPr>
          <w:rFonts w:eastAsiaTheme="minorHAnsi" w:cstheme="minorBidi"/>
          <w:i/>
          <w:kern w:val="2"/>
          <w:sz w:val="16"/>
          <w:szCs w:val="16"/>
          <w14:ligatures w14:val="standardContextual"/>
        </w:rPr>
        <w:t>Poznámka: (+) zlepšuje bilanciu verejnej správy, (–) zhoršuje bilanciu verejnej správy.</w:t>
      </w:r>
    </w:p>
    <w:p w14:paraId="689D2AF2" w14:textId="77777777" w:rsidR="00C24F6F" w:rsidRDefault="00C24F6F" w:rsidP="00C24F6F">
      <w:pPr>
        <w:pStyle w:val="Bezriadkovania"/>
        <w:rPr>
          <w:rFonts w:eastAsiaTheme="minorHAnsi" w:cstheme="minorBidi"/>
          <w:i/>
          <w:kern w:val="2"/>
          <w:sz w:val="16"/>
          <w:szCs w:val="16"/>
          <w:highlight w:val="yellow"/>
          <w14:ligatures w14:val="standardContextual"/>
        </w:rPr>
      </w:pPr>
    </w:p>
    <w:p w14:paraId="7085703C" w14:textId="77777777" w:rsidR="00C24F6F" w:rsidRDefault="00C24F6F" w:rsidP="00C24F6F">
      <w:pPr>
        <w:pStyle w:val="Bezriadkovania"/>
        <w:rPr>
          <w:rFonts w:eastAsiaTheme="minorHAnsi" w:cstheme="minorBidi"/>
          <w:i/>
          <w:kern w:val="2"/>
          <w:sz w:val="16"/>
          <w:szCs w:val="16"/>
          <w:highlight w:val="yellow"/>
          <w14:ligatures w14:val="standardContextual"/>
        </w:rPr>
      </w:pPr>
    </w:p>
    <w:p w14:paraId="4A2FA455" w14:textId="77777777" w:rsidR="00C24F6F" w:rsidRDefault="00C24F6F" w:rsidP="00C24F6F">
      <w:pPr>
        <w:pStyle w:val="Bezriadkovania"/>
        <w:rPr>
          <w:rFonts w:eastAsiaTheme="minorHAnsi" w:cstheme="minorBidi"/>
          <w:i/>
          <w:kern w:val="2"/>
          <w:sz w:val="16"/>
          <w:szCs w:val="16"/>
          <w:highlight w:val="yellow"/>
          <w14:ligatures w14:val="standardContextual"/>
        </w:rPr>
      </w:pPr>
    </w:p>
    <w:p w14:paraId="20C03882" w14:textId="77777777" w:rsidR="00C24F6F" w:rsidRDefault="00C24F6F" w:rsidP="00C24F6F">
      <w:pPr>
        <w:pStyle w:val="Bezriadkovania"/>
        <w:rPr>
          <w:rFonts w:eastAsiaTheme="minorHAnsi" w:cstheme="minorBidi"/>
          <w:i/>
          <w:kern w:val="2"/>
          <w:sz w:val="16"/>
          <w:szCs w:val="16"/>
          <w:highlight w:val="yellow"/>
          <w14:ligatures w14:val="standardContextual"/>
        </w:rPr>
      </w:pPr>
    </w:p>
    <w:p w14:paraId="09448EB9" w14:textId="77777777" w:rsidR="00C24F6F" w:rsidRDefault="00C24F6F" w:rsidP="00C24F6F">
      <w:pPr>
        <w:pStyle w:val="Bezriadkovania"/>
        <w:rPr>
          <w:rFonts w:eastAsiaTheme="minorHAnsi" w:cstheme="minorBidi"/>
          <w:i/>
          <w:kern w:val="2"/>
          <w:sz w:val="16"/>
          <w:szCs w:val="16"/>
          <w:highlight w:val="yellow"/>
          <w14:ligatures w14:val="standardContextual"/>
        </w:rPr>
      </w:pPr>
    </w:p>
    <w:p w14:paraId="26240B3A" w14:textId="77777777" w:rsidR="00C24F6F" w:rsidRDefault="00C24F6F" w:rsidP="00C24F6F">
      <w:pPr>
        <w:pStyle w:val="Bezriadkovania"/>
        <w:rPr>
          <w:rFonts w:eastAsiaTheme="minorHAnsi" w:cstheme="minorBidi"/>
          <w:i/>
          <w:kern w:val="2"/>
          <w:sz w:val="16"/>
          <w:szCs w:val="16"/>
          <w:highlight w:val="yellow"/>
          <w14:ligatures w14:val="standardContextual"/>
        </w:rPr>
      </w:pPr>
    </w:p>
    <w:p w14:paraId="4FCF7681" w14:textId="77777777" w:rsidR="00C24F6F" w:rsidRDefault="00C24F6F" w:rsidP="00C24F6F">
      <w:pPr>
        <w:pStyle w:val="Bezriadkovania"/>
        <w:rPr>
          <w:rFonts w:eastAsiaTheme="minorHAnsi" w:cstheme="minorBidi"/>
          <w:i/>
          <w:kern w:val="2"/>
          <w:sz w:val="16"/>
          <w:szCs w:val="16"/>
          <w:highlight w:val="yellow"/>
          <w14:ligatures w14:val="standardContextual"/>
        </w:rPr>
      </w:pPr>
    </w:p>
    <w:p w14:paraId="650202CF" w14:textId="77777777" w:rsidR="00C24F6F" w:rsidRDefault="00C24F6F" w:rsidP="00C24F6F">
      <w:pPr>
        <w:pStyle w:val="Bezriadkovania"/>
        <w:rPr>
          <w:rFonts w:eastAsiaTheme="minorHAnsi" w:cstheme="minorBidi"/>
          <w:i/>
          <w:kern w:val="2"/>
          <w:sz w:val="16"/>
          <w:szCs w:val="16"/>
          <w:highlight w:val="yellow"/>
          <w14:ligatures w14:val="standardContextual"/>
        </w:rPr>
      </w:pPr>
    </w:p>
    <w:p w14:paraId="1932B823" w14:textId="77777777" w:rsidR="00C24F6F" w:rsidRDefault="00C24F6F" w:rsidP="00C24F6F">
      <w:pPr>
        <w:pStyle w:val="Bezriadkovania"/>
        <w:rPr>
          <w:rFonts w:eastAsiaTheme="minorHAnsi" w:cstheme="minorBidi"/>
          <w:i/>
          <w:kern w:val="2"/>
          <w:sz w:val="16"/>
          <w:szCs w:val="16"/>
          <w:highlight w:val="yellow"/>
          <w14:ligatures w14:val="standardContextual"/>
        </w:rPr>
      </w:pPr>
    </w:p>
    <w:p w14:paraId="49CED0A2" w14:textId="77777777" w:rsidR="00C24F6F" w:rsidRDefault="00C24F6F" w:rsidP="00C24F6F">
      <w:pPr>
        <w:pStyle w:val="Bezriadkovania"/>
        <w:rPr>
          <w:rFonts w:eastAsiaTheme="minorHAnsi" w:cstheme="minorBidi"/>
          <w:i/>
          <w:kern w:val="2"/>
          <w:sz w:val="16"/>
          <w:szCs w:val="16"/>
          <w:highlight w:val="yellow"/>
          <w14:ligatures w14:val="standardContextual"/>
        </w:rPr>
      </w:pPr>
    </w:p>
    <w:p w14:paraId="1E26C05A" w14:textId="77777777" w:rsidR="00C24F6F" w:rsidRDefault="00C24F6F" w:rsidP="00C24F6F">
      <w:pPr>
        <w:pStyle w:val="Bezriadkovania"/>
        <w:rPr>
          <w:rFonts w:eastAsiaTheme="minorHAnsi" w:cstheme="minorBidi"/>
          <w:i/>
          <w:kern w:val="2"/>
          <w:sz w:val="16"/>
          <w:szCs w:val="16"/>
          <w:highlight w:val="yellow"/>
          <w14:ligatures w14:val="standardContextual"/>
        </w:rPr>
      </w:pPr>
    </w:p>
    <w:p w14:paraId="4FAE0CF1" w14:textId="77777777" w:rsidR="00C24F6F" w:rsidRDefault="00C24F6F" w:rsidP="00C24F6F">
      <w:pPr>
        <w:pStyle w:val="Bezriadkovania"/>
        <w:rPr>
          <w:rFonts w:eastAsiaTheme="minorHAnsi" w:cstheme="minorBidi"/>
          <w:i/>
          <w:kern w:val="2"/>
          <w:sz w:val="16"/>
          <w:szCs w:val="16"/>
          <w:highlight w:val="yellow"/>
          <w14:ligatures w14:val="standardContextual"/>
        </w:rPr>
      </w:pPr>
    </w:p>
    <w:p w14:paraId="633367FE" w14:textId="73F89E3E" w:rsidR="00C24F6F" w:rsidRPr="00E44D5C" w:rsidRDefault="00C24F6F" w:rsidP="00C24F6F">
      <w:pPr>
        <w:pStyle w:val="Tabuka"/>
        <w:framePr w:wrap="around" w:hAnchor="page" w:x="1435" w:y="144"/>
      </w:pPr>
      <w:bookmarkStart w:id="81" w:name="_Toc117765239"/>
      <w:bookmarkStart w:id="82" w:name="_Toc153185525"/>
      <w:bookmarkStart w:id="83" w:name="_Toc179811537"/>
      <w:bookmarkStart w:id="84" w:name="_Toc196813474"/>
      <w:bookmarkStart w:id="85" w:name="_Toc228177386"/>
      <w:r w:rsidRPr="00C24F6F">
        <w:lastRenderedPageBreak/>
        <w:t xml:space="preserve">TABUĽKA </w:t>
      </w:r>
      <w:fldSimple w:instr=" SEQ TABUĽKA \* ARABIC ">
        <w:r w:rsidR="008765E2">
          <w:rPr>
            <w:noProof/>
          </w:rPr>
          <w:t>13</w:t>
        </w:r>
      </w:fldSimple>
      <w:r w:rsidRPr="00C24F6F">
        <w:t xml:space="preserve"> </w:t>
      </w:r>
      <w:r w:rsidRPr="00E44D5C">
        <w:t>– Diskrečné výdavkové opatrenia – medziročné vplyvy opatrení (mil. eur, ESA2010)</w:t>
      </w:r>
      <w:bookmarkEnd w:id="81"/>
      <w:bookmarkEnd w:id="82"/>
      <w:bookmarkEnd w:id="83"/>
      <w:bookmarkEnd w:id="84"/>
      <w:bookmarkEnd w:id="85"/>
    </w:p>
    <w:p w14:paraId="4629716F" w14:textId="77777777" w:rsidR="00C24F6F" w:rsidRPr="00E44D5C" w:rsidRDefault="00C24F6F" w:rsidP="00C24F6F">
      <w:pPr>
        <w:pStyle w:val="Bezriadkovania"/>
        <w:rPr>
          <w:rFonts w:eastAsiaTheme="minorHAnsi" w:cstheme="minorBidi"/>
          <w:i/>
          <w:kern w:val="2"/>
          <w:sz w:val="16"/>
          <w:szCs w:val="16"/>
          <w14:ligatures w14:val="standardContextual"/>
        </w:rPr>
      </w:pPr>
    </w:p>
    <w:p w14:paraId="3EF19A52" w14:textId="77777777" w:rsidR="00C24F6F" w:rsidRPr="00E44D5C" w:rsidRDefault="00C24F6F" w:rsidP="00C24F6F">
      <w:pPr>
        <w:pStyle w:val="Bezriadkovania"/>
        <w:rPr>
          <w:rFonts w:eastAsiaTheme="minorHAnsi" w:cstheme="minorBidi"/>
          <w:i/>
          <w:kern w:val="2"/>
          <w:sz w:val="16"/>
          <w:szCs w:val="16"/>
          <w14:ligatures w14:val="standardContextual"/>
        </w:rPr>
      </w:pPr>
    </w:p>
    <w:p w14:paraId="55BA2450" w14:textId="77777777" w:rsidR="00C24F6F" w:rsidRPr="00E44D5C" w:rsidRDefault="00C24F6F" w:rsidP="00C24F6F">
      <w:pPr>
        <w:pStyle w:val="Bezriadkovania"/>
      </w:pPr>
    </w:p>
    <w:tbl>
      <w:tblPr>
        <w:tblW w:w="9067" w:type="dxa"/>
        <w:tblLayout w:type="fixed"/>
        <w:tblCellMar>
          <w:left w:w="70" w:type="dxa"/>
          <w:right w:w="70" w:type="dxa"/>
        </w:tblCellMar>
        <w:tblLook w:val="04A0" w:firstRow="1" w:lastRow="0" w:firstColumn="1" w:lastColumn="0" w:noHBand="0" w:noVBand="1"/>
      </w:tblPr>
      <w:tblGrid>
        <w:gridCol w:w="6237"/>
        <w:gridCol w:w="567"/>
        <w:gridCol w:w="567"/>
        <w:gridCol w:w="567"/>
        <w:gridCol w:w="567"/>
        <w:gridCol w:w="562"/>
      </w:tblGrid>
      <w:tr w:rsidR="00C24F6F" w:rsidRPr="00E44D5C" w14:paraId="6061078A" w14:textId="77777777" w:rsidTr="002B1847">
        <w:trPr>
          <w:trHeight w:val="21"/>
        </w:trPr>
        <w:tc>
          <w:tcPr>
            <w:tcW w:w="6237" w:type="dxa"/>
            <w:tcBorders>
              <w:top w:val="single" w:sz="4" w:space="0" w:color="auto"/>
              <w:left w:val="nil"/>
              <w:bottom w:val="single" w:sz="4" w:space="0" w:color="auto"/>
              <w:right w:val="nil"/>
            </w:tcBorders>
            <w:noWrap/>
            <w:vAlign w:val="center"/>
            <w:hideMark/>
          </w:tcPr>
          <w:p w14:paraId="610FF9D0" w14:textId="77777777" w:rsidR="00C24F6F" w:rsidRPr="00E44D5C" w:rsidRDefault="00C24F6F" w:rsidP="002B1847">
            <w:pPr>
              <w:spacing w:after="0" w:line="240" w:lineRule="auto"/>
              <w:rPr>
                <w:rFonts w:ascii="Arial Narrow" w:eastAsia="Times New Roman" w:hAnsi="Arial Narrow" w:cs="Times New Roman"/>
                <w:b/>
                <w:bCs/>
                <w:color w:val="000000"/>
                <w:sz w:val="16"/>
                <w:szCs w:val="16"/>
                <w:lang w:eastAsia="sk-SK"/>
              </w:rPr>
            </w:pPr>
            <w:r w:rsidRPr="00E44D5C">
              <w:rPr>
                <w:rFonts w:ascii="Arial Narrow" w:eastAsia="Times New Roman" w:hAnsi="Arial Narrow" w:cs="Times New Roman"/>
                <w:b/>
                <w:bCs/>
                <w:color w:val="000000"/>
                <w:sz w:val="16"/>
                <w:szCs w:val="16"/>
                <w:lang w:eastAsia="sk-SK"/>
              </w:rPr>
              <w:t>Popis</w:t>
            </w:r>
          </w:p>
        </w:tc>
        <w:tc>
          <w:tcPr>
            <w:tcW w:w="567" w:type="dxa"/>
            <w:tcBorders>
              <w:top w:val="single" w:sz="4" w:space="0" w:color="auto"/>
              <w:left w:val="nil"/>
              <w:bottom w:val="single" w:sz="4" w:space="0" w:color="auto"/>
              <w:right w:val="nil"/>
            </w:tcBorders>
            <w:noWrap/>
            <w:vAlign w:val="center"/>
            <w:hideMark/>
          </w:tcPr>
          <w:p w14:paraId="3CEF77DB" w14:textId="77777777" w:rsidR="00C24F6F" w:rsidRPr="00E44D5C" w:rsidRDefault="00C24F6F" w:rsidP="002B1847">
            <w:pPr>
              <w:spacing w:after="0" w:line="240" w:lineRule="auto"/>
              <w:jc w:val="center"/>
              <w:rPr>
                <w:rFonts w:ascii="Arial Narrow" w:eastAsia="Times New Roman" w:hAnsi="Arial Narrow" w:cs="Times New Roman"/>
                <w:b/>
                <w:bCs/>
                <w:color w:val="000000"/>
                <w:sz w:val="16"/>
                <w:szCs w:val="16"/>
                <w:lang w:eastAsia="sk-SK"/>
              </w:rPr>
            </w:pPr>
            <w:r w:rsidRPr="00E44D5C">
              <w:rPr>
                <w:rFonts w:ascii="Arial Narrow" w:eastAsia="Times New Roman" w:hAnsi="Arial Narrow" w:cs="Times New Roman"/>
                <w:b/>
                <w:bCs/>
                <w:color w:val="000000"/>
                <w:sz w:val="16"/>
                <w:szCs w:val="16"/>
                <w:lang w:eastAsia="sk-SK"/>
              </w:rPr>
              <w:t>2024</w:t>
            </w:r>
          </w:p>
        </w:tc>
        <w:tc>
          <w:tcPr>
            <w:tcW w:w="567" w:type="dxa"/>
            <w:tcBorders>
              <w:top w:val="single" w:sz="4" w:space="0" w:color="auto"/>
              <w:left w:val="nil"/>
              <w:bottom w:val="single" w:sz="4" w:space="0" w:color="auto"/>
              <w:right w:val="nil"/>
            </w:tcBorders>
            <w:noWrap/>
            <w:hideMark/>
          </w:tcPr>
          <w:p w14:paraId="49D5D77D" w14:textId="77777777" w:rsidR="00C24F6F" w:rsidRPr="00E44D5C" w:rsidRDefault="00C24F6F" w:rsidP="002B1847">
            <w:pPr>
              <w:spacing w:after="0" w:line="240" w:lineRule="auto"/>
              <w:jc w:val="center"/>
              <w:rPr>
                <w:rFonts w:ascii="Arial Narrow" w:eastAsia="Times New Roman" w:hAnsi="Arial Narrow" w:cs="Times New Roman"/>
                <w:b/>
                <w:bCs/>
                <w:color w:val="000000"/>
                <w:sz w:val="16"/>
                <w:szCs w:val="16"/>
                <w:lang w:eastAsia="sk-SK"/>
              </w:rPr>
            </w:pPr>
            <w:r w:rsidRPr="00E44D5C">
              <w:rPr>
                <w:rFonts w:ascii="Arial Narrow" w:eastAsia="Times New Roman" w:hAnsi="Arial Narrow" w:cs="Times New Roman"/>
                <w:b/>
                <w:bCs/>
                <w:color w:val="000000"/>
                <w:sz w:val="16"/>
                <w:szCs w:val="16"/>
                <w:lang w:eastAsia="sk-SK"/>
              </w:rPr>
              <w:t>2025</w:t>
            </w:r>
          </w:p>
        </w:tc>
        <w:tc>
          <w:tcPr>
            <w:tcW w:w="567" w:type="dxa"/>
            <w:tcBorders>
              <w:top w:val="single" w:sz="4" w:space="0" w:color="auto"/>
              <w:left w:val="nil"/>
              <w:bottom w:val="single" w:sz="4" w:space="0" w:color="auto"/>
              <w:right w:val="nil"/>
            </w:tcBorders>
            <w:noWrap/>
            <w:vAlign w:val="center"/>
            <w:hideMark/>
          </w:tcPr>
          <w:p w14:paraId="2BB8A277" w14:textId="77777777" w:rsidR="00C24F6F" w:rsidRPr="00E44D5C" w:rsidRDefault="00C24F6F" w:rsidP="002B1847">
            <w:pPr>
              <w:spacing w:after="0" w:line="240" w:lineRule="auto"/>
              <w:jc w:val="center"/>
              <w:rPr>
                <w:rFonts w:ascii="Arial Narrow" w:eastAsia="Times New Roman" w:hAnsi="Arial Narrow" w:cs="Times New Roman"/>
                <w:b/>
                <w:bCs/>
                <w:color w:val="000000"/>
                <w:sz w:val="16"/>
                <w:szCs w:val="16"/>
                <w:lang w:eastAsia="sk-SK"/>
              </w:rPr>
            </w:pPr>
            <w:r w:rsidRPr="00E44D5C">
              <w:rPr>
                <w:rFonts w:ascii="Arial Narrow" w:eastAsia="Times New Roman" w:hAnsi="Arial Narrow" w:cs="Times New Roman"/>
                <w:b/>
                <w:bCs/>
                <w:color w:val="000000"/>
                <w:sz w:val="16"/>
                <w:szCs w:val="16"/>
                <w:lang w:eastAsia="sk-SK"/>
              </w:rPr>
              <w:t>2026</w:t>
            </w:r>
          </w:p>
        </w:tc>
        <w:tc>
          <w:tcPr>
            <w:tcW w:w="567" w:type="dxa"/>
            <w:tcBorders>
              <w:top w:val="single" w:sz="4" w:space="0" w:color="auto"/>
              <w:left w:val="nil"/>
              <w:bottom w:val="single" w:sz="4" w:space="0" w:color="auto"/>
              <w:right w:val="nil"/>
            </w:tcBorders>
            <w:noWrap/>
            <w:hideMark/>
          </w:tcPr>
          <w:p w14:paraId="653D70B7" w14:textId="77777777" w:rsidR="00C24F6F" w:rsidRPr="00E44D5C" w:rsidRDefault="00C24F6F" w:rsidP="002B1847">
            <w:pPr>
              <w:spacing w:after="0" w:line="240" w:lineRule="auto"/>
              <w:jc w:val="center"/>
              <w:rPr>
                <w:rFonts w:ascii="Arial Narrow" w:eastAsia="Times New Roman" w:hAnsi="Arial Narrow" w:cs="Times New Roman"/>
                <w:b/>
                <w:bCs/>
                <w:color w:val="000000"/>
                <w:sz w:val="16"/>
                <w:szCs w:val="16"/>
                <w:lang w:eastAsia="sk-SK"/>
              </w:rPr>
            </w:pPr>
            <w:r w:rsidRPr="00E44D5C">
              <w:rPr>
                <w:rFonts w:ascii="Arial Narrow" w:eastAsia="Times New Roman" w:hAnsi="Arial Narrow" w:cs="Times New Roman"/>
                <w:b/>
                <w:bCs/>
                <w:color w:val="000000"/>
                <w:sz w:val="16"/>
                <w:szCs w:val="16"/>
                <w:lang w:eastAsia="sk-SK"/>
              </w:rPr>
              <w:t>2027</w:t>
            </w:r>
          </w:p>
        </w:tc>
        <w:tc>
          <w:tcPr>
            <w:tcW w:w="562" w:type="dxa"/>
            <w:tcBorders>
              <w:top w:val="single" w:sz="4" w:space="0" w:color="auto"/>
              <w:left w:val="nil"/>
              <w:bottom w:val="single" w:sz="4" w:space="0" w:color="auto"/>
              <w:right w:val="nil"/>
            </w:tcBorders>
            <w:noWrap/>
            <w:hideMark/>
          </w:tcPr>
          <w:p w14:paraId="011A133F" w14:textId="77777777" w:rsidR="00C24F6F" w:rsidRPr="00E44D5C" w:rsidRDefault="00C24F6F" w:rsidP="002B1847">
            <w:pPr>
              <w:spacing w:after="0" w:line="240" w:lineRule="auto"/>
              <w:jc w:val="center"/>
              <w:rPr>
                <w:rFonts w:ascii="Arial Narrow" w:eastAsia="Times New Roman" w:hAnsi="Arial Narrow" w:cs="Times New Roman"/>
                <w:b/>
                <w:bCs/>
                <w:color w:val="000000"/>
                <w:sz w:val="16"/>
                <w:szCs w:val="16"/>
                <w:lang w:eastAsia="sk-SK"/>
              </w:rPr>
            </w:pPr>
            <w:r w:rsidRPr="00E44D5C">
              <w:rPr>
                <w:rFonts w:ascii="Arial Narrow" w:eastAsia="Times New Roman" w:hAnsi="Arial Narrow" w:cs="Times New Roman"/>
                <w:b/>
                <w:bCs/>
                <w:color w:val="000000"/>
                <w:sz w:val="16"/>
                <w:szCs w:val="16"/>
                <w:lang w:eastAsia="sk-SK"/>
              </w:rPr>
              <w:t>2028</w:t>
            </w:r>
          </w:p>
        </w:tc>
      </w:tr>
      <w:tr w:rsidR="00C24F6F" w:rsidRPr="00E44D5C" w14:paraId="1F7EF90D" w14:textId="77777777" w:rsidTr="002B1847">
        <w:trPr>
          <w:trHeight w:val="21"/>
        </w:trPr>
        <w:tc>
          <w:tcPr>
            <w:tcW w:w="6237" w:type="dxa"/>
            <w:tcBorders>
              <w:top w:val="single" w:sz="4" w:space="0" w:color="auto"/>
              <w:left w:val="nil"/>
              <w:right w:val="nil"/>
            </w:tcBorders>
            <w:noWrap/>
          </w:tcPr>
          <w:p w14:paraId="056B270F" w14:textId="77777777" w:rsidR="00C24F6F" w:rsidRPr="00E44D5C" w:rsidRDefault="00C24F6F" w:rsidP="002B1847">
            <w:pPr>
              <w:pStyle w:val="Bezriadkovania"/>
              <w:rPr>
                <w:sz w:val="16"/>
                <w:szCs w:val="16"/>
              </w:rPr>
            </w:pPr>
            <w:r w:rsidRPr="00E44D5C">
              <w:rPr>
                <w:sz w:val="16"/>
                <w:szCs w:val="16"/>
              </w:rPr>
              <w:t>Opatrenia v boji s pandémiou COVID-19 (očistené o EÚ fondy)</w:t>
            </w:r>
          </w:p>
        </w:tc>
        <w:tc>
          <w:tcPr>
            <w:tcW w:w="567" w:type="dxa"/>
            <w:tcBorders>
              <w:top w:val="single" w:sz="4" w:space="0" w:color="auto"/>
              <w:left w:val="nil"/>
              <w:right w:val="nil"/>
            </w:tcBorders>
            <w:noWrap/>
          </w:tcPr>
          <w:p w14:paraId="7AC614EE" w14:textId="77777777" w:rsidR="00C24F6F" w:rsidRPr="00E44D5C" w:rsidRDefault="00C24F6F" w:rsidP="002B1847">
            <w:pPr>
              <w:pStyle w:val="Bezriadkovania"/>
              <w:jc w:val="center"/>
              <w:rPr>
                <w:sz w:val="16"/>
                <w:szCs w:val="16"/>
              </w:rPr>
            </w:pPr>
            <w:r w:rsidRPr="00D63DCD">
              <w:rPr>
                <w:sz w:val="16"/>
                <w:szCs w:val="16"/>
              </w:rPr>
              <w:t>-91</w:t>
            </w:r>
          </w:p>
        </w:tc>
        <w:tc>
          <w:tcPr>
            <w:tcW w:w="567" w:type="dxa"/>
            <w:tcBorders>
              <w:top w:val="single" w:sz="4" w:space="0" w:color="auto"/>
              <w:left w:val="nil"/>
              <w:right w:val="nil"/>
            </w:tcBorders>
            <w:noWrap/>
          </w:tcPr>
          <w:p w14:paraId="1C1DEE4B"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single" w:sz="4" w:space="0" w:color="auto"/>
              <w:left w:val="nil"/>
              <w:right w:val="nil"/>
            </w:tcBorders>
            <w:noWrap/>
          </w:tcPr>
          <w:p w14:paraId="434B623A"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top w:val="single" w:sz="4" w:space="0" w:color="auto"/>
              <w:left w:val="nil"/>
              <w:right w:val="nil"/>
            </w:tcBorders>
            <w:noWrap/>
          </w:tcPr>
          <w:p w14:paraId="3E0420A4"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top w:val="single" w:sz="4" w:space="0" w:color="auto"/>
              <w:left w:val="nil"/>
              <w:right w:val="nil"/>
            </w:tcBorders>
            <w:noWrap/>
          </w:tcPr>
          <w:p w14:paraId="3F64F7B0"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15E12B5A" w14:textId="77777777" w:rsidTr="002B1847">
        <w:trPr>
          <w:trHeight w:val="21"/>
        </w:trPr>
        <w:tc>
          <w:tcPr>
            <w:tcW w:w="6237" w:type="dxa"/>
            <w:tcBorders>
              <w:left w:val="nil"/>
              <w:right w:val="nil"/>
            </w:tcBorders>
            <w:noWrap/>
          </w:tcPr>
          <w:p w14:paraId="65252097" w14:textId="77777777" w:rsidR="00C24F6F" w:rsidRPr="00E44D5C" w:rsidRDefault="00C24F6F" w:rsidP="002B1847">
            <w:pPr>
              <w:pStyle w:val="Bezriadkovania"/>
              <w:rPr>
                <w:sz w:val="16"/>
                <w:szCs w:val="16"/>
              </w:rPr>
            </w:pPr>
            <w:r w:rsidRPr="00E44D5C">
              <w:rPr>
                <w:sz w:val="16"/>
                <w:szCs w:val="16"/>
              </w:rPr>
              <w:t>Výdavky spojené s vojnou na Ukrajine (očistené o EÚ fondy)</w:t>
            </w:r>
          </w:p>
        </w:tc>
        <w:tc>
          <w:tcPr>
            <w:tcW w:w="567" w:type="dxa"/>
            <w:tcBorders>
              <w:left w:val="nil"/>
              <w:right w:val="nil"/>
            </w:tcBorders>
            <w:noWrap/>
          </w:tcPr>
          <w:p w14:paraId="5C603BE3" w14:textId="77777777" w:rsidR="00C24F6F" w:rsidRPr="00E44D5C" w:rsidRDefault="00C24F6F" w:rsidP="002B1847">
            <w:pPr>
              <w:pStyle w:val="Bezriadkovania"/>
              <w:jc w:val="center"/>
              <w:rPr>
                <w:sz w:val="16"/>
                <w:szCs w:val="16"/>
              </w:rPr>
            </w:pPr>
            <w:r w:rsidRPr="00D63DCD">
              <w:rPr>
                <w:sz w:val="16"/>
                <w:szCs w:val="16"/>
              </w:rPr>
              <w:t>200</w:t>
            </w:r>
          </w:p>
        </w:tc>
        <w:tc>
          <w:tcPr>
            <w:tcW w:w="567" w:type="dxa"/>
            <w:tcBorders>
              <w:left w:val="nil"/>
              <w:right w:val="nil"/>
            </w:tcBorders>
            <w:noWrap/>
          </w:tcPr>
          <w:p w14:paraId="72E6570B" w14:textId="77777777" w:rsidR="00C24F6F" w:rsidRPr="00E44D5C" w:rsidRDefault="00C24F6F" w:rsidP="002B1847">
            <w:pPr>
              <w:pStyle w:val="Bezriadkovania"/>
              <w:jc w:val="center"/>
              <w:rPr>
                <w:sz w:val="16"/>
                <w:szCs w:val="16"/>
              </w:rPr>
            </w:pPr>
            <w:r w:rsidRPr="00D63DCD">
              <w:rPr>
                <w:sz w:val="16"/>
                <w:szCs w:val="16"/>
              </w:rPr>
              <w:t>-18</w:t>
            </w:r>
          </w:p>
        </w:tc>
        <w:tc>
          <w:tcPr>
            <w:tcW w:w="567" w:type="dxa"/>
            <w:tcBorders>
              <w:left w:val="nil"/>
              <w:right w:val="nil"/>
            </w:tcBorders>
            <w:noWrap/>
          </w:tcPr>
          <w:p w14:paraId="09A62A33" w14:textId="77777777" w:rsidR="00C24F6F" w:rsidRPr="00E44D5C" w:rsidRDefault="00C24F6F" w:rsidP="002B1847">
            <w:pPr>
              <w:pStyle w:val="Bezriadkovania"/>
              <w:jc w:val="center"/>
              <w:rPr>
                <w:sz w:val="16"/>
                <w:szCs w:val="16"/>
              </w:rPr>
            </w:pPr>
            <w:r w:rsidRPr="00D63DCD">
              <w:rPr>
                <w:sz w:val="16"/>
                <w:szCs w:val="16"/>
              </w:rPr>
              <w:t>-115</w:t>
            </w:r>
          </w:p>
        </w:tc>
        <w:tc>
          <w:tcPr>
            <w:tcW w:w="567" w:type="dxa"/>
            <w:tcBorders>
              <w:left w:val="nil"/>
              <w:right w:val="nil"/>
            </w:tcBorders>
            <w:noWrap/>
          </w:tcPr>
          <w:p w14:paraId="46AD9AE7" w14:textId="77777777" w:rsidR="00C24F6F" w:rsidRPr="00E44D5C" w:rsidRDefault="00C24F6F" w:rsidP="002B1847">
            <w:pPr>
              <w:pStyle w:val="Bezriadkovania"/>
              <w:jc w:val="center"/>
              <w:rPr>
                <w:sz w:val="16"/>
                <w:szCs w:val="16"/>
              </w:rPr>
            </w:pPr>
            <w:r w:rsidRPr="00D63DCD">
              <w:rPr>
                <w:sz w:val="16"/>
                <w:szCs w:val="16"/>
              </w:rPr>
              <w:t>115</w:t>
            </w:r>
          </w:p>
        </w:tc>
        <w:tc>
          <w:tcPr>
            <w:tcW w:w="562" w:type="dxa"/>
            <w:tcBorders>
              <w:left w:val="nil"/>
              <w:right w:val="nil"/>
            </w:tcBorders>
            <w:noWrap/>
          </w:tcPr>
          <w:p w14:paraId="0D1C687D" w14:textId="77777777" w:rsidR="00C24F6F" w:rsidRPr="00E44D5C" w:rsidRDefault="00C24F6F" w:rsidP="002B1847">
            <w:pPr>
              <w:pStyle w:val="Bezriadkovania"/>
              <w:jc w:val="center"/>
              <w:rPr>
                <w:sz w:val="16"/>
                <w:szCs w:val="16"/>
              </w:rPr>
            </w:pPr>
            <w:r w:rsidRPr="00D63DCD">
              <w:rPr>
                <w:sz w:val="16"/>
                <w:szCs w:val="16"/>
              </w:rPr>
              <w:t>-15</w:t>
            </w:r>
          </w:p>
        </w:tc>
      </w:tr>
      <w:tr w:rsidR="00C24F6F" w:rsidRPr="00E44D5C" w14:paraId="510C8C3D" w14:textId="77777777" w:rsidTr="002B1847">
        <w:trPr>
          <w:trHeight w:val="21"/>
        </w:trPr>
        <w:tc>
          <w:tcPr>
            <w:tcW w:w="6237" w:type="dxa"/>
            <w:tcBorders>
              <w:left w:val="nil"/>
              <w:right w:val="nil"/>
            </w:tcBorders>
            <w:noWrap/>
          </w:tcPr>
          <w:p w14:paraId="7A48C80D" w14:textId="77777777" w:rsidR="00C24F6F" w:rsidRPr="00E44D5C" w:rsidRDefault="00C24F6F" w:rsidP="002B1847">
            <w:pPr>
              <w:pStyle w:val="Bezriadkovania"/>
              <w:rPr>
                <w:sz w:val="16"/>
                <w:szCs w:val="16"/>
              </w:rPr>
            </w:pPr>
            <w:r w:rsidRPr="00E44D5C">
              <w:rPr>
                <w:sz w:val="16"/>
                <w:szCs w:val="16"/>
              </w:rPr>
              <w:t>Úrad pre územné plánovanie a výstavbu SR (zriadenie nového úradu)</w:t>
            </w:r>
          </w:p>
        </w:tc>
        <w:tc>
          <w:tcPr>
            <w:tcW w:w="567" w:type="dxa"/>
            <w:tcBorders>
              <w:left w:val="nil"/>
              <w:right w:val="nil"/>
            </w:tcBorders>
            <w:noWrap/>
          </w:tcPr>
          <w:p w14:paraId="552F88F1" w14:textId="77777777" w:rsidR="00C24F6F" w:rsidRPr="00E44D5C" w:rsidRDefault="00C24F6F" w:rsidP="002B1847">
            <w:pPr>
              <w:pStyle w:val="Bezriadkovania"/>
              <w:jc w:val="center"/>
              <w:rPr>
                <w:sz w:val="16"/>
                <w:szCs w:val="16"/>
              </w:rPr>
            </w:pPr>
            <w:r w:rsidRPr="00D63DCD">
              <w:rPr>
                <w:sz w:val="16"/>
                <w:szCs w:val="16"/>
              </w:rPr>
              <w:t>16</w:t>
            </w:r>
          </w:p>
        </w:tc>
        <w:tc>
          <w:tcPr>
            <w:tcW w:w="567" w:type="dxa"/>
            <w:tcBorders>
              <w:left w:val="nil"/>
              <w:right w:val="nil"/>
            </w:tcBorders>
            <w:noWrap/>
          </w:tcPr>
          <w:p w14:paraId="1BA566E3" w14:textId="77777777" w:rsidR="00C24F6F" w:rsidRPr="00E44D5C" w:rsidRDefault="00C24F6F" w:rsidP="002B1847">
            <w:pPr>
              <w:pStyle w:val="Bezriadkovania"/>
              <w:jc w:val="center"/>
              <w:rPr>
                <w:sz w:val="16"/>
                <w:szCs w:val="16"/>
              </w:rPr>
            </w:pPr>
            <w:r w:rsidRPr="00D63DCD">
              <w:rPr>
                <w:sz w:val="16"/>
                <w:szCs w:val="16"/>
              </w:rPr>
              <w:t>26</w:t>
            </w:r>
          </w:p>
        </w:tc>
        <w:tc>
          <w:tcPr>
            <w:tcW w:w="567" w:type="dxa"/>
            <w:tcBorders>
              <w:left w:val="nil"/>
              <w:right w:val="nil"/>
            </w:tcBorders>
            <w:noWrap/>
          </w:tcPr>
          <w:p w14:paraId="3368C412"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5536A374"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2C298CD5"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60948C87" w14:textId="77777777" w:rsidTr="002B1847">
        <w:trPr>
          <w:trHeight w:val="21"/>
        </w:trPr>
        <w:tc>
          <w:tcPr>
            <w:tcW w:w="6237" w:type="dxa"/>
            <w:tcBorders>
              <w:left w:val="nil"/>
              <w:right w:val="nil"/>
            </w:tcBorders>
            <w:noWrap/>
          </w:tcPr>
          <w:p w14:paraId="696CD73A" w14:textId="77777777" w:rsidR="00C24F6F" w:rsidRPr="00E44D5C" w:rsidRDefault="00C24F6F" w:rsidP="002B1847">
            <w:pPr>
              <w:pStyle w:val="Bezriadkovania"/>
              <w:rPr>
                <w:sz w:val="16"/>
                <w:szCs w:val="16"/>
              </w:rPr>
            </w:pPr>
            <w:r w:rsidRPr="00E44D5C">
              <w:rPr>
                <w:sz w:val="16"/>
                <w:szCs w:val="16"/>
              </w:rPr>
              <w:t>Odchod do dôchodku po 40 odpracovaných rokoch (aj inflačný vplyv)</w:t>
            </w:r>
          </w:p>
        </w:tc>
        <w:tc>
          <w:tcPr>
            <w:tcW w:w="567" w:type="dxa"/>
            <w:tcBorders>
              <w:left w:val="nil"/>
              <w:right w:val="nil"/>
            </w:tcBorders>
            <w:noWrap/>
          </w:tcPr>
          <w:p w14:paraId="0F89A876" w14:textId="77777777" w:rsidR="00C24F6F" w:rsidRPr="00E44D5C" w:rsidRDefault="00C24F6F" w:rsidP="002B1847">
            <w:pPr>
              <w:pStyle w:val="Bezriadkovania"/>
              <w:jc w:val="center"/>
              <w:rPr>
                <w:sz w:val="16"/>
                <w:szCs w:val="16"/>
              </w:rPr>
            </w:pPr>
            <w:r w:rsidRPr="00D63DCD">
              <w:rPr>
                <w:sz w:val="16"/>
                <w:szCs w:val="16"/>
              </w:rPr>
              <w:t>231</w:t>
            </w:r>
          </w:p>
        </w:tc>
        <w:tc>
          <w:tcPr>
            <w:tcW w:w="567" w:type="dxa"/>
            <w:tcBorders>
              <w:left w:val="nil"/>
              <w:right w:val="nil"/>
            </w:tcBorders>
            <w:noWrap/>
          </w:tcPr>
          <w:p w14:paraId="2F1068EC" w14:textId="77777777" w:rsidR="00C24F6F" w:rsidRPr="00E44D5C" w:rsidRDefault="00C24F6F" w:rsidP="002B1847">
            <w:pPr>
              <w:pStyle w:val="Bezriadkovania"/>
              <w:jc w:val="center"/>
              <w:rPr>
                <w:sz w:val="16"/>
                <w:szCs w:val="16"/>
              </w:rPr>
            </w:pPr>
            <w:r w:rsidRPr="00D63DCD">
              <w:rPr>
                <w:sz w:val="16"/>
                <w:szCs w:val="16"/>
              </w:rPr>
              <w:t>-38</w:t>
            </w:r>
          </w:p>
        </w:tc>
        <w:tc>
          <w:tcPr>
            <w:tcW w:w="567" w:type="dxa"/>
            <w:tcBorders>
              <w:left w:val="nil"/>
              <w:right w:val="nil"/>
            </w:tcBorders>
            <w:noWrap/>
          </w:tcPr>
          <w:p w14:paraId="2395E61A" w14:textId="77777777" w:rsidR="00C24F6F" w:rsidRPr="00E44D5C" w:rsidRDefault="00C24F6F" w:rsidP="002B1847">
            <w:pPr>
              <w:pStyle w:val="Bezriadkovania"/>
              <w:jc w:val="center"/>
              <w:rPr>
                <w:sz w:val="16"/>
                <w:szCs w:val="16"/>
              </w:rPr>
            </w:pPr>
            <w:r w:rsidRPr="00D63DCD">
              <w:rPr>
                <w:sz w:val="16"/>
                <w:szCs w:val="16"/>
              </w:rPr>
              <w:t>-69</w:t>
            </w:r>
          </w:p>
        </w:tc>
        <w:tc>
          <w:tcPr>
            <w:tcW w:w="567" w:type="dxa"/>
            <w:tcBorders>
              <w:left w:val="nil"/>
              <w:right w:val="nil"/>
            </w:tcBorders>
            <w:noWrap/>
          </w:tcPr>
          <w:p w14:paraId="48A9280B" w14:textId="77777777" w:rsidR="00C24F6F" w:rsidRPr="00E44D5C" w:rsidRDefault="00C24F6F" w:rsidP="002B1847">
            <w:pPr>
              <w:pStyle w:val="Bezriadkovania"/>
              <w:jc w:val="center"/>
              <w:rPr>
                <w:sz w:val="16"/>
                <w:szCs w:val="16"/>
              </w:rPr>
            </w:pPr>
            <w:r w:rsidRPr="00D63DCD">
              <w:rPr>
                <w:sz w:val="16"/>
                <w:szCs w:val="16"/>
              </w:rPr>
              <w:t>-74</w:t>
            </w:r>
          </w:p>
        </w:tc>
        <w:tc>
          <w:tcPr>
            <w:tcW w:w="562" w:type="dxa"/>
            <w:tcBorders>
              <w:left w:val="nil"/>
              <w:right w:val="nil"/>
            </w:tcBorders>
            <w:noWrap/>
          </w:tcPr>
          <w:p w14:paraId="1C721B78" w14:textId="77777777" w:rsidR="00C24F6F" w:rsidRPr="00E44D5C" w:rsidRDefault="00C24F6F" w:rsidP="002B1847">
            <w:pPr>
              <w:pStyle w:val="Bezriadkovania"/>
              <w:jc w:val="center"/>
              <w:rPr>
                <w:sz w:val="16"/>
                <w:szCs w:val="16"/>
              </w:rPr>
            </w:pPr>
            <w:r w:rsidRPr="00D63DCD">
              <w:rPr>
                <w:sz w:val="16"/>
                <w:szCs w:val="16"/>
              </w:rPr>
              <w:t>-47</w:t>
            </w:r>
          </w:p>
        </w:tc>
      </w:tr>
      <w:tr w:rsidR="00C24F6F" w:rsidRPr="00E44D5C" w14:paraId="1AD7710B" w14:textId="77777777" w:rsidTr="002B1847">
        <w:trPr>
          <w:trHeight w:val="21"/>
        </w:trPr>
        <w:tc>
          <w:tcPr>
            <w:tcW w:w="6237" w:type="dxa"/>
            <w:tcBorders>
              <w:left w:val="nil"/>
              <w:right w:val="nil"/>
            </w:tcBorders>
            <w:noWrap/>
          </w:tcPr>
          <w:p w14:paraId="3DE01140" w14:textId="77777777" w:rsidR="00C24F6F" w:rsidRPr="00E44D5C" w:rsidRDefault="00C24F6F" w:rsidP="002B1847">
            <w:pPr>
              <w:pStyle w:val="Bezriadkovania"/>
              <w:rPr>
                <w:sz w:val="16"/>
                <w:szCs w:val="16"/>
              </w:rPr>
            </w:pPr>
            <w:r w:rsidRPr="00E44D5C">
              <w:rPr>
                <w:sz w:val="16"/>
                <w:szCs w:val="16"/>
              </w:rPr>
              <w:t xml:space="preserve">Doplatky existujúcim predčasným dôchodcom </w:t>
            </w:r>
          </w:p>
        </w:tc>
        <w:tc>
          <w:tcPr>
            <w:tcW w:w="567" w:type="dxa"/>
            <w:tcBorders>
              <w:left w:val="nil"/>
              <w:right w:val="nil"/>
            </w:tcBorders>
            <w:noWrap/>
          </w:tcPr>
          <w:p w14:paraId="5802A7E7" w14:textId="77777777" w:rsidR="00C24F6F" w:rsidRPr="00E44D5C" w:rsidRDefault="00C24F6F" w:rsidP="002B1847">
            <w:pPr>
              <w:pStyle w:val="Bezriadkovania"/>
              <w:jc w:val="center"/>
              <w:rPr>
                <w:sz w:val="16"/>
                <w:szCs w:val="16"/>
              </w:rPr>
            </w:pPr>
            <w:r w:rsidRPr="00D63DCD">
              <w:rPr>
                <w:sz w:val="16"/>
                <w:szCs w:val="16"/>
              </w:rPr>
              <w:t>43</w:t>
            </w:r>
          </w:p>
        </w:tc>
        <w:tc>
          <w:tcPr>
            <w:tcW w:w="567" w:type="dxa"/>
            <w:tcBorders>
              <w:left w:val="nil"/>
              <w:right w:val="nil"/>
            </w:tcBorders>
            <w:noWrap/>
          </w:tcPr>
          <w:p w14:paraId="78F03915" w14:textId="77777777" w:rsidR="00C24F6F" w:rsidRPr="00E44D5C" w:rsidRDefault="00C24F6F" w:rsidP="002B1847">
            <w:pPr>
              <w:pStyle w:val="Bezriadkovania"/>
              <w:jc w:val="center"/>
              <w:rPr>
                <w:sz w:val="16"/>
                <w:szCs w:val="16"/>
              </w:rPr>
            </w:pPr>
            <w:r w:rsidRPr="00D63DCD">
              <w:rPr>
                <w:sz w:val="16"/>
                <w:szCs w:val="16"/>
              </w:rPr>
              <w:t>7</w:t>
            </w:r>
          </w:p>
        </w:tc>
        <w:tc>
          <w:tcPr>
            <w:tcW w:w="567" w:type="dxa"/>
            <w:tcBorders>
              <w:left w:val="nil"/>
              <w:right w:val="nil"/>
            </w:tcBorders>
            <w:noWrap/>
          </w:tcPr>
          <w:p w14:paraId="32CAD79C" w14:textId="77777777" w:rsidR="00C24F6F" w:rsidRPr="00E44D5C" w:rsidRDefault="00C24F6F" w:rsidP="002B1847">
            <w:pPr>
              <w:pStyle w:val="Bezriadkovania"/>
              <w:jc w:val="center"/>
              <w:rPr>
                <w:sz w:val="16"/>
                <w:szCs w:val="16"/>
              </w:rPr>
            </w:pPr>
            <w:r w:rsidRPr="00D63DCD">
              <w:rPr>
                <w:sz w:val="16"/>
                <w:szCs w:val="16"/>
              </w:rPr>
              <w:t>-24</w:t>
            </w:r>
          </w:p>
        </w:tc>
        <w:tc>
          <w:tcPr>
            <w:tcW w:w="567" w:type="dxa"/>
            <w:tcBorders>
              <w:left w:val="nil"/>
              <w:right w:val="nil"/>
            </w:tcBorders>
            <w:noWrap/>
          </w:tcPr>
          <w:p w14:paraId="2ABE549D"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62C0D5D0"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5B6747EF" w14:textId="77777777" w:rsidTr="002B1847">
        <w:trPr>
          <w:trHeight w:val="21"/>
        </w:trPr>
        <w:tc>
          <w:tcPr>
            <w:tcW w:w="6237" w:type="dxa"/>
            <w:tcBorders>
              <w:left w:val="nil"/>
              <w:right w:val="nil"/>
            </w:tcBorders>
            <w:noWrap/>
          </w:tcPr>
          <w:p w14:paraId="56187CB9" w14:textId="77777777" w:rsidR="00C24F6F" w:rsidRPr="00E44D5C" w:rsidRDefault="00C24F6F" w:rsidP="002B1847">
            <w:pPr>
              <w:pStyle w:val="Bezriadkovania"/>
              <w:rPr>
                <w:sz w:val="16"/>
                <w:szCs w:val="16"/>
              </w:rPr>
            </w:pPr>
            <w:r w:rsidRPr="00E44D5C">
              <w:rPr>
                <w:sz w:val="16"/>
                <w:szCs w:val="16"/>
              </w:rPr>
              <w:t>Zrušenie krátenia príspevku na opatrovanie poberateľom dôchodkov</w:t>
            </w:r>
          </w:p>
        </w:tc>
        <w:tc>
          <w:tcPr>
            <w:tcW w:w="567" w:type="dxa"/>
            <w:tcBorders>
              <w:left w:val="nil"/>
              <w:right w:val="nil"/>
            </w:tcBorders>
            <w:noWrap/>
          </w:tcPr>
          <w:p w14:paraId="0475BB39" w14:textId="77777777" w:rsidR="00C24F6F" w:rsidRPr="00E44D5C" w:rsidRDefault="00C24F6F" w:rsidP="002B1847">
            <w:pPr>
              <w:pStyle w:val="Bezriadkovania"/>
              <w:jc w:val="center"/>
              <w:rPr>
                <w:sz w:val="16"/>
                <w:szCs w:val="16"/>
              </w:rPr>
            </w:pPr>
            <w:r w:rsidRPr="00D63DCD">
              <w:rPr>
                <w:sz w:val="16"/>
                <w:szCs w:val="16"/>
              </w:rPr>
              <w:t>46</w:t>
            </w:r>
          </w:p>
        </w:tc>
        <w:tc>
          <w:tcPr>
            <w:tcW w:w="567" w:type="dxa"/>
            <w:tcBorders>
              <w:left w:val="nil"/>
              <w:right w:val="nil"/>
            </w:tcBorders>
            <w:noWrap/>
          </w:tcPr>
          <w:p w14:paraId="339C3068" w14:textId="77777777" w:rsidR="00C24F6F" w:rsidRPr="00E44D5C" w:rsidRDefault="00C24F6F" w:rsidP="002B1847">
            <w:pPr>
              <w:pStyle w:val="Bezriadkovania"/>
              <w:jc w:val="center"/>
              <w:rPr>
                <w:sz w:val="16"/>
                <w:szCs w:val="16"/>
              </w:rPr>
            </w:pPr>
            <w:r w:rsidRPr="00D63DCD">
              <w:rPr>
                <w:sz w:val="16"/>
                <w:szCs w:val="16"/>
              </w:rPr>
              <w:t>24</w:t>
            </w:r>
          </w:p>
        </w:tc>
        <w:tc>
          <w:tcPr>
            <w:tcW w:w="567" w:type="dxa"/>
            <w:tcBorders>
              <w:left w:val="nil"/>
              <w:right w:val="nil"/>
            </w:tcBorders>
            <w:noWrap/>
          </w:tcPr>
          <w:p w14:paraId="09F9D030"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4FB48313"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5B154E3C"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0AECC929" w14:textId="77777777" w:rsidTr="002B1847">
        <w:trPr>
          <w:trHeight w:val="21"/>
        </w:trPr>
        <w:tc>
          <w:tcPr>
            <w:tcW w:w="6237" w:type="dxa"/>
            <w:tcBorders>
              <w:left w:val="nil"/>
              <w:right w:val="nil"/>
            </w:tcBorders>
            <w:noWrap/>
          </w:tcPr>
          <w:p w14:paraId="243F8A7F" w14:textId="77777777" w:rsidR="00C24F6F" w:rsidRPr="00E44D5C" w:rsidRDefault="00C24F6F" w:rsidP="002B1847">
            <w:pPr>
              <w:pStyle w:val="Bezriadkovania"/>
              <w:rPr>
                <w:sz w:val="16"/>
                <w:szCs w:val="16"/>
              </w:rPr>
            </w:pPr>
            <w:r w:rsidRPr="00E44D5C">
              <w:rPr>
                <w:sz w:val="16"/>
                <w:szCs w:val="16"/>
              </w:rPr>
              <w:t>Kompenzácia rastúcich cien energií spolu (očistené o EÚ fondy)</w:t>
            </w:r>
          </w:p>
        </w:tc>
        <w:tc>
          <w:tcPr>
            <w:tcW w:w="567" w:type="dxa"/>
            <w:tcBorders>
              <w:left w:val="nil"/>
              <w:right w:val="nil"/>
            </w:tcBorders>
            <w:noWrap/>
          </w:tcPr>
          <w:p w14:paraId="34B0E87A" w14:textId="77777777" w:rsidR="00C24F6F" w:rsidRPr="00E44D5C" w:rsidRDefault="00C24F6F" w:rsidP="002B1847">
            <w:pPr>
              <w:pStyle w:val="Bezriadkovania"/>
              <w:jc w:val="center"/>
              <w:rPr>
                <w:sz w:val="16"/>
                <w:szCs w:val="16"/>
              </w:rPr>
            </w:pPr>
            <w:r w:rsidRPr="00D63DCD">
              <w:rPr>
                <w:sz w:val="16"/>
                <w:szCs w:val="16"/>
              </w:rPr>
              <w:t>-1063</w:t>
            </w:r>
          </w:p>
        </w:tc>
        <w:tc>
          <w:tcPr>
            <w:tcW w:w="567" w:type="dxa"/>
            <w:tcBorders>
              <w:left w:val="nil"/>
              <w:right w:val="nil"/>
            </w:tcBorders>
            <w:noWrap/>
          </w:tcPr>
          <w:p w14:paraId="01D36EF5" w14:textId="77777777" w:rsidR="00C24F6F" w:rsidRPr="00E44D5C" w:rsidRDefault="00C24F6F" w:rsidP="002B1847">
            <w:pPr>
              <w:pStyle w:val="Bezriadkovania"/>
              <w:jc w:val="center"/>
              <w:rPr>
                <w:sz w:val="16"/>
                <w:szCs w:val="16"/>
              </w:rPr>
            </w:pPr>
            <w:r w:rsidRPr="00D63DCD">
              <w:rPr>
                <w:sz w:val="16"/>
                <w:szCs w:val="16"/>
              </w:rPr>
              <w:t>-603</w:t>
            </w:r>
          </w:p>
        </w:tc>
        <w:tc>
          <w:tcPr>
            <w:tcW w:w="567" w:type="dxa"/>
            <w:tcBorders>
              <w:left w:val="nil"/>
              <w:right w:val="nil"/>
            </w:tcBorders>
            <w:noWrap/>
          </w:tcPr>
          <w:p w14:paraId="2754704B" w14:textId="77777777" w:rsidR="00C24F6F" w:rsidRPr="00E44D5C" w:rsidRDefault="00C24F6F" w:rsidP="002B1847">
            <w:pPr>
              <w:pStyle w:val="Bezriadkovania"/>
              <w:jc w:val="center"/>
              <w:rPr>
                <w:sz w:val="16"/>
                <w:szCs w:val="16"/>
              </w:rPr>
            </w:pPr>
            <w:r w:rsidRPr="00D63DCD">
              <w:rPr>
                <w:sz w:val="16"/>
                <w:szCs w:val="16"/>
              </w:rPr>
              <w:t>-104</w:t>
            </w:r>
          </w:p>
        </w:tc>
        <w:tc>
          <w:tcPr>
            <w:tcW w:w="567" w:type="dxa"/>
            <w:tcBorders>
              <w:left w:val="nil"/>
              <w:right w:val="nil"/>
            </w:tcBorders>
            <w:noWrap/>
          </w:tcPr>
          <w:p w14:paraId="6D64A511" w14:textId="77777777" w:rsidR="00C24F6F" w:rsidRPr="00E44D5C" w:rsidRDefault="00C24F6F" w:rsidP="002B1847">
            <w:pPr>
              <w:pStyle w:val="Bezriadkovania"/>
              <w:jc w:val="center"/>
              <w:rPr>
                <w:sz w:val="16"/>
                <w:szCs w:val="16"/>
              </w:rPr>
            </w:pPr>
            <w:r w:rsidRPr="00D63DCD">
              <w:rPr>
                <w:sz w:val="16"/>
                <w:szCs w:val="16"/>
              </w:rPr>
              <w:t>-420</w:t>
            </w:r>
          </w:p>
        </w:tc>
        <w:tc>
          <w:tcPr>
            <w:tcW w:w="562" w:type="dxa"/>
            <w:tcBorders>
              <w:left w:val="nil"/>
              <w:right w:val="nil"/>
            </w:tcBorders>
            <w:noWrap/>
          </w:tcPr>
          <w:p w14:paraId="491D7A61"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1DA53B71" w14:textId="77777777" w:rsidTr="002B1847">
        <w:trPr>
          <w:trHeight w:val="21"/>
        </w:trPr>
        <w:tc>
          <w:tcPr>
            <w:tcW w:w="6237" w:type="dxa"/>
            <w:tcBorders>
              <w:left w:val="nil"/>
              <w:right w:val="nil"/>
            </w:tcBorders>
            <w:noWrap/>
          </w:tcPr>
          <w:p w14:paraId="38EDEF47" w14:textId="77777777" w:rsidR="00C24F6F" w:rsidRPr="00E44D5C" w:rsidRDefault="00C24F6F" w:rsidP="002B1847">
            <w:pPr>
              <w:pStyle w:val="Bezriadkovania"/>
              <w:rPr>
                <w:sz w:val="16"/>
                <w:szCs w:val="16"/>
              </w:rPr>
            </w:pPr>
            <w:r w:rsidRPr="00E44D5C">
              <w:rPr>
                <w:sz w:val="16"/>
                <w:szCs w:val="16"/>
              </w:rPr>
              <w:t>Kolektívne vyjednávanie zdravotníckych pracovníkov</w:t>
            </w:r>
          </w:p>
        </w:tc>
        <w:tc>
          <w:tcPr>
            <w:tcW w:w="567" w:type="dxa"/>
            <w:tcBorders>
              <w:left w:val="nil"/>
              <w:right w:val="nil"/>
            </w:tcBorders>
            <w:noWrap/>
          </w:tcPr>
          <w:p w14:paraId="1B015847" w14:textId="77777777" w:rsidR="00C24F6F" w:rsidRPr="00E44D5C" w:rsidRDefault="00C24F6F" w:rsidP="002B1847">
            <w:pPr>
              <w:pStyle w:val="Bezriadkovania"/>
              <w:jc w:val="center"/>
              <w:rPr>
                <w:sz w:val="16"/>
                <w:szCs w:val="16"/>
              </w:rPr>
            </w:pPr>
            <w:r w:rsidRPr="00D63DCD">
              <w:rPr>
                <w:sz w:val="16"/>
                <w:szCs w:val="16"/>
              </w:rPr>
              <w:t>-25</w:t>
            </w:r>
          </w:p>
        </w:tc>
        <w:tc>
          <w:tcPr>
            <w:tcW w:w="567" w:type="dxa"/>
            <w:tcBorders>
              <w:left w:val="nil"/>
              <w:right w:val="nil"/>
            </w:tcBorders>
            <w:noWrap/>
          </w:tcPr>
          <w:p w14:paraId="1DA45B56"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4550A6EB" w14:textId="77777777" w:rsidR="00C24F6F" w:rsidRPr="00E44D5C" w:rsidRDefault="00C24F6F" w:rsidP="002B1847">
            <w:pPr>
              <w:pStyle w:val="Bezriadkovania"/>
              <w:jc w:val="center"/>
              <w:rPr>
                <w:sz w:val="16"/>
                <w:szCs w:val="16"/>
              </w:rPr>
            </w:pPr>
            <w:r w:rsidRPr="00D63DCD">
              <w:rPr>
                <w:sz w:val="16"/>
                <w:szCs w:val="16"/>
              </w:rPr>
              <w:t>-39</w:t>
            </w:r>
          </w:p>
        </w:tc>
        <w:tc>
          <w:tcPr>
            <w:tcW w:w="567" w:type="dxa"/>
            <w:tcBorders>
              <w:left w:val="nil"/>
              <w:right w:val="nil"/>
            </w:tcBorders>
            <w:noWrap/>
          </w:tcPr>
          <w:p w14:paraId="42205372"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6D2E2097"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387D5B5A" w14:textId="77777777" w:rsidTr="002B1847">
        <w:trPr>
          <w:trHeight w:val="21"/>
        </w:trPr>
        <w:tc>
          <w:tcPr>
            <w:tcW w:w="6237" w:type="dxa"/>
            <w:tcBorders>
              <w:left w:val="nil"/>
              <w:right w:val="nil"/>
            </w:tcBorders>
            <w:noWrap/>
          </w:tcPr>
          <w:p w14:paraId="66E617D2" w14:textId="77777777" w:rsidR="00C24F6F" w:rsidRPr="00E44D5C" w:rsidRDefault="00C24F6F" w:rsidP="002B1847">
            <w:pPr>
              <w:pStyle w:val="Bezriadkovania"/>
              <w:rPr>
                <w:sz w:val="16"/>
                <w:szCs w:val="16"/>
              </w:rPr>
            </w:pPr>
            <w:r w:rsidRPr="00E44D5C">
              <w:rPr>
                <w:sz w:val="16"/>
                <w:szCs w:val="16"/>
              </w:rPr>
              <w:t>Stabilizačný príspevok pre pracovníkov v zariadeniach soc. služieb</w:t>
            </w:r>
          </w:p>
        </w:tc>
        <w:tc>
          <w:tcPr>
            <w:tcW w:w="567" w:type="dxa"/>
            <w:tcBorders>
              <w:left w:val="nil"/>
              <w:right w:val="nil"/>
            </w:tcBorders>
            <w:noWrap/>
          </w:tcPr>
          <w:p w14:paraId="242CAEDA" w14:textId="77777777" w:rsidR="00C24F6F" w:rsidRPr="00E44D5C" w:rsidRDefault="00C24F6F" w:rsidP="002B1847">
            <w:pPr>
              <w:pStyle w:val="Bezriadkovania"/>
              <w:jc w:val="center"/>
              <w:rPr>
                <w:sz w:val="16"/>
                <w:szCs w:val="16"/>
              </w:rPr>
            </w:pPr>
            <w:r w:rsidRPr="00D63DCD">
              <w:rPr>
                <w:sz w:val="16"/>
                <w:szCs w:val="16"/>
              </w:rPr>
              <w:t>-44</w:t>
            </w:r>
          </w:p>
        </w:tc>
        <w:tc>
          <w:tcPr>
            <w:tcW w:w="567" w:type="dxa"/>
            <w:tcBorders>
              <w:left w:val="nil"/>
              <w:right w:val="nil"/>
            </w:tcBorders>
            <w:noWrap/>
          </w:tcPr>
          <w:p w14:paraId="613CB9AF"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71AC5C44"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7C5C99E8"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07894734"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418D51A9" w14:textId="77777777" w:rsidTr="002B1847">
        <w:trPr>
          <w:trHeight w:val="21"/>
        </w:trPr>
        <w:tc>
          <w:tcPr>
            <w:tcW w:w="6237" w:type="dxa"/>
            <w:tcBorders>
              <w:left w:val="nil"/>
              <w:right w:val="nil"/>
            </w:tcBorders>
            <w:noWrap/>
          </w:tcPr>
          <w:p w14:paraId="3C264DC8" w14:textId="77777777" w:rsidR="00C24F6F" w:rsidRPr="00E44D5C" w:rsidRDefault="00C24F6F" w:rsidP="002B1847">
            <w:pPr>
              <w:pStyle w:val="Bezriadkovania"/>
              <w:rPr>
                <w:sz w:val="16"/>
                <w:szCs w:val="16"/>
              </w:rPr>
            </w:pPr>
            <w:r w:rsidRPr="00E44D5C">
              <w:rPr>
                <w:sz w:val="16"/>
                <w:szCs w:val="16"/>
              </w:rPr>
              <w:t>Opätovné zavedenie obedov zadarmo (2023)</w:t>
            </w:r>
          </w:p>
        </w:tc>
        <w:tc>
          <w:tcPr>
            <w:tcW w:w="567" w:type="dxa"/>
            <w:tcBorders>
              <w:left w:val="nil"/>
              <w:right w:val="nil"/>
            </w:tcBorders>
            <w:noWrap/>
          </w:tcPr>
          <w:p w14:paraId="2482D371" w14:textId="77777777" w:rsidR="00C24F6F" w:rsidRPr="00E44D5C" w:rsidRDefault="00C24F6F" w:rsidP="002B1847">
            <w:pPr>
              <w:pStyle w:val="Bezriadkovania"/>
              <w:jc w:val="center"/>
              <w:rPr>
                <w:sz w:val="16"/>
                <w:szCs w:val="16"/>
              </w:rPr>
            </w:pPr>
            <w:r w:rsidRPr="00D63DCD">
              <w:rPr>
                <w:sz w:val="16"/>
                <w:szCs w:val="16"/>
              </w:rPr>
              <w:t>57</w:t>
            </w:r>
          </w:p>
        </w:tc>
        <w:tc>
          <w:tcPr>
            <w:tcW w:w="567" w:type="dxa"/>
            <w:tcBorders>
              <w:left w:val="nil"/>
              <w:right w:val="nil"/>
            </w:tcBorders>
            <w:noWrap/>
          </w:tcPr>
          <w:p w14:paraId="49F64B1A"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08ABEF01"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46FCA293"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64F5B77E"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1AFAF487" w14:textId="77777777" w:rsidTr="002B1847">
        <w:trPr>
          <w:trHeight w:val="21"/>
        </w:trPr>
        <w:tc>
          <w:tcPr>
            <w:tcW w:w="6237" w:type="dxa"/>
            <w:tcBorders>
              <w:left w:val="nil"/>
              <w:right w:val="nil"/>
            </w:tcBorders>
            <w:noWrap/>
          </w:tcPr>
          <w:p w14:paraId="6582A805" w14:textId="77777777" w:rsidR="00C24F6F" w:rsidRPr="00E44D5C" w:rsidRDefault="00C24F6F" w:rsidP="002B1847">
            <w:pPr>
              <w:pStyle w:val="Bezriadkovania"/>
              <w:rPr>
                <w:sz w:val="16"/>
                <w:szCs w:val="16"/>
              </w:rPr>
            </w:pPr>
            <w:r w:rsidRPr="00E44D5C">
              <w:rPr>
                <w:sz w:val="16"/>
                <w:szCs w:val="16"/>
              </w:rPr>
              <w:t xml:space="preserve">Mimoriadna valorizácia dôchodkov od júla 2023 </w:t>
            </w:r>
          </w:p>
        </w:tc>
        <w:tc>
          <w:tcPr>
            <w:tcW w:w="567" w:type="dxa"/>
            <w:tcBorders>
              <w:left w:val="nil"/>
              <w:right w:val="nil"/>
            </w:tcBorders>
            <w:noWrap/>
          </w:tcPr>
          <w:p w14:paraId="6074A9AC" w14:textId="77777777" w:rsidR="00C24F6F" w:rsidRPr="00E44D5C" w:rsidRDefault="00C24F6F" w:rsidP="002B1847">
            <w:pPr>
              <w:pStyle w:val="Bezriadkovania"/>
              <w:jc w:val="center"/>
              <w:rPr>
                <w:sz w:val="16"/>
                <w:szCs w:val="16"/>
              </w:rPr>
            </w:pPr>
            <w:r w:rsidRPr="00D63DCD">
              <w:rPr>
                <w:sz w:val="16"/>
                <w:szCs w:val="16"/>
              </w:rPr>
              <w:t>-494</w:t>
            </w:r>
          </w:p>
        </w:tc>
        <w:tc>
          <w:tcPr>
            <w:tcW w:w="567" w:type="dxa"/>
            <w:tcBorders>
              <w:left w:val="nil"/>
              <w:right w:val="nil"/>
            </w:tcBorders>
            <w:noWrap/>
          </w:tcPr>
          <w:p w14:paraId="769E0DDD"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2886C415"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551D2994"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5AD0E556"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1EC24785" w14:textId="77777777" w:rsidTr="002B1847">
        <w:trPr>
          <w:trHeight w:val="21"/>
        </w:trPr>
        <w:tc>
          <w:tcPr>
            <w:tcW w:w="6237" w:type="dxa"/>
            <w:tcBorders>
              <w:left w:val="nil"/>
              <w:right w:val="nil"/>
            </w:tcBorders>
            <w:noWrap/>
          </w:tcPr>
          <w:p w14:paraId="2883A22E" w14:textId="77777777" w:rsidR="00C24F6F" w:rsidRPr="00E44D5C" w:rsidRDefault="00C24F6F" w:rsidP="002B1847">
            <w:pPr>
              <w:pStyle w:val="Bezriadkovania"/>
              <w:rPr>
                <w:sz w:val="16"/>
                <w:szCs w:val="16"/>
              </w:rPr>
            </w:pPr>
            <w:r w:rsidRPr="00E44D5C">
              <w:rPr>
                <w:sz w:val="16"/>
                <w:szCs w:val="16"/>
              </w:rPr>
              <w:t>Mimoriadna valorizácia rodičovského príspevku</w:t>
            </w:r>
          </w:p>
        </w:tc>
        <w:tc>
          <w:tcPr>
            <w:tcW w:w="567" w:type="dxa"/>
            <w:tcBorders>
              <w:left w:val="nil"/>
              <w:right w:val="nil"/>
            </w:tcBorders>
            <w:noWrap/>
          </w:tcPr>
          <w:p w14:paraId="5CF18EF5" w14:textId="77777777" w:rsidR="00C24F6F" w:rsidRPr="00E44D5C" w:rsidRDefault="00C24F6F" w:rsidP="002B1847">
            <w:pPr>
              <w:pStyle w:val="Bezriadkovania"/>
              <w:jc w:val="center"/>
              <w:rPr>
                <w:sz w:val="16"/>
                <w:szCs w:val="16"/>
              </w:rPr>
            </w:pPr>
            <w:r w:rsidRPr="00D63DCD">
              <w:rPr>
                <w:sz w:val="16"/>
                <w:szCs w:val="16"/>
              </w:rPr>
              <w:t>-35</w:t>
            </w:r>
          </w:p>
        </w:tc>
        <w:tc>
          <w:tcPr>
            <w:tcW w:w="567" w:type="dxa"/>
            <w:tcBorders>
              <w:left w:val="nil"/>
              <w:right w:val="nil"/>
            </w:tcBorders>
            <w:noWrap/>
          </w:tcPr>
          <w:p w14:paraId="3A063B73"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1C237A94"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18224467"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75A6E594"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3F327300" w14:textId="77777777" w:rsidTr="002B1847">
        <w:trPr>
          <w:trHeight w:val="21"/>
        </w:trPr>
        <w:tc>
          <w:tcPr>
            <w:tcW w:w="6237" w:type="dxa"/>
            <w:tcBorders>
              <w:left w:val="nil"/>
              <w:right w:val="nil"/>
            </w:tcBorders>
            <w:noWrap/>
          </w:tcPr>
          <w:p w14:paraId="1E3E6A66" w14:textId="77777777" w:rsidR="00C24F6F" w:rsidRPr="00E44D5C" w:rsidRDefault="00C24F6F" w:rsidP="002B1847">
            <w:pPr>
              <w:pStyle w:val="Bezriadkovania"/>
              <w:rPr>
                <w:sz w:val="16"/>
                <w:szCs w:val="16"/>
              </w:rPr>
            </w:pPr>
            <w:r w:rsidRPr="00E44D5C">
              <w:rPr>
                <w:sz w:val="16"/>
                <w:szCs w:val="16"/>
              </w:rPr>
              <w:t>Novela školského zákona</w:t>
            </w:r>
          </w:p>
        </w:tc>
        <w:tc>
          <w:tcPr>
            <w:tcW w:w="567" w:type="dxa"/>
            <w:tcBorders>
              <w:left w:val="nil"/>
              <w:right w:val="nil"/>
            </w:tcBorders>
            <w:noWrap/>
          </w:tcPr>
          <w:p w14:paraId="5B847D8E" w14:textId="77777777" w:rsidR="00C24F6F" w:rsidRPr="00E44D5C" w:rsidRDefault="00C24F6F" w:rsidP="002B1847">
            <w:pPr>
              <w:pStyle w:val="Bezriadkovania"/>
              <w:jc w:val="center"/>
              <w:rPr>
                <w:sz w:val="16"/>
                <w:szCs w:val="16"/>
              </w:rPr>
            </w:pPr>
            <w:r w:rsidRPr="00D63DCD">
              <w:rPr>
                <w:sz w:val="16"/>
                <w:szCs w:val="16"/>
              </w:rPr>
              <w:t>101</w:t>
            </w:r>
          </w:p>
        </w:tc>
        <w:tc>
          <w:tcPr>
            <w:tcW w:w="567" w:type="dxa"/>
            <w:tcBorders>
              <w:left w:val="nil"/>
              <w:right w:val="nil"/>
            </w:tcBorders>
            <w:noWrap/>
          </w:tcPr>
          <w:p w14:paraId="04D19AC3" w14:textId="77777777" w:rsidR="00C24F6F" w:rsidRPr="00E44D5C" w:rsidRDefault="00C24F6F" w:rsidP="002B1847">
            <w:pPr>
              <w:pStyle w:val="Bezriadkovania"/>
              <w:jc w:val="center"/>
              <w:rPr>
                <w:sz w:val="16"/>
                <w:szCs w:val="16"/>
              </w:rPr>
            </w:pPr>
            <w:r w:rsidRPr="00D63DCD">
              <w:rPr>
                <w:sz w:val="16"/>
                <w:szCs w:val="16"/>
              </w:rPr>
              <w:t>131</w:t>
            </w:r>
          </w:p>
        </w:tc>
        <w:tc>
          <w:tcPr>
            <w:tcW w:w="567" w:type="dxa"/>
            <w:tcBorders>
              <w:left w:val="nil"/>
              <w:right w:val="nil"/>
            </w:tcBorders>
            <w:noWrap/>
          </w:tcPr>
          <w:p w14:paraId="782AED13" w14:textId="77777777" w:rsidR="00C24F6F" w:rsidRPr="00E44D5C" w:rsidRDefault="00C24F6F" w:rsidP="002B1847">
            <w:pPr>
              <w:pStyle w:val="Bezriadkovania"/>
              <w:jc w:val="center"/>
              <w:rPr>
                <w:sz w:val="16"/>
                <w:szCs w:val="16"/>
              </w:rPr>
            </w:pPr>
            <w:r w:rsidRPr="00D63DCD">
              <w:rPr>
                <w:sz w:val="16"/>
                <w:szCs w:val="16"/>
              </w:rPr>
              <w:t>50</w:t>
            </w:r>
          </w:p>
        </w:tc>
        <w:tc>
          <w:tcPr>
            <w:tcW w:w="567" w:type="dxa"/>
            <w:tcBorders>
              <w:left w:val="nil"/>
              <w:right w:val="nil"/>
            </w:tcBorders>
            <w:noWrap/>
          </w:tcPr>
          <w:p w14:paraId="21D5E19F"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253D6402"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04841146" w14:textId="77777777" w:rsidTr="002B1847">
        <w:trPr>
          <w:trHeight w:val="21"/>
        </w:trPr>
        <w:tc>
          <w:tcPr>
            <w:tcW w:w="6237" w:type="dxa"/>
            <w:tcBorders>
              <w:left w:val="nil"/>
              <w:right w:val="nil"/>
            </w:tcBorders>
            <w:noWrap/>
          </w:tcPr>
          <w:p w14:paraId="0D728B6A" w14:textId="77777777" w:rsidR="00C24F6F" w:rsidRPr="00E44D5C" w:rsidRDefault="00C24F6F" w:rsidP="002B1847">
            <w:pPr>
              <w:pStyle w:val="Bezriadkovania"/>
              <w:rPr>
                <w:sz w:val="16"/>
                <w:szCs w:val="16"/>
              </w:rPr>
            </w:pPr>
            <w:r w:rsidRPr="00E44D5C">
              <w:rPr>
                <w:sz w:val="16"/>
                <w:szCs w:val="16"/>
              </w:rPr>
              <w:t>Podpora priemyselných parkov (Valaliky, Šurany)</w:t>
            </w:r>
          </w:p>
        </w:tc>
        <w:tc>
          <w:tcPr>
            <w:tcW w:w="567" w:type="dxa"/>
            <w:tcBorders>
              <w:left w:val="nil"/>
              <w:right w:val="nil"/>
            </w:tcBorders>
            <w:noWrap/>
          </w:tcPr>
          <w:p w14:paraId="7E5B0EC3" w14:textId="77777777" w:rsidR="00C24F6F" w:rsidRPr="00E44D5C" w:rsidRDefault="00C24F6F" w:rsidP="002B1847">
            <w:pPr>
              <w:pStyle w:val="Bezriadkovania"/>
              <w:jc w:val="center"/>
              <w:rPr>
                <w:sz w:val="16"/>
                <w:szCs w:val="16"/>
              </w:rPr>
            </w:pPr>
            <w:r w:rsidRPr="00D63DCD">
              <w:rPr>
                <w:sz w:val="16"/>
                <w:szCs w:val="16"/>
              </w:rPr>
              <w:t>40</w:t>
            </w:r>
          </w:p>
        </w:tc>
        <w:tc>
          <w:tcPr>
            <w:tcW w:w="567" w:type="dxa"/>
            <w:tcBorders>
              <w:left w:val="nil"/>
              <w:right w:val="nil"/>
            </w:tcBorders>
            <w:noWrap/>
          </w:tcPr>
          <w:p w14:paraId="065243F5" w14:textId="77777777" w:rsidR="00C24F6F" w:rsidRPr="00E44D5C" w:rsidRDefault="00C24F6F" w:rsidP="002B1847">
            <w:pPr>
              <w:pStyle w:val="Bezriadkovania"/>
              <w:jc w:val="center"/>
              <w:rPr>
                <w:sz w:val="16"/>
                <w:szCs w:val="16"/>
              </w:rPr>
            </w:pPr>
            <w:r w:rsidRPr="00D63DCD">
              <w:rPr>
                <w:sz w:val="16"/>
                <w:szCs w:val="16"/>
              </w:rPr>
              <w:t>83</w:t>
            </w:r>
          </w:p>
        </w:tc>
        <w:tc>
          <w:tcPr>
            <w:tcW w:w="567" w:type="dxa"/>
            <w:tcBorders>
              <w:left w:val="nil"/>
              <w:right w:val="nil"/>
            </w:tcBorders>
            <w:noWrap/>
          </w:tcPr>
          <w:p w14:paraId="1D05BDE3" w14:textId="77777777" w:rsidR="00C24F6F" w:rsidRPr="00E44D5C" w:rsidRDefault="00C24F6F" w:rsidP="002B1847">
            <w:pPr>
              <w:pStyle w:val="Bezriadkovania"/>
              <w:jc w:val="center"/>
              <w:rPr>
                <w:sz w:val="16"/>
                <w:szCs w:val="16"/>
              </w:rPr>
            </w:pPr>
            <w:r w:rsidRPr="00D63DCD">
              <w:rPr>
                <w:sz w:val="16"/>
                <w:szCs w:val="16"/>
              </w:rPr>
              <w:t>-43</w:t>
            </w:r>
          </w:p>
        </w:tc>
        <w:tc>
          <w:tcPr>
            <w:tcW w:w="567" w:type="dxa"/>
            <w:tcBorders>
              <w:left w:val="nil"/>
              <w:right w:val="nil"/>
            </w:tcBorders>
            <w:noWrap/>
          </w:tcPr>
          <w:p w14:paraId="00526391" w14:textId="77777777" w:rsidR="00C24F6F" w:rsidRPr="00E44D5C" w:rsidRDefault="00C24F6F" w:rsidP="002B1847">
            <w:pPr>
              <w:pStyle w:val="Bezriadkovania"/>
              <w:jc w:val="center"/>
              <w:rPr>
                <w:sz w:val="16"/>
                <w:szCs w:val="16"/>
              </w:rPr>
            </w:pPr>
            <w:r w:rsidRPr="00D63DCD">
              <w:rPr>
                <w:sz w:val="16"/>
                <w:szCs w:val="16"/>
              </w:rPr>
              <w:t>-188</w:t>
            </w:r>
          </w:p>
        </w:tc>
        <w:tc>
          <w:tcPr>
            <w:tcW w:w="562" w:type="dxa"/>
            <w:tcBorders>
              <w:left w:val="nil"/>
              <w:right w:val="nil"/>
            </w:tcBorders>
            <w:noWrap/>
          </w:tcPr>
          <w:p w14:paraId="73C26AB2" w14:textId="77777777" w:rsidR="00C24F6F" w:rsidRPr="00E44D5C" w:rsidRDefault="00C24F6F" w:rsidP="002B1847">
            <w:pPr>
              <w:pStyle w:val="Bezriadkovania"/>
              <w:jc w:val="center"/>
              <w:rPr>
                <w:sz w:val="16"/>
                <w:szCs w:val="16"/>
              </w:rPr>
            </w:pPr>
            <w:r w:rsidRPr="00D63DCD">
              <w:rPr>
                <w:sz w:val="16"/>
                <w:szCs w:val="16"/>
              </w:rPr>
              <w:t>-3</w:t>
            </w:r>
          </w:p>
        </w:tc>
      </w:tr>
      <w:tr w:rsidR="00C24F6F" w:rsidRPr="00E44D5C" w14:paraId="7E9ED4A5" w14:textId="77777777" w:rsidTr="002B1847">
        <w:trPr>
          <w:trHeight w:val="21"/>
        </w:trPr>
        <w:tc>
          <w:tcPr>
            <w:tcW w:w="6237" w:type="dxa"/>
            <w:tcBorders>
              <w:left w:val="nil"/>
              <w:right w:val="nil"/>
            </w:tcBorders>
            <w:noWrap/>
          </w:tcPr>
          <w:p w14:paraId="59976DCA" w14:textId="77777777" w:rsidR="00C24F6F" w:rsidRPr="00E44D5C" w:rsidRDefault="00C24F6F" w:rsidP="002B1847">
            <w:pPr>
              <w:pStyle w:val="Bezriadkovania"/>
              <w:rPr>
                <w:sz w:val="16"/>
                <w:szCs w:val="16"/>
              </w:rPr>
            </w:pPr>
            <w:r w:rsidRPr="00E44D5C">
              <w:rPr>
                <w:sz w:val="16"/>
                <w:szCs w:val="16"/>
              </w:rPr>
              <w:t>Rodičovský príspevok (na deti od 3 rokov neprijaté do škôlky)</w:t>
            </w:r>
          </w:p>
        </w:tc>
        <w:tc>
          <w:tcPr>
            <w:tcW w:w="567" w:type="dxa"/>
            <w:tcBorders>
              <w:left w:val="nil"/>
              <w:right w:val="nil"/>
            </w:tcBorders>
            <w:noWrap/>
          </w:tcPr>
          <w:p w14:paraId="215BC38A" w14:textId="77777777" w:rsidR="00C24F6F" w:rsidRPr="00E44D5C" w:rsidRDefault="00C24F6F" w:rsidP="002B1847">
            <w:pPr>
              <w:pStyle w:val="Bezriadkovania"/>
              <w:jc w:val="center"/>
              <w:rPr>
                <w:sz w:val="16"/>
                <w:szCs w:val="16"/>
              </w:rPr>
            </w:pPr>
            <w:r w:rsidRPr="00D63DCD">
              <w:rPr>
                <w:sz w:val="16"/>
                <w:szCs w:val="16"/>
              </w:rPr>
              <w:t>5</w:t>
            </w:r>
          </w:p>
        </w:tc>
        <w:tc>
          <w:tcPr>
            <w:tcW w:w="567" w:type="dxa"/>
            <w:tcBorders>
              <w:left w:val="nil"/>
              <w:right w:val="nil"/>
            </w:tcBorders>
            <w:noWrap/>
          </w:tcPr>
          <w:p w14:paraId="586940D9" w14:textId="77777777" w:rsidR="00C24F6F" w:rsidRPr="00E44D5C" w:rsidRDefault="00C24F6F" w:rsidP="002B1847">
            <w:pPr>
              <w:pStyle w:val="Bezriadkovania"/>
              <w:jc w:val="center"/>
              <w:rPr>
                <w:sz w:val="16"/>
                <w:szCs w:val="16"/>
              </w:rPr>
            </w:pPr>
            <w:r w:rsidRPr="00D63DCD">
              <w:rPr>
                <w:sz w:val="16"/>
                <w:szCs w:val="16"/>
              </w:rPr>
              <w:t>26</w:t>
            </w:r>
          </w:p>
        </w:tc>
        <w:tc>
          <w:tcPr>
            <w:tcW w:w="567" w:type="dxa"/>
            <w:tcBorders>
              <w:left w:val="nil"/>
              <w:right w:val="nil"/>
            </w:tcBorders>
            <w:noWrap/>
          </w:tcPr>
          <w:p w14:paraId="58E9BC1E"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19E2AB55"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27D3ACF4"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6E0646CB" w14:textId="77777777" w:rsidTr="002B1847">
        <w:trPr>
          <w:trHeight w:val="21"/>
        </w:trPr>
        <w:tc>
          <w:tcPr>
            <w:tcW w:w="6237" w:type="dxa"/>
            <w:tcBorders>
              <w:left w:val="nil"/>
              <w:right w:val="nil"/>
            </w:tcBorders>
            <w:noWrap/>
          </w:tcPr>
          <w:p w14:paraId="2E50AD23" w14:textId="77777777" w:rsidR="00C24F6F" w:rsidRPr="00E44D5C" w:rsidRDefault="00C24F6F" w:rsidP="002B1847">
            <w:pPr>
              <w:pStyle w:val="Bezriadkovania"/>
              <w:rPr>
                <w:sz w:val="16"/>
                <w:szCs w:val="16"/>
              </w:rPr>
            </w:pPr>
            <w:r w:rsidRPr="00E44D5C">
              <w:rPr>
                <w:sz w:val="16"/>
                <w:szCs w:val="16"/>
              </w:rPr>
              <w:t>Zmena posudzovania invalidných dôchodkov</w:t>
            </w:r>
          </w:p>
        </w:tc>
        <w:tc>
          <w:tcPr>
            <w:tcW w:w="567" w:type="dxa"/>
            <w:tcBorders>
              <w:left w:val="nil"/>
              <w:right w:val="nil"/>
            </w:tcBorders>
            <w:noWrap/>
          </w:tcPr>
          <w:p w14:paraId="680EE078" w14:textId="77777777" w:rsidR="00C24F6F" w:rsidRPr="00E44D5C" w:rsidRDefault="00C24F6F" w:rsidP="002B1847">
            <w:pPr>
              <w:pStyle w:val="Bezriadkovania"/>
              <w:jc w:val="center"/>
              <w:rPr>
                <w:sz w:val="16"/>
                <w:szCs w:val="16"/>
              </w:rPr>
            </w:pPr>
            <w:r w:rsidRPr="00D63DCD">
              <w:rPr>
                <w:sz w:val="16"/>
                <w:szCs w:val="16"/>
              </w:rPr>
              <w:t>46</w:t>
            </w:r>
          </w:p>
        </w:tc>
        <w:tc>
          <w:tcPr>
            <w:tcW w:w="567" w:type="dxa"/>
            <w:tcBorders>
              <w:left w:val="nil"/>
              <w:right w:val="nil"/>
            </w:tcBorders>
            <w:noWrap/>
          </w:tcPr>
          <w:p w14:paraId="1DC643BF" w14:textId="77777777" w:rsidR="00C24F6F" w:rsidRPr="00E44D5C" w:rsidRDefault="00C24F6F" w:rsidP="002B1847">
            <w:pPr>
              <w:pStyle w:val="Bezriadkovania"/>
              <w:jc w:val="center"/>
              <w:rPr>
                <w:sz w:val="16"/>
                <w:szCs w:val="16"/>
              </w:rPr>
            </w:pPr>
            <w:r w:rsidRPr="00D63DCD">
              <w:rPr>
                <w:sz w:val="16"/>
                <w:szCs w:val="16"/>
              </w:rPr>
              <w:t>25</w:t>
            </w:r>
          </w:p>
        </w:tc>
        <w:tc>
          <w:tcPr>
            <w:tcW w:w="567" w:type="dxa"/>
            <w:tcBorders>
              <w:left w:val="nil"/>
              <w:right w:val="nil"/>
            </w:tcBorders>
            <w:noWrap/>
          </w:tcPr>
          <w:p w14:paraId="5A21BC4B"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5B417524"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7937D57E"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7D523674" w14:textId="77777777" w:rsidTr="002B1847">
        <w:trPr>
          <w:trHeight w:val="21"/>
        </w:trPr>
        <w:tc>
          <w:tcPr>
            <w:tcW w:w="6237" w:type="dxa"/>
            <w:tcBorders>
              <w:left w:val="nil"/>
              <w:right w:val="nil"/>
            </w:tcBorders>
            <w:noWrap/>
          </w:tcPr>
          <w:p w14:paraId="01D6DC0D" w14:textId="77777777" w:rsidR="00C24F6F" w:rsidRPr="00E44D5C" w:rsidRDefault="00C24F6F" w:rsidP="002B1847">
            <w:pPr>
              <w:pStyle w:val="Bezriadkovania"/>
              <w:rPr>
                <w:sz w:val="16"/>
                <w:szCs w:val="16"/>
              </w:rPr>
            </w:pPr>
            <w:r w:rsidRPr="00E44D5C">
              <w:rPr>
                <w:sz w:val="16"/>
                <w:szCs w:val="16"/>
              </w:rPr>
              <w:t>Výkonnostné zmluvy verejných vysokých škôl (VVŠ)</w:t>
            </w:r>
          </w:p>
        </w:tc>
        <w:tc>
          <w:tcPr>
            <w:tcW w:w="567" w:type="dxa"/>
            <w:tcBorders>
              <w:left w:val="nil"/>
              <w:right w:val="nil"/>
            </w:tcBorders>
            <w:noWrap/>
          </w:tcPr>
          <w:p w14:paraId="2AC48D68" w14:textId="77777777" w:rsidR="00C24F6F" w:rsidRPr="00E44D5C" w:rsidRDefault="00C24F6F" w:rsidP="002B1847">
            <w:pPr>
              <w:pStyle w:val="Bezriadkovania"/>
              <w:jc w:val="center"/>
              <w:rPr>
                <w:sz w:val="16"/>
                <w:szCs w:val="16"/>
              </w:rPr>
            </w:pPr>
            <w:r w:rsidRPr="00D63DCD">
              <w:rPr>
                <w:sz w:val="16"/>
                <w:szCs w:val="16"/>
              </w:rPr>
              <w:t>47</w:t>
            </w:r>
          </w:p>
        </w:tc>
        <w:tc>
          <w:tcPr>
            <w:tcW w:w="567" w:type="dxa"/>
            <w:tcBorders>
              <w:left w:val="nil"/>
              <w:right w:val="nil"/>
            </w:tcBorders>
            <w:noWrap/>
          </w:tcPr>
          <w:p w14:paraId="5171887A" w14:textId="77777777" w:rsidR="00C24F6F" w:rsidRPr="00E44D5C" w:rsidRDefault="00C24F6F" w:rsidP="002B1847">
            <w:pPr>
              <w:pStyle w:val="Bezriadkovania"/>
              <w:jc w:val="center"/>
              <w:rPr>
                <w:sz w:val="16"/>
                <w:szCs w:val="16"/>
              </w:rPr>
            </w:pPr>
            <w:r w:rsidRPr="00D63DCD">
              <w:rPr>
                <w:sz w:val="16"/>
                <w:szCs w:val="16"/>
              </w:rPr>
              <w:t>20</w:t>
            </w:r>
          </w:p>
        </w:tc>
        <w:tc>
          <w:tcPr>
            <w:tcW w:w="567" w:type="dxa"/>
            <w:tcBorders>
              <w:left w:val="nil"/>
              <w:right w:val="nil"/>
            </w:tcBorders>
            <w:noWrap/>
          </w:tcPr>
          <w:p w14:paraId="0B8D9BEC" w14:textId="77777777" w:rsidR="00C24F6F" w:rsidRPr="00E44D5C" w:rsidRDefault="00C24F6F" w:rsidP="002B1847">
            <w:pPr>
              <w:pStyle w:val="Bezriadkovania"/>
              <w:jc w:val="center"/>
              <w:rPr>
                <w:sz w:val="16"/>
                <w:szCs w:val="16"/>
              </w:rPr>
            </w:pPr>
            <w:r w:rsidRPr="00D63DCD">
              <w:rPr>
                <w:sz w:val="16"/>
                <w:szCs w:val="16"/>
              </w:rPr>
              <w:t>20</w:t>
            </w:r>
          </w:p>
        </w:tc>
        <w:tc>
          <w:tcPr>
            <w:tcW w:w="567" w:type="dxa"/>
            <w:tcBorders>
              <w:left w:val="nil"/>
              <w:right w:val="nil"/>
            </w:tcBorders>
            <w:noWrap/>
          </w:tcPr>
          <w:p w14:paraId="52A359EA"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5FBD5427"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15B7471D" w14:textId="77777777" w:rsidTr="002B1847">
        <w:trPr>
          <w:trHeight w:val="21"/>
        </w:trPr>
        <w:tc>
          <w:tcPr>
            <w:tcW w:w="6237" w:type="dxa"/>
            <w:tcBorders>
              <w:left w:val="nil"/>
              <w:right w:val="nil"/>
            </w:tcBorders>
            <w:noWrap/>
          </w:tcPr>
          <w:p w14:paraId="55FFFB9F" w14:textId="77777777" w:rsidR="00C24F6F" w:rsidRPr="00E44D5C" w:rsidRDefault="00C24F6F" w:rsidP="002B1847">
            <w:pPr>
              <w:pStyle w:val="Bezriadkovania"/>
              <w:rPr>
                <w:sz w:val="16"/>
                <w:szCs w:val="16"/>
              </w:rPr>
            </w:pPr>
            <w:r w:rsidRPr="00E44D5C">
              <w:rPr>
                <w:sz w:val="16"/>
                <w:szCs w:val="16"/>
              </w:rPr>
              <w:t>Zvýšenie výdavkov na výskum a vývoj (VaV)</w:t>
            </w:r>
          </w:p>
        </w:tc>
        <w:tc>
          <w:tcPr>
            <w:tcW w:w="567" w:type="dxa"/>
            <w:tcBorders>
              <w:left w:val="nil"/>
              <w:right w:val="nil"/>
            </w:tcBorders>
            <w:noWrap/>
          </w:tcPr>
          <w:p w14:paraId="5864E9C9" w14:textId="77777777" w:rsidR="00C24F6F" w:rsidRPr="00E44D5C" w:rsidRDefault="00C24F6F" w:rsidP="002B1847">
            <w:pPr>
              <w:pStyle w:val="Bezriadkovania"/>
              <w:jc w:val="center"/>
              <w:rPr>
                <w:sz w:val="16"/>
                <w:szCs w:val="16"/>
              </w:rPr>
            </w:pPr>
            <w:r w:rsidRPr="00D63DCD">
              <w:rPr>
                <w:sz w:val="16"/>
                <w:szCs w:val="16"/>
              </w:rPr>
              <w:t>38</w:t>
            </w:r>
          </w:p>
        </w:tc>
        <w:tc>
          <w:tcPr>
            <w:tcW w:w="567" w:type="dxa"/>
            <w:tcBorders>
              <w:left w:val="nil"/>
              <w:right w:val="nil"/>
            </w:tcBorders>
            <w:noWrap/>
          </w:tcPr>
          <w:p w14:paraId="3269BADB" w14:textId="77777777" w:rsidR="00C24F6F" w:rsidRPr="00E44D5C" w:rsidRDefault="00C24F6F" w:rsidP="002B1847">
            <w:pPr>
              <w:pStyle w:val="Bezriadkovania"/>
              <w:jc w:val="center"/>
              <w:rPr>
                <w:sz w:val="16"/>
                <w:szCs w:val="16"/>
              </w:rPr>
            </w:pPr>
            <w:r w:rsidRPr="00D63DCD">
              <w:rPr>
                <w:sz w:val="16"/>
                <w:szCs w:val="16"/>
              </w:rPr>
              <w:t>134</w:t>
            </w:r>
          </w:p>
        </w:tc>
        <w:tc>
          <w:tcPr>
            <w:tcW w:w="567" w:type="dxa"/>
            <w:tcBorders>
              <w:left w:val="nil"/>
              <w:right w:val="nil"/>
            </w:tcBorders>
            <w:noWrap/>
          </w:tcPr>
          <w:p w14:paraId="1D32408C" w14:textId="77777777" w:rsidR="00C24F6F" w:rsidRPr="00E44D5C" w:rsidRDefault="00C24F6F" w:rsidP="002B1847">
            <w:pPr>
              <w:pStyle w:val="Bezriadkovania"/>
              <w:jc w:val="center"/>
              <w:rPr>
                <w:sz w:val="16"/>
                <w:szCs w:val="16"/>
              </w:rPr>
            </w:pPr>
            <w:r w:rsidRPr="00D63DCD">
              <w:rPr>
                <w:sz w:val="16"/>
                <w:szCs w:val="16"/>
              </w:rPr>
              <w:t>133</w:t>
            </w:r>
          </w:p>
        </w:tc>
        <w:tc>
          <w:tcPr>
            <w:tcW w:w="567" w:type="dxa"/>
            <w:tcBorders>
              <w:left w:val="nil"/>
              <w:right w:val="nil"/>
            </w:tcBorders>
            <w:noWrap/>
          </w:tcPr>
          <w:p w14:paraId="2BE2FE4C" w14:textId="77777777" w:rsidR="00C24F6F" w:rsidRPr="00E44D5C" w:rsidRDefault="00C24F6F" w:rsidP="002B1847">
            <w:pPr>
              <w:pStyle w:val="Bezriadkovania"/>
              <w:jc w:val="center"/>
              <w:rPr>
                <w:sz w:val="16"/>
                <w:szCs w:val="16"/>
              </w:rPr>
            </w:pPr>
            <w:r w:rsidRPr="00D63DCD">
              <w:rPr>
                <w:sz w:val="16"/>
                <w:szCs w:val="16"/>
              </w:rPr>
              <w:t>192</w:t>
            </w:r>
          </w:p>
        </w:tc>
        <w:tc>
          <w:tcPr>
            <w:tcW w:w="562" w:type="dxa"/>
            <w:tcBorders>
              <w:left w:val="nil"/>
              <w:right w:val="nil"/>
            </w:tcBorders>
            <w:noWrap/>
          </w:tcPr>
          <w:p w14:paraId="3E426F5E"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5382E5EE" w14:textId="77777777" w:rsidTr="002B1847">
        <w:trPr>
          <w:trHeight w:val="21"/>
        </w:trPr>
        <w:tc>
          <w:tcPr>
            <w:tcW w:w="6237" w:type="dxa"/>
            <w:tcBorders>
              <w:left w:val="nil"/>
              <w:right w:val="nil"/>
            </w:tcBorders>
            <w:noWrap/>
          </w:tcPr>
          <w:p w14:paraId="332FCE78" w14:textId="77777777" w:rsidR="00C24F6F" w:rsidRPr="00E44D5C" w:rsidRDefault="00C24F6F" w:rsidP="002B1847">
            <w:pPr>
              <w:pStyle w:val="Bezriadkovania"/>
              <w:rPr>
                <w:sz w:val="16"/>
                <w:szCs w:val="16"/>
              </w:rPr>
            </w:pPr>
            <w:r w:rsidRPr="00E44D5C">
              <w:rPr>
                <w:sz w:val="16"/>
                <w:szCs w:val="16"/>
              </w:rPr>
              <w:t>Úpravy na 13. dôchodku</w:t>
            </w:r>
          </w:p>
        </w:tc>
        <w:tc>
          <w:tcPr>
            <w:tcW w:w="567" w:type="dxa"/>
            <w:tcBorders>
              <w:left w:val="nil"/>
              <w:right w:val="nil"/>
            </w:tcBorders>
            <w:noWrap/>
          </w:tcPr>
          <w:p w14:paraId="4C10AE81" w14:textId="77777777" w:rsidR="00C24F6F" w:rsidRPr="00E44D5C" w:rsidRDefault="00C24F6F" w:rsidP="002B1847">
            <w:pPr>
              <w:pStyle w:val="Bezriadkovania"/>
              <w:jc w:val="center"/>
              <w:rPr>
                <w:sz w:val="16"/>
                <w:szCs w:val="16"/>
              </w:rPr>
            </w:pPr>
            <w:r w:rsidRPr="00D63DCD">
              <w:rPr>
                <w:sz w:val="16"/>
                <w:szCs w:val="16"/>
              </w:rPr>
              <w:t>115</w:t>
            </w:r>
          </w:p>
        </w:tc>
        <w:tc>
          <w:tcPr>
            <w:tcW w:w="567" w:type="dxa"/>
            <w:tcBorders>
              <w:left w:val="nil"/>
              <w:right w:val="nil"/>
            </w:tcBorders>
            <w:noWrap/>
          </w:tcPr>
          <w:p w14:paraId="37036DB2"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19940F8C"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60252514"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0C0C6B74"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422A9B70" w14:textId="77777777" w:rsidTr="002B1847">
        <w:trPr>
          <w:trHeight w:val="21"/>
        </w:trPr>
        <w:tc>
          <w:tcPr>
            <w:tcW w:w="6237" w:type="dxa"/>
            <w:tcBorders>
              <w:left w:val="nil"/>
              <w:right w:val="nil"/>
            </w:tcBorders>
            <w:noWrap/>
          </w:tcPr>
          <w:p w14:paraId="5FBBBC6B" w14:textId="77777777" w:rsidR="00C24F6F" w:rsidRPr="00E44D5C" w:rsidRDefault="00C24F6F" w:rsidP="002B1847">
            <w:pPr>
              <w:pStyle w:val="Bezriadkovania"/>
              <w:rPr>
                <w:sz w:val="16"/>
                <w:szCs w:val="16"/>
              </w:rPr>
            </w:pPr>
            <w:r w:rsidRPr="00E44D5C">
              <w:rPr>
                <w:sz w:val="16"/>
                <w:szCs w:val="16"/>
              </w:rPr>
              <w:t xml:space="preserve">Kompenzácia nárastu hypotekárnych splátok </w:t>
            </w:r>
          </w:p>
        </w:tc>
        <w:tc>
          <w:tcPr>
            <w:tcW w:w="567" w:type="dxa"/>
            <w:tcBorders>
              <w:left w:val="nil"/>
              <w:right w:val="nil"/>
            </w:tcBorders>
            <w:noWrap/>
          </w:tcPr>
          <w:p w14:paraId="4038305C" w14:textId="77777777" w:rsidR="00C24F6F" w:rsidRPr="00E44D5C" w:rsidRDefault="00C24F6F" w:rsidP="002B1847">
            <w:pPr>
              <w:pStyle w:val="Bezriadkovania"/>
              <w:jc w:val="center"/>
              <w:rPr>
                <w:sz w:val="16"/>
                <w:szCs w:val="16"/>
              </w:rPr>
            </w:pPr>
            <w:r w:rsidRPr="00D63DCD">
              <w:rPr>
                <w:sz w:val="16"/>
                <w:szCs w:val="16"/>
              </w:rPr>
              <w:t>40</w:t>
            </w:r>
          </w:p>
        </w:tc>
        <w:tc>
          <w:tcPr>
            <w:tcW w:w="567" w:type="dxa"/>
            <w:tcBorders>
              <w:left w:val="nil"/>
              <w:right w:val="nil"/>
            </w:tcBorders>
            <w:noWrap/>
          </w:tcPr>
          <w:p w14:paraId="46A40AF2" w14:textId="77777777" w:rsidR="00C24F6F" w:rsidRPr="00E44D5C" w:rsidRDefault="00C24F6F" w:rsidP="002B1847">
            <w:pPr>
              <w:pStyle w:val="Bezriadkovania"/>
              <w:jc w:val="center"/>
              <w:rPr>
                <w:sz w:val="16"/>
                <w:szCs w:val="16"/>
              </w:rPr>
            </w:pPr>
            <w:r w:rsidRPr="00D63DCD">
              <w:rPr>
                <w:sz w:val="16"/>
                <w:szCs w:val="16"/>
              </w:rPr>
              <w:t>12</w:t>
            </w:r>
          </w:p>
        </w:tc>
        <w:tc>
          <w:tcPr>
            <w:tcW w:w="567" w:type="dxa"/>
            <w:tcBorders>
              <w:left w:val="nil"/>
              <w:right w:val="nil"/>
            </w:tcBorders>
            <w:noWrap/>
          </w:tcPr>
          <w:p w14:paraId="1E44B15F" w14:textId="77777777" w:rsidR="00C24F6F" w:rsidRPr="00E44D5C" w:rsidRDefault="00C24F6F" w:rsidP="002B1847">
            <w:pPr>
              <w:pStyle w:val="Bezriadkovania"/>
              <w:jc w:val="center"/>
              <w:rPr>
                <w:sz w:val="16"/>
                <w:szCs w:val="16"/>
              </w:rPr>
            </w:pPr>
            <w:r w:rsidRPr="00D63DCD">
              <w:rPr>
                <w:sz w:val="16"/>
                <w:szCs w:val="16"/>
              </w:rPr>
              <w:t>-22</w:t>
            </w:r>
          </w:p>
        </w:tc>
        <w:tc>
          <w:tcPr>
            <w:tcW w:w="567" w:type="dxa"/>
            <w:tcBorders>
              <w:left w:val="nil"/>
              <w:right w:val="nil"/>
            </w:tcBorders>
            <w:noWrap/>
          </w:tcPr>
          <w:p w14:paraId="4C55399E" w14:textId="77777777" w:rsidR="00C24F6F" w:rsidRPr="00E44D5C" w:rsidRDefault="00C24F6F" w:rsidP="002B1847">
            <w:pPr>
              <w:pStyle w:val="Bezriadkovania"/>
              <w:jc w:val="center"/>
              <w:rPr>
                <w:sz w:val="16"/>
                <w:szCs w:val="16"/>
              </w:rPr>
            </w:pPr>
            <w:r w:rsidRPr="00D63DCD">
              <w:rPr>
                <w:sz w:val="16"/>
                <w:szCs w:val="16"/>
              </w:rPr>
              <w:t>14</w:t>
            </w:r>
          </w:p>
        </w:tc>
        <w:tc>
          <w:tcPr>
            <w:tcW w:w="562" w:type="dxa"/>
            <w:tcBorders>
              <w:left w:val="nil"/>
              <w:right w:val="nil"/>
            </w:tcBorders>
            <w:noWrap/>
          </w:tcPr>
          <w:p w14:paraId="7C902D66"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0131118F" w14:textId="77777777" w:rsidTr="002B1847">
        <w:trPr>
          <w:trHeight w:val="21"/>
        </w:trPr>
        <w:tc>
          <w:tcPr>
            <w:tcW w:w="6237" w:type="dxa"/>
            <w:tcBorders>
              <w:left w:val="nil"/>
              <w:right w:val="nil"/>
            </w:tcBorders>
            <w:noWrap/>
          </w:tcPr>
          <w:p w14:paraId="7799FB6A" w14:textId="77777777" w:rsidR="00C24F6F" w:rsidRPr="00E44D5C" w:rsidRDefault="00C24F6F" w:rsidP="002B1847">
            <w:pPr>
              <w:pStyle w:val="Bezriadkovania"/>
              <w:rPr>
                <w:sz w:val="16"/>
                <w:szCs w:val="16"/>
              </w:rPr>
            </w:pPr>
            <w:r w:rsidRPr="00E44D5C">
              <w:rPr>
                <w:sz w:val="16"/>
                <w:szCs w:val="16"/>
              </w:rPr>
              <w:t>Zrušenie podpory zníženia koncovej ceny elektriny pre podniky</w:t>
            </w:r>
          </w:p>
        </w:tc>
        <w:tc>
          <w:tcPr>
            <w:tcW w:w="567" w:type="dxa"/>
            <w:tcBorders>
              <w:left w:val="nil"/>
              <w:right w:val="nil"/>
            </w:tcBorders>
            <w:noWrap/>
          </w:tcPr>
          <w:p w14:paraId="694F08A4" w14:textId="77777777" w:rsidR="00C24F6F" w:rsidRPr="00E44D5C" w:rsidRDefault="00C24F6F" w:rsidP="002B1847">
            <w:pPr>
              <w:pStyle w:val="Bezriadkovania"/>
              <w:jc w:val="center"/>
              <w:rPr>
                <w:sz w:val="16"/>
                <w:szCs w:val="16"/>
              </w:rPr>
            </w:pPr>
            <w:r w:rsidRPr="00D63DCD">
              <w:rPr>
                <w:sz w:val="16"/>
                <w:szCs w:val="16"/>
              </w:rPr>
              <w:t>-40</w:t>
            </w:r>
          </w:p>
        </w:tc>
        <w:tc>
          <w:tcPr>
            <w:tcW w:w="567" w:type="dxa"/>
            <w:tcBorders>
              <w:left w:val="nil"/>
              <w:right w:val="nil"/>
            </w:tcBorders>
            <w:noWrap/>
          </w:tcPr>
          <w:p w14:paraId="180B7497"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0A8485BF"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190BAF67"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7054D30A"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7AC60868" w14:textId="77777777" w:rsidTr="002B1847">
        <w:trPr>
          <w:trHeight w:val="21"/>
        </w:trPr>
        <w:tc>
          <w:tcPr>
            <w:tcW w:w="6237" w:type="dxa"/>
            <w:tcBorders>
              <w:left w:val="nil"/>
              <w:right w:val="nil"/>
            </w:tcBorders>
            <w:noWrap/>
          </w:tcPr>
          <w:p w14:paraId="527B5637" w14:textId="77777777" w:rsidR="00C24F6F" w:rsidRPr="00E44D5C" w:rsidRDefault="00C24F6F" w:rsidP="002B1847">
            <w:pPr>
              <w:pStyle w:val="Bezriadkovania"/>
              <w:rPr>
                <w:sz w:val="16"/>
                <w:szCs w:val="16"/>
              </w:rPr>
            </w:pPr>
            <w:r w:rsidRPr="00E44D5C">
              <w:rPr>
                <w:sz w:val="16"/>
                <w:szCs w:val="16"/>
              </w:rPr>
              <w:t>Zvýšené výdavky na zdravotníctvo</w:t>
            </w:r>
          </w:p>
        </w:tc>
        <w:tc>
          <w:tcPr>
            <w:tcW w:w="567" w:type="dxa"/>
            <w:tcBorders>
              <w:left w:val="nil"/>
              <w:right w:val="nil"/>
            </w:tcBorders>
            <w:noWrap/>
          </w:tcPr>
          <w:p w14:paraId="60A76FD2" w14:textId="77777777" w:rsidR="00C24F6F" w:rsidRPr="00E44D5C" w:rsidRDefault="00C24F6F" w:rsidP="002B1847">
            <w:pPr>
              <w:pStyle w:val="Bezriadkovania"/>
              <w:jc w:val="center"/>
              <w:rPr>
                <w:sz w:val="16"/>
                <w:szCs w:val="16"/>
              </w:rPr>
            </w:pPr>
            <w:r w:rsidRPr="00D63DCD">
              <w:rPr>
                <w:sz w:val="16"/>
                <w:szCs w:val="16"/>
              </w:rPr>
              <w:t>263</w:t>
            </w:r>
          </w:p>
        </w:tc>
        <w:tc>
          <w:tcPr>
            <w:tcW w:w="567" w:type="dxa"/>
            <w:tcBorders>
              <w:left w:val="nil"/>
              <w:right w:val="nil"/>
            </w:tcBorders>
            <w:noWrap/>
          </w:tcPr>
          <w:p w14:paraId="1279A98D"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606A4D07"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6919F855"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2458B936"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3E67D4D2" w14:textId="77777777" w:rsidTr="002B1847">
        <w:trPr>
          <w:trHeight w:val="21"/>
        </w:trPr>
        <w:tc>
          <w:tcPr>
            <w:tcW w:w="6237" w:type="dxa"/>
            <w:tcBorders>
              <w:left w:val="nil"/>
              <w:right w:val="nil"/>
            </w:tcBorders>
            <w:noWrap/>
          </w:tcPr>
          <w:p w14:paraId="1A3D7C0A" w14:textId="77777777" w:rsidR="00C24F6F" w:rsidRPr="00E44D5C" w:rsidRDefault="00C24F6F" w:rsidP="002B1847">
            <w:pPr>
              <w:pStyle w:val="Bezriadkovania"/>
              <w:rPr>
                <w:sz w:val="16"/>
                <w:szCs w:val="16"/>
              </w:rPr>
            </w:pPr>
            <w:r w:rsidRPr="00E44D5C">
              <w:rPr>
                <w:sz w:val="16"/>
                <w:szCs w:val="16"/>
              </w:rPr>
              <w:t>Ministerstvo cestovného ruchu (a opatrenia na podporu športu a CR)</w:t>
            </w:r>
          </w:p>
        </w:tc>
        <w:tc>
          <w:tcPr>
            <w:tcW w:w="567" w:type="dxa"/>
            <w:tcBorders>
              <w:left w:val="nil"/>
              <w:right w:val="nil"/>
            </w:tcBorders>
            <w:noWrap/>
          </w:tcPr>
          <w:p w14:paraId="43CC41A8" w14:textId="77777777" w:rsidR="00C24F6F" w:rsidRPr="00E44D5C" w:rsidRDefault="00C24F6F" w:rsidP="002B1847">
            <w:pPr>
              <w:pStyle w:val="Bezriadkovania"/>
              <w:jc w:val="center"/>
              <w:rPr>
                <w:sz w:val="16"/>
                <w:szCs w:val="16"/>
              </w:rPr>
            </w:pPr>
            <w:r w:rsidRPr="00D63DCD">
              <w:rPr>
                <w:sz w:val="16"/>
                <w:szCs w:val="16"/>
              </w:rPr>
              <w:t>84</w:t>
            </w:r>
          </w:p>
        </w:tc>
        <w:tc>
          <w:tcPr>
            <w:tcW w:w="567" w:type="dxa"/>
            <w:tcBorders>
              <w:left w:val="nil"/>
              <w:right w:val="nil"/>
            </w:tcBorders>
            <w:noWrap/>
          </w:tcPr>
          <w:p w14:paraId="0DFFA273" w14:textId="77777777" w:rsidR="00C24F6F" w:rsidRPr="00E44D5C" w:rsidRDefault="00C24F6F" w:rsidP="002B1847">
            <w:pPr>
              <w:pStyle w:val="Bezriadkovania"/>
              <w:jc w:val="center"/>
              <w:rPr>
                <w:sz w:val="16"/>
                <w:szCs w:val="16"/>
              </w:rPr>
            </w:pPr>
            <w:r w:rsidRPr="00D63DCD">
              <w:rPr>
                <w:sz w:val="16"/>
                <w:szCs w:val="16"/>
              </w:rPr>
              <w:t>51</w:t>
            </w:r>
          </w:p>
        </w:tc>
        <w:tc>
          <w:tcPr>
            <w:tcW w:w="567" w:type="dxa"/>
            <w:tcBorders>
              <w:left w:val="nil"/>
              <w:right w:val="nil"/>
            </w:tcBorders>
            <w:noWrap/>
          </w:tcPr>
          <w:p w14:paraId="2307D625" w14:textId="77777777" w:rsidR="00C24F6F" w:rsidRPr="00E44D5C" w:rsidRDefault="00C24F6F" w:rsidP="002B1847">
            <w:pPr>
              <w:pStyle w:val="Bezriadkovania"/>
              <w:jc w:val="center"/>
              <w:rPr>
                <w:sz w:val="16"/>
                <w:szCs w:val="16"/>
              </w:rPr>
            </w:pPr>
            <w:r w:rsidRPr="00D63DCD">
              <w:rPr>
                <w:sz w:val="16"/>
                <w:szCs w:val="16"/>
              </w:rPr>
              <w:t>-5</w:t>
            </w:r>
          </w:p>
        </w:tc>
        <w:tc>
          <w:tcPr>
            <w:tcW w:w="567" w:type="dxa"/>
            <w:tcBorders>
              <w:left w:val="nil"/>
              <w:right w:val="nil"/>
            </w:tcBorders>
            <w:noWrap/>
          </w:tcPr>
          <w:p w14:paraId="7EAEFE0A"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1A54B31B"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244B6D5E" w14:textId="77777777" w:rsidTr="002B1847">
        <w:trPr>
          <w:trHeight w:val="21"/>
        </w:trPr>
        <w:tc>
          <w:tcPr>
            <w:tcW w:w="6237" w:type="dxa"/>
            <w:tcBorders>
              <w:left w:val="nil"/>
              <w:right w:val="nil"/>
            </w:tcBorders>
            <w:noWrap/>
          </w:tcPr>
          <w:p w14:paraId="305C571A" w14:textId="77777777" w:rsidR="00C24F6F" w:rsidRPr="00E44D5C" w:rsidRDefault="00C24F6F" w:rsidP="002B1847">
            <w:pPr>
              <w:pStyle w:val="Bezriadkovania"/>
              <w:rPr>
                <w:sz w:val="16"/>
                <w:szCs w:val="16"/>
              </w:rPr>
            </w:pPr>
            <w:r w:rsidRPr="00E44D5C">
              <w:rPr>
                <w:sz w:val="16"/>
                <w:szCs w:val="16"/>
              </w:rPr>
              <w:t>Zrušenie dotovania nočnej železničnej dopravy (Košice/Prešov – Praha)</w:t>
            </w:r>
          </w:p>
        </w:tc>
        <w:tc>
          <w:tcPr>
            <w:tcW w:w="567" w:type="dxa"/>
            <w:tcBorders>
              <w:left w:val="nil"/>
              <w:right w:val="nil"/>
            </w:tcBorders>
            <w:noWrap/>
          </w:tcPr>
          <w:p w14:paraId="61865FFA"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7B1CEA5C" w14:textId="77777777" w:rsidR="00C24F6F" w:rsidRPr="00E44D5C" w:rsidRDefault="00C24F6F" w:rsidP="002B1847">
            <w:pPr>
              <w:pStyle w:val="Bezriadkovania"/>
              <w:jc w:val="center"/>
              <w:rPr>
                <w:sz w:val="16"/>
                <w:szCs w:val="16"/>
              </w:rPr>
            </w:pPr>
            <w:r w:rsidRPr="00D63DCD">
              <w:rPr>
                <w:sz w:val="16"/>
                <w:szCs w:val="16"/>
              </w:rPr>
              <w:t>-22</w:t>
            </w:r>
          </w:p>
        </w:tc>
        <w:tc>
          <w:tcPr>
            <w:tcW w:w="567" w:type="dxa"/>
            <w:tcBorders>
              <w:left w:val="nil"/>
              <w:right w:val="nil"/>
            </w:tcBorders>
            <w:noWrap/>
          </w:tcPr>
          <w:p w14:paraId="1F57C4E2"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0528D684"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0ABA3337"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3AAA58F5" w14:textId="77777777" w:rsidTr="002B1847">
        <w:trPr>
          <w:trHeight w:val="21"/>
        </w:trPr>
        <w:tc>
          <w:tcPr>
            <w:tcW w:w="6237" w:type="dxa"/>
            <w:tcBorders>
              <w:left w:val="nil"/>
              <w:right w:val="nil"/>
            </w:tcBorders>
            <w:noWrap/>
          </w:tcPr>
          <w:p w14:paraId="7CAF8550" w14:textId="77777777" w:rsidR="00C24F6F" w:rsidRPr="00E44D5C" w:rsidRDefault="00C24F6F" w:rsidP="002B1847">
            <w:pPr>
              <w:pStyle w:val="Bezriadkovania"/>
              <w:rPr>
                <w:sz w:val="16"/>
                <w:szCs w:val="16"/>
              </w:rPr>
            </w:pPr>
            <w:r w:rsidRPr="00E44D5C">
              <w:rPr>
                <w:sz w:val="16"/>
                <w:szCs w:val="16"/>
              </w:rPr>
              <w:t>Zvýšenie osobných príplatkov zamestnancov súdov</w:t>
            </w:r>
          </w:p>
        </w:tc>
        <w:tc>
          <w:tcPr>
            <w:tcW w:w="567" w:type="dxa"/>
            <w:tcBorders>
              <w:left w:val="nil"/>
              <w:right w:val="nil"/>
            </w:tcBorders>
            <w:noWrap/>
          </w:tcPr>
          <w:p w14:paraId="749A49EB"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5E129FF3" w14:textId="77777777" w:rsidR="00C24F6F" w:rsidRPr="00E44D5C" w:rsidRDefault="00C24F6F" w:rsidP="002B1847">
            <w:pPr>
              <w:pStyle w:val="Bezriadkovania"/>
              <w:jc w:val="center"/>
              <w:rPr>
                <w:sz w:val="16"/>
                <w:szCs w:val="16"/>
              </w:rPr>
            </w:pPr>
            <w:r w:rsidRPr="00D63DCD">
              <w:rPr>
                <w:sz w:val="16"/>
                <w:szCs w:val="16"/>
              </w:rPr>
              <w:t>33</w:t>
            </w:r>
          </w:p>
        </w:tc>
        <w:tc>
          <w:tcPr>
            <w:tcW w:w="567" w:type="dxa"/>
            <w:tcBorders>
              <w:left w:val="nil"/>
              <w:right w:val="nil"/>
            </w:tcBorders>
            <w:noWrap/>
          </w:tcPr>
          <w:p w14:paraId="0B8F168E"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0B6100EF"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236D7EE8"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15304F69" w14:textId="77777777" w:rsidTr="002B1847">
        <w:trPr>
          <w:trHeight w:val="21"/>
        </w:trPr>
        <w:tc>
          <w:tcPr>
            <w:tcW w:w="6237" w:type="dxa"/>
            <w:tcBorders>
              <w:left w:val="nil"/>
              <w:right w:val="nil"/>
            </w:tcBorders>
            <w:noWrap/>
          </w:tcPr>
          <w:p w14:paraId="34237E34" w14:textId="77777777" w:rsidR="00C24F6F" w:rsidRPr="00E44D5C" w:rsidRDefault="00C24F6F" w:rsidP="002B1847">
            <w:pPr>
              <w:pStyle w:val="Bezriadkovania"/>
              <w:rPr>
                <w:sz w:val="16"/>
                <w:szCs w:val="16"/>
              </w:rPr>
            </w:pPr>
            <w:r w:rsidRPr="00E44D5C">
              <w:rPr>
                <w:sz w:val="16"/>
                <w:szCs w:val="16"/>
              </w:rPr>
              <w:t>Úpravy v daňovom bonuse na dieťa</w:t>
            </w:r>
          </w:p>
        </w:tc>
        <w:tc>
          <w:tcPr>
            <w:tcW w:w="567" w:type="dxa"/>
            <w:tcBorders>
              <w:left w:val="nil"/>
              <w:right w:val="nil"/>
            </w:tcBorders>
            <w:noWrap/>
          </w:tcPr>
          <w:p w14:paraId="50AD6A81"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27DBB9FF" w14:textId="77777777" w:rsidR="00C24F6F" w:rsidRPr="00E44D5C" w:rsidRDefault="00C24F6F" w:rsidP="002B1847">
            <w:pPr>
              <w:pStyle w:val="Bezriadkovania"/>
              <w:jc w:val="center"/>
              <w:rPr>
                <w:sz w:val="16"/>
                <w:szCs w:val="16"/>
              </w:rPr>
            </w:pPr>
            <w:r w:rsidRPr="00D63DCD">
              <w:rPr>
                <w:sz w:val="16"/>
                <w:szCs w:val="16"/>
              </w:rPr>
              <w:t>-542</w:t>
            </w:r>
          </w:p>
        </w:tc>
        <w:tc>
          <w:tcPr>
            <w:tcW w:w="567" w:type="dxa"/>
            <w:tcBorders>
              <w:left w:val="nil"/>
              <w:right w:val="nil"/>
            </w:tcBorders>
            <w:noWrap/>
          </w:tcPr>
          <w:p w14:paraId="337B2B07"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172E78A6"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6CD72842"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716A9BCD" w14:textId="77777777" w:rsidTr="002B1847">
        <w:trPr>
          <w:trHeight w:val="21"/>
        </w:trPr>
        <w:tc>
          <w:tcPr>
            <w:tcW w:w="6237" w:type="dxa"/>
            <w:tcBorders>
              <w:left w:val="nil"/>
              <w:right w:val="nil"/>
            </w:tcBorders>
            <w:noWrap/>
          </w:tcPr>
          <w:p w14:paraId="7963241E" w14:textId="77777777" w:rsidR="00C24F6F" w:rsidRPr="00E44D5C" w:rsidRDefault="00C24F6F" w:rsidP="002B1847">
            <w:pPr>
              <w:pStyle w:val="Bezriadkovania"/>
              <w:rPr>
                <w:sz w:val="16"/>
                <w:szCs w:val="16"/>
              </w:rPr>
            </w:pPr>
            <w:r w:rsidRPr="00E44D5C">
              <w:rPr>
                <w:sz w:val="16"/>
                <w:szCs w:val="16"/>
              </w:rPr>
              <w:t>Reforma rodičovského dôchodku - daňová asignácia 2 % z dane</w:t>
            </w:r>
          </w:p>
        </w:tc>
        <w:tc>
          <w:tcPr>
            <w:tcW w:w="567" w:type="dxa"/>
            <w:tcBorders>
              <w:left w:val="nil"/>
              <w:right w:val="nil"/>
            </w:tcBorders>
            <w:noWrap/>
          </w:tcPr>
          <w:p w14:paraId="6B6D7CD8"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625B64AD" w14:textId="77777777" w:rsidR="00C24F6F" w:rsidRPr="00E44D5C" w:rsidRDefault="00C24F6F" w:rsidP="002B1847">
            <w:pPr>
              <w:pStyle w:val="Bezriadkovania"/>
              <w:jc w:val="center"/>
              <w:rPr>
                <w:sz w:val="16"/>
                <w:szCs w:val="16"/>
              </w:rPr>
            </w:pPr>
            <w:r w:rsidRPr="00D63DCD">
              <w:rPr>
                <w:sz w:val="16"/>
                <w:szCs w:val="16"/>
              </w:rPr>
              <w:t>-339</w:t>
            </w:r>
          </w:p>
        </w:tc>
        <w:tc>
          <w:tcPr>
            <w:tcW w:w="567" w:type="dxa"/>
            <w:tcBorders>
              <w:left w:val="nil"/>
              <w:right w:val="nil"/>
            </w:tcBorders>
            <w:noWrap/>
          </w:tcPr>
          <w:p w14:paraId="67322493" w14:textId="77777777" w:rsidR="00C24F6F" w:rsidRPr="00E44D5C" w:rsidRDefault="00C24F6F" w:rsidP="002B1847">
            <w:pPr>
              <w:pStyle w:val="Bezriadkovania"/>
              <w:jc w:val="center"/>
              <w:rPr>
                <w:sz w:val="16"/>
                <w:szCs w:val="16"/>
              </w:rPr>
            </w:pPr>
            <w:r w:rsidRPr="00D63DCD">
              <w:rPr>
                <w:sz w:val="16"/>
                <w:szCs w:val="16"/>
              </w:rPr>
              <w:t>70</w:t>
            </w:r>
          </w:p>
        </w:tc>
        <w:tc>
          <w:tcPr>
            <w:tcW w:w="567" w:type="dxa"/>
            <w:tcBorders>
              <w:left w:val="nil"/>
              <w:right w:val="nil"/>
            </w:tcBorders>
            <w:noWrap/>
          </w:tcPr>
          <w:p w14:paraId="09B2128B"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0F7E0AA2"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66E574BD" w14:textId="77777777" w:rsidTr="002B1847">
        <w:trPr>
          <w:trHeight w:val="21"/>
        </w:trPr>
        <w:tc>
          <w:tcPr>
            <w:tcW w:w="6237" w:type="dxa"/>
            <w:tcBorders>
              <w:left w:val="nil"/>
              <w:right w:val="nil"/>
            </w:tcBorders>
            <w:noWrap/>
          </w:tcPr>
          <w:p w14:paraId="21E7F518" w14:textId="77777777" w:rsidR="00C24F6F" w:rsidRPr="00E44D5C" w:rsidRDefault="00C24F6F" w:rsidP="002B1847">
            <w:pPr>
              <w:pStyle w:val="Bezriadkovania"/>
              <w:rPr>
                <w:sz w:val="16"/>
                <w:szCs w:val="16"/>
              </w:rPr>
            </w:pPr>
            <w:r w:rsidRPr="00E44D5C">
              <w:rPr>
                <w:sz w:val="16"/>
                <w:szCs w:val="16"/>
              </w:rPr>
              <w:t>Vyššie financovanie materských škôl (materské šk</w:t>
            </w:r>
            <w:r>
              <w:rPr>
                <w:sz w:val="16"/>
                <w:szCs w:val="16"/>
              </w:rPr>
              <w:t>o</w:t>
            </w:r>
            <w:r w:rsidRPr="00E44D5C">
              <w:rPr>
                <w:sz w:val="16"/>
                <w:szCs w:val="16"/>
              </w:rPr>
              <w:t>ly pod správou štátu)</w:t>
            </w:r>
          </w:p>
        </w:tc>
        <w:tc>
          <w:tcPr>
            <w:tcW w:w="567" w:type="dxa"/>
            <w:tcBorders>
              <w:left w:val="nil"/>
              <w:right w:val="nil"/>
            </w:tcBorders>
            <w:noWrap/>
          </w:tcPr>
          <w:p w14:paraId="5AB269AA"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098C97B2" w14:textId="77777777" w:rsidR="00C24F6F" w:rsidRPr="00E44D5C" w:rsidRDefault="00C24F6F" w:rsidP="002B1847">
            <w:pPr>
              <w:pStyle w:val="Bezriadkovania"/>
              <w:jc w:val="center"/>
              <w:rPr>
                <w:sz w:val="16"/>
                <w:szCs w:val="16"/>
              </w:rPr>
            </w:pPr>
            <w:r w:rsidRPr="00D63DCD">
              <w:rPr>
                <w:sz w:val="16"/>
                <w:szCs w:val="16"/>
              </w:rPr>
              <w:t>53</w:t>
            </w:r>
          </w:p>
        </w:tc>
        <w:tc>
          <w:tcPr>
            <w:tcW w:w="567" w:type="dxa"/>
            <w:tcBorders>
              <w:left w:val="nil"/>
              <w:right w:val="nil"/>
            </w:tcBorders>
            <w:noWrap/>
          </w:tcPr>
          <w:p w14:paraId="71A44195"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4574DAA1"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2EF422BD"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3E4F72E9" w14:textId="77777777" w:rsidTr="002B1847">
        <w:trPr>
          <w:trHeight w:val="21"/>
        </w:trPr>
        <w:tc>
          <w:tcPr>
            <w:tcW w:w="6237" w:type="dxa"/>
            <w:tcBorders>
              <w:left w:val="nil"/>
              <w:right w:val="nil"/>
            </w:tcBorders>
            <w:noWrap/>
          </w:tcPr>
          <w:p w14:paraId="0BBC6CD3" w14:textId="77777777" w:rsidR="00C24F6F" w:rsidRPr="00E44D5C" w:rsidRDefault="00C24F6F" w:rsidP="002B1847">
            <w:pPr>
              <w:pStyle w:val="Bezriadkovania"/>
              <w:rPr>
                <w:sz w:val="16"/>
                <w:szCs w:val="16"/>
              </w:rPr>
            </w:pPr>
            <w:r w:rsidRPr="00E44D5C">
              <w:rPr>
                <w:sz w:val="16"/>
                <w:szCs w:val="16"/>
              </w:rPr>
              <w:t>Zlepšenie podmienok odmeňovania ozbrojených zložiek SR</w:t>
            </w:r>
          </w:p>
        </w:tc>
        <w:tc>
          <w:tcPr>
            <w:tcW w:w="567" w:type="dxa"/>
            <w:tcBorders>
              <w:left w:val="nil"/>
              <w:right w:val="nil"/>
            </w:tcBorders>
            <w:noWrap/>
          </w:tcPr>
          <w:p w14:paraId="56A79F49" w14:textId="77777777" w:rsidR="00C24F6F" w:rsidRPr="00E44D5C" w:rsidRDefault="00C24F6F" w:rsidP="002B1847">
            <w:pPr>
              <w:pStyle w:val="Bezriadkovania"/>
              <w:jc w:val="center"/>
              <w:rPr>
                <w:sz w:val="16"/>
                <w:szCs w:val="16"/>
              </w:rPr>
            </w:pPr>
            <w:r w:rsidRPr="00D63DCD">
              <w:rPr>
                <w:sz w:val="16"/>
                <w:szCs w:val="16"/>
              </w:rPr>
              <w:t>43</w:t>
            </w:r>
          </w:p>
        </w:tc>
        <w:tc>
          <w:tcPr>
            <w:tcW w:w="567" w:type="dxa"/>
            <w:tcBorders>
              <w:left w:val="nil"/>
              <w:right w:val="nil"/>
            </w:tcBorders>
            <w:noWrap/>
          </w:tcPr>
          <w:p w14:paraId="77969C0B" w14:textId="77777777" w:rsidR="00C24F6F" w:rsidRPr="00E44D5C" w:rsidRDefault="00C24F6F" w:rsidP="002B1847">
            <w:pPr>
              <w:pStyle w:val="Bezriadkovania"/>
              <w:jc w:val="center"/>
              <w:rPr>
                <w:sz w:val="16"/>
                <w:szCs w:val="16"/>
              </w:rPr>
            </w:pPr>
            <w:r w:rsidRPr="00D63DCD">
              <w:rPr>
                <w:sz w:val="16"/>
                <w:szCs w:val="16"/>
              </w:rPr>
              <w:t>115</w:t>
            </w:r>
          </w:p>
        </w:tc>
        <w:tc>
          <w:tcPr>
            <w:tcW w:w="567" w:type="dxa"/>
            <w:tcBorders>
              <w:left w:val="nil"/>
              <w:right w:val="nil"/>
            </w:tcBorders>
            <w:noWrap/>
          </w:tcPr>
          <w:p w14:paraId="67ED3ABE" w14:textId="77777777" w:rsidR="00C24F6F" w:rsidRPr="00E44D5C" w:rsidRDefault="00C24F6F" w:rsidP="002B1847">
            <w:pPr>
              <w:pStyle w:val="Bezriadkovania"/>
              <w:jc w:val="center"/>
              <w:rPr>
                <w:sz w:val="16"/>
                <w:szCs w:val="16"/>
              </w:rPr>
            </w:pPr>
            <w:r w:rsidRPr="00D63DCD">
              <w:rPr>
                <w:sz w:val="16"/>
                <w:szCs w:val="16"/>
              </w:rPr>
              <w:t>-11</w:t>
            </w:r>
          </w:p>
        </w:tc>
        <w:tc>
          <w:tcPr>
            <w:tcW w:w="567" w:type="dxa"/>
            <w:tcBorders>
              <w:left w:val="nil"/>
              <w:right w:val="nil"/>
            </w:tcBorders>
            <w:noWrap/>
          </w:tcPr>
          <w:p w14:paraId="12F388D5" w14:textId="77777777" w:rsidR="00C24F6F" w:rsidRPr="00E44D5C" w:rsidRDefault="00C24F6F" w:rsidP="002B1847">
            <w:pPr>
              <w:pStyle w:val="Bezriadkovania"/>
              <w:jc w:val="center"/>
              <w:rPr>
                <w:sz w:val="16"/>
                <w:szCs w:val="16"/>
              </w:rPr>
            </w:pPr>
            <w:r w:rsidRPr="00D63DCD">
              <w:rPr>
                <w:sz w:val="16"/>
                <w:szCs w:val="16"/>
              </w:rPr>
              <w:t>-2</w:t>
            </w:r>
          </w:p>
        </w:tc>
        <w:tc>
          <w:tcPr>
            <w:tcW w:w="562" w:type="dxa"/>
            <w:tcBorders>
              <w:left w:val="nil"/>
              <w:right w:val="nil"/>
            </w:tcBorders>
            <w:noWrap/>
          </w:tcPr>
          <w:p w14:paraId="23D505E2"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5F3830C8" w14:textId="77777777" w:rsidTr="002B1847">
        <w:trPr>
          <w:trHeight w:val="21"/>
        </w:trPr>
        <w:tc>
          <w:tcPr>
            <w:tcW w:w="6237" w:type="dxa"/>
            <w:tcBorders>
              <w:left w:val="nil"/>
              <w:right w:val="nil"/>
            </w:tcBorders>
            <w:noWrap/>
          </w:tcPr>
          <w:p w14:paraId="08F83D40" w14:textId="77777777" w:rsidR="00C24F6F" w:rsidRPr="00E44D5C" w:rsidRDefault="00C24F6F" w:rsidP="002B1847">
            <w:pPr>
              <w:pStyle w:val="Bezriadkovania"/>
              <w:rPr>
                <w:sz w:val="16"/>
                <w:szCs w:val="16"/>
              </w:rPr>
            </w:pPr>
            <w:r w:rsidRPr="00E44D5C">
              <w:rPr>
                <w:sz w:val="16"/>
                <w:szCs w:val="16"/>
              </w:rPr>
              <w:t>Úsporné opatrenia na verejnom zdravotnom poistení</w:t>
            </w:r>
          </w:p>
        </w:tc>
        <w:tc>
          <w:tcPr>
            <w:tcW w:w="567" w:type="dxa"/>
            <w:tcBorders>
              <w:left w:val="nil"/>
              <w:right w:val="nil"/>
            </w:tcBorders>
            <w:noWrap/>
          </w:tcPr>
          <w:p w14:paraId="3652633E"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11B614B2" w14:textId="77777777" w:rsidR="00C24F6F" w:rsidRPr="00E44D5C" w:rsidRDefault="00C24F6F" w:rsidP="002B1847">
            <w:pPr>
              <w:pStyle w:val="Bezriadkovania"/>
              <w:jc w:val="center"/>
              <w:rPr>
                <w:sz w:val="16"/>
                <w:szCs w:val="16"/>
              </w:rPr>
            </w:pPr>
            <w:r w:rsidRPr="00D63DCD">
              <w:rPr>
                <w:sz w:val="16"/>
                <w:szCs w:val="16"/>
              </w:rPr>
              <w:t>-193</w:t>
            </w:r>
          </w:p>
        </w:tc>
        <w:tc>
          <w:tcPr>
            <w:tcW w:w="567" w:type="dxa"/>
            <w:tcBorders>
              <w:left w:val="nil"/>
              <w:right w:val="nil"/>
            </w:tcBorders>
            <w:noWrap/>
          </w:tcPr>
          <w:p w14:paraId="1144BBF8"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14EBE1A1"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383B8A5F"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594E2D56" w14:textId="77777777" w:rsidTr="002B1847">
        <w:trPr>
          <w:trHeight w:val="21"/>
        </w:trPr>
        <w:tc>
          <w:tcPr>
            <w:tcW w:w="6237" w:type="dxa"/>
            <w:tcBorders>
              <w:left w:val="nil"/>
              <w:right w:val="nil"/>
            </w:tcBorders>
            <w:noWrap/>
          </w:tcPr>
          <w:p w14:paraId="09B4536F" w14:textId="77777777" w:rsidR="00C24F6F" w:rsidRPr="00E44D5C" w:rsidRDefault="00C24F6F" w:rsidP="002B1847">
            <w:pPr>
              <w:pStyle w:val="Bezriadkovania"/>
              <w:rPr>
                <w:sz w:val="16"/>
                <w:szCs w:val="16"/>
              </w:rPr>
            </w:pPr>
            <w:r w:rsidRPr="00E44D5C">
              <w:rPr>
                <w:sz w:val="16"/>
                <w:szCs w:val="16"/>
              </w:rPr>
              <w:t xml:space="preserve">Naplnenie zásobníkov plynu - 35 % priemeru spotreby posledných 5 rokov </w:t>
            </w:r>
          </w:p>
        </w:tc>
        <w:tc>
          <w:tcPr>
            <w:tcW w:w="567" w:type="dxa"/>
            <w:tcBorders>
              <w:left w:val="nil"/>
              <w:right w:val="nil"/>
            </w:tcBorders>
            <w:noWrap/>
          </w:tcPr>
          <w:p w14:paraId="65F17694"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7B5F00E0" w14:textId="77777777" w:rsidR="00C24F6F" w:rsidRPr="00E44D5C" w:rsidRDefault="00C24F6F" w:rsidP="002B1847">
            <w:pPr>
              <w:pStyle w:val="Bezriadkovania"/>
              <w:jc w:val="center"/>
              <w:rPr>
                <w:sz w:val="16"/>
                <w:szCs w:val="16"/>
              </w:rPr>
            </w:pPr>
            <w:r w:rsidRPr="00D63DCD">
              <w:rPr>
                <w:sz w:val="16"/>
                <w:szCs w:val="16"/>
              </w:rPr>
              <w:t>40</w:t>
            </w:r>
          </w:p>
        </w:tc>
        <w:tc>
          <w:tcPr>
            <w:tcW w:w="567" w:type="dxa"/>
            <w:tcBorders>
              <w:left w:val="nil"/>
              <w:right w:val="nil"/>
            </w:tcBorders>
            <w:noWrap/>
          </w:tcPr>
          <w:p w14:paraId="06B18DE9" w14:textId="77777777" w:rsidR="00C24F6F" w:rsidRPr="00E44D5C" w:rsidRDefault="00C24F6F" w:rsidP="002B1847">
            <w:pPr>
              <w:pStyle w:val="Bezriadkovania"/>
              <w:jc w:val="center"/>
              <w:rPr>
                <w:sz w:val="16"/>
                <w:szCs w:val="16"/>
              </w:rPr>
            </w:pPr>
            <w:r w:rsidRPr="00D63DCD">
              <w:rPr>
                <w:sz w:val="16"/>
                <w:szCs w:val="16"/>
              </w:rPr>
              <w:t>-23</w:t>
            </w:r>
          </w:p>
        </w:tc>
        <w:tc>
          <w:tcPr>
            <w:tcW w:w="567" w:type="dxa"/>
            <w:tcBorders>
              <w:left w:val="nil"/>
              <w:right w:val="nil"/>
            </w:tcBorders>
            <w:noWrap/>
          </w:tcPr>
          <w:p w14:paraId="649DD2EC" w14:textId="77777777" w:rsidR="00C24F6F" w:rsidRPr="00E44D5C" w:rsidRDefault="00C24F6F" w:rsidP="002B1847">
            <w:pPr>
              <w:pStyle w:val="Bezriadkovania"/>
              <w:jc w:val="center"/>
              <w:rPr>
                <w:sz w:val="16"/>
                <w:szCs w:val="16"/>
              </w:rPr>
            </w:pPr>
            <w:r w:rsidRPr="00D63DCD">
              <w:rPr>
                <w:sz w:val="16"/>
                <w:szCs w:val="16"/>
              </w:rPr>
              <w:t>-17</w:t>
            </w:r>
          </w:p>
        </w:tc>
        <w:tc>
          <w:tcPr>
            <w:tcW w:w="562" w:type="dxa"/>
            <w:tcBorders>
              <w:left w:val="nil"/>
              <w:right w:val="nil"/>
            </w:tcBorders>
            <w:noWrap/>
          </w:tcPr>
          <w:p w14:paraId="15B1992E"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2B6B0C44" w14:textId="77777777" w:rsidTr="002B1847">
        <w:trPr>
          <w:trHeight w:val="21"/>
        </w:trPr>
        <w:tc>
          <w:tcPr>
            <w:tcW w:w="6237" w:type="dxa"/>
            <w:tcBorders>
              <w:left w:val="nil"/>
              <w:right w:val="nil"/>
            </w:tcBorders>
            <w:noWrap/>
          </w:tcPr>
          <w:p w14:paraId="272E1BDA" w14:textId="77777777" w:rsidR="00C24F6F" w:rsidRPr="00E44D5C" w:rsidRDefault="00C24F6F" w:rsidP="002B1847">
            <w:pPr>
              <w:pStyle w:val="Bezriadkovania"/>
              <w:rPr>
                <w:sz w:val="16"/>
                <w:szCs w:val="16"/>
              </w:rPr>
            </w:pPr>
            <w:r w:rsidRPr="00E44D5C">
              <w:rPr>
                <w:sz w:val="16"/>
                <w:szCs w:val="16"/>
              </w:rPr>
              <w:t>Zavedenie povinnej škôlky pre deti od 3 a 4 rokov</w:t>
            </w:r>
          </w:p>
        </w:tc>
        <w:tc>
          <w:tcPr>
            <w:tcW w:w="567" w:type="dxa"/>
            <w:tcBorders>
              <w:left w:val="nil"/>
              <w:right w:val="nil"/>
            </w:tcBorders>
            <w:noWrap/>
          </w:tcPr>
          <w:p w14:paraId="2EEF4B58"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2D2A3DF2"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489731A0"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6B579041" w14:textId="77777777" w:rsidR="00C24F6F" w:rsidRPr="00E44D5C" w:rsidRDefault="00C24F6F" w:rsidP="002B1847">
            <w:pPr>
              <w:pStyle w:val="Bezriadkovania"/>
              <w:jc w:val="center"/>
              <w:rPr>
                <w:sz w:val="16"/>
                <w:szCs w:val="16"/>
              </w:rPr>
            </w:pPr>
            <w:r w:rsidRPr="00D63DCD">
              <w:rPr>
                <w:sz w:val="16"/>
                <w:szCs w:val="16"/>
              </w:rPr>
              <w:t>18</w:t>
            </w:r>
          </w:p>
        </w:tc>
        <w:tc>
          <w:tcPr>
            <w:tcW w:w="562" w:type="dxa"/>
            <w:tcBorders>
              <w:left w:val="nil"/>
              <w:right w:val="nil"/>
            </w:tcBorders>
            <w:noWrap/>
          </w:tcPr>
          <w:p w14:paraId="1945F23F" w14:textId="77777777" w:rsidR="00C24F6F" w:rsidRPr="00E44D5C" w:rsidRDefault="00C24F6F" w:rsidP="002B1847">
            <w:pPr>
              <w:pStyle w:val="Bezriadkovania"/>
              <w:jc w:val="center"/>
              <w:rPr>
                <w:sz w:val="16"/>
                <w:szCs w:val="16"/>
              </w:rPr>
            </w:pPr>
            <w:r w:rsidRPr="00D63DCD">
              <w:rPr>
                <w:sz w:val="16"/>
                <w:szCs w:val="16"/>
              </w:rPr>
              <w:t>26</w:t>
            </w:r>
          </w:p>
        </w:tc>
      </w:tr>
      <w:tr w:rsidR="00C24F6F" w:rsidRPr="00E44D5C" w14:paraId="50F02430" w14:textId="77777777" w:rsidTr="002B1847">
        <w:trPr>
          <w:trHeight w:val="21"/>
        </w:trPr>
        <w:tc>
          <w:tcPr>
            <w:tcW w:w="6237" w:type="dxa"/>
            <w:tcBorders>
              <w:left w:val="nil"/>
              <w:right w:val="nil"/>
            </w:tcBorders>
            <w:noWrap/>
          </w:tcPr>
          <w:p w14:paraId="44C25B14" w14:textId="77777777" w:rsidR="00C24F6F" w:rsidRPr="00E44D5C" w:rsidRDefault="00C24F6F" w:rsidP="002B1847">
            <w:pPr>
              <w:pStyle w:val="Bezriadkovania"/>
              <w:rPr>
                <w:sz w:val="16"/>
                <w:szCs w:val="16"/>
              </w:rPr>
            </w:pPr>
            <w:r w:rsidRPr="00E44D5C">
              <w:rPr>
                <w:sz w:val="16"/>
                <w:szCs w:val="16"/>
              </w:rPr>
              <w:t>800 € odmeny pre zamestnancov verejnej správy</w:t>
            </w:r>
          </w:p>
        </w:tc>
        <w:tc>
          <w:tcPr>
            <w:tcW w:w="567" w:type="dxa"/>
            <w:tcBorders>
              <w:left w:val="nil"/>
              <w:right w:val="nil"/>
            </w:tcBorders>
            <w:noWrap/>
          </w:tcPr>
          <w:p w14:paraId="6F2CE7F4"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28CB65BE" w14:textId="77777777" w:rsidR="00C24F6F" w:rsidRPr="00E44D5C" w:rsidRDefault="00C24F6F" w:rsidP="002B1847">
            <w:pPr>
              <w:pStyle w:val="Bezriadkovania"/>
              <w:jc w:val="center"/>
              <w:rPr>
                <w:sz w:val="16"/>
                <w:szCs w:val="16"/>
              </w:rPr>
            </w:pPr>
            <w:r w:rsidRPr="00D63DCD">
              <w:rPr>
                <w:sz w:val="16"/>
                <w:szCs w:val="16"/>
              </w:rPr>
              <w:t>300</w:t>
            </w:r>
          </w:p>
        </w:tc>
        <w:tc>
          <w:tcPr>
            <w:tcW w:w="567" w:type="dxa"/>
            <w:tcBorders>
              <w:left w:val="nil"/>
              <w:right w:val="nil"/>
            </w:tcBorders>
            <w:noWrap/>
          </w:tcPr>
          <w:p w14:paraId="1E0AE54B" w14:textId="77777777" w:rsidR="00C24F6F" w:rsidRPr="00E44D5C" w:rsidRDefault="00C24F6F" w:rsidP="002B1847">
            <w:pPr>
              <w:pStyle w:val="Bezriadkovania"/>
              <w:jc w:val="center"/>
              <w:rPr>
                <w:sz w:val="16"/>
                <w:szCs w:val="16"/>
              </w:rPr>
            </w:pPr>
            <w:r w:rsidRPr="00D63DCD">
              <w:rPr>
                <w:sz w:val="16"/>
                <w:szCs w:val="16"/>
              </w:rPr>
              <w:t>-300</w:t>
            </w:r>
          </w:p>
        </w:tc>
        <w:tc>
          <w:tcPr>
            <w:tcW w:w="567" w:type="dxa"/>
            <w:tcBorders>
              <w:left w:val="nil"/>
              <w:right w:val="nil"/>
            </w:tcBorders>
            <w:noWrap/>
          </w:tcPr>
          <w:p w14:paraId="230B3BB9"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00FEFB02"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3552C9A9" w14:textId="77777777" w:rsidTr="002B1847">
        <w:trPr>
          <w:trHeight w:val="21"/>
        </w:trPr>
        <w:tc>
          <w:tcPr>
            <w:tcW w:w="6237" w:type="dxa"/>
            <w:tcBorders>
              <w:left w:val="nil"/>
              <w:right w:val="nil"/>
            </w:tcBorders>
            <w:noWrap/>
          </w:tcPr>
          <w:p w14:paraId="27A92294" w14:textId="77777777" w:rsidR="00C24F6F" w:rsidRPr="00E44D5C" w:rsidRDefault="00C24F6F" w:rsidP="002B1847">
            <w:pPr>
              <w:pStyle w:val="Bezriadkovania"/>
              <w:rPr>
                <w:sz w:val="16"/>
                <w:szCs w:val="16"/>
              </w:rPr>
            </w:pPr>
            <w:r w:rsidRPr="00E44D5C">
              <w:rPr>
                <w:sz w:val="16"/>
                <w:szCs w:val="16"/>
              </w:rPr>
              <w:t>Valorizácia miezd v školstve ((ne)pedagogickí, odborní, VVŠ a VaV)</w:t>
            </w:r>
          </w:p>
        </w:tc>
        <w:tc>
          <w:tcPr>
            <w:tcW w:w="567" w:type="dxa"/>
            <w:tcBorders>
              <w:left w:val="nil"/>
              <w:right w:val="nil"/>
            </w:tcBorders>
            <w:noWrap/>
          </w:tcPr>
          <w:p w14:paraId="1EA03E3E"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04808607"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51A2622E" w14:textId="77777777" w:rsidR="00C24F6F" w:rsidRPr="00E44D5C" w:rsidRDefault="00C24F6F" w:rsidP="002B1847">
            <w:pPr>
              <w:pStyle w:val="Bezriadkovania"/>
              <w:jc w:val="center"/>
              <w:rPr>
                <w:sz w:val="16"/>
                <w:szCs w:val="16"/>
              </w:rPr>
            </w:pPr>
            <w:r w:rsidRPr="00D63DCD">
              <w:rPr>
                <w:sz w:val="16"/>
                <w:szCs w:val="16"/>
              </w:rPr>
              <w:t>437</w:t>
            </w:r>
          </w:p>
        </w:tc>
        <w:tc>
          <w:tcPr>
            <w:tcW w:w="567" w:type="dxa"/>
            <w:tcBorders>
              <w:left w:val="nil"/>
              <w:right w:val="nil"/>
            </w:tcBorders>
            <w:noWrap/>
          </w:tcPr>
          <w:p w14:paraId="5D9D5BEC"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78DC4512"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3121BB3A" w14:textId="77777777" w:rsidTr="002B1847">
        <w:trPr>
          <w:trHeight w:val="21"/>
        </w:trPr>
        <w:tc>
          <w:tcPr>
            <w:tcW w:w="6237" w:type="dxa"/>
            <w:tcBorders>
              <w:left w:val="nil"/>
              <w:right w:val="nil"/>
            </w:tcBorders>
            <w:noWrap/>
          </w:tcPr>
          <w:p w14:paraId="440F37A1" w14:textId="77777777" w:rsidR="00C24F6F" w:rsidRPr="00E44D5C" w:rsidRDefault="00C24F6F" w:rsidP="002B1847">
            <w:pPr>
              <w:pStyle w:val="Bezriadkovania"/>
              <w:rPr>
                <w:sz w:val="16"/>
                <w:szCs w:val="16"/>
              </w:rPr>
            </w:pPr>
            <w:r w:rsidRPr="00E44D5C">
              <w:rPr>
                <w:sz w:val="16"/>
                <w:szCs w:val="16"/>
              </w:rPr>
              <w:t>Nulová valorizácia miezd vo VS a platov ústavných činiteľov</w:t>
            </w:r>
          </w:p>
        </w:tc>
        <w:tc>
          <w:tcPr>
            <w:tcW w:w="567" w:type="dxa"/>
            <w:tcBorders>
              <w:left w:val="nil"/>
              <w:right w:val="nil"/>
            </w:tcBorders>
            <w:noWrap/>
          </w:tcPr>
          <w:p w14:paraId="16D5F029"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286B121D"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2EA2A55F" w14:textId="77777777" w:rsidR="00C24F6F" w:rsidRPr="00E44D5C" w:rsidRDefault="00C24F6F" w:rsidP="002B1847">
            <w:pPr>
              <w:pStyle w:val="Bezriadkovania"/>
              <w:jc w:val="center"/>
              <w:rPr>
                <w:sz w:val="16"/>
                <w:szCs w:val="16"/>
              </w:rPr>
            </w:pPr>
            <w:r w:rsidRPr="00D63DCD">
              <w:rPr>
                <w:sz w:val="16"/>
                <w:szCs w:val="16"/>
              </w:rPr>
              <w:t>-160</w:t>
            </w:r>
          </w:p>
        </w:tc>
        <w:tc>
          <w:tcPr>
            <w:tcW w:w="567" w:type="dxa"/>
            <w:tcBorders>
              <w:left w:val="nil"/>
              <w:right w:val="nil"/>
            </w:tcBorders>
            <w:noWrap/>
          </w:tcPr>
          <w:p w14:paraId="30AF0840"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45DC57D1"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7341A890" w14:textId="77777777" w:rsidTr="002B1847">
        <w:trPr>
          <w:trHeight w:val="21"/>
        </w:trPr>
        <w:tc>
          <w:tcPr>
            <w:tcW w:w="6237" w:type="dxa"/>
            <w:tcBorders>
              <w:left w:val="nil"/>
              <w:right w:val="nil"/>
            </w:tcBorders>
            <w:noWrap/>
          </w:tcPr>
          <w:p w14:paraId="761872CA" w14:textId="77777777" w:rsidR="00C24F6F" w:rsidRPr="00E44D5C" w:rsidRDefault="00C24F6F" w:rsidP="002B1847">
            <w:pPr>
              <w:pStyle w:val="Bezriadkovania"/>
              <w:rPr>
                <w:sz w:val="16"/>
                <w:szCs w:val="16"/>
              </w:rPr>
            </w:pPr>
            <w:r w:rsidRPr="00E44D5C">
              <w:rPr>
                <w:sz w:val="16"/>
                <w:szCs w:val="16"/>
              </w:rPr>
              <w:t>Výdavkové konsolidačné opatrenia v sociálnej oblasti</w:t>
            </w:r>
          </w:p>
        </w:tc>
        <w:tc>
          <w:tcPr>
            <w:tcW w:w="567" w:type="dxa"/>
            <w:tcBorders>
              <w:left w:val="nil"/>
              <w:right w:val="nil"/>
            </w:tcBorders>
            <w:noWrap/>
          </w:tcPr>
          <w:p w14:paraId="22F89D9B"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36C2FE47"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71A1C1C2" w14:textId="77777777" w:rsidR="00C24F6F" w:rsidRPr="00E44D5C" w:rsidRDefault="00C24F6F" w:rsidP="002B1847">
            <w:pPr>
              <w:pStyle w:val="Bezriadkovania"/>
              <w:jc w:val="center"/>
              <w:rPr>
                <w:sz w:val="16"/>
                <w:szCs w:val="16"/>
              </w:rPr>
            </w:pPr>
            <w:r w:rsidRPr="00D63DCD">
              <w:rPr>
                <w:sz w:val="16"/>
                <w:szCs w:val="16"/>
              </w:rPr>
              <w:t>-137</w:t>
            </w:r>
          </w:p>
        </w:tc>
        <w:tc>
          <w:tcPr>
            <w:tcW w:w="567" w:type="dxa"/>
            <w:tcBorders>
              <w:left w:val="nil"/>
              <w:right w:val="nil"/>
            </w:tcBorders>
            <w:noWrap/>
          </w:tcPr>
          <w:p w14:paraId="659312C1" w14:textId="77777777" w:rsidR="00C24F6F" w:rsidRPr="00E44D5C" w:rsidRDefault="00C24F6F" w:rsidP="002B1847">
            <w:pPr>
              <w:pStyle w:val="Bezriadkovania"/>
              <w:jc w:val="center"/>
              <w:rPr>
                <w:sz w:val="16"/>
                <w:szCs w:val="16"/>
              </w:rPr>
            </w:pPr>
            <w:r w:rsidRPr="00D63DCD">
              <w:rPr>
                <w:sz w:val="16"/>
                <w:szCs w:val="16"/>
              </w:rPr>
              <w:t>-21</w:t>
            </w:r>
          </w:p>
        </w:tc>
        <w:tc>
          <w:tcPr>
            <w:tcW w:w="562" w:type="dxa"/>
            <w:tcBorders>
              <w:left w:val="nil"/>
              <w:right w:val="nil"/>
            </w:tcBorders>
            <w:noWrap/>
          </w:tcPr>
          <w:p w14:paraId="564369E0" w14:textId="77777777" w:rsidR="00C24F6F" w:rsidRPr="00E44D5C" w:rsidRDefault="00C24F6F" w:rsidP="002B1847">
            <w:pPr>
              <w:pStyle w:val="Bezriadkovania"/>
              <w:jc w:val="center"/>
              <w:rPr>
                <w:sz w:val="16"/>
                <w:szCs w:val="16"/>
              </w:rPr>
            </w:pPr>
            <w:r w:rsidRPr="00D63DCD">
              <w:rPr>
                <w:sz w:val="16"/>
                <w:szCs w:val="16"/>
              </w:rPr>
              <w:t>-47</w:t>
            </w:r>
          </w:p>
        </w:tc>
      </w:tr>
      <w:tr w:rsidR="00C24F6F" w:rsidRPr="00E44D5C" w14:paraId="75E52FB8" w14:textId="77777777" w:rsidTr="002B1847">
        <w:trPr>
          <w:trHeight w:val="21"/>
        </w:trPr>
        <w:tc>
          <w:tcPr>
            <w:tcW w:w="6237" w:type="dxa"/>
            <w:tcBorders>
              <w:left w:val="nil"/>
              <w:right w:val="nil"/>
            </w:tcBorders>
            <w:noWrap/>
          </w:tcPr>
          <w:p w14:paraId="38EC959F" w14:textId="77777777" w:rsidR="00C24F6F" w:rsidRPr="00E44D5C" w:rsidRDefault="00C24F6F" w:rsidP="002B1847">
            <w:pPr>
              <w:pStyle w:val="Bezriadkovania"/>
              <w:rPr>
                <w:sz w:val="16"/>
                <w:szCs w:val="16"/>
              </w:rPr>
            </w:pPr>
            <w:r w:rsidRPr="00E44D5C">
              <w:rPr>
                <w:sz w:val="16"/>
                <w:szCs w:val="16"/>
              </w:rPr>
              <w:t>Kapitálové príjmy z predaja prebytočného majetku MO SR</w:t>
            </w:r>
          </w:p>
        </w:tc>
        <w:tc>
          <w:tcPr>
            <w:tcW w:w="567" w:type="dxa"/>
            <w:tcBorders>
              <w:left w:val="nil"/>
              <w:right w:val="nil"/>
            </w:tcBorders>
            <w:noWrap/>
          </w:tcPr>
          <w:p w14:paraId="6734D199"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7059B671"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3CB9016A" w14:textId="77777777" w:rsidR="00C24F6F" w:rsidRPr="00E44D5C" w:rsidRDefault="00C24F6F" w:rsidP="002B1847">
            <w:pPr>
              <w:pStyle w:val="Bezriadkovania"/>
              <w:jc w:val="center"/>
              <w:rPr>
                <w:sz w:val="16"/>
                <w:szCs w:val="16"/>
              </w:rPr>
            </w:pPr>
            <w:r w:rsidRPr="00D63DCD">
              <w:rPr>
                <w:sz w:val="16"/>
                <w:szCs w:val="16"/>
              </w:rPr>
              <w:t>-50</w:t>
            </w:r>
          </w:p>
        </w:tc>
        <w:tc>
          <w:tcPr>
            <w:tcW w:w="567" w:type="dxa"/>
            <w:tcBorders>
              <w:left w:val="nil"/>
              <w:right w:val="nil"/>
            </w:tcBorders>
            <w:noWrap/>
          </w:tcPr>
          <w:p w14:paraId="20781CCC" w14:textId="77777777" w:rsidR="00C24F6F" w:rsidRPr="00E44D5C" w:rsidRDefault="00C24F6F" w:rsidP="002B1847">
            <w:pPr>
              <w:pStyle w:val="Bezriadkovania"/>
              <w:jc w:val="center"/>
              <w:rPr>
                <w:sz w:val="16"/>
                <w:szCs w:val="16"/>
              </w:rPr>
            </w:pPr>
            <w:r w:rsidRPr="00D63DCD">
              <w:rPr>
                <w:sz w:val="16"/>
                <w:szCs w:val="16"/>
              </w:rPr>
              <w:t>50</w:t>
            </w:r>
          </w:p>
        </w:tc>
        <w:tc>
          <w:tcPr>
            <w:tcW w:w="562" w:type="dxa"/>
            <w:tcBorders>
              <w:left w:val="nil"/>
              <w:right w:val="nil"/>
            </w:tcBorders>
            <w:noWrap/>
          </w:tcPr>
          <w:p w14:paraId="3AF5770E"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27DE5BEA" w14:textId="77777777" w:rsidTr="002B1847">
        <w:trPr>
          <w:trHeight w:val="21"/>
        </w:trPr>
        <w:tc>
          <w:tcPr>
            <w:tcW w:w="6237" w:type="dxa"/>
            <w:tcBorders>
              <w:left w:val="nil"/>
              <w:right w:val="nil"/>
            </w:tcBorders>
            <w:noWrap/>
          </w:tcPr>
          <w:p w14:paraId="7464ABAA" w14:textId="77777777" w:rsidR="00C24F6F" w:rsidRPr="00E44D5C" w:rsidRDefault="00C24F6F" w:rsidP="002B1847">
            <w:pPr>
              <w:pStyle w:val="Bezriadkovania"/>
              <w:rPr>
                <w:sz w:val="16"/>
                <w:szCs w:val="16"/>
              </w:rPr>
            </w:pPr>
            <w:r w:rsidRPr="00E44D5C">
              <w:rPr>
                <w:sz w:val="16"/>
                <w:szCs w:val="16"/>
              </w:rPr>
              <w:t>Úspora na prevádzkových výdavkoch verejnej správy</w:t>
            </w:r>
          </w:p>
        </w:tc>
        <w:tc>
          <w:tcPr>
            <w:tcW w:w="567" w:type="dxa"/>
            <w:tcBorders>
              <w:left w:val="nil"/>
              <w:right w:val="nil"/>
            </w:tcBorders>
            <w:noWrap/>
          </w:tcPr>
          <w:p w14:paraId="551A827B"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750C8DE9"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7DAD0CB1" w14:textId="77777777" w:rsidR="00C24F6F" w:rsidRPr="00E44D5C" w:rsidRDefault="00C24F6F" w:rsidP="002B1847">
            <w:pPr>
              <w:pStyle w:val="Bezriadkovania"/>
              <w:jc w:val="center"/>
              <w:rPr>
                <w:sz w:val="16"/>
                <w:szCs w:val="16"/>
              </w:rPr>
            </w:pPr>
            <w:r w:rsidRPr="00D63DCD">
              <w:rPr>
                <w:sz w:val="16"/>
                <w:szCs w:val="16"/>
              </w:rPr>
              <w:t>-505</w:t>
            </w:r>
          </w:p>
        </w:tc>
        <w:tc>
          <w:tcPr>
            <w:tcW w:w="567" w:type="dxa"/>
            <w:tcBorders>
              <w:left w:val="nil"/>
              <w:right w:val="nil"/>
            </w:tcBorders>
            <w:noWrap/>
          </w:tcPr>
          <w:p w14:paraId="72CCD59D"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372BD6DB"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03B5765C" w14:textId="77777777" w:rsidTr="002B1847">
        <w:trPr>
          <w:trHeight w:val="21"/>
        </w:trPr>
        <w:tc>
          <w:tcPr>
            <w:tcW w:w="6237" w:type="dxa"/>
            <w:tcBorders>
              <w:left w:val="nil"/>
              <w:right w:val="nil"/>
            </w:tcBorders>
            <w:noWrap/>
          </w:tcPr>
          <w:p w14:paraId="1878D702" w14:textId="77777777" w:rsidR="00C24F6F" w:rsidRPr="00E44D5C" w:rsidRDefault="00C24F6F" w:rsidP="002B1847">
            <w:pPr>
              <w:pStyle w:val="Bezriadkovania"/>
              <w:rPr>
                <w:sz w:val="16"/>
                <w:szCs w:val="16"/>
              </w:rPr>
            </w:pPr>
            <w:r w:rsidRPr="00E44D5C">
              <w:rPr>
                <w:sz w:val="16"/>
                <w:szCs w:val="16"/>
              </w:rPr>
              <w:t>Dofinancovanie stavby nemocníc z plánu obnovy štátnym rozpočtom</w:t>
            </w:r>
          </w:p>
        </w:tc>
        <w:tc>
          <w:tcPr>
            <w:tcW w:w="567" w:type="dxa"/>
            <w:tcBorders>
              <w:left w:val="nil"/>
              <w:right w:val="nil"/>
            </w:tcBorders>
            <w:noWrap/>
          </w:tcPr>
          <w:p w14:paraId="6EDD27A3"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35469618"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6FF8F68D"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3D176547" w14:textId="77777777" w:rsidR="00C24F6F" w:rsidRPr="00E44D5C" w:rsidRDefault="00C24F6F" w:rsidP="002B1847">
            <w:pPr>
              <w:pStyle w:val="Bezriadkovania"/>
              <w:jc w:val="center"/>
              <w:rPr>
                <w:sz w:val="16"/>
                <w:szCs w:val="16"/>
              </w:rPr>
            </w:pPr>
            <w:r w:rsidRPr="00D63DCD">
              <w:rPr>
                <w:sz w:val="16"/>
                <w:szCs w:val="16"/>
              </w:rPr>
              <w:t>289</w:t>
            </w:r>
          </w:p>
        </w:tc>
        <w:tc>
          <w:tcPr>
            <w:tcW w:w="562" w:type="dxa"/>
            <w:tcBorders>
              <w:left w:val="nil"/>
              <w:right w:val="nil"/>
            </w:tcBorders>
            <w:noWrap/>
          </w:tcPr>
          <w:p w14:paraId="4595178E" w14:textId="77777777" w:rsidR="00C24F6F" w:rsidRPr="00E44D5C" w:rsidRDefault="00C24F6F" w:rsidP="002B1847">
            <w:pPr>
              <w:pStyle w:val="Bezriadkovania"/>
              <w:jc w:val="center"/>
              <w:rPr>
                <w:sz w:val="16"/>
                <w:szCs w:val="16"/>
              </w:rPr>
            </w:pPr>
            <w:r w:rsidRPr="00D63DCD">
              <w:rPr>
                <w:sz w:val="16"/>
                <w:szCs w:val="16"/>
              </w:rPr>
              <w:t>-96</w:t>
            </w:r>
          </w:p>
        </w:tc>
      </w:tr>
      <w:tr w:rsidR="00C24F6F" w:rsidRPr="00E44D5C" w14:paraId="14C34E94" w14:textId="77777777" w:rsidTr="002B1847">
        <w:trPr>
          <w:trHeight w:val="21"/>
        </w:trPr>
        <w:tc>
          <w:tcPr>
            <w:tcW w:w="6237" w:type="dxa"/>
            <w:tcBorders>
              <w:left w:val="nil"/>
              <w:right w:val="nil"/>
            </w:tcBorders>
            <w:noWrap/>
          </w:tcPr>
          <w:p w14:paraId="638A5DBE" w14:textId="77777777" w:rsidR="00C24F6F" w:rsidRPr="00E44D5C" w:rsidRDefault="00C24F6F" w:rsidP="002B1847">
            <w:pPr>
              <w:pStyle w:val="Bezriadkovania"/>
              <w:rPr>
                <w:sz w:val="16"/>
                <w:szCs w:val="16"/>
              </w:rPr>
            </w:pPr>
            <w:r w:rsidRPr="00E44D5C">
              <w:rPr>
                <w:sz w:val="16"/>
                <w:szCs w:val="16"/>
              </w:rPr>
              <w:t>Zavedenie príspevku na pomoc pri odkázanosti (reforma opatrovania)</w:t>
            </w:r>
          </w:p>
        </w:tc>
        <w:tc>
          <w:tcPr>
            <w:tcW w:w="567" w:type="dxa"/>
            <w:tcBorders>
              <w:left w:val="nil"/>
              <w:right w:val="nil"/>
            </w:tcBorders>
            <w:noWrap/>
          </w:tcPr>
          <w:p w14:paraId="4E3B3650"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509F714E"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0FCA99CD"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6A7B067E" w14:textId="77777777" w:rsidR="00C24F6F" w:rsidRPr="00E44D5C" w:rsidRDefault="00C24F6F" w:rsidP="002B1847">
            <w:pPr>
              <w:pStyle w:val="Bezriadkovania"/>
              <w:jc w:val="center"/>
              <w:rPr>
                <w:sz w:val="16"/>
                <w:szCs w:val="16"/>
              </w:rPr>
            </w:pPr>
            <w:r w:rsidRPr="00D63DCD">
              <w:rPr>
                <w:sz w:val="16"/>
                <w:szCs w:val="16"/>
              </w:rPr>
              <w:t>268</w:t>
            </w:r>
          </w:p>
        </w:tc>
        <w:tc>
          <w:tcPr>
            <w:tcW w:w="562" w:type="dxa"/>
            <w:tcBorders>
              <w:left w:val="nil"/>
              <w:right w:val="nil"/>
            </w:tcBorders>
            <w:noWrap/>
          </w:tcPr>
          <w:p w14:paraId="0CB4F262"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6DF82E82" w14:textId="77777777" w:rsidTr="002B1847">
        <w:trPr>
          <w:trHeight w:val="21"/>
        </w:trPr>
        <w:tc>
          <w:tcPr>
            <w:tcW w:w="6237" w:type="dxa"/>
            <w:tcBorders>
              <w:left w:val="nil"/>
              <w:right w:val="nil"/>
            </w:tcBorders>
            <w:noWrap/>
          </w:tcPr>
          <w:p w14:paraId="23AA475A" w14:textId="77777777" w:rsidR="00C24F6F" w:rsidRPr="00E44D5C" w:rsidRDefault="00C24F6F" w:rsidP="002B1847">
            <w:pPr>
              <w:pStyle w:val="Bezriadkovania"/>
              <w:rPr>
                <w:sz w:val="16"/>
                <w:szCs w:val="16"/>
              </w:rPr>
            </w:pPr>
            <w:r w:rsidRPr="00E44D5C">
              <w:rPr>
                <w:sz w:val="16"/>
                <w:szCs w:val="16"/>
              </w:rPr>
              <w:t>Stabilizačný príspevok pre zdravotné sestry v nemocničných zariadeniach</w:t>
            </w:r>
          </w:p>
        </w:tc>
        <w:tc>
          <w:tcPr>
            <w:tcW w:w="567" w:type="dxa"/>
            <w:tcBorders>
              <w:left w:val="nil"/>
              <w:right w:val="nil"/>
            </w:tcBorders>
            <w:noWrap/>
          </w:tcPr>
          <w:p w14:paraId="56801B64"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0BA7A10D"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38DA1B68" w14:textId="77777777" w:rsidR="00C24F6F" w:rsidRPr="00E44D5C" w:rsidRDefault="00C24F6F" w:rsidP="002B1847">
            <w:pPr>
              <w:pStyle w:val="Bezriadkovania"/>
              <w:jc w:val="center"/>
              <w:rPr>
                <w:sz w:val="16"/>
                <w:szCs w:val="16"/>
              </w:rPr>
            </w:pPr>
            <w:r w:rsidRPr="00D63DCD">
              <w:rPr>
                <w:sz w:val="16"/>
                <w:szCs w:val="16"/>
              </w:rPr>
              <w:t>29</w:t>
            </w:r>
          </w:p>
        </w:tc>
        <w:tc>
          <w:tcPr>
            <w:tcW w:w="567" w:type="dxa"/>
            <w:tcBorders>
              <w:left w:val="nil"/>
              <w:right w:val="nil"/>
            </w:tcBorders>
            <w:noWrap/>
          </w:tcPr>
          <w:p w14:paraId="225A3AA7" w14:textId="77777777" w:rsidR="00C24F6F" w:rsidRPr="00E44D5C" w:rsidRDefault="00C24F6F" w:rsidP="002B1847">
            <w:pPr>
              <w:pStyle w:val="Bezriadkovania"/>
              <w:jc w:val="center"/>
              <w:rPr>
                <w:sz w:val="16"/>
                <w:szCs w:val="16"/>
              </w:rPr>
            </w:pPr>
            <w:r w:rsidRPr="00D63DCD">
              <w:rPr>
                <w:sz w:val="16"/>
                <w:szCs w:val="16"/>
              </w:rPr>
              <w:t>-29</w:t>
            </w:r>
          </w:p>
        </w:tc>
        <w:tc>
          <w:tcPr>
            <w:tcW w:w="562" w:type="dxa"/>
            <w:tcBorders>
              <w:left w:val="nil"/>
              <w:right w:val="nil"/>
            </w:tcBorders>
            <w:noWrap/>
          </w:tcPr>
          <w:p w14:paraId="7A88D249"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74573E05" w14:textId="77777777" w:rsidTr="002B1847">
        <w:trPr>
          <w:trHeight w:val="21"/>
        </w:trPr>
        <w:tc>
          <w:tcPr>
            <w:tcW w:w="6237" w:type="dxa"/>
            <w:tcBorders>
              <w:left w:val="nil"/>
              <w:right w:val="nil"/>
            </w:tcBorders>
            <w:noWrap/>
          </w:tcPr>
          <w:p w14:paraId="651D11F5" w14:textId="77777777" w:rsidR="00C24F6F" w:rsidRPr="00E44D5C" w:rsidRDefault="00C24F6F" w:rsidP="002B1847">
            <w:pPr>
              <w:pStyle w:val="Bezriadkovania"/>
              <w:rPr>
                <w:sz w:val="16"/>
                <w:szCs w:val="16"/>
              </w:rPr>
            </w:pPr>
            <w:r w:rsidRPr="00E44D5C">
              <w:rPr>
                <w:sz w:val="16"/>
                <w:szCs w:val="16"/>
              </w:rPr>
              <w:t>Navýšenie platby za poistencov štátu</w:t>
            </w:r>
          </w:p>
        </w:tc>
        <w:tc>
          <w:tcPr>
            <w:tcW w:w="567" w:type="dxa"/>
            <w:tcBorders>
              <w:left w:val="nil"/>
              <w:right w:val="nil"/>
            </w:tcBorders>
            <w:noWrap/>
          </w:tcPr>
          <w:p w14:paraId="2746D107" w14:textId="77777777" w:rsidR="00C24F6F" w:rsidRPr="00E44D5C" w:rsidRDefault="00C24F6F" w:rsidP="002B1847">
            <w:pPr>
              <w:pStyle w:val="Bezriadkovania"/>
              <w:jc w:val="center"/>
              <w:rPr>
                <w:sz w:val="16"/>
                <w:szCs w:val="16"/>
              </w:rPr>
            </w:pPr>
            <w:r w:rsidRPr="00D63DCD">
              <w:rPr>
                <w:sz w:val="16"/>
                <w:szCs w:val="16"/>
              </w:rPr>
              <w:t>-129</w:t>
            </w:r>
          </w:p>
        </w:tc>
        <w:tc>
          <w:tcPr>
            <w:tcW w:w="567" w:type="dxa"/>
            <w:tcBorders>
              <w:left w:val="nil"/>
              <w:right w:val="nil"/>
            </w:tcBorders>
            <w:noWrap/>
          </w:tcPr>
          <w:p w14:paraId="62CDB808" w14:textId="77777777" w:rsidR="00C24F6F" w:rsidRPr="00E44D5C" w:rsidRDefault="00C24F6F" w:rsidP="002B1847">
            <w:pPr>
              <w:pStyle w:val="Bezriadkovania"/>
              <w:jc w:val="center"/>
              <w:rPr>
                <w:sz w:val="16"/>
                <w:szCs w:val="16"/>
              </w:rPr>
            </w:pPr>
            <w:r w:rsidRPr="00D63DCD">
              <w:rPr>
                <w:sz w:val="16"/>
                <w:szCs w:val="16"/>
              </w:rPr>
              <w:t>-88</w:t>
            </w:r>
          </w:p>
        </w:tc>
        <w:tc>
          <w:tcPr>
            <w:tcW w:w="567" w:type="dxa"/>
            <w:tcBorders>
              <w:left w:val="nil"/>
              <w:right w:val="nil"/>
            </w:tcBorders>
            <w:noWrap/>
          </w:tcPr>
          <w:p w14:paraId="0919F77B" w14:textId="77777777" w:rsidR="00C24F6F" w:rsidRPr="00E44D5C" w:rsidRDefault="00C24F6F" w:rsidP="002B1847">
            <w:pPr>
              <w:pStyle w:val="Bezriadkovania"/>
              <w:jc w:val="center"/>
              <w:rPr>
                <w:sz w:val="16"/>
                <w:szCs w:val="16"/>
              </w:rPr>
            </w:pPr>
            <w:r w:rsidRPr="00D63DCD">
              <w:rPr>
                <w:sz w:val="16"/>
                <w:szCs w:val="16"/>
              </w:rPr>
              <w:t>-374</w:t>
            </w:r>
          </w:p>
        </w:tc>
        <w:tc>
          <w:tcPr>
            <w:tcW w:w="567" w:type="dxa"/>
            <w:tcBorders>
              <w:left w:val="nil"/>
              <w:right w:val="nil"/>
            </w:tcBorders>
            <w:noWrap/>
          </w:tcPr>
          <w:p w14:paraId="4437E4BA"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2F4E9281"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175698B2" w14:textId="77777777" w:rsidTr="002B1847">
        <w:trPr>
          <w:trHeight w:val="21"/>
        </w:trPr>
        <w:tc>
          <w:tcPr>
            <w:tcW w:w="6237" w:type="dxa"/>
            <w:tcBorders>
              <w:left w:val="nil"/>
              <w:right w:val="nil"/>
            </w:tcBorders>
            <w:noWrap/>
          </w:tcPr>
          <w:p w14:paraId="51F339E1" w14:textId="77777777" w:rsidR="00C24F6F" w:rsidRPr="00E44D5C" w:rsidRDefault="00C24F6F" w:rsidP="002B1847">
            <w:pPr>
              <w:pStyle w:val="Bezriadkovania"/>
              <w:rPr>
                <w:sz w:val="16"/>
                <w:szCs w:val="16"/>
              </w:rPr>
            </w:pPr>
            <w:r w:rsidRPr="00E44D5C">
              <w:rPr>
                <w:sz w:val="16"/>
                <w:szCs w:val="16"/>
              </w:rPr>
              <w:t>Poistné za poistencov štátu nahradené transferom do Soc. poisťovne</w:t>
            </w:r>
          </w:p>
        </w:tc>
        <w:tc>
          <w:tcPr>
            <w:tcW w:w="567" w:type="dxa"/>
            <w:tcBorders>
              <w:left w:val="nil"/>
              <w:right w:val="nil"/>
            </w:tcBorders>
            <w:noWrap/>
          </w:tcPr>
          <w:p w14:paraId="7B005483"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56B71562"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48BC2ABD" w14:textId="77777777" w:rsidR="00C24F6F" w:rsidRPr="00E44D5C" w:rsidRDefault="00C24F6F" w:rsidP="002B1847">
            <w:pPr>
              <w:pStyle w:val="Bezriadkovania"/>
              <w:jc w:val="center"/>
              <w:rPr>
                <w:sz w:val="16"/>
                <w:szCs w:val="16"/>
              </w:rPr>
            </w:pPr>
            <w:r w:rsidRPr="00D63DCD">
              <w:rPr>
                <w:sz w:val="16"/>
                <w:szCs w:val="16"/>
              </w:rPr>
              <w:t>-472</w:t>
            </w:r>
          </w:p>
        </w:tc>
        <w:tc>
          <w:tcPr>
            <w:tcW w:w="567" w:type="dxa"/>
            <w:tcBorders>
              <w:left w:val="nil"/>
              <w:right w:val="nil"/>
            </w:tcBorders>
            <w:noWrap/>
          </w:tcPr>
          <w:p w14:paraId="75C08234"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754FF428"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2E70177E" w14:textId="77777777" w:rsidTr="002B1847">
        <w:trPr>
          <w:trHeight w:val="21"/>
        </w:trPr>
        <w:tc>
          <w:tcPr>
            <w:tcW w:w="6237" w:type="dxa"/>
            <w:tcBorders>
              <w:left w:val="nil"/>
              <w:right w:val="nil"/>
            </w:tcBorders>
            <w:noWrap/>
          </w:tcPr>
          <w:p w14:paraId="702CA95F" w14:textId="77777777" w:rsidR="00C24F6F" w:rsidRPr="00E44D5C" w:rsidRDefault="00C24F6F" w:rsidP="002B1847">
            <w:pPr>
              <w:pStyle w:val="Bezriadkovania"/>
              <w:rPr>
                <w:sz w:val="16"/>
                <w:szCs w:val="16"/>
              </w:rPr>
            </w:pPr>
            <w:r w:rsidRPr="00E44D5C">
              <w:rPr>
                <w:sz w:val="16"/>
                <w:szCs w:val="16"/>
              </w:rPr>
              <w:t>Modernizácia obrannej techniky (investície na P.51G)</w:t>
            </w:r>
          </w:p>
        </w:tc>
        <w:tc>
          <w:tcPr>
            <w:tcW w:w="567" w:type="dxa"/>
            <w:tcBorders>
              <w:left w:val="nil"/>
              <w:right w:val="nil"/>
            </w:tcBorders>
            <w:noWrap/>
          </w:tcPr>
          <w:p w14:paraId="7C6A9100" w14:textId="77777777" w:rsidR="00C24F6F" w:rsidRPr="00E44D5C" w:rsidRDefault="00C24F6F" w:rsidP="002B1847">
            <w:pPr>
              <w:pStyle w:val="Bezriadkovania"/>
              <w:jc w:val="center"/>
              <w:rPr>
                <w:sz w:val="16"/>
                <w:szCs w:val="16"/>
              </w:rPr>
            </w:pPr>
            <w:r w:rsidRPr="00D63DCD">
              <w:rPr>
                <w:sz w:val="16"/>
                <w:szCs w:val="16"/>
              </w:rPr>
              <w:t>9</w:t>
            </w:r>
          </w:p>
        </w:tc>
        <w:tc>
          <w:tcPr>
            <w:tcW w:w="567" w:type="dxa"/>
            <w:tcBorders>
              <w:left w:val="nil"/>
              <w:right w:val="nil"/>
            </w:tcBorders>
            <w:noWrap/>
          </w:tcPr>
          <w:p w14:paraId="1F49B7FF" w14:textId="77777777" w:rsidR="00C24F6F" w:rsidRPr="00E44D5C" w:rsidRDefault="00C24F6F" w:rsidP="002B1847">
            <w:pPr>
              <w:pStyle w:val="Bezriadkovania"/>
              <w:jc w:val="center"/>
              <w:rPr>
                <w:sz w:val="16"/>
                <w:szCs w:val="16"/>
              </w:rPr>
            </w:pPr>
            <w:r w:rsidRPr="00D63DCD">
              <w:rPr>
                <w:sz w:val="16"/>
                <w:szCs w:val="16"/>
              </w:rPr>
              <w:t>830</w:t>
            </w:r>
          </w:p>
        </w:tc>
        <w:tc>
          <w:tcPr>
            <w:tcW w:w="567" w:type="dxa"/>
            <w:tcBorders>
              <w:left w:val="nil"/>
              <w:right w:val="nil"/>
            </w:tcBorders>
            <w:noWrap/>
          </w:tcPr>
          <w:p w14:paraId="6A246303" w14:textId="77777777" w:rsidR="00C24F6F" w:rsidRPr="00E44D5C" w:rsidRDefault="00C24F6F" w:rsidP="002B1847">
            <w:pPr>
              <w:pStyle w:val="Bezriadkovania"/>
              <w:jc w:val="center"/>
              <w:rPr>
                <w:sz w:val="16"/>
                <w:szCs w:val="16"/>
              </w:rPr>
            </w:pPr>
            <w:r w:rsidRPr="00D63DCD">
              <w:rPr>
                <w:sz w:val="16"/>
                <w:szCs w:val="16"/>
              </w:rPr>
              <w:t>-111</w:t>
            </w:r>
          </w:p>
        </w:tc>
        <w:tc>
          <w:tcPr>
            <w:tcW w:w="567" w:type="dxa"/>
            <w:tcBorders>
              <w:left w:val="nil"/>
              <w:right w:val="nil"/>
            </w:tcBorders>
            <w:noWrap/>
          </w:tcPr>
          <w:p w14:paraId="10F75ED5" w14:textId="77777777" w:rsidR="00C24F6F" w:rsidRPr="00E44D5C" w:rsidRDefault="00C24F6F" w:rsidP="002B1847">
            <w:pPr>
              <w:pStyle w:val="Bezriadkovania"/>
              <w:jc w:val="center"/>
              <w:rPr>
                <w:sz w:val="16"/>
                <w:szCs w:val="16"/>
              </w:rPr>
            </w:pPr>
            <w:r w:rsidRPr="00D63DCD">
              <w:rPr>
                <w:sz w:val="16"/>
                <w:szCs w:val="16"/>
              </w:rPr>
              <w:t>597</w:t>
            </w:r>
          </w:p>
        </w:tc>
        <w:tc>
          <w:tcPr>
            <w:tcW w:w="562" w:type="dxa"/>
            <w:tcBorders>
              <w:left w:val="nil"/>
              <w:right w:val="nil"/>
            </w:tcBorders>
            <w:noWrap/>
          </w:tcPr>
          <w:p w14:paraId="7CFDC4B4" w14:textId="77777777" w:rsidR="00C24F6F" w:rsidRPr="00E44D5C" w:rsidRDefault="00C24F6F" w:rsidP="002B1847">
            <w:pPr>
              <w:pStyle w:val="Bezriadkovania"/>
              <w:jc w:val="center"/>
              <w:rPr>
                <w:sz w:val="16"/>
                <w:szCs w:val="16"/>
              </w:rPr>
            </w:pPr>
            <w:r w:rsidRPr="00D63DCD">
              <w:rPr>
                <w:sz w:val="16"/>
                <w:szCs w:val="16"/>
              </w:rPr>
              <w:t>-154</w:t>
            </w:r>
          </w:p>
        </w:tc>
      </w:tr>
      <w:tr w:rsidR="00C24F6F" w:rsidRPr="00E44D5C" w14:paraId="6C258E8F" w14:textId="77777777" w:rsidTr="002B1847">
        <w:trPr>
          <w:trHeight w:val="21"/>
        </w:trPr>
        <w:tc>
          <w:tcPr>
            <w:tcW w:w="6237" w:type="dxa"/>
            <w:tcBorders>
              <w:left w:val="nil"/>
              <w:right w:val="nil"/>
            </w:tcBorders>
            <w:noWrap/>
          </w:tcPr>
          <w:p w14:paraId="1D41F80B" w14:textId="77777777" w:rsidR="00C24F6F" w:rsidRPr="00E44D5C" w:rsidRDefault="00C24F6F" w:rsidP="002B1847">
            <w:pPr>
              <w:pStyle w:val="Bezriadkovania"/>
              <w:rPr>
                <w:sz w:val="16"/>
                <w:szCs w:val="16"/>
              </w:rPr>
            </w:pPr>
            <w:r w:rsidRPr="00E44D5C">
              <w:rPr>
                <w:sz w:val="16"/>
                <w:szCs w:val="16"/>
              </w:rPr>
              <w:t>Ostatné drobné opatrenia na D.1</w:t>
            </w:r>
          </w:p>
        </w:tc>
        <w:tc>
          <w:tcPr>
            <w:tcW w:w="567" w:type="dxa"/>
            <w:tcBorders>
              <w:left w:val="nil"/>
              <w:right w:val="nil"/>
            </w:tcBorders>
            <w:noWrap/>
          </w:tcPr>
          <w:p w14:paraId="06D58B7A"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495473C1"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47E981F0" w14:textId="77777777" w:rsidR="00C24F6F" w:rsidRPr="00E44D5C" w:rsidRDefault="00C24F6F" w:rsidP="002B1847">
            <w:pPr>
              <w:pStyle w:val="Bezriadkovania"/>
              <w:jc w:val="center"/>
              <w:rPr>
                <w:sz w:val="16"/>
                <w:szCs w:val="16"/>
              </w:rPr>
            </w:pPr>
            <w:r w:rsidRPr="00D63DCD">
              <w:rPr>
                <w:sz w:val="16"/>
                <w:szCs w:val="16"/>
              </w:rPr>
              <w:t>-8</w:t>
            </w:r>
          </w:p>
        </w:tc>
        <w:tc>
          <w:tcPr>
            <w:tcW w:w="567" w:type="dxa"/>
            <w:tcBorders>
              <w:left w:val="nil"/>
              <w:right w:val="nil"/>
            </w:tcBorders>
            <w:noWrap/>
          </w:tcPr>
          <w:p w14:paraId="642AB152"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54E18E86"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09CB462A" w14:textId="77777777" w:rsidTr="002B1847">
        <w:trPr>
          <w:trHeight w:val="21"/>
        </w:trPr>
        <w:tc>
          <w:tcPr>
            <w:tcW w:w="6237" w:type="dxa"/>
            <w:tcBorders>
              <w:left w:val="nil"/>
              <w:right w:val="nil"/>
            </w:tcBorders>
            <w:noWrap/>
          </w:tcPr>
          <w:p w14:paraId="77DAE2A8" w14:textId="77777777" w:rsidR="00C24F6F" w:rsidRPr="00E44D5C" w:rsidRDefault="00C24F6F" w:rsidP="002B1847">
            <w:pPr>
              <w:pStyle w:val="Bezriadkovania"/>
              <w:rPr>
                <w:sz w:val="16"/>
                <w:szCs w:val="16"/>
              </w:rPr>
            </w:pPr>
            <w:r w:rsidRPr="00E44D5C">
              <w:rPr>
                <w:sz w:val="16"/>
                <w:szCs w:val="16"/>
              </w:rPr>
              <w:t>Ostatné drobné opatrenia na D.62 a D.63</w:t>
            </w:r>
          </w:p>
        </w:tc>
        <w:tc>
          <w:tcPr>
            <w:tcW w:w="567" w:type="dxa"/>
            <w:tcBorders>
              <w:left w:val="nil"/>
              <w:right w:val="nil"/>
            </w:tcBorders>
            <w:noWrap/>
          </w:tcPr>
          <w:p w14:paraId="233637A7" w14:textId="77777777" w:rsidR="00C24F6F" w:rsidRPr="00E44D5C" w:rsidRDefault="00C24F6F" w:rsidP="002B1847">
            <w:pPr>
              <w:pStyle w:val="Bezriadkovania"/>
              <w:jc w:val="center"/>
              <w:rPr>
                <w:sz w:val="16"/>
                <w:szCs w:val="16"/>
              </w:rPr>
            </w:pPr>
            <w:r w:rsidRPr="00D63DCD">
              <w:rPr>
                <w:sz w:val="16"/>
                <w:szCs w:val="16"/>
              </w:rPr>
              <w:t>-23</w:t>
            </w:r>
          </w:p>
        </w:tc>
        <w:tc>
          <w:tcPr>
            <w:tcW w:w="567" w:type="dxa"/>
            <w:tcBorders>
              <w:left w:val="nil"/>
              <w:right w:val="nil"/>
            </w:tcBorders>
            <w:noWrap/>
          </w:tcPr>
          <w:p w14:paraId="7201B571" w14:textId="77777777" w:rsidR="00C24F6F" w:rsidRPr="00E44D5C" w:rsidRDefault="00C24F6F" w:rsidP="002B1847">
            <w:pPr>
              <w:pStyle w:val="Bezriadkovania"/>
              <w:jc w:val="center"/>
              <w:rPr>
                <w:sz w:val="16"/>
                <w:szCs w:val="16"/>
              </w:rPr>
            </w:pPr>
            <w:r w:rsidRPr="00D63DCD">
              <w:rPr>
                <w:sz w:val="16"/>
                <w:szCs w:val="16"/>
              </w:rPr>
              <w:t>5</w:t>
            </w:r>
          </w:p>
        </w:tc>
        <w:tc>
          <w:tcPr>
            <w:tcW w:w="567" w:type="dxa"/>
            <w:tcBorders>
              <w:left w:val="nil"/>
              <w:right w:val="nil"/>
            </w:tcBorders>
            <w:noWrap/>
          </w:tcPr>
          <w:p w14:paraId="469A9D99" w14:textId="77777777" w:rsidR="00C24F6F" w:rsidRPr="00E44D5C" w:rsidRDefault="00C24F6F" w:rsidP="002B1847">
            <w:pPr>
              <w:pStyle w:val="Bezriadkovania"/>
              <w:jc w:val="center"/>
              <w:rPr>
                <w:sz w:val="16"/>
                <w:szCs w:val="16"/>
              </w:rPr>
            </w:pPr>
            <w:r w:rsidRPr="00D63DCD">
              <w:rPr>
                <w:sz w:val="16"/>
                <w:szCs w:val="16"/>
              </w:rPr>
              <w:t>4</w:t>
            </w:r>
          </w:p>
        </w:tc>
        <w:tc>
          <w:tcPr>
            <w:tcW w:w="567" w:type="dxa"/>
            <w:tcBorders>
              <w:left w:val="nil"/>
              <w:right w:val="nil"/>
            </w:tcBorders>
            <w:noWrap/>
          </w:tcPr>
          <w:p w14:paraId="349CBFA3"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7C70ADDF"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66D60F12" w14:textId="77777777" w:rsidTr="002B1847">
        <w:trPr>
          <w:trHeight w:val="21"/>
        </w:trPr>
        <w:tc>
          <w:tcPr>
            <w:tcW w:w="6237" w:type="dxa"/>
            <w:tcBorders>
              <w:left w:val="nil"/>
              <w:right w:val="nil"/>
            </w:tcBorders>
            <w:noWrap/>
          </w:tcPr>
          <w:p w14:paraId="564F805D" w14:textId="77777777" w:rsidR="00C24F6F" w:rsidRPr="00E44D5C" w:rsidRDefault="00C24F6F" w:rsidP="002B1847">
            <w:pPr>
              <w:pStyle w:val="Bezriadkovania"/>
              <w:rPr>
                <w:sz w:val="16"/>
                <w:szCs w:val="16"/>
              </w:rPr>
            </w:pPr>
            <w:r w:rsidRPr="00E44D5C">
              <w:rPr>
                <w:sz w:val="16"/>
                <w:szCs w:val="16"/>
              </w:rPr>
              <w:t>Ostatné drobné opatrenia na D.7</w:t>
            </w:r>
          </w:p>
        </w:tc>
        <w:tc>
          <w:tcPr>
            <w:tcW w:w="567" w:type="dxa"/>
            <w:tcBorders>
              <w:left w:val="nil"/>
              <w:right w:val="nil"/>
            </w:tcBorders>
            <w:noWrap/>
          </w:tcPr>
          <w:p w14:paraId="42FC5816" w14:textId="77777777" w:rsidR="00C24F6F" w:rsidRPr="00E44D5C" w:rsidRDefault="00C24F6F" w:rsidP="002B1847">
            <w:pPr>
              <w:pStyle w:val="Bezriadkovania"/>
              <w:jc w:val="center"/>
              <w:rPr>
                <w:sz w:val="16"/>
                <w:szCs w:val="16"/>
              </w:rPr>
            </w:pPr>
            <w:r w:rsidRPr="00D63DCD">
              <w:rPr>
                <w:sz w:val="16"/>
                <w:szCs w:val="16"/>
              </w:rPr>
              <w:t>15</w:t>
            </w:r>
          </w:p>
        </w:tc>
        <w:tc>
          <w:tcPr>
            <w:tcW w:w="567" w:type="dxa"/>
            <w:tcBorders>
              <w:left w:val="nil"/>
              <w:right w:val="nil"/>
            </w:tcBorders>
            <w:noWrap/>
          </w:tcPr>
          <w:p w14:paraId="65CC17D6" w14:textId="77777777" w:rsidR="00C24F6F" w:rsidRPr="00E44D5C" w:rsidRDefault="00C24F6F" w:rsidP="002B1847">
            <w:pPr>
              <w:pStyle w:val="Bezriadkovania"/>
              <w:jc w:val="center"/>
              <w:rPr>
                <w:sz w:val="16"/>
                <w:szCs w:val="16"/>
              </w:rPr>
            </w:pPr>
            <w:r w:rsidRPr="00D63DCD">
              <w:rPr>
                <w:sz w:val="16"/>
                <w:szCs w:val="16"/>
              </w:rPr>
              <w:t>-15</w:t>
            </w:r>
          </w:p>
        </w:tc>
        <w:tc>
          <w:tcPr>
            <w:tcW w:w="567" w:type="dxa"/>
            <w:tcBorders>
              <w:left w:val="nil"/>
              <w:right w:val="nil"/>
            </w:tcBorders>
            <w:noWrap/>
          </w:tcPr>
          <w:p w14:paraId="61BB5065" w14:textId="77777777" w:rsidR="00C24F6F" w:rsidRPr="00E44D5C" w:rsidRDefault="00C24F6F" w:rsidP="002B1847">
            <w:pPr>
              <w:pStyle w:val="Bezriadkovania"/>
              <w:jc w:val="center"/>
              <w:rPr>
                <w:sz w:val="16"/>
                <w:szCs w:val="16"/>
              </w:rPr>
            </w:pPr>
            <w:r w:rsidRPr="00D63DCD">
              <w:rPr>
                <w:sz w:val="16"/>
                <w:szCs w:val="16"/>
              </w:rPr>
              <w:t>-19</w:t>
            </w:r>
          </w:p>
        </w:tc>
        <w:tc>
          <w:tcPr>
            <w:tcW w:w="567" w:type="dxa"/>
            <w:tcBorders>
              <w:left w:val="nil"/>
              <w:right w:val="nil"/>
            </w:tcBorders>
            <w:noWrap/>
          </w:tcPr>
          <w:p w14:paraId="6A0822DB"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552E288A"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313138D5" w14:textId="77777777" w:rsidTr="002B1847">
        <w:trPr>
          <w:trHeight w:val="21"/>
        </w:trPr>
        <w:tc>
          <w:tcPr>
            <w:tcW w:w="6237" w:type="dxa"/>
            <w:tcBorders>
              <w:left w:val="nil"/>
              <w:right w:val="nil"/>
            </w:tcBorders>
            <w:noWrap/>
          </w:tcPr>
          <w:p w14:paraId="3D0D16AE" w14:textId="77777777" w:rsidR="00C24F6F" w:rsidRPr="00E44D5C" w:rsidRDefault="00C24F6F" w:rsidP="002B1847">
            <w:pPr>
              <w:pStyle w:val="Bezriadkovania"/>
              <w:rPr>
                <w:sz w:val="16"/>
                <w:szCs w:val="16"/>
              </w:rPr>
            </w:pPr>
            <w:r w:rsidRPr="00E44D5C">
              <w:rPr>
                <w:sz w:val="16"/>
                <w:szCs w:val="16"/>
              </w:rPr>
              <w:t>Ostatné drobné opatrenia na P.51G</w:t>
            </w:r>
          </w:p>
        </w:tc>
        <w:tc>
          <w:tcPr>
            <w:tcW w:w="567" w:type="dxa"/>
            <w:tcBorders>
              <w:left w:val="nil"/>
              <w:right w:val="nil"/>
            </w:tcBorders>
            <w:noWrap/>
          </w:tcPr>
          <w:p w14:paraId="3A2BF5B1" w14:textId="77777777" w:rsidR="00C24F6F" w:rsidRPr="00E44D5C" w:rsidRDefault="00C24F6F" w:rsidP="002B1847">
            <w:pPr>
              <w:pStyle w:val="Bezriadkovania"/>
              <w:jc w:val="center"/>
              <w:rPr>
                <w:sz w:val="16"/>
                <w:szCs w:val="16"/>
              </w:rPr>
            </w:pPr>
            <w:r w:rsidRPr="00D63DCD">
              <w:rPr>
                <w:sz w:val="16"/>
                <w:szCs w:val="16"/>
              </w:rPr>
              <w:t>-10</w:t>
            </w:r>
          </w:p>
        </w:tc>
        <w:tc>
          <w:tcPr>
            <w:tcW w:w="567" w:type="dxa"/>
            <w:tcBorders>
              <w:left w:val="nil"/>
              <w:right w:val="nil"/>
            </w:tcBorders>
            <w:noWrap/>
          </w:tcPr>
          <w:p w14:paraId="437D5108"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399A6F8E" w14:textId="77777777" w:rsidR="00C24F6F" w:rsidRPr="00E44D5C" w:rsidRDefault="00C24F6F" w:rsidP="002B1847">
            <w:pPr>
              <w:pStyle w:val="Bezriadkovania"/>
              <w:jc w:val="center"/>
              <w:rPr>
                <w:sz w:val="16"/>
                <w:szCs w:val="16"/>
              </w:rPr>
            </w:pPr>
            <w:r w:rsidRPr="00D63DCD">
              <w:rPr>
                <w:sz w:val="16"/>
                <w:szCs w:val="16"/>
              </w:rPr>
              <w:t>0</w:t>
            </w:r>
          </w:p>
        </w:tc>
        <w:tc>
          <w:tcPr>
            <w:tcW w:w="567" w:type="dxa"/>
            <w:tcBorders>
              <w:left w:val="nil"/>
              <w:right w:val="nil"/>
            </w:tcBorders>
            <w:noWrap/>
          </w:tcPr>
          <w:p w14:paraId="74B677A5" w14:textId="77777777" w:rsidR="00C24F6F" w:rsidRPr="00E44D5C" w:rsidRDefault="00C24F6F" w:rsidP="002B1847">
            <w:pPr>
              <w:pStyle w:val="Bezriadkovania"/>
              <w:jc w:val="center"/>
              <w:rPr>
                <w:sz w:val="16"/>
                <w:szCs w:val="16"/>
              </w:rPr>
            </w:pPr>
            <w:r w:rsidRPr="00D63DCD">
              <w:rPr>
                <w:sz w:val="16"/>
                <w:szCs w:val="16"/>
              </w:rPr>
              <w:t>0</w:t>
            </w:r>
          </w:p>
        </w:tc>
        <w:tc>
          <w:tcPr>
            <w:tcW w:w="562" w:type="dxa"/>
            <w:tcBorders>
              <w:left w:val="nil"/>
              <w:right w:val="nil"/>
            </w:tcBorders>
            <w:noWrap/>
          </w:tcPr>
          <w:p w14:paraId="1718E5B6" w14:textId="77777777" w:rsidR="00C24F6F" w:rsidRPr="00E44D5C" w:rsidRDefault="00C24F6F" w:rsidP="002B1847">
            <w:pPr>
              <w:pStyle w:val="Bezriadkovania"/>
              <w:jc w:val="center"/>
              <w:rPr>
                <w:sz w:val="16"/>
                <w:szCs w:val="16"/>
              </w:rPr>
            </w:pPr>
            <w:r w:rsidRPr="00D63DCD">
              <w:rPr>
                <w:sz w:val="16"/>
                <w:szCs w:val="16"/>
              </w:rPr>
              <w:t>0</w:t>
            </w:r>
          </w:p>
        </w:tc>
      </w:tr>
      <w:tr w:rsidR="00C24F6F" w:rsidRPr="00E44D5C" w14:paraId="68BFEB43" w14:textId="77777777" w:rsidTr="002B1847">
        <w:trPr>
          <w:trHeight w:val="21"/>
        </w:trPr>
        <w:tc>
          <w:tcPr>
            <w:tcW w:w="6237" w:type="dxa"/>
            <w:tcBorders>
              <w:top w:val="single" w:sz="4" w:space="0" w:color="auto"/>
              <w:left w:val="nil"/>
              <w:bottom w:val="single" w:sz="4" w:space="0" w:color="auto"/>
              <w:right w:val="nil"/>
            </w:tcBorders>
            <w:vAlign w:val="center"/>
          </w:tcPr>
          <w:p w14:paraId="485E0252" w14:textId="77777777" w:rsidR="00C24F6F" w:rsidRPr="00E44D5C" w:rsidRDefault="00C24F6F" w:rsidP="002B1847">
            <w:pPr>
              <w:pStyle w:val="Bezriadkovania"/>
              <w:rPr>
                <w:b/>
                <w:sz w:val="16"/>
                <w:szCs w:val="16"/>
                <w:lang w:eastAsia="sk-SK"/>
              </w:rPr>
            </w:pPr>
            <w:r w:rsidRPr="00E44D5C">
              <w:rPr>
                <w:b/>
                <w:sz w:val="16"/>
                <w:szCs w:val="16"/>
              </w:rPr>
              <w:t>Spolu</w:t>
            </w:r>
          </w:p>
        </w:tc>
        <w:tc>
          <w:tcPr>
            <w:tcW w:w="567" w:type="dxa"/>
            <w:tcBorders>
              <w:top w:val="single" w:sz="4" w:space="0" w:color="auto"/>
              <w:left w:val="nil"/>
              <w:bottom w:val="single" w:sz="4" w:space="0" w:color="auto"/>
              <w:right w:val="nil"/>
            </w:tcBorders>
            <w:noWrap/>
          </w:tcPr>
          <w:p w14:paraId="598BCD71" w14:textId="77777777" w:rsidR="00C24F6F" w:rsidRPr="00E44D5C" w:rsidRDefault="00C24F6F" w:rsidP="002B1847">
            <w:pPr>
              <w:pStyle w:val="Bezriadkovania"/>
              <w:jc w:val="center"/>
              <w:rPr>
                <w:b/>
                <w:bCs/>
                <w:sz w:val="16"/>
                <w:szCs w:val="16"/>
              </w:rPr>
            </w:pPr>
            <w:r w:rsidRPr="00E44D5C">
              <w:rPr>
                <w:b/>
                <w:bCs/>
                <w:sz w:val="16"/>
                <w:szCs w:val="16"/>
              </w:rPr>
              <w:t>-518</w:t>
            </w:r>
          </w:p>
        </w:tc>
        <w:tc>
          <w:tcPr>
            <w:tcW w:w="567" w:type="dxa"/>
            <w:tcBorders>
              <w:top w:val="single" w:sz="4" w:space="0" w:color="auto"/>
              <w:left w:val="nil"/>
              <w:bottom w:val="single" w:sz="4" w:space="0" w:color="auto"/>
              <w:right w:val="nil"/>
            </w:tcBorders>
            <w:noWrap/>
          </w:tcPr>
          <w:p w14:paraId="63555718" w14:textId="77777777" w:rsidR="00C24F6F" w:rsidRPr="00E44D5C" w:rsidRDefault="00C24F6F" w:rsidP="002B1847">
            <w:pPr>
              <w:pStyle w:val="Bezriadkovania"/>
              <w:jc w:val="center"/>
              <w:rPr>
                <w:b/>
                <w:bCs/>
                <w:sz w:val="16"/>
                <w:szCs w:val="16"/>
              </w:rPr>
            </w:pPr>
            <w:r w:rsidRPr="00E44D5C">
              <w:rPr>
                <w:b/>
                <w:bCs/>
                <w:sz w:val="16"/>
                <w:szCs w:val="16"/>
              </w:rPr>
              <w:t>58</w:t>
            </w:r>
          </w:p>
        </w:tc>
        <w:tc>
          <w:tcPr>
            <w:tcW w:w="567" w:type="dxa"/>
            <w:tcBorders>
              <w:top w:val="single" w:sz="4" w:space="0" w:color="auto"/>
              <w:left w:val="nil"/>
              <w:bottom w:val="single" w:sz="4" w:space="0" w:color="auto"/>
              <w:right w:val="nil"/>
            </w:tcBorders>
            <w:noWrap/>
          </w:tcPr>
          <w:p w14:paraId="5BFB14E6" w14:textId="77777777" w:rsidR="00C24F6F" w:rsidRPr="00E44D5C" w:rsidRDefault="00C24F6F" w:rsidP="002B1847">
            <w:pPr>
              <w:pStyle w:val="Bezriadkovania"/>
              <w:jc w:val="center"/>
              <w:rPr>
                <w:b/>
                <w:bCs/>
                <w:sz w:val="16"/>
                <w:szCs w:val="16"/>
              </w:rPr>
            </w:pPr>
            <w:r w:rsidRPr="00E44D5C">
              <w:rPr>
                <w:b/>
                <w:bCs/>
                <w:sz w:val="16"/>
                <w:szCs w:val="16"/>
              </w:rPr>
              <w:t>-1847</w:t>
            </w:r>
          </w:p>
        </w:tc>
        <w:tc>
          <w:tcPr>
            <w:tcW w:w="567" w:type="dxa"/>
            <w:tcBorders>
              <w:top w:val="single" w:sz="4" w:space="0" w:color="auto"/>
              <w:left w:val="nil"/>
              <w:bottom w:val="single" w:sz="4" w:space="0" w:color="auto"/>
              <w:right w:val="nil"/>
            </w:tcBorders>
            <w:noWrap/>
          </w:tcPr>
          <w:p w14:paraId="4A5DABF2" w14:textId="77777777" w:rsidR="00C24F6F" w:rsidRPr="00E44D5C" w:rsidRDefault="00C24F6F" w:rsidP="002B1847">
            <w:pPr>
              <w:pStyle w:val="Bezriadkovania"/>
              <w:jc w:val="center"/>
              <w:rPr>
                <w:b/>
                <w:bCs/>
                <w:sz w:val="16"/>
                <w:szCs w:val="16"/>
              </w:rPr>
            </w:pPr>
            <w:r w:rsidRPr="00E44D5C">
              <w:rPr>
                <w:b/>
                <w:bCs/>
                <w:sz w:val="16"/>
                <w:szCs w:val="16"/>
              </w:rPr>
              <w:t>789</w:t>
            </w:r>
          </w:p>
        </w:tc>
        <w:tc>
          <w:tcPr>
            <w:tcW w:w="562" w:type="dxa"/>
            <w:tcBorders>
              <w:top w:val="single" w:sz="4" w:space="0" w:color="auto"/>
              <w:left w:val="nil"/>
              <w:bottom w:val="single" w:sz="4" w:space="0" w:color="auto"/>
              <w:right w:val="nil"/>
            </w:tcBorders>
            <w:noWrap/>
          </w:tcPr>
          <w:p w14:paraId="069A4E71" w14:textId="77777777" w:rsidR="00C24F6F" w:rsidRPr="00E44D5C" w:rsidRDefault="00C24F6F" w:rsidP="002B1847">
            <w:pPr>
              <w:pStyle w:val="Bezriadkovania"/>
              <w:jc w:val="center"/>
              <w:rPr>
                <w:b/>
                <w:bCs/>
                <w:sz w:val="16"/>
                <w:szCs w:val="16"/>
              </w:rPr>
            </w:pPr>
            <w:r w:rsidRPr="00E44D5C">
              <w:rPr>
                <w:b/>
                <w:bCs/>
                <w:sz w:val="16"/>
                <w:szCs w:val="16"/>
              </w:rPr>
              <w:t>-336</w:t>
            </w:r>
          </w:p>
        </w:tc>
      </w:tr>
    </w:tbl>
    <w:p w14:paraId="25B15B9B" w14:textId="77777777" w:rsidR="00C24F6F" w:rsidRPr="00E44D5C" w:rsidRDefault="00C24F6F" w:rsidP="00C24F6F">
      <w:pPr>
        <w:spacing w:after="0"/>
        <w:jc w:val="right"/>
        <w:rPr>
          <w:rFonts w:ascii="Arial Narrow" w:hAnsi="Arial Narrow"/>
          <w:i/>
          <w:sz w:val="16"/>
          <w:szCs w:val="16"/>
        </w:rPr>
      </w:pPr>
      <w:r w:rsidRPr="00E44D5C">
        <w:rPr>
          <w:rFonts w:ascii="Arial Narrow" w:hAnsi="Arial Narrow"/>
          <w:i/>
          <w:sz w:val="16"/>
          <w:szCs w:val="16"/>
        </w:rPr>
        <w:t>Zdroj: MF SR</w:t>
      </w:r>
    </w:p>
    <w:p w14:paraId="2014233A" w14:textId="77777777" w:rsidR="00C24F6F" w:rsidRPr="008E7F52" w:rsidRDefault="00C24F6F" w:rsidP="00C24F6F">
      <w:pPr>
        <w:rPr>
          <w:rFonts w:ascii="Arial Narrow" w:hAnsi="Arial Narrow"/>
          <w:i/>
          <w:sz w:val="16"/>
          <w:szCs w:val="16"/>
          <w:highlight w:val="yellow"/>
        </w:rPr>
      </w:pPr>
      <w:r w:rsidRPr="00E44D5C">
        <w:rPr>
          <w:rFonts w:ascii="Arial Narrow" w:hAnsi="Arial Narrow"/>
          <w:i/>
          <w:sz w:val="16"/>
          <w:szCs w:val="16"/>
        </w:rPr>
        <w:t>Poznámka: V prípade opatrení súvisiacich s pandémiou COVID-19 údaje odrážajú postupné odznievanie vplyvu zásahov prijatých na začiatku krízy. Keďže išlo o jednorazové opatrenia, spočiatku viedli k zvýšeniu výdavkov v inkrementálnom vyjadrení (čo zhoršovalo saldo), pričom ich účinok sa časom postupne zmierňoval (a tým sa zlepšoval vplyv na saldo).</w:t>
      </w:r>
      <w:r w:rsidRPr="00E44D5C">
        <w:rPr>
          <w:rFonts w:ascii="Arial Narrow" w:hAnsi="Arial Narrow"/>
          <w:i/>
          <w:sz w:val="16"/>
          <w:szCs w:val="16"/>
        </w:rPr>
        <w:br/>
        <w:t>Poznámka 2: (-) zlepšuje bilanciu verejnej správy, (+) zhoršuje bilanciu verejnej správy.</w:t>
      </w:r>
      <w:r w:rsidRPr="008E7F52">
        <w:rPr>
          <w:rFonts w:ascii="Arial Narrow" w:hAnsi="Arial Narrow"/>
          <w:b/>
          <w:color w:val="2C9ADC"/>
          <w:sz w:val="24"/>
          <w:szCs w:val="24"/>
          <w:highlight w:val="yellow"/>
        </w:rPr>
        <w:br w:type="page"/>
      </w:r>
    </w:p>
    <w:p w14:paraId="3F981A59" w14:textId="77777777" w:rsidR="00C24F6F" w:rsidRPr="008E7F52" w:rsidRDefault="00C24F6F" w:rsidP="00C24F6F">
      <w:pPr>
        <w:pStyle w:val="ifppannex"/>
        <w:rPr>
          <w:highlight w:val="yellow"/>
        </w:rPr>
        <w:sectPr w:rsidR="00C24F6F" w:rsidRPr="008E7F52" w:rsidSect="00C24F6F">
          <w:pgSz w:w="11906" w:h="16838"/>
          <w:pgMar w:top="1417" w:right="1417" w:bottom="1417" w:left="1417" w:header="708" w:footer="397" w:gutter="0"/>
          <w:cols w:space="708"/>
          <w:docGrid w:linePitch="360"/>
        </w:sectPr>
      </w:pPr>
    </w:p>
    <w:p w14:paraId="49379D9A" w14:textId="77777777" w:rsidR="00C24F6F" w:rsidRPr="00C24F6F" w:rsidRDefault="00C24F6F" w:rsidP="00C24F6F">
      <w:pPr>
        <w:pStyle w:val="ifppannex"/>
      </w:pPr>
      <w:r w:rsidRPr="00C24F6F">
        <w:lastRenderedPageBreak/>
        <w:t xml:space="preserve">Príloha 5 </w:t>
      </w:r>
      <w:bookmarkStart w:id="86" w:name="_Hlk196760932"/>
      <w:r w:rsidRPr="00C24F6F">
        <w:t xml:space="preserve">– </w:t>
      </w:r>
      <w:bookmarkEnd w:id="86"/>
      <w:r w:rsidRPr="00C24F6F">
        <w:t>Povinné tabuľky</w:t>
      </w:r>
    </w:p>
    <w:tbl>
      <w:tblPr>
        <w:tblW w:w="9035" w:type="dxa"/>
        <w:tblCellMar>
          <w:left w:w="70" w:type="dxa"/>
          <w:right w:w="70" w:type="dxa"/>
        </w:tblCellMar>
        <w:tblLook w:val="04A0" w:firstRow="1" w:lastRow="0" w:firstColumn="1" w:lastColumn="0" w:noHBand="0" w:noVBand="1"/>
      </w:tblPr>
      <w:tblGrid>
        <w:gridCol w:w="436"/>
        <w:gridCol w:w="815"/>
        <w:gridCol w:w="816"/>
        <w:gridCol w:w="816"/>
        <w:gridCol w:w="814"/>
        <w:gridCol w:w="2668"/>
        <w:gridCol w:w="890"/>
        <w:gridCol w:w="825"/>
        <w:gridCol w:w="955"/>
      </w:tblGrid>
      <w:tr w:rsidR="001D2416" w:rsidRPr="008E7F52" w14:paraId="302C1730" w14:textId="347177E5" w:rsidTr="001D2416">
        <w:trPr>
          <w:trHeight w:val="262"/>
        </w:trPr>
        <w:tc>
          <w:tcPr>
            <w:tcW w:w="6365" w:type="dxa"/>
            <w:gridSpan w:val="6"/>
            <w:tcBorders>
              <w:top w:val="nil"/>
              <w:left w:val="nil"/>
              <w:bottom w:val="nil"/>
              <w:right w:val="nil"/>
            </w:tcBorders>
            <w:shd w:val="clear" w:color="000000" w:fill="FFFFFF"/>
            <w:vAlign w:val="center"/>
            <w:hideMark/>
          </w:tcPr>
          <w:p w14:paraId="75A5EB8B" w14:textId="77777777" w:rsidR="001D2416" w:rsidRPr="001D2416" w:rsidRDefault="001D2416" w:rsidP="002B1847">
            <w:pPr>
              <w:spacing w:after="0" w:line="240" w:lineRule="auto"/>
              <w:rPr>
                <w:rFonts w:ascii="Arial Narrow" w:eastAsia="Times New Roman" w:hAnsi="Arial Narrow" w:cs="Calibri"/>
                <w:b/>
                <w:bCs/>
                <w:color w:val="2C9ADC"/>
                <w:kern w:val="0"/>
                <w:sz w:val="18"/>
                <w:szCs w:val="18"/>
                <w:lang w:eastAsia="sk-SK"/>
                <w14:ligatures w14:val="none"/>
              </w:rPr>
            </w:pPr>
            <w:r w:rsidRPr="001D2416">
              <w:rPr>
                <w:rFonts w:ascii="Arial Narrow" w:eastAsia="Times New Roman" w:hAnsi="Arial Narrow" w:cs="Calibri"/>
                <w:b/>
                <w:bCs/>
                <w:color w:val="2C9ADC"/>
                <w:kern w:val="0"/>
                <w:sz w:val="18"/>
                <w:szCs w:val="18"/>
                <w:lang w:eastAsia="sk-SK"/>
                <w14:ligatures w14:val="none"/>
              </w:rPr>
              <w:t>TABUĽKA 1a – Fiškálny záväzok</w:t>
            </w:r>
          </w:p>
        </w:tc>
        <w:tc>
          <w:tcPr>
            <w:tcW w:w="890" w:type="dxa"/>
            <w:tcBorders>
              <w:top w:val="nil"/>
              <w:left w:val="nil"/>
              <w:bottom w:val="nil"/>
              <w:right w:val="nil"/>
            </w:tcBorders>
            <w:shd w:val="clear" w:color="000000" w:fill="FFFFFF"/>
            <w:vAlign w:val="center"/>
            <w:hideMark/>
          </w:tcPr>
          <w:p w14:paraId="794A2216" w14:textId="77777777" w:rsidR="001D2416" w:rsidRPr="001D2416" w:rsidRDefault="001D2416" w:rsidP="002B1847">
            <w:pPr>
              <w:spacing w:after="0" w:line="240" w:lineRule="auto"/>
              <w:jc w:val="center"/>
              <w:rPr>
                <w:rFonts w:ascii="Arial Narrow" w:eastAsia="Times New Roman" w:hAnsi="Arial Narrow" w:cs="Calibri"/>
                <w:b/>
                <w:bCs/>
                <w:color w:val="000000"/>
                <w:kern w:val="0"/>
                <w:sz w:val="18"/>
                <w:szCs w:val="18"/>
                <w:lang w:eastAsia="sk-SK"/>
                <w14:ligatures w14:val="none"/>
              </w:rPr>
            </w:pPr>
            <w:r w:rsidRPr="001D2416">
              <w:rPr>
                <w:rFonts w:ascii="Arial Narrow" w:eastAsia="Times New Roman" w:hAnsi="Arial Narrow" w:cs="Calibri"/>
                <w:b/>
                <w:bCs/>
                <w:color w:val="000000"/>
                <w:kern w:val="0"/>
                <w:sz w:val="18"/>
                <w:szCs w:val="18"/>
                <w:lang w:eastAsia="sk-SK"/>
                <w14:ligatures w14:val="none"/>
              </w:rPr>
              <w:t>2024</w:t>
            </w:r>
          </w:p>
        </w:tc>
        <w:tc>
          <w:tcPr>
            <w:tcW w:w="825" w:type="dxa"/>
            <w:tcBorders>
              <w:top w:val="nil"/>
              <w:left w:val="nil"/>
              <w:bottom w:val="nil"/>
              <w:right w:val="nil"/>
            </w:tcBorders>
            <w:shd w:val="clear" w:color="000000" w:fill="FFFFFF"/>
            <w:vAlign w:val="center"/>
            <w:hideMark/>
          </w:tcPr>
          <w:p w14:paraId="2C0AAA18" w14:textId="77777777" w:rsidR="001D2416" w:rsidRPr="001D2416" w:rsidRDefault="001D2416" w:rsidP="002B1847">
            <w:pPr>
              <w:spacing w:after="0" w:line="240" w:lineRule="auto"/>
              <w:jc w:val="center"/>
              <w:rPr>
                <w:rFonts w:ascii="Arial Narrow" w:eastAsia="Times New Roman" w:hAnsi="Arial Narrow" w:cs="Calibri"/>
                <w:b/>
                <w:bCs/>
                <w:color w:val="000000"/>
                <w:kern w:val="0"/>
                <w:sz w:val="18"/>
                <w:szCs w:val="18"/>
                <w:lang w:eastAsia="sk-SK"/>
                <w14:ligatures w14:val="none"/>
              </w:rPr>
            </w:pPr>
            <w:r w:rsidRPr="001D2416">
              <w:rPr>
                <w:rFonts w:ascii="Arial Narrow" w:eastAsia="Times New Roman" w:hAnsi="Arial Narrow" w:cs="Calibri"/>
                <w:b/>
                <w:bCs/>
                <w:color w:val="000000"/>
                <w:kern w:val="0"/>
                <w:sz w:val="18"/>
                <w:szCs w:val="18"/>
                <w:lang w:eastAsia="sk-SK"/>
                <w14:ligatures w14:val="none"/>
              </w:rPr>
              <w:t>2025</w:t>
            </w:r>
          </w:p>
        </w:tc>
        <w:tc>
          <w:tcPr>
            <w:tcW w:w="955" w:type="dxa"/>
            <w:tcBorders>
              <w:top w:val="nil"/>
              <w:left w:val="nil"/>
              <w:bottom w:val="nil"/>
              <w:right w:val="nil"/>
            </w:tcBorders>
            <w:shd w:val="clear" w:color="000000" w:fill="FFFFFF"/>
          </w:tcPr>
          <w:p w14:paraId="00116ECD" w14:textId="47F0AA78" w:rsidR="001D2416" w:rsidRPr="001D2416" w:rsidRDefault="001D2416" w:rsidP="002B1847">
            <w:pPr>
              <w:spacing w:after="0" w:line="240" w:lineRule="auto"/>
              <w:jc w:val="center"/>
              <w:rPr>
                <w:rFonts w:ascii="Arial Narrow" w:eastAsia="Times New Roman" w:hAnsi="Arial Narrow" w:cs="Calibri"/>
                <w:b/>
                <w:bCs/>
                <w:color w:val="000000"/>
                <w:kern w:val="0"/>
                <w:sz w:val="18"/>
                <w:szCs w:val="18"/>
                <w:lang w:eastAsia="sk-SK"/>
                <w14:ligatures w14:val="none"/>
              </w:rPr>
            </w:pPr>
            <w:r w:rsidRPr="001D2416">
              <w:rPr>
                <w:rFonts w:ascii="Arial Narrow" w:eastAsia="Times New Roman" w:hAnsi="Arial Narrow" w:cs="Calibri"/>
                <w:b/>
                <w:bCs/>
                <w:color w:val="000000"/>
                <w:kern w:val="0"/>
                <w:sz w:val="18"/>
                <w:szCs w:val="18"/>
                <w:lang w:eastAsia="sk-SK"/>
                <w14:ligatures w14:val="none"/>
              </w:rPr>
              <w:t>2026</w:t>
            </w:r>
          </w:p>
        </w:tc>
      </w:tr>
      <w:tr w:rsidR="001D2416" w:rsidRPr="008E7F52" w14:paraId="3047D448" w14:textId="37D46373" w:rsidTr="001D2416">
        <w:trPr>
          <w:trHeight w:val="275"/>
        </w:trPr>
        <w:tc>
          <w:tcPr>
            <w:tcW w:w="1251" w:type="dxa"/>
            <w:gridSpan w:val="2"/>
            <w:tcBorders>
              <w:top w:val="nil"/>
              <w:left w:val="nil"/>
              <w:bottom w:val="single" w:sz="8" w:space="0" w:color="auto"/>
              <w:right w:val="nil"/>
            </w:tcBorders>
            <w:vAlign w:val="center"/>
            <w:hideMark/>
          </w:tcPr>
          <w:p w14:paraId="26825652" w14:textId="77777777" w:rsidR="001D2416" w:rsidRPr="001D2416" w:rsidRDefault="001D2416" w:rsidP="002B1847">
            <w:pPr>
              <w:spacing w:after="0" w:line="240" w:lineRule="auto"/>
              <w:jc w:val="center"/>
              <w:rPr>
                <w:rFonts w:ascii="Arial Narrow" w:eastAsia="Times New Roman" w:hAnsi="Arial Narrow" w:cs="Calibri"/>
                <w:b/>
                <w:bCs/>
                <w:color w:val="2F5496"/>
                <w:kern w:val="0"/>
                <w:sz w:val="18"/>
                <w:szCs w:val="18"/>
                <w:lang w:eastAsia="sk-SK"/>
                <w14:ligatures w14:val="none"/>
              </w:rPr>
            </w:pPr>
            <w:r w:rsidRPr="001D2416">
              <w:rPr>
                <w:rFonts w:ascii="Arial Narrow" w:eastAsia="Times New Roman" w:hAnsi="Arial Narrow" w:cs="Calibri"/>
                <w:b/>
                <w:bCs/>
                <w:color w:val="2F5496"/>
                <w:kern w:val="0"/>
                <w:sz w:val="18"/>
                <w:szCs w:val="18"/>
                <w:lang w:eastAsia="sk-SK"/>
                <w14:ligatures w14:val="none"/>
              </w:rPr>
              <w:t> </w:t>
            </w:r>
          </w:p>
        </w:tc>
        <w:tc>
          <w:tcPr>
            <w:tcW w:w="816" w:type="dxa"/>
            <w:tcBorders>
              <w:top w:val="nil"/>
              <w:left w:val="nil"/>
              <w:bottom w:val="single" w:sz="8" w:space="0" w:color="auto"/>
              <w:right w:val="nil"/>
            </w:tcBorders>
            <w:vAlign w:val="center"/>
            <w:hideMark/>
          </w:tcPr>
          <w:p w14:paraId="71363F02" w14:textId="77777777" w:rsidR="001D2416" w:rsidRPr="001D2416" w:rsidRDefault="001D2416" w:rsidP="002B1847">
            <w:pPr>
              <w:spacing w:after="0" w:line="240" w:lineRule="auto"/>
              <w:jc w:val="center"/>
              <w:rPr>
                <w:rFonts w:ascii="Arial Narrow" w:eastAsia="Times New Roman" w:hAnsi="Arial Narrow" w:cs="Calibri"/>
                <w:b/>
                <w:bCs/>
                <w:i/>
                <w:iCs/>
                <w:color w:val="2F5496"/>
                <w:kern w:val="0"/>
                <w:sz w:val="18"/>
                <w:szCs w:val="18"/>
                <w:lang w:eastAsia="sk-SK"/>
                <w14:ligatures w14:val="none"/>
              </w:rPr>
            </w:pPr>
            <w:r w:rsidRPr="001D2416">
              <w:rPr>
                <w:rFonts w:ascii="Arial Narrow" w:eastAsia="Times New Roman" w:hAnsi="Arial Narrow" w:cs="Calibri"/>
                <w:b/>
                <w:bCs/>
                <w:i/>
                <w:iCs/>
                <w:color w:val="2F5496"/>
                <w:kern w:val="0"/>
                <w:sz w:val="18"/>
                <w:szCs w:val="18"/>
                <w:lang w:eastAsia="sk-SK"/>
                <w14:ligatures w14:val="none"/>
              </w:rPr>
              <w:t> </w:t>
            </w:r>
          </w:p>
        </w:tc>
        <w:tc>
          <w:tcPr>
            <w:tcW w:w="816" w:type="dxa"/>
            <w:tcBorders>
              <w:top w:val="nil"/>
              <w:left w:val="nil"/>
              <w:bottom w:val="single" w:sz="8" w:space="0" w:color="auto"/>
              <w:right w:val="nil"/>
            </w:tcBorders>
            <w:vAlign w:val="center"/>
            <w:hideMark/>
          </w:tcPr>
          <w:p w14:paraId="491C2AE9" w14:textId="77777777" w:rsidR="001D2416" w:rsidRPr="001D2416" w:rsidRDefault="001D2416" w:rsidP="002B1847">
            <w:pPr>
              <w:spacing w:after="0" w:line="240" w:lineRule="auto"/>
              <w:jc w:val="center"/>
              <w:rPr>
                <w:rFonts w:ascii="Arial Narrow" w:eastAsia="Times New Roman" w:hAnsi="Arial Narrow" w:cs="Calibri"/>
                <w:b/>
                <w:bCs/>
                <w:i/>
                <w:iCs/>
                <w:color w:val="2F5496"/>
                <w:kern w:val="0"/>
                <w:sz w:val="18"/>
                <w:szCs w:val="18"/>
                <w:lang w:eastAsia="sk-SK"/>
                <w14:ligatures w14:val="none"/>
              </w:rPr>
            </w:pPr>
            <w:r w:rsidRPr="001D2416">
              <w:rPr>
                <w:rFonts w:ascii="Arial Narrow" w:eastAsia="Times New Roman" w:hAnsi="Arial Narrow" w:cs="Calibri"/>
                <w:b/>
                <w:bCs/>
                <w:i/>
                <w:iCs/>
                <w:color w:val="2F5496"/>
                <w:kern w:val="0"/>
                <w:sz w:val="18"/>
                <w:szCs w:val="18"/>
                <w:lang w:eastAsia="sk-SK"/>
                <w14:ligatures w14:val="none"/>
              </w:rPr>
              <w:t> </w:t>
            </w:r>
          </w:p>
        </w:tc>
        <w:tc>
          <w:tcPr>
            <w:tcW w:w="3482" w:type="dxa"/>
            <w:gridSpan w:val="2"/>
            <w:tcBorders>
              <w:top w:val="nil"/>
              <w:left w:val="nil"/>
              <w:bottom w:val="single" w:sz="8" w:space="0" w:color="auto"/>
              <w:right w:val="nil"/>
            </w:tcBorders>
            <w:vAlign w:val="center"/>
            <w:hideMark/>
          </w:tcPr>
          <w:p w14:paraId="58A6F7CC" w14:textId="77777777" w:rsidR="001D2416" w:rsidRPr="001D2416" w:rsidRDefault="001D2416" w:rsidP="002B1847">
            <w:pPr>
              <w:spacing w:after="0" w:line="240" w:lineRule="auto"/>
              <w:jc w:val="center"/>
              <w:rPr>
                <w:rFonts w:ascii="Arial Narrow" w:eastAsia="Times New Roman" w:hAnsi="Arial Narrow" w:cs="Calibri"/>
                <w:b/>
                <w:bCs/>
                <w:i/>
                <w:iCs/>
                <w:color w:val="2F5496"/>
                <w:kern w:val="0"/>
                <w:sz w:val="18"/>
                <w:szCs w:val="18"/>
                <w:lang w:eastAsia="sk-SK"/>
                <w14:ligatures w14:val="none"/>
              </w:rPr>
            </w:pPr>
            <w:r w:rsidRPr="001D2416">
              <w:rPr>
                <w:rFonts w:ascii="Arial Narrow" w:eastAsia="Times New Roman" w:hAnsi="Arial Narrow" w:cs="Calibri"/>
                <w:b/>
                <w:bCs/>
                <w:i/>
                <w:iCs/>
                <w:color w:val="2F5496"/>
                <w:kern w:val="0"/>
                <w:sz w:val="18"/>
                <w:szCs w:val="18"/>
                <w:lang w:eastAsia="sk-SK"/>
                <w14:ligatures w14:val="none"/>
              </w:rPr>
              <w:t> </w:t>
            </w:r>
          </w:p>
        </w:tc>
        <w:tc>
          <w:tcPr>
            <w:tcW w:w="890" w:type="dxa"/>
            <w:tcBorders>
              <w:top w:val="nil"/>
              <w:left w:val="nil"/>
              <w:bottom w:val="single" w:sz="8" w:space="0" w:color="auto"/>
              <w:right w:val="nil"/>
            </w:tcBorders>
            <w:vAlign w:val="center"/>
            <w:hideMark/>
          </w:tcPr>
          <w:p w14:paraId="187D2E12" w14:textId="77777777" w:rsidR="001D2416" w:rsidRPr="001D2416" w:rsidRDefault="001D2416" w:rsidP="002B1847">
            <w:pPr>
              <w:spacing w:after="0" w:line="240" w:lineRule="auto"/>
              <w:jc w:val="center"/>
              <w:rPr>
                <w:rFonts w:ascii="Arial Narrow" w:eastAsia="Times New Roman" w:hAnsi="Arial Narrow" w:cs="Calibri"/>
                <w:color w:val="2C9ADC"/>
                <w:kern w:val="0"/>
                <w:sz w:val="16"/>
                <w:szCs w:val="16"/>
                <w:lang w:eastAsia="sk-SK"/>
                <w14:ligatures w14:val="none"/>
              </w:rPr>
            </w:pPr>
            <w:r w:rsidRPr="001D2416">
              <w:rPr>
                <w:rFonts w:ascii="Arial Narrow" w:eastAsia="Times New Roman" w:hAnsi="Arial Narrow" w:cs="Calibri"/>
                <w:color w:val="2C9ADC"/>
                <w:kern w:val="0"/>
                <w:sz w:val="16"/>
                <w:szCs w:val="16"/>
                <w:lang w:eastAsia="sk-SK"/>
                <w14:ligatures w14:val="none"/>
              </w:rPr>
              <w:t>rast v %</w:t>
            </w:r>
          </w:p>
        </w:tc>
        <w:tc>
          <w:tcPr>
            <w:tcW w:w="825" w:type="dxa"/>
            <w:tcBorders>
              <w:top w:val="nil"/>
              <w:left w:val="nil"/>
              <w:bottom w:val="single" w:sz="8" w:space="0" w:color="auto"/>
              <w:right w:val="nil"/>
            </w:tcBorders>
            <w:vAlign w:val="center"/>
            <w:hideMark/>
          </w:tcPr>
          <w:p w14:paraId="155D1DAB" w14:textId="77777777" w:rsidR="001D2416" w:rsidRPr="001D2416" w:rsidRDefault="001D2416" w:rsidP="002B1847">
            <w:pPr>
              <w:spacing w:after="0" w:line="240" w:lineRule="auto"/>
              <w:jc w:val="center"/>
              <w:rPr>
                <w:rFonts w:ascii="Arial Narrow" w:eastAsia="Times New Roman" w:hAnsi="Arial Narrow" w:cs="Calibri"/>
                <w:color w:val="2C9ADC"/>
                <w:kern w:val="0"/>
                <w:sz w:val="16"/>
                <w:szCs w:val="16"/>
                <w:lang w:eastAsia="sk-SK"/>
                <w14:ligatures w14:val="none"/>
              </w:rPr>
            </w:pPr>
            <w:r w:rsidRPr="001D2416">
              <w:rPr>
                <w:rFonts w:ascii="Arial Narrow" w:eastAsia="Times New Roman" w:hAnsi="Arial Narrow" w:cs="Calibri"/>
                <w:color w:val="2C9ADC"/>
                <w:kern w:val="0"/>
                <w:sz w:val="16"/>
                <w:szCs w:val="16"/>
                <w:lang w:eastAsia="sk-SK"/>
                <w14:ligatures w14:val="none"/>
              </w:rPr>
              <w:t>rast v %</w:t>
            </w:r>
          </w:p>
        </w:tc>
        <w:tc>
          <w:tcPr>
            <w:tcW w:w="955" w:type="dxa"/>
            <w:tcBorders>
              <w:top w:val="nil"/>
              <w:left w:val="nil"/>
              <w:bottom w:val="single" w:sz="8" w:space="0" w:color="auto"/>
              <w:right w:val="nil"/>
            </w:tcBorders>
          </w:tcPr>
          <w:p w14:paraId="69F7F65D" w14:textId="5ABCA095" w:rsidR="001D2416" w:rsidRPr="001D2416" w:rsidRDefault="001D2416" w:rsidP="002B1847">
            <w:pPr>
              <w:spacing w:after="0" w:line="240" w:lineRule="auto"/>
              <w:jc w:val="center"/>
              <w:rPr>
                <w:rFonts w:ascii="Arial Narrow" w:eastAsia="Times New Roman" w:hAnsi="Arial Narrow" w:cs="Calibri"/>
                <w:color w:val="2C9ADC"/>
                <w:kern w:val="0"/>
                <w:sz w:val="16"/>
                <w:szCs w:val="16"/>
                <w:lang w:eastAsia="sk-SK"/>
                <w14:ligatures w14:val="none"/>
              </w:rPr>
            </w:pPr>
            <w:r w:rsidRPr="001D2416">
              <w:rPr>
                <w:rFonts w:ascii="Arial Narrow" w:eastAsia="Times New Roman" w:hAnsi="Arial Narrow" w:cs="Calibri"/>
                <w:color w:val="2C9ADC"/>
                <w:kern w:val="0"/>
                <w:sz w:val="16"/>
                <w:szCs w:val="16"/>
                <w:lang w:eastAsia="sk-SK"/>
                <w14:ligatures w14:val="none"/>
              </w:rPr>
              <w:t>rast v %</w:t>
            </w:r>
          </w:p>
        </w:tc>
      </w:tr>
      <w:tr w:rsidR="001D2416" w:rsidRPr="008E7F52" w14:paraId="4CA394A6" w14:textId="68B32F1D" w:rsidTr="001D2416">
        <w:trPr>
          <w:trHeight w:val="262"/>
        </w:trPr>
        <w:tc>
          <w:tcPr>
            <w:tcW w:w="6365" w:type="dxa"/>
            <w:gridSpan w:val="6"/>
            <w:tcBorders>
              <w:top w:val="single" w:sz="8" w:space="0" w:color="auto"/>
              <w:left w:val="nil"/>
              <w:bottom w:val="nil"/>
              <w:right w:val="nil"/>
            </w:tcBorders>
            <w:vAlign w:val="center"/>
            <w:hideMark/>
          </w:tcPr>
          <w:p w14:paraId="4EA7999C" w14:textId="77777777" w:rsidR="001D2416" w:rsidRPr="001D2416" w:rsidRDefault="001D2416" w:rsidP="002B1847">
            <w:pPr>
              <w:spacing w:after="0" w:line="240" w:lineRule="auto"/>
              <w:rPr>
                <w:rFonts w:ascii="Arial Narrow" w:eastAsia="Times New Roman" w:hAnsi="Arial Narrow" w:cs="Calibri"/>
                <w:i/>
                <w:iCs/>
                <w:color w:val="2C9ADC"/>
                <w:kern w:val="0"/>
                <w:sz w:val="18"/>
                <w:szCs w:val="18"/>
                <w:lang w:eastAsia="sk-SK"/>
                <w14:ligatures w14:val="none"/>
              </w:rPr>
            </w:pPr>
            <w:r w:rsidRPr="001D2416">
              <w:rPr>
                <w:rFonts w:ascii="Arial Narrow" w:eastAsia="Times New Roman" w:hAnsi="Arial Narrow" w:cs="Calibri"/>
                <w:i/>
                <w:iCs/>
                <w:color w:val="2C9ADC"/>
                <w:kern w:val="0"/>
                <w:sz w:val="18"/>
                <w:szCs w:val="18"/>
                <w:lang w:eastAsia="sk-SK"/>
                <w14:ligatures w14:val="none"/>
              </w:rPr>
              <w:t>Odporúčanie Rady EÚ</w:t>
            </w:r>
          </w:p>
        </w:tc>
        <w:tc>
          <w:tcPr>
            <w:tcW w:w="890" w:type="dxa"/>
            <w:tcBorders>
              <w:top w:val="nil"/>
              <w:left w:val="nil"/>
              <w:bottom w:val="nil"/>
              <w:right w:val="nil"/>
            </w:tcBorders>
            <w:vAlign w:val="center"/>
            <w:hideMark/>
          </w:tcPr>
          <w:p w14:paraId="0EBCCC24" w14:textId="77777777" w:rsidR="001D2416" w:rsidRPr="001D2416" w:rsidRDefault="001D2416" w:rsidP="002B1847">
            <w:pPr>
              <w:spacing w:after="0" w:line="240" w:lineRule="auto"/>
              <w:rPr>
                <w:rFonts w:ascii="Arial Narrow" w:eastAsia="Times New Roman" w:hAnsi="Arial Narrow" w:cs="Calibri"/>
                <w:i/>
                <w:iCs/>
                <w:color w:val="2C9ADC"/>
                <w:kern w:val="0"/>
                <w:sz w:val="18"/>
                <w:szCs w:val="18"/>
                <w:lang w:eastAsia="sk-SK"/>
                <w14:ligatures w14:val="none"/>
              </w:rPr>
            </w:pPr>
          </w:p>
        </w:tc>
        <w:tc>
          <w:tcPr>
            <w:tcW w:w="825" w:type="dxa"/>
            <w:tcBorders>
              <w:top w:val="nil"/>
              <w:left w:val="nil"/>
              <w:bottom w:val="nil"/>
              <w:right w:val="nil"/>
            </w:tcBorders>
            <w:vAlign w:val="center"/>
            <w:hideMark/>
          </w:tcPr>
          <w:p w14:paraId="7BF04C14" w14:textId="77777777" w:rsidR="001D2416" w:rsidRPr="001D2416" w:rsidRDefault="001D2416"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955" w:type="dxa"/>
            <w:tcBorders>
              <w:top w:val="nil"/>
              <w:left w:val="nil"/>
              <w:bottom w:val="nil"/>
              <w:right w:val="nil"/>
            </w:tcBorders>
          </w:tcPr>
          <w:p w14:paraId="3D2369DD" w14:textId="77777777" w:rsidR="001D2416" w:rsidRPr="001D2416" w:rsidRDefault="001D2416" w:rsidP="002B1847">
            <w:pPr>
              <w:spacing w:after="0" w:line="240" w:lineRule="auto"/>
              <w:jc w:val="center"/>
              <w:rPr>
                <w:rFonts w:ascii="Times New Roman" w:eastAsia="Times New Roman" w:hAnsi="Times New Roman" w:cs="Times New Roman"/>
                <w:kern w:val="0"/>
                <w:sz w:val="20"/>
                <w:szCs w:val="20"/>
                <w:lang w:eastAsia="sk-SK"/>
                <w14:ligatures w14:val="none"/>
              </w:rPr>
            </w:pPr>
          </w:p>
        </w:tc>
      </w:tr>
      <w:tr w:rsidR="001D2416" w:rsidRPr="008E7F52" w14:paraId="5E381A7B" w14:textId="12A12691" w:rsidTr="00874884">
        <w:trPr>
          <w:trHeight w:val="262"/>
        </w:trPr>
        <w:tc>
          <w:tcPr>
            <w:tcW w:w="436" w:type="dxa"/>
            <w:tcBorders>
              <w:top w:val="nil"/>
              <w:left w:val="nil"/>
              <w:bottom w:val="nil"/>
              <w:right w:val="nil"/>
            </w:tcBorders>
            <w:shd w:val="clear" w:color="000000" w:fill="DDEBF7"/>
            <w:vAlign w:val="center"/>
            <w:hideMark/>
          </w:tcPr>
          <w:p w14:paraId="3A8A8809" w14:textId="77777777" w:rsidR="001D2416" w:rsidRPr="001D2416" w:rsidRDefault="001D2416" w:rsidP="001D2416">
            <w:pPr>
              <w:spacing w:after="0" w:line="240" w:lineRule="auto"/>
              <w:jc w:val="center"/>
              <w:rPr>
                <w:rFonts w:ascii="Arial Narrow" w:eastAsia="Times New Roman" w:hAnsi="Arial Narrow" w:cs="Calibri"/>
                <w:b/>
                <w:bCs/>
                <w:color w:val="000000"/>
                <w:kern w:val="0"/>
                <w:sz w:val="16"/>
                <w:szCs w:val="16"/>
                <w:lang w:eastAsia="sk-SK"/>
                <w14:ligatures w14:val="none"/>
              </w:rPr>
            </w:pPr>
            <w:r w:rsidRPr="001D2416">
              <w:rPr>
                <w:rFonts w:ascii="Arial Narrow" w:eastAsia="Times New Roman" w:hAnsi="Arial Narrow" w:cs="Calibri"/>
                <w:b/>
                <w:bCs/>
                <w:color w:val="000000"/>
                <w:kern w:val="0"/>
                <w:sz w:val="16"/>
                <w:szCs w:val="16"/>
                <w:lang w:eastAsia="sk-SK"/>
                <w14:ligatures w14:val="none"/>
              </w:rPr>
              <w:t>1a</w:t>
            </w:r>
          </w:p>
        </w:tc>
        <w:tc>
          <w:tcPr>
            <w:tcW w:w="5929" w:type="dxa"/>
            <w:gridSpan w:val="5"/>
            <w:tcBorders>
              <w:top w:val="nil"/>
              <w:left w:val="nil"/>
              <w:bottom w:val="nil"/>
              <w:right w:val="nil"/>
            </w:tcBorders>
            <w:shd w:val="clear" w:color="000000" w:fill="DDEBF7"/>
            <w:vAlign w:val="center"/>
            <w:hideMark/>
          </w:tcPr>
          <w:p w14:paraId="6F91920A" w14:textId="77777777" w:rsidR="001D2416" w:rsidRPr="001D2416" w:rsidRDefault="001D2416" w:rsidP="001D2416">
            <w:pPr>
              <w:spacing w:after="0" w:line="240" w:lineRule="auto"/>
              <w:rPr>
                <w:rFonts w:ascii="Arial Narrow" w:eastAsia="Times New Roman" w:hAnsi="Arial Narrow" w:cs="Calibri"/>
                <w:b/>
                <w:bCs/>
                <w:color w:val="000000"/>
                <w:kern w:val="0"/>
                <w:sz w:val="16"/>
                <w:szCs w:val="16"/>
                <w:lang w:eastAsia="sk-SK"/>
                <w14:ligatures w14:val="none"/>
              </w:rPr>
            </w:pPr>
            <w:r w:rsidRPr="001D2416">
              <w:rPr>
                <w:rFonts w:ascii="Arial Narrow" w:eastAsia="Times New Roman" w:hAnsi="Arial Narrow" w:cs="Calibri"/>
                <w:b/>
                <w:bCs/>
                <w:color w:val="000000"/>
                <w:kern w:val="0"/>
                <w:sz w:val="16"/>
                <w:szCs w:val="16"/>
                <w:lang w:eastAsia="sk-SK"/>
                <w14:ligatures w14:val="none"/>
              </w:rPr>
              <w:t>Čisté národne financované primárne výdavky (NFPV)</w:t>
            </w:r>
          </w:p>
        </w:tc>
        <w:tc>
          <w:tcPr>
            <w:tcW w:w="890" w:type="dxa"/>
            <w:tcBorders>
              <w:top w:val="nil"/>
              <w:left w:val="nil"/>
              <w:bottom w:val="nil"/>
              <w:right w:val="nil"/>
            </w:tcBorders>
            <w:shd w:val="clear" w:color="000000" w:fill="DDEBF7"/>
            <w:vAlign w:val="center"/>
            <w:hideMark/>
          </w:tcPr>
          <w:p w14:paraId="3E9C827E" w14:textId="2CE1E2A9" w:rsidR="001D2416" w:rsidRPr="001D2416" w:rsidRDefault="001D2416" w:rsidP="001D2416">
            <w:pPr>
              <w:spacing w:after="0" w:line="240" w:lineRule="auto"/>
              <w:jc w:val="center"/>
              <w:rPr>
                <w:rFonts w:ascii="Arial Narrow" w:eastAsia="Times New Roman" w:hAnsi="Arial Narrow" w:cs="Calibri"/>
                <w:kern w:val="0"/>
                <w:sz w:val="16"/>
                <w:szCs w:val="16"/>
                <w:lang w:eastAsia="sk-SK"/>
                <w14:ligatures w14:val="none"/>
              </w:rPr>
            </w:pPr>
            <w:r w:rsidRPr="001D2416">
              <w:rPr>
                <w:rFonts w:ascii="Arial Narrow" w:hAnsi="Arial Narrow" w:cs="Calibri"/>
                <w:sz w:val="16"/>
                <w:szCs w:val="16"/>
              </w:rPr>
              <w:t>6,2</w:t>
            </w:r>
          </w:p>
        </w:tc>
        <w:tc>
          <w:tcPr>
            <w:tcW w:w="825" w:type="dxa"/>
            <w:tcBorders>
              <w:top w:val="nil"/>
              <w:left w:val="nil"/>
              <w:bottom w:val="nil"/>
              <w:right w:val="nil"/>
            </w:tcBorders>
            <w:shd w:val="clear" w:color="000000" w:fill="DDEBF7"/>
            <w:vAlign w:val="center"/>
            <w:hideMark/>
          </w:tcPr>
          <w:p w14:paraId="1546F52A" w14:textId="41CB1AFC" w:rsidR="001D2416" w:rsidRPr="001D2416" w:rsidRDefault="001D2416" w:rsidP="001D2416">
            <w:pPr>
              <w:spacing w:after="0" w:line="240" w:lineRule="auto"/>
              <w:jc w:val="center"/>
              <w:rPr>
                <w:rFonts w:ascii="Arial Narrow" w:eastAsia="Times New Roman" w:hAnsi="Arial Narrow" w:cs="Calibri"/>
                <w:kern w:val="0"/>
                <w:sz w:val="16"/>
                <w:szCs w:val="16"/>
                <w:lang w:eastAsia="sk-SK"/>
                <w14:ligatures w14:val="none"/>
              </w:rPr>
            </w:pPr>
            <w:r w:rsidRPr="001D2416">
              <w:rPr>
                <w:rFonts w:ascii="Arial Narrow" w:hAnsi="Arial Narrow" w:cs="Calibri"/>
                <w:sz w:val="16"/>
                <w:szCs w:val="16"/>
              </w:rPr>
              <w:t>3,8</w:t>
            </w:r>
          </w:p>
        </w:tc>
        <w:tc>
          <w:tcPr>
            <w:tcW w:w="955" w:type="dxa"/>
            <w:tcBorders>
              <w:top w:val="nil"/>
              <w:left w:val="nil"/>
              <w:bottom w:val="nil"/>
              <w:right w:val="nil"/>
            </w:tcBorders>
            <w:shd w:val="clear" w:color="000000" w:fill="DDEBF7"/>
            <w:vAlign w:val="center"/>
          </w:tcPr>
          <w:p w14:paraId="4B515600" w14:textId="27D71F92" w:rsidR="001D2416" w:rsidRPr="001D2416" w:rsidRDefault="001D2416" w:rsidP="001D2416">
            <w:pPr>
              <w:spacing w:after="0" w:line="240" w:lineRule="auto"/>
              <w:jc w:val="center"/>
              <w:rPr>
                <w:rFonts w:ascii="Arial Narrow" w:eastAsia="Times New Roman" w:hAnsi="Arial Narrow" w:cs="Calibri"/>
                <w:kern w:val="0"/>
                <w:sz w:val="16"/>
                <w:szCs w:val="16"/>
                <w:lang w:eastAsia="sk-SK"/>
                <w14:ligatures w14:val="none"/>
              </w:rPr>
            </w:pPr>
            <w:r w:rsidRPr="001D2416">
              <w:rPr>
                <w:rFonts w:ascii="Arial Narrow" w:hAnsi="Arial Narrow" w:cs="Calibri"/>
                <w:sz w:val="16"/>
                <w:szCs w:val="16"/>
              </w:rPr>
              <w:t>0,9</w:t>
            </w:r>
          </w:p>
        </w:tc>
      </w:tr>
      <w:tr w:rsidR="001D2416" w:rsidRPr="008E7F52" w14:paraId="3B6513A7" w14:textId="0A5D293A" w:rsidTr="00874884">
        <w:trPr>
          <w:trHeight w:val="262"/>
        </w:trPr>
        <w:tc>
          <w:tcPr>
            <w:tcW w:w="436" w:type="dxa"/>
            <w:tcBorders>
              <w:top w:val="nil"/>
              <w:left w:val="nil"/>
              <w:bottom w:val="nil"/>
              <w:right w:val="nil"/>
            </w:tcBorders>
            <w:shd w:val="clear" w:color="000000" w:fill="DDEBF7"/>
            <w:vAlign w:val="center"/>
            <w:hideMark/>
          </w:tcPr>
          <w:p w14:paraId="295CD2CD" w14:textId="77777777" w:rsidR="001D2416" w:rsidRPr="001D2416" w:rsidRDefault="001D2416" w:rsidP="001D2416">
            <w:pPr>
              <w:spacing w:after="0" w:line="240" w:lineRule="auto"/>
              <w:jc w:val="center"/>
              <w:rPr>
                <w:rFonts w:ascii="Arial Narrow" w:eastAsia="Times New Roman" w:hAnsi="Arial Narrow" w:cs="Calibri"/>
                <w:b/>
                <w:bCs/>
                <w:color w:val="000000"/>
                <w:kern w:val="0"/>
                <w:sz w:val="16"/>
                <w:szCs w:val="16"/>
                <w:lang w:eastAsia="sk-SK"/>
                <w14:ligatures w14:val="none"/>
              </w:rPr>
            </w:pPr>
            <w:r w:rsidRPr="001D2416">
              <w:rPr>
                <w:rFonts w:ascii="Arial Narrow" w:eastAsia="Times New Roman" w:hAnsi="Arial Narrow" w:cs="Calibri"/>
                <w:b/>
                <w:bCs/>
                <w:color w:val="000000"/>
                <w:kern w:val="0"/>
                <w:sz w:val="16"/>
                <w:szCs w:val="16"/>
                <w:lang w:eastAsia="sk-SK"/>
                <w14:ligatures w14:val="none"/>
              </w:rPr>
              <w:t>2a</w:t>
            </w:r>
          </w:p>
        </w:tc>
        <w:tc>
          <w:tcPr>
            <w:tcW w:w="5929" w:type="dxa"/>
            <w:gridSpan w:val="5"/>
            <w:tcBorders>
              <w:top w:val="nil"/>
              <w:left w:val="nil"/>
              <w:bottom w:val="nil"/>
              <w:right w:val="nil"/>
            </w:tcBorders>
            <w:shd w:val="clear" w:color="000000" w:fill="DDEBF7"/>
            <w:vAlign w:val="center"/>
            <w:hideMark/>
          </w:tcPr>
          <w:p w14:paraId="690FCE73" w14:textId="77777777" w:rsidR="001D2416" w:rsidRPr="001D2416" w:rsidRDefault="001D2416" w:rsidP="001D2416">
            <w:pPr>
              <w:spacing w:after="0" w:line="240" w:lineRule="auto"/>
              <w:rPr>
                <w:rFonts w:ascii="Arial Narrow" w:eastAsia="Times New Roman" w:hAnsi="Arial Narrow" w:cs="Calibri"/>
                <w:b/>
                <w:bCs/>
                <w:color w:val="000000"/>
                <w:kern w:val="0"/>
                <w:sz w:val="16"/>
                <w:szCs w:val="16"/>
                <w:lang w:eastAsia="sk-SK"/>
                <w14:ligatures w14:val="none"/>
              </w:rPr>
            </w:pPr>
            <w:r w:rsidRPr="001D2416">
              <w:rPr>
                <w:rFonts w:ascii="Arial Narrow" w:eastAsia="Times New Roman" w:hAnsi="Arial Narrow" w:cs="Calibri"/>
                <w:b/>
                <w:bCs/>
                <w:color w:val="000000"/>
                <w:kern w:val="0"/>
                <w:sz w:val="16"/>
                <w:szCs w:val="16"/>
                <w:lang w:eastAsia="sk-SK"/>
                <w14:ligatures w14:val="none"/>
              </w:rPr>
              <w:t>Kumulatívny rast NFPV</w:t>
            </w:r>
          </w:p>
        </w:tc>
        <w:tc>
          <w:tcPr>
            <w:tcW w:w="890" w:type="dxa"/>
            <w:tcBorders>
              <w:top w:val="nil"/>
              <w:left w:val="nil"/>
              <w:bottom w:val="nil"/>
              <w:right w:val="nil"/>
            </w:tcBorders>
            <w:shd w:val="clear" w:color="000000" w:fill="DDEBF7"/>
            <w:vAlign w:val="center"/>
            <w:hideMark/>
          </w:tcPr>
          <w:p w14:paraId="1E6FF2A9" w14:textId="595210FC" w:rsidR="001D2416" w:rsidRPr="001D2416" w:rsidRDefault="001D2416" w:rsidP="001D2416">
            <w:pPr>
              <w:spacing w:after="0" w:line="240" w:lineRule="auto"/>
              <w:jc w:val="center"/>
              <w:rPr>
                <w:rFonts w:ascii="Arial Narrow" w:eastAsia="Times New Roman" w:hAnsi="Arial Narrow" w:cs="Calibri"/>
                <w:kern w:val="0"/>
                <w:sz w:val="16"/>
                <w:szCs w:val="16"/>
                <w:lang w:eastAsia="sk-SK"/>
                <w14:ligatures w14:val="none"/>
              </w:rPr>
            </w:pPr>
            <w:r w:rsidRPr="001D2416">
              <w:rPr>
                <w:rFonts w:ascii="Arial Narrow" w:hAnsi="Arial Narrow" w:cs="Calibri"/>
                <w:sz w:val="16"/>
                <w:szCs w:val="16"/>
              </w:rPr>
              <w:t>6,2</w:t>
            </w:r>
          </w:p>
        </w:tc>
        <w:tc>
          <w:tcPr>
            <w:tcW w:w="825" w:type="dxa"/>
            <w:tcBorders>
              <w:top w:val="nil"/>
              <w:left w:val="nil"/>
              <w:bottom w:val="nil"/>
              <w:right w:val="nil"/>
            </w:tcBorders>
            <w:shd w:val="clear" w:color="000000" w:fill="DDEBF7"/>
            <w:vAlign w:val="center"/>
            <w:hideMark/>
          </w:tcPr>
          <w:p w14:paraId="47BD11EA" w14:textId="2BAE823B" w:rsidR="001D2416" w:rsidRPr="001D2416" w:rsidRDefault="001D2416" w:rsidP="001D2416">
            <w:pPr>
              <w:spacing w:after="0" w:line="240" w:lineRule="auto"/>
              <w:jc w:val="center"/>
              <w:rPr>
                <w:rFonts w:ascii="Arial Narrow" w:eastAsia="Times New Roman" w:hAnsi="Arial Narrow" w:cs="Calibri"/>
                <w:kern w:val="0"/>
                <w:sz w:val="16"/>
                <w:szCs w:val="16"/>
                <w:lang w:eastAsia="sk-SK"/>
                <w14:ligatures w14:val="none"/>
              </w:rPr>
            </w:pPr>
            <w:r w:rsidRPr="001D2416">
              <w:rPr>
                <w:rFonts w:ascii="Arial Narrow" w:hAnsi="Arial Narrow" w:cs="Calibri"/>
                <w:sz w:val="16"/>
                <w:szCs w:val="16"/>
              </w:rPr>
              <w:t>10,3</w:t>
            </w:r>
          </w:p>
        </w:tc>
        <w:tc>
          <w:tcPr>
            <w:tcW w:w="955" w:type="dxa"/>
            <w:tcBorders>
              <w:top w:val="nil"/>
              <w:left w:val="nil"/>
              <w:bottom w:val="nil"/>
              <w:right w:val="nil"/>
            </w:tcBorders>
            <w:shd w:val="clear" w:color="000000" w:fill="DDEBF7"/>
            <w:vAlign w:val="center"/>
          </w:tcPr>
          <w:p w14:paraId="330346C6" w14:textId="60C6D3BE" w:rsidR="001D2416" w:rsidRPr="001D2416" w:rsidRDefault="001D2416" w:rsidP="001D2416">
            <w:pPr>
              <w:spacing w:after="0" w:line="240" w:lineRule="auto"/>
              <w:jc w:val="center"/>
              <w:rPr>
                <w:rFonts w:ascii="Arial Narrow" w:eastAsia="Times New Roman" w:hAnsi="Arial Narrow" w:cs="Calibri"/>
                <w:kern w:val="0"/>
                <w:sz w:val="16"/>
                <w:szCs w:val="16"/>
                <w:lang w:eastAsia="sk-SK"/>
                <w14:ligatures w14:val="none"/>
              </w:rPr>
            </w:pPr>
            <w:r w:rsidRPr="001D2416">
              <w:rPr>
                <w:rFonts w:ascii="Arial Narrow" w:hAnsi="Arial Narrow" w:cs="Calibri"/>
                <w:sz w:val="16"/>
                <w:szCs w:val="16"/>
              </w:rPr>
              <w:t>11,2</w:t>
            </w:r>
          </w:p>
        </w:tc>
      </w:tr>
      <w:tr w:rsidR="001D2416" w:rsidRPr="008E7F52" w14:paraId="16E5F933" w14:textId="1FBEF652" w:rsidTr="00874884">
        <w:trPr>
          <w:trHeight w:val="252"/>
        </w:trPr>
        <w:tc>
          <w:tcPr>
            <w:tcW w:w="6365" w:type="dxa"/>
            <w:gridSpan w:val="6"/>
            <w:tcBorders>
              <w:top w:val="nil"/>
              <w:left w:val="nil"/>
              <w:bottom w:val="nil"/>
              <w:right w:val="nil"/>
            </w:tcBorders>
            <w:vAlign w:val="center"/>
            <w:hideMark/>
          </w:tcPr>
          <w:p w14:paraId="2FAFB8BF" w14:textId="77777777" w:rsidR="001D2416" w:rsidRPr="001D2416" w:rsidRDefault="001D2416" w:rsidP="001D2416">
            <w:pPr>
              <w:spacing w:after="0" w:line="240" w:lineRule="auto"/>
              <w:rPr>
                <w:rFonts w:ascii="Arial Narrow" w:eastAsia="Times New Roman" w:hAnsi="Arial Narrow" w:cs="Calibri"/>
                <w:i/>
                <w:iCs/>
                <w:color w:val="2C9ADC"/>
                <w:kern w:val="0"/>
                <w:sz w:val="18"/>
                <w:szCs w:val="18"/>
                <w:lang w:eastAsia="sk-SK"/>
                <w14:ligatures w14:val="none"/>
              </w:rPr>
            </w:pPr>
            <w:r w:rsidRPr="001D2416">
              <w:rPr>
                <w:rFonts w:ascii="Arial Narrow" w:eastAsia="Times New Roman" w:hAnsi="Arial Narrow" w:cs="Calibri"/>
                <w:i/>
                <w:iCs/>
                <w:color w:val="2C9ADC"/>
                <w:kern w:val="0"/>
                <w:sz w:val="18"/>
                <w:szCs w:val="18"/>
                <w:lang w:eastAsia="sk-SK"/>
                <w14:ligatures w14:val="none"/>
              </w:rPr>
              <w:t>Skutočnosť / prognóza</w:t>
            </w:r>
          </w:p>
        </w:tc>
        <w:tc>
          <w:tcPr>
            <w:tcW w:w="890" w:type="dxa"/>
            <w:tcBorders>
              <w:top w:val="nil"/>
              <w:left w:val="nil"/>
              <w:bottom w:val="nil"/>
              <w:right w:val="nil"/>
            </w:tcBorders>
            <w:noWrap/>
            <w:vAlign w:val="bottom"/>
            <w:hideMark/>
          </w:tcPr>
          <w:p w14:paraId="034F5161" w14:textId="77777777" w:rsidR="001D2416" w:rsidRPr="001D2416" w:rsidRDefault="001D2416" w:rsidP="001D2416">
            <w:pPr>
              <w:spacing w:after="0" w:line="240" w:lineRule="auto"/>
              <w:rPr>
                <w:rFonts w:ascii="Arial Narrow" w:eastAsia="Times New Roman" w:hAnsi="Arial Narrow" w:cs="Calibri"/>
                <w:i/>
                <w:iCs/>
                <w:color w:val="2C9ADC"/>
                <w:kern w:val="0"/>
                <w:sz w:val="18"/>
                <w:szCs w:val="18"/>
                <w:lang w:eastAsia="sk-SK"/>
                <w14:ligatures w14:val="none"/>
              </w:rPr>
            </w:pPr>
          </w:p>
        </w:tc>
        <w:tc>
          <w:tcPr>
            <w:tcW w:w="825" w:type="dxa"/>
            <w:tcBorders>
              <w:top w:val="nil"/>
              <w:left w:val="nil"/>
              <w:bottom w:val="nil"/>
              <w:right w:val="nil"/>
            </w:tcBorders>
            <w:noWrap/>
            <w:vAlign w:val="bottom"/>
            <w:hideMark/>
          </w:tcPr>
          <w:p w14:paraId="14F1AF7D" w14:textId="77777777" w:rsidR="001D2416" w:rsidRPr="001D2416" w:rsidRDefault="001D2416" w:rsidP="001D2416">
            <w:pPr>
              <w:spacing w:after="0" w:line="240" w:lineRule="auto"/>
              <w:rPr>
                <w:rFonts w:ascii="Times New Roman" w:eastAsia="Times New Roman" w:hAnsi="Times New Roman" w:cs="Times New Roman"/>
                <w:kern w:val="0"/>
                <w:sz w:val="20"/>
                <w:szCs w:val="20"/>
                <w:lang w:eastAsia="sk-SK"/>
                <w14:ligatures w14:val="none"/>
              </w:rPr>
            </w:pPr>
          </w:p>
        </w:tc>
        <w:tc>
          <w:tcPr>
            <w:tcW w:w="955" w:type="dxa"/>
            <w:tcBorders>
              <w:top w:val="nil"/>
              <w:left w:val="nil"/>
              <w:bottom w:val="nil"/>
              <w:right w:val="nil"/>
            </w:tcBorders>
            <w:vAlign w:val="bottom"/>
          </w:tcPr>
          <w:p w14:paraId="7BFC59D6" w14:textId="77777777" w:rsidR="001D2416" w:rsidRPr="001D2416" w:rsidRDefault="001D2416" w:rsidP="001D2416">
            <w:pPr>
              <w:spacing w:after="0" w:line="240" w:lineRule="auto"/>
              <w:rPr>
                <w:rFonts w:ascii="Times New Roman" w:eastAsia="Times New Roman" w:hAnsi="Times New Roman" w:cs="Times New Roman"/>
                <w:kern w:val="0"/>
                <w:sz w:val="20"/>
                <w:szCs w:val="20"/>
                <w:lang w:eastAsia="sk-SK"/>
                <w14:ligatures w14:val="none"/>
              </w:rPr>
            </w:pPr>
          </w:p>
        </w:tc>
      </w:tr>
      <w:tr w:rsidR="001D2416" w:rsidRPr="008E7F52" w14:paraId="09847460" w14:textId="1B0F73D6" w:rsidTr="00874884">
        <w:trPr>
          <w:trHeight w:val="262"/>
        </w:trPr>
        <w:tc>
          <w:tcPr>
            <w:tcW w:w="436" w:type="dxa"/>
            <w:tcBorders>
              <w:top w:val="nil"/>
              <w:left w:val="nil"/>
              <w:bottom w:val="nil"/>
              <w:right w:val="nil"/>
            </w:tcBorders>
            <w:shd w:val="clear" w:color="000000" w:fill="DDEBF7"/>
            <w:vAlign w:val="center"/>
            <w:hideMark/>
          </w:tcPr>
          <w:p w14:paraId="0F95D925" w14:textId="77777777" w:rsidR="001D2416" w:rsidRPr="001D2416" w:rsidRDefault="001D2416" w:rsidP="001D2416">
            <w:pPr>
              <w:spacing w:after="0" w:line="240" w:lineRule="auto"/>
              <w:jc w:val="center"/>
              <w:rPr>
                <w:rFonts w:ascii="Arial Narrow" w:eastAsia="Times New Roman" w:hAnsi="Arial Narrow" w:cs="Calibri"/>
                <w:b/>
                <w:bCs/>
                <w:color w:val="000000"/>
                <w:kern w:val="0"/>
                <w:sz w:val="16"/>
                <w:szCs w:val="16"/>
                <w:lang w:eastAsia="sk-SK"/>
                <w14:ligatures w14:val="none"/>
              </w:rPr>
            </w:pPr>
            <w:r w:rsidRPr="001D2416">
              <w:rPr>
                <w:rFonts w:ascii="Arial Narrow" w:eastAsia="Times New Roman" w:hAnsi="Arial Narrow" w:cs="Calibri"/>
                <w:b/>
                <w:bCs/>
                <w:color w:val="000000"/>
                <w:kern w:val="0"/>
                <w:sz w:val="16"/>
                <w:szCs w:val="16"/>
                <w:lang w:eastAsia="sk-SK"/>
                <w14:ligatures w14:val="none"/>
              </w:rPr>
              <w:t>1b</w:t>
            </w:r>
          </w:p>
        </w:tc>
        <w:tc>
          <w:tcPr>
            <w:tcW w:w="5929" w:type="dxa"/>
            <w:gridSpan w:val="5"/>
            <w:tcBorders>
              <w:top w:val="nil"/>
              <w:left w:val="nil"/>
              <w:bottom w:val="nil"/>
              <w:right w:val="nil"/>
            </w:tcBorders>
            <w:shd w:val="clear" w:color="000000" w:fill="DDEBF7"/>
            <w:vAlign w:val="center"/>
            <w:hideMark/>
          </w:tcPr>
          <w:p w14:paraId="02B81C17" w14:textId="77777777" w:rsidR="001D2416" w:rsidRPr="001D2416" w:rsidRDefault="001D2416" w:rsidP="001D2416">
            <w:pPr>
              <w:spacing w:after="0" w:line="240" w:lineRule="auto"/>
              <w:rPr>
                <w:rFonts w:ascii="Arial Narrow" w:eastAsia="Times New Roman" w:hAnsi="Arial Narrow" w:cs="Calibri"/>
                <w:b/>
                <w:bCs/>
                <w:color w:val="000000"/>
                <w:kern w:val="0"/>
                <w:sz w:val="16"/>
                <w:szCs w:val="16"/>
                <w:lang w:eastAsia="sk-SK"/>
                <w14:ligatures w14:val="none"/>
              </w:rPr>
            </w:pPr>
            <w:r w:rsidRPr="001D2416">
              <w:rPr>
                <w:rFonts w:ascii="Arial Narrow" w:eastAsia="Times New Roman" w:hAnsi="Arial Narrow" w:cs="Calibri"/>
                <w:b/>
                <w:bCs/>
                <w:color w:val="000000"/>
                <w:kern w:val="0"/>
                <w:sz w:val="16"/>
                <w:szCs w:val="16"/>
                <w:lang w:eastAsia="sk-SK"/>
                <w14:ligatures w14:val="none"/>
              </w:rPr>
              <w:t>Čisté národne financované primárne výdavky (NFPV)</w:t>
            </w:r>
          </w:p>
        </w:tc>
        <w:tc>
          <w:tcPr>
            <w:tcW w:w="890" w:type="dxa"/>
            <w:tcBorders>
              <w:top w:val="nil"/>
              <w:left w:val="nil"/>
              <w:bottom w:val="nil"/>
              <w:right w:val="nil"/>
            </w:tcBorders>
            <w:shd w:val="clear" w:color="000000" w:fill="DDEBF7"/>
            <w:vAlign w:val="center"/>
            <w:hideMark/>
          </w:tcPr>
          <w:p w14:paraId="6C1A41F2" w14:textId="5292132A" w:rsidR="001D2416" w:rsidRPr="001D2416" w:rsidRDefault="001D2416" w:rsidP="001D2416">
            <w:pPr>
              <w:spacing w:after="0" w:line="240" w:lineRule="auto"/>
              <w:jc w:val="center"/>
              <w:rPr>
                <w:rFonts w:ascii="Arial Narrow" w:eastAsia="Times New Roman" w:hAnsi="Arial Narrow" w:cs="Calibri"/>
                <w:kern w:val="0"/>
                <w:sz w:val="16"/>
                <w:szCs w:val="16"/>
                <w:lang w:eastAsia="sk-SK"/>
                <w14:ligatures w14:val="none"/>
              </w:rPr>
            </w:pPr>
            <w:r w:rsidRPr="001D2416">
              <w:rPr>
                <w:rFonts w:ascii="Arial Narrow" w:hAnsi="Arial Narrow" w:cs="Calibri"/>
                <w:sz w:val="16"/>
                <w:szCs w:val="16"/>
              </w:rPr>
              <w:t>3,5</w:t>
            </w:r>
          </w:p>
        </w:tc>
        <w:tc>
          <w:tcPr>
            <w:tcW w:w="825" w:type="dxa"/>
            <w:tcBorders>
              <w:top w:val="nil"/>
              <w:left w:val="nil"/>
              <w:bottom w:val="nil"/>
              <w:right w:val="nil"/>
            </w:tcBorders>
            <w:shd w:val="clear" w:color="000000" w:fill="DDEBF7"/>
            <w:vAlign w:val="center"/>
            <w:hideMark/>
          </w:tcPr>
          <w:p w14:paraId="4660C578" w14:textId="25DB62FC" w:rsidR="001D2416" w:rsidRPr="001D2416" w:rsidRDefault="001D2416" w:rsidP="001D2416">
            <w:pPr>
              <w:spacing w:after="0" w:line="240" w:lineRule="auto"/>
              <w:jc w:val="center"/>
              <w:rPr>
                <w:rFonts w:ascii="Arial Narrow" w:eastAsia="Times New Roman" w:hAnsi="Arial Narrow" w:cs="Calibri"/>
                <w:kern w:val="0"/>
                <w:sz w:val="16"/>
                <w:szCs w:val="16"/>
                <w:lang w:eastAsia="sk-SK"/>
                <w14:ligatures w14:val="none"/>
              </w:rPr>
            </w:pPr>
            <w:r w:rsidRPr="001D2416">
              <w:rPr>
                <w:rFonts w:ascii="Arial Narrow" w:hAnsi="Arial Narrow" w:cs="Calibri"/>
                <w:sz w:val="16"/>
                <w:szCs w:val="16"/>
              </w:rPr>
              <w:t>1,7</w:t>
            </w:r>
          </w:p>
        </w:tc>
        <w:tc>
          <w:tcPr>
            <w:tcW w:w="955" w:type="dxa"/>
            <w:tcBorders>
              <w:top w:val="nil"/>
              <w:left w:val="nil"/>
              <w:bottom w:val="nil"/>
              <w:right w:val="nil"/>
            </w:tcBorders>
            <w:shd w:val="clear" w:color="000000" w:fill="DDEBF7"/>
            <w:vAlign w:val="center"/>
          </w:tcPr>
          <w:p w14:paraId="3ADB8D6B" w14:textId="6C711C2F" w:rsidR="001D2416" w:rsidRPr="001D2416" w:rsidRDefault="001D2416" w:rsidP="001D2416">
            <w:pPr>
              <w:spacing w:after="0" w:line="240" w:lineRule="auto"/>
              <w:jc w:val="center"/>
              <w:rPr>
                <w:rFonts w:ascii="Arial Narrow" w:eastAsia="Times New Roman" w:hAnsi="Arial Narrow" w:cs="Calibri"/>
                <w:kern w:val="0"/>
                <w:sz w:val="16"/>
                <w:szCs w:val="16"/>
                <w:lang w:eastAsia="sk-SK"/>
                <w14:ligatures w14:val="none"/>
              </w:rPr>
            </w:pPr>
            <w:r w:rsidRPr="001D2416">
              <w:rPr>
                <w:rFonts w:ascii="Arial Narrow" w:hAnsi="Arial Narrow" w:cs="Calibri"/>
                <w:sz w:val="16"/>
                <w:szCs w:val="16"/>
              </w:rPr>
              <w:t>2,0</w:t>
            </w:r>
          </w:p>
        </w:tc>
      </w:tr>
      <w:tr w:rsidR="001D2416" w:rsidRPr="008E7F52" w14:paraId="50E6EA70" w14:textId="13CD0FF3" w:rsidTr="00874884">
        <w:trPr>
          <w:trHeight w:val="262"/>
        </w:trPr>
        <w:tc>
          <w:tcPr>
            <w:tcW w:w="436" w:type="dxa"/>
            <w:tcBorders>
              <w:top w:val="nil"/>
              <w:left w:val="nil"/>
              <w:bottom w:val="nil"/>
              <w:right w:val="nil"/>
            </w:tcBorders>
            <w:shd w:val="clear" w:color="000000" w:fill="DDEBF7"/>
            <w:vAlign w:val="center"/>
            <w:hideMark/>
          </w:tcPr>
          <w:p w14:paraId="397129F1" w14:textId="77777777" w:rsidR="001D2416" w:rsidRPr="001D2416" w:rsidRDefault="001D2416" w:rsidP="001D2416">
            <w:pPr>
              <w:spacing w:after="0" w:line="240" w:lineRule="auto"/>
              <w:jc w:val="center"/>
              <w:rPr>
                <w:rFonts w:ascii="Arial Narrow" w:eastAsia="Times New Roman" w:hAnsi="Arial Narrow" w:cs="Calibri"/>
                <w:b/>
                <w:bCs/>
                <w:color w:val="000000"/>
                <w:kern w:val="0"/>
                <w:sz w:val="16"/>
                <w:szCs w:val="16"/>
                <w:lang w:eastAsia="sk-SK"/>
                <w14:ligatures w14:val="none"/>
              </w:rPr>
            </w:pPr>
            <w:r w:rsidRPr="001D2416">
              <w:rPr>
                <w:rFonts w:ascii="Arial Narrow" w:eastAsia="Times New Roman" w:hAnsi="Arial Narrow" w:cs="Calibri"/>
                <w:b/>
                <w:bCs/>
                <w:color w:val="000000"/>
                <w:kern w:val="0"/>
                <w:sz w:val="16"/>
                <w:szCs w:val="16"/>
                <w:lang w:eastAsia="sk-SK"/>
                <w14:ligatures w14:val="none"/>
              </w:rPr>
              <w:t>2b</w:t>
            </w:r>
          </w:p>
        </w:tc>
        <w:tc>
          <w:tcPr>
            <w:tcW w:w="5929" w:type="dxa"/>
            <w:gridSpan w:val="5"/>
            <w:tcBorders>
              <w:top w:val="nil"/>
              <w:left w:val="nil"/>
              <w:bottom w:val="nil"/>
              <w:right w:val="nil"/>
            </w:tcBorders>
            <w:shd w:val="clear" w:color="000000" w:fill="DDEBF7"/>
            <w:vAlign w:val="center"/>
            <w:hideMark/>
          </w:tcPr>
          <w:p w14:paraId="4562DCB1" w14:textId="77777777" w:rsidR="001D2416" w:rsidRPr="001D2416" w:rsidRDefault="001D2416" w:rsidP="001D2416">
            <w:pPr>
              <w:spacing w:after="0" w:line="240" w:lineRule="auto"/>
              <w:rPr>
                <w:rFonts w:ascii="Arial Narrow" w:eastAsia="Times New Roman" w:hAnsi="Arial Narrow" w:cs="Calibri"/>
                <w:b/>
                <w:bCs/>
                <w:color w:val="000000"/>
                <w:kern w:val="0"/>
                <w:sz w:val="16"/>
                <w:szCs w:val="16"/>
                <w:lang w:eastAsia="sk-SK"/>
                <w14:ligatures w14:val="none"/>
              </w:rPr>
            </w:pPr>
            <w:r w:rsidRPr="001D2416">
              <w:rPr>
                <w:rFonts w:ascii="Arial Narrow" w:eastAsia="Times New Roman" w:hAnsi="Arial Narrow" w:cs="Calibri"/>
                <w:b/>
                <w:bCs/>
                <w:color w:val="000000"/>
                <w:kern w:val="0"/>
                <w:sz w:val="16"/>
                <w:szCs w:val="16"/>
                <w:lang w:eastAsia="sk-SK"/>
                <w14:ligatures w14:val="none"/>
              </w:rPr>
              <w:t>Kumulatívny rast NFPV</w:t>
            </w:r>
          </w:p>
        </w:tc>
        <w:tc>
          <w:tcPr>
            <w:tcW w:w="890" w:type="dxa"/>
            <w:tcBorders>
              <w:top w:val="nil"/>
              <w:left w:val="nil"/>
              <w:bottom w:val="nil"/>
              <w:right w:val="nil"/>
            </w:tcBorders>
            <w:shd w:val="clear" w:color="000000" w:fill="DDEBF7"/>
            <w:vAlign w:val="center"/>
            <w:hideMark/>
          </w:tcPr>
          <w:p w14:paraId="7CB9397B" w14:textId="74A1FA5E" w:rsidR="001D2416" w:rsidRPr="001D2416" w:rsidRDefault="001D2416" w:rsidP="001D2416">
            <w:pPr>
              <w:spacing w:after="0" w:line="240" w:lineRule="auto"/>
              <w:jc w:val="center"/>
              <w:rPr>
                <w:rFonts w:ascii="Arial Narrow" w:eastAsia="Times New Roman" w:hAnsi="Arial Narrow" w:cs="Calibri"/>
                <w:kern w:val="0"/>
                <w:sz w:val="16"/>
                <w:szCs w:val="16"/>
                <w:lang w:eastAsia="sk-SK"/>
                <w14:ligatures w14:val="none"/>
              </w:rPr>
            </w:pPr>
            <w:r w:rsidRPr="001D2416">
              <w:rPr>
                <w:rFonts w:ascii="Arial Narrow" w:hAnsi="Arial Narrow" w:cs="Calibri"/>
                <w:sz w:val="16"/>
                <w:szCs w:val="16"/>
              </w:rPr>
              <w:t>3,5</w:t>
            </w:r>
          </w:p>
        </w:tc>
        <w:tc>
          <w:tcPr>
            <w:tcW w:w="825" w:type="dxa"/>
            <w:tcBorders>
              <w:top w:val="nil"/>
              <w:left w:val="nil"/>
              <w:bottom w:val="nil"/>
              <w:right w:val="nil"/>
            </w:tcBorders>
            <w:shd w:val="clear" w:color="000000" w:fill="DDEBF7"/>
            <w:vAlign w:val="center"/>
            <w:hideMark/>
          </w:tcPr>
          <w:p w14:paraId="68DF12F3" w14:textId="2420629F" w:rsidR="001D2416" w:rsidRPr="001D2416" w:rsidRDefault="001D2416" w:rsidP="001D2416">
            <w:pPr>
              <w:spacing w:after="0" w:line="240" w:lineRule="auto"/>
              <w:jc w:val="center"/>
              <w:rPr>
                <w:rFonts w:ascii="Arial Narrow" w:eastAsia="Times New Roman" w:hAnsi="Arial Narrow" w:cs="Calibri"/>
                <w:kern w:val="0"/>
                <w:sz w:val="16"/>
                <w:szCs w:val="16"/>
                <w:lang w:eastAsia="sk-SK"/>
                <w14:ligatures w14:val="none"/>
              </w:rPr>
            </w:pPr>
            <w:r w:rsidRPr="001D2416">
              <w:rPr>
                <w:rFonts w:ascii="Arial Narrow" w:hAnsi="Arial Narrow" w:cs="Calibri"/>
                <w:sz w:val="16"/>
                <w:szCs w:val="16"/>
              </w:rPr>
              <w:t>5,3</w:t>
            </w:r>
          </w:p>
        </w:tc>
        <w:tc>
          <w:tcPr>
            <w:tcW w:w="955" w:type="dxa"/>
            <w:tcBorders>
              <w:top w:val="nil"/>
              <w:left w:val="nil"/>
              <w:bottom w:val="nil"/>
              <w:right w:val="nil"/>
            </w:tcBorders>
            <w:shd w:val="clear" w:color="000000" w:fill="DDEBF7"/>
            <w:vAlign w:val="center"/>
          </w:tcPr>
          <w:p w14:paraId="3CE99B18" w14:textId="09742091" w:rsidR="001D2416" w:rsidRPr="001D2416" w:rsidRDefault="001D2416" w:rsidP="001D2416">
            <w:pPr>
              <w:spacing w:after="0" w:line="240" w:lineRule="auto"/>
              <w:jc w:val="center"/>
              <w:rPr>
                <w:rFonts w:ascii="Arial Narrow" w:eastAsia="Times New Roman" w:hAnsi="Arial Narrow" w:cs="Calibri"/>
                <w:kern w:val="0"/>
                <w:sz w:val="16"/>
                <w:szCs w:val="16"/>
                <w:lang w:eastAsia="sk-SK"/>
                <w14:ligatures w14:val="none"/>
              </w:rPr>
            </w:pPr>
            <w:r w:rsidRPr="001D2416">
              <w:rPr>
                <w:rFonts w:ascii="Arial Narrow" w:hAnsi="Arial Narrow" w:cs="Calibri"/>
                <w:sz w:val="16"/>
                <w:szCs w:val="16"/>
              </w:rPr>
              <w:t>7,4</w:t>
            </w:r>
          </w:p>
        </w:tc>
      </w:tr>
      <w:tr w:rsidR="001D2416" w:rsidRPr="008E7F52" w14:paraId="3A838764" w14:textId="68EFBBF0" w:rsidTr="001D2416">
        <w:trPr>
          <w:trHeight w:val="262"/>
        </w:trPr>
        <w:tc>
          <w:tcPr>
            <w:tcW w:w="436" w:type="dxa"/>
            <w:tcBorders>
              <w:top w:val="nil"/>
              <w:left w:val="nil"/>
              <w:bottom w:val="nil"/>
              <w:right w:val="nil"/>
            </w:tcBorders>
            <w:vAlign w:val="center"/>
            <w:hideMark/>
          </w:tcPr>
          <w:p w14:paraId="45BCB5AF" w14:textId="77777777" w:rsidR="001D2416" w:rsidRPr="001D2416" w:rsidRDefault="001D2416" w:rsidP="002B1847">
            <w:pPr>
              <w:spacing w:after="0" w:line="240" w:lineRule="auto"/>
              <w:jc w:val="center"/>
              <w:rPr>
                <w:rFonts w:ascii="Arial Narrow" w:eastAsia="Times New Roman" w:hAnsi="Arial Narrow" w:cs="Calibri"/>
                <w:kern w:val="0"/>
                <w:sz w:val="16"/>
                <w:szCs w:val="16"/>
                <w:lang w:eastAsia="sk-SK"/>
                <w14:ligatures w14:val="none"/>
              </w:rPr>
            </w:pPr>
          </w:p>
        </w:tc>
        <w:tc>
          <w:tcPr>
            <w:tcW w:w="815" w:type="dxa"/>
            <w:tcBorders>
              <w:top w:val="nil"/>
              <w:left w:val="nil"/>
              <w:bottom w:val="nil"/>
              <w:right w:val="nil"/>
            </w:tcBorders>
            <w:vAlign w:val="center"/>
            <w:hideMark/>
          </w:tcPr>
          <w:p w14:paraId="7392E319" w14:textId="77777777" w:rsidR="001D2416" w:rsidRPr="001D2416" w:rsidRDefault="001D2416" w:rsidP="002B1847">
            <w:pPr>
              <w:spacing w:after="0" w:line="240" w:lineRule="auto"/>
              <w:rPr>
                <w:rFonts w:ascii="Times New Roman" w:eastAsia="Times New Roman" w:hAnsi="Times New Roman" w:cs="Times New Roman"/>
                <w:kern w:val="0"/>
                <w:sz w:val="20"/>
                <w:szCs w:val="20"/>
                <w:lang w:eastAsia="sk-SK"/>
                <w14:ligatures w14:val="none"/>
              </w:rPr>
            </w:pPr>
          </w:p>
        </w:tc>
        <w:tc>
          <w:tcPr>
            <w:tcW w:w="816" w:type="dxa"/>
            <w:tcBorders>
              <w:top w:val="nil"/>
              <w:left w:val="nil"/>
              <w:bottom w:val="nil"/>
              <w:right w:val="nil"/>
            </w:tcBorders>
            <w:vAlign w:val="center"/>
            <w:hideMark/>
          </w:tcPr>
          <w:p w14:paraId="651F1ED4" w14:textId="77777777" w:rsidR="001D2416" w:rsidRPr="001D2416" w:rsidRDefault="001D2416" w:rsidP="002B1847">
            <w:pPr>
              <w:spacing w:after="0" w:line="240" w:lineRule="auto"/>
              <w:rPr>
                <w:rFonts w:ascii="Times New Roman" w:eastAsia="Times New Roman" w:hAnsi="Times New Roman" w:cs="Times New Roman"/>
                <w:kern w:val="0"/>
                <w:sz w:val="20"/>
                <w:szCs w:val="20"/>
                <w:lang w:eastAsia="sk-SK"/>
                <w14:ligatures w14:val="none"/>
              </w:rPr>
            </w:pPr>
          </w:p>
        </w:tc>
        <w:tc>
          <w:tcPr>
            <w:tcW w:w="816" w:type="dxa"/>
            <w:tcBorders>
              <w:top w:val="nil"/>
              <w:left w:val="nil"/>
              <w:bottom w:val="nil"/>
              <w:right w:val="nil"/>
            </w:tcBorders>
            <w:vAlign w:val="center"/>
            <w:hideMark/>
          </w:tcPr>
          <w:p w14:paraId="75EEA8D1" w14:textId="77777777" w:rsidR="001D2416" w:rsidRPr="001D2416" w:rsidRDefault="001D2416" w:rsidP="002B1847">
            <w:pPr>
              <w:spacing w:after="0" w:line="240" w:lineRule="auto"/>
              <w:rPr>
                <w:rFonts w:ascii="Times New Roman" w:eastAsia="Times New Roman" w:hAnsi="Times New Roman" w:cs="Times New Roman"/>
                <w:kern w:val="0"/>
                <w:sz w:val="20"/>
                <w:szCs w:val="20"/>
                <w:lang w:eastAsia="sk-SK"/>
                <w14:ligatures w14:val="none"/>
              </w:rPr>
            </w:pPr>
          </w:p>
        </w:tc>
        <w:tc>
          <w:tcPr>
            <w:tcW w:w="814" w:type="dxa"/>
            <w:tcBorders>
              <w:top w:val="nil"/>
              <w:left w:val="nil"/>
              <w:bottom w:val="nil"/>
              <w:right w:val="nil"/>
            </w:tcBorders>
            <w:vAlign w:val="center"/>
            <w:hideMark/>
          </w:tcPr>
          <w:p w14:paraId="5FCF5927" w14:textId="77777777" w:rsidR="001D2416" w:rsidRPr="001D2416" w:rsidRDefault="001D2416" w:rsidP="002B1847">
            <w:pPr>
              <w:spacing w:after="0" w:line="240" w:lineRule="auto"/>
              <w:rPr>
                <w:rFonts w:ascii="Times New Roman" w:eastAsia="Times New Roman" w:hAnsi="Times New Roman" w:cs="Times New Roman"/>
                <w:kern w:val="0"/>
                <w:sz w:val="20"/>
                <w:szCs w:val="20"/>
                <w:lang w:eastAsia="sk-SK"/>
                <w14:ligatures w14:val="none"/>
              </w:rPr>
            </w:pPr>
          </w:p>
        </w:tc>
        <w:tc>
          <w:tcPr>
            <w:tcW w:w="3558" w:type="dxa"/>
            <w:gridSpan w:val="2"/>
            <w:tcBorders>
              <w:top w:val="nil"/>
              <w:left w:val="nil"/>
              <w:bottom w:val="nil"/>
              <w:right w:val="nil"/>
            </w:tcBorders>
            <w:vAlign w:val="center"/>
            <w:hideMark/>
          </w:tcPr>
          <w:p w14:paraId="309C177E" w14:textId="77777777" w:rsidR="001D2416" w:rsidRPr="001D2416" w:rsidRDefault="001D2416" w:rsidP="002B1847">
            <w:pPr>
              <w:spacing w:after="0" w:line="240" w:lineRule="auto"/>
              <w:rPr>
                <w:rFonts w:ascii="Times New Roman" w:eastAsia="Times New Roman" w:hAnsi="Times New Roman" w:cs="Times New Roman"/>
                <w:kern w:val="0"/>
                <w:sz w:val="20"/>
                <w:szCs w:val="20"/>
                <w:lang w:eastAsia="sk-SK"/>
                <w14:ligatures w14:val="none"/>
              </w:rPr>
            </w:pPr>
          </w:p>
        </w:tc>
        <w:tc>
          <w:tcPr>
            <w:tcW w:w="825" w:type="dxa"/>
            <w:tcBorders>
              <w:top w:val="nil"/>
              <w:left w:val="nil"/>
              <w:bottom w:val="nil"/>
              <w:right w:val="nil"/>
            </w:tcBorders>
            <w:noWrap/>
            <w:vAlign w:val="center"/>
            <w:hideMark/>
          </w:tcPr>
          <w:p w14:paraId="6F3E0CF2" w14:textId="77953C2F" w:rsidR="001D2416" w:rsidRPr="001D2416" w:rsidRDefault="001D2416" w:rsidP="002B1847">
            <w:pPr>
              <w:spacing w:after="0" w:line="240" w:lineRule="auto"/>
              <w:jc w:val="right"/>
              <w:rPr>
                <w:rFonts w:ascii="Arial Narrow" w:eastAsia="Times New Roman" w:hAnsi="Arial Narrow" w:cs="Calibri"/>
                <w:i/>
                <w:iCs/>
                <w:color w:val="000000"/>
                <w:kern w:val="0"/>
                <w:sz w:val="16"/>
                <w:szCs w:val="16"/>
                <w:lang w:eastAsia="sk-SK"/>
                <w14:ligatures w14:val="none"/>
              </w:rPr>
            </w:pPr>
          </w:p>
        </w:tc>
        <w:tc>
          <w:tcPr>
            <w:tcW w:w="955" w:type="dxa"/>
            <w:tcBorders>
              <w:top w:val="nil"/>
              <w:left w:val="nil"/>
              <w:bottom w:val="nil"/>
              <w:right w:val="nil"/>
            </w:tcBorders>
          </w:tcPr>
          <w:p w14:paraId="5009C652" w14:textId="3332C4C5" w:rsidR="001D2416" w:rsidRPr="001D2416" w:rsidRDefault="001D2416" w:rsidP="002B1847">
            <w:pPr>
              <w:spacing w:after="0" w:line="240" w:lineRule="auto"/>
              <w:jc w:val="right"/>
              <w:rPr>
                <w:rFonts w:ascii="Arial Narrow" w:eastAsia="Times New Roman" w:hAnsi="Arial Narrow" w:cs="Calibri"/>
                <w:i/>
                <w:iCs/>
                <w:color w:val="000000"/>
                <w:kern w:val="0"/>
                <w:sz w:val="16"/>
                <w:szCs w:val="16"/>
                <w:lang w:eastAsia="sk-SK"/>
                <w14:ligatures w14:val="none"/>
              </w:rPr>
            </w:pPr>
            <w:r w:rsidRPr="001D2416">
              <w:rPr>
                <w:rFonts w:ascii="Arial Narrow" w:eastAsia="Times New Roman" w:hAnsi="Arial Narrow" w:cs="Calibri"/>
                <w:i/>
                <w:iCs/>
                <w:color w:val="000000"/>
                <w:kern w:val="0"/>
                <w:sz w:val="16"/>
                <w:szCs w:val="16"/>
                <w:lang w:eastAsia="sk-SK"/>
                <w14:ligatures w14:val="none"/>
              </w:rPr>
              <w:t>Zdroj: MF SR</w:t>
            </w:r>
          </w:p>
        </w:tc>
      </w:tr>
    </w:tbl>
    <w:p w14:paraId="62EDDB52" w14:textId="77777777" w:rsidR="00C24F6F" w:rsidRPr="008E7F52" w:rsidRDefault="00C24F6F" w:rsidP="00C24F6F">
      <w:pPr>
        <w:pStyle w:val="ifptext"/>
        <w:rPr>
          <w:highlight w:val="yellow"/>
        </w:rPr>
      </w:pPr>
    </w:p>
    <w:tbl>
      <w:tblPr>
        <w:tblW w:w="9072" w:type="dxa"/>
        <w:tblCellMar>
          <w:left w:w="70" w:type="dxa"/>
          <w:right w:w="70" w:type="dxa"/>
        </w:tblCellMar>
        <w:tblLook w:val="04A0" w:firstRow="1" w:lastRow="0" w:firstColumn="1" w:lastColumn="0" w:noHBand="0" w:noVBand="1"/>
      </w:tblPr>
      <w:tblGrid>
        <w:gridCol w:w="480"/>
        <w:gridCol w:w="960"/>
        <w:gridCol w:w="960"/>
        <w:gridCol w:w="960"/>
        <w:gridCol w:w="1602"/>
        <w:gridCol w:w="1134"/>
        <w:gridCol w:w="850"/>
        <w:gridCol w:w="1134"/>
        <w:gridCol w:w="992"/>
      </w:tblGrid>
      <w:tr w:rsidR="00057132" w:rsidRPr="008E7F52" w14:paraId="0C029B1D" w14:textId="77777777" w:rsidTr="00057132">
        <w:trPr>
          <w:trHeight w:val="300"/>
        </w:trPr>
        <w:tc>
          <w:tcPr>
            <w:tcW w:w="4962" w:type="dxa"/>
            <w:gridSpan w:val="5"/>
            <w:tcBorders>
              <w:top w:val="nil"/>
              <w:left w:val="nil"/>
              <w:bottom w:val="nil"/>
              <w:right w:val="nil"/>
            </w:tcBorders>
            <w:shd w:val="clear" w:color="000000" w:fill="FFFFFF"/>
            <w:noWrap/>
            <w:vAlign w:val="center"/>
            <w:hideMark/>
          </w:tcPr>
          <w:p w14:paraId="5A03CA61" w14:textId="77777777" w:rsidR="00057132" w:rsidRPr="001D2416" w:rsidRDefault="00057132" w:rsidP="002B1847">
            <w:pPr>
              <w:spacing w:after="0" w:line="240" w:lineRule="auto"/>
              <w:rPr>
                <w:rFonts w:ascii="Arial Narrow" w:eastAsia="Times New Roman" w:hAnsi="Arial Narrow" w:cs="Calibri"/>
                <w:b/>
                <w:bCs/>
                <w:color w:val="2C9ADC"/>
                <w:kern w:val="0"/>
                <w:sz w:val="18"/>
                <w:szCs w:val="18"/>
                <w:lang w:eastAsia="sk-SK"/>
                <w14:ligatures w14:val="none"/>
              </w:rPr>
            </w:pPr>
            <w:r w:rsidRPr="001D2416">
              <w:rPr>
                <w:rFonts w:ascii="Arial Narrow" w:eastAsia="Times New Roman" w:hAnsi="Arial Narrow" w:cs="Calibri"/>
                <w:b/>
                <w:bCs/>
                <w:color w:val="2C9ADC"/>
                <w:kern w:val="0"/>
                <w:sz w:val="18"/>
                <w:szCs w:val="18"/>
                <w:lang w:eastAsia="sk-SK"/>
                <w14:ligatures w14:val="none"/>
              </w:rPr>
              <w:t>TABUĽKA 1b – Hlavné ukazovatele</w:t>
            </w:r>
          </w:p>
        </w:tc>
        <w:tc>
          <w:tcPr>
            <w:tcW w:w="1134" w:type="dxa"/>
            <w:tcBorders>
              <w:top w:val="nil"/>
              <w:left w:val="nil"/>
              <w:bottom w:val="nil"/>
              <w:right w:val="nil"/>
            </w:tcBorders>
            <w:shd w:val="clear" w:color="000000" w:fill="FFFFFF"/>
            <w:vAlign w:val="center"/>
          </w:tcPr>
          <w:p w14:paraId="6D719693" w14:textId="6F55325A" w:rsidR="00057132" w:rsidRPr="001D2416" w:rsidRDefault="00057132" w:rsidP="00057132">
            <w:pPr>
              <w:spacing w:after="0" w:line="240" w:lineRule="auto"/>
              <w:jc w:val="center"/>
              <w:rPr>
                <w:rFonts w:ascii="Arial Narrow" w:eastAsia="Times New Roman" w:hAnsi="Arial Narrow" w:cs="Calibri"/>
                <w:b/>
                <w:bCs/>
                <w:color w:val="000000"/>
                <w:kern w:val="0"/>
                <w:sz w:val="18"/>
                <w:szCs w:val="18"/>
                <w:lang w:eastAsia="sk-SK"/>
                <w14:ligatures w14:val="none"/>
              </w:rPr>
            </w:pPr>
            <w:r>
              <w:rPr>
                <w:rFonts w:ascii="Arial Narrow" w:eastAsia="Times New Roman" w:hAnsi="Arial Narrow" w:cs="Calibri"/>
                <w:b/>
                <w:bCs/>
                <w:color w:val="000000"/>
                <w:kern w:val="0"/>
                <w:sz w:val="18"/>
                <w:szCs w:val="18"/>
                <w:lang w:eastAsia="sk-SK"/>
                <w14:ligatures w14:val="none"/>
              </w:rPr>
              <w:t>2023</w:t>
            </w:r>
          </w:p>
        </w:tc>
        <w:tc>
          <w:tcPr>
            <w:tcW w:w="850" w:type="dxa"/>
            <w:tcBorders>
              <w:top w:val="nil"/>
              <w:left w:val="nil"/>
              <w:bottom w:val="nil"/>
              <w:right w:val="nil"/>
            </w:tcBorders>
            <w:shd w:val="clear" w:color="000000" w:fill="FFFFFF"/>
            <w:vAlign w:val="center"/>
            <w:hideMark/>
          </w:tcPr>
          <w:p w14:paraId="5E77D32A" w14:textId="4976CBB4" w:rsidR="00057132" w:rsidRPr="001D2416" w:rsidRDefault="00057132" w:rsidP="002B1847">
            <w:pPr>
              <w:spacing w:after="0" w:line="240" w:lineRule="auto"/>
              <w:jc w:val="center"/>
              <w:rPr>
                <w:rFonts w:ascii="Arial Narrow" w:eastAsia="Times New Roman" w:hAnsi="Arial Narrow" w:cs="Calibri"/>
                <w:b/>
                <w:bCs/>
                <w:color w:val="000000"/>
                <w:kern w:val="0"/>
                <w:sz w:val="18"/>
                <w:szCs w:val="18"/>
                <w:lang w:eastAsia="sk-SK"/>
                <w14:ligatures w14:val="none"/>
              </w:rPr>
            </w:pPr>
            <w:r w:rsidRPr="001D2416">
              <w:rPr>
                <w:rFonts w:ascii="Arial Narrow" w:eastAsia="Times New Roman" w:hAnsi="Arial Narrow" w:cs="Calibri"/>
                <w:b/>
                <w:bCs/>
                <w:color w:val="000000"/>
                <w:kern w:val="0"/>
                <w:sz w:val="18"/>
                <w:szCs w:val="18"/>
                <w:lang w:eastAsia="sk-SK"/>
                <w14:ligatures w14:val="none"/>
              </w:rPr>
              <w:t>2024</w:t>
            </w:r>
          </w:p>
        </w:tc>
        <w:tc>
          <w:tcPr>
            <w:tcW w:w="1134" w:type="dxa"/>
            <w:tcBorders>
              <w:top w:val="nil"/>
              <w:left w:val="nil"/>
              <w:bottom w:val="nil"/>
              <w:right w:val="nil"/>
            </w:tcBorders>
            <w:shd w:val="clear" w:color="000000" w:fill="FFFFFF"/>
            <w:vAlign w:val="center"/>
            <w:hideMark/>
          </w:tcPr>
          <w:p w14:paraId="35ECC9A0" w14:textId="280A8E05" w:rsidR="00057132" w:rsidRPr="001D2416" w:rsidRDefault="00057132" w:rsidP="002B1847">
            <w:pPr>
              <w:spacing w:after="0" w:line="240" w:lineRule="auto"/>
              <w:jc w:val="center"/>
              <w:rPr>
                <w:rFonts w:ascii="Arial Narrow" w:eastAsia="Times New Roman" w:hAnsi="Arial Narrow" w:cs="Calibri"/>
                <w:b/>
                <w:bCs/>
                <w:color w:val="000000"/>
                <w:kern w:val="0"/>
                <w:sz w:val="18"/>
                <w:szCs w:val="18"/>
                <w:lang w:eastAsia="sk-SK"/>
                <w14:ligatures w14:val="none"/>
              </w:rPr>
            </w:pPr>
            <w:r w:rsidRPr="001D2416">
              <w:rPr>
                <w:rFonts w:ascii="Arial Narrow" w:eastAsia="Times New Roman" w:hAnsi="Arial Narrow" w:cs="Calibri"/>
                <w:b/>
                <w:bCs/>
                <w:color w:val="000000"/>
                <w:kern w:val="0"/>
                <w:sz w:val="18"/>
                <w:szCs w:val="18"/>
                <w:lang w:eastAsia="sk-SK"/>
                <w14:ligatures w14:val="none"/>
              </w:rPr>
              <w:t>2025</w:t>
            </w:r>
          </w:p>
        </w:tc>
        <w:tc>
          <w:tcPr>
            <w:tcW w:w="992" w:type="dxa"/>
            <w:tcBorders>
              <w:top w:val="nil"/>
              <w:left w:val="nil"/>
              <w:bottom w:val="nil"/>
              <w:right w:val="nil"/>
            </w:tcBorders>
            <w:shd w:val="clear" w:color="000000" w:fill="FFFFFF"/>
            <w:vAlign w:val="center"/>
            <w:hideMark/>
          </w:tcPr>
          <w:p w14:paraId="57FFD105" w14:textId="478A0277" w:rsidR="00057132" w:rsidRPr="001D2416" w:rsidRDefault="00057132" w:rsidP="002B1847">
            <w:pPr>
              <w:spacing w:after="0" w:line="240" w:lineRule="auto"/>
              <w:jc w:val="center"/>
              <w:rPr>
                <w:rFonts w:ascii="Arial Narrow" w:eastAsia="Times New Roman" w:hAnsi="Arial Narrow" w:cs="Calibri"/>
                <w:b/>
                <w:bCs/>
                <w:color w:val="000000"/>
                <w:kern w:val="0"/>
                <w:sz w:val="18"/>
                <w:szCs w:val="18"/>
                <w:lang w:eastAsia="sk-SK"/>
                <w14:ligatures w14:val="none"/>
              </w:rPr>
            </w:pPr>
            <w:r w:rsidRPr="001D2416">
              <w:rPr>
                <w:rFonts w:ascii="Arial Narrow" w:eastAsia="Times New Roman" w:hAnsi="Arial Narrow" w:cs="Calibri"/>
                <w:b/>
                <w:bCs/>
                <w:color w:val="000000"/>
                <w:kern w:val="0"/>
                <w:sz w:val="18"/>
                <w:szCs w:val="18"/>
                <w:lang w:eastAsia="sk-SK"/>
                <w14:ligatures w14:val="none"/>
              </w:rPr>
              <w:t>2026</w:t>
            </w:r>
          </w:p>
        </w:tc>
      </w:tr>
      <w:tr w:rsidR="00057132" w:rsidRPr="008E7F52" w14:paraId="38EBD45A" w14:textId="77777777" w:rsidTr="00057132">
        <w:trPr>
          <w:trHeight w:val="315"/>
        </w:trPr>
        <w:tc>
          <w:tcPr>
            <w:tcW w:w="1440" w:type="dxa"/>
            <w:gridSpan w:val="2"/>
            <w:tcBorders>
              <w:top w:val="nil"/>
              <w:left w:val="nil"/>
              <w:bottom w:val="single" w:sz="8" w:space="0" w:color="auto"/>
              <w:right w:val="nil"/>
            </w:tcBorders>
            <w:vAlign w:val="center"/>
            <w:hideMark/>
          </w:tcPr>
          <w:p w14:paraId="5B056965" w14:textId="77777777" w:rsidR="00057132" w:rsidRPr="001D2416" w:rsidRDefault="00057132" w:rsidP="002B1847">
            <w:pPr>
              <w:spacing w:after="0" w:line="240" w:lineRule="auto"/>
              <w:jc w:val="center"/>
              <w:rPr>
                <w:rFonts w:ascii="Arial Narrow" w:eastAsia="Times New Roman" w:hAnsi="Arial Narrow" w:cs="Calibri"/>
                <w:b/>
                <w:bCs/>
                <w:color w:val="2F5496"/>
                <w:kern w:val="0"/>
                <w:sz w:val="18"/>
                <w:szCs w:val="18"/>
                <w:lang w:eastAsia="sk-SK"/>
                <w14:ligatures w14:val="none"/>
              </w:rPr>
            </w:pPr>
            <w:r w:rsidRPr="001D2416">
              <w:rPr>
                <w:rFonts w:ascii="Arial Narrow" w:eastAsia="Times New Roman" w:hAnsi="Arial Narrow" w:cs="Calibri"/>
                <w:b/>
                <w:bCs/>
                <w:color w:val="2F5496"/>
                <w:kern w:val="0"/>
                <w:sz w:val="18"/>
                <w:szCs w:val="18"/>
                <w:lang w:eastAsia="sk-SK"/>
                <w14:ligatures w14:val="none"/>
              </w:rPr>
              <w:t> </w:t>
            </w:r>
          </w:p>
        </w:tc>
        <w:tc>
          <w:tcPr>
            <w:tcW w:w="960" w:type="dxa"/>
            <w:tcBorders>
              <w:top w:val="nil"/>
              <w:left w:val="nil"/>
              <w:bottom w:val="single" w:sz="8" w:space="0" w:color="auto"/>
              <w:right w:val="nil"/>
            </w:tcBorders>
            <w:vAlign w:val="center"/>
            <w:hideMark/>
          </w:tcPr>
          <w:p w14:paraId="79A93AEE" w14:textId="77777777" w:rsidR="00057132" w:rsidRPr="001D2416" w:rsidRDefault="00057132" w:rsidP="002B1847">
            <w:pPr>
              <w:spacing w:after="0" w:line="240" w:lineRule="auto"/>
              <w:jc w:val="center"/>
              <w:rPr>
                <w:rFonts w:ascii="Arial Narrow" w:eastAsia="Times New Roman" w:hAnsi="Arial Narrow" w:cs="Calibri"/>
                <w:b/>
                <w:bCs/>
                <w:i/>
                <w:iCs/>
                <w:color w:val="2F5496"/>
                <w:kern w:val="0"/>
                <w:sz w:val="18"/>
                <w:szCs w:val="18"/>
                <w:lang w:eastAsia="sk-SK"/>
                <w14:ligatures w14:val="none"/>
              </w:rPr>
            </w:pPr>
            <w:r w:rsidRPr="001D2416">
              <w:rPr>
                <w:rFonts w:ascii="Arial Narrow" w:eastAsia="Times New Roman" w:hAnsi="Arial Narrow" w:cs="Calibri"/>
                <w:b/>
                <w:bCs/>
                <w:i/>
                <w:iCs/>
                <w:color w:val="2F5496"/>
                <w:kern w:val="0"/>
                <w:sz w:val="18"/>
                <w:szCs w:val="18"/>
                <w:lang w:eastAsia="sk-SK"/>
                <w14:ligatures w14:val="none"/>
              </w:rPr>
              <w:t> </w:t>
            </w:r>
          </w:p>
        </w:tc>
        <w:tc>
          <w:tcPr>
            <w:tcW w:w="960" w:type="dxa"/>
            <w:tcBorders>
              <w:top w:val="nil"/>
              <w:left w:val="nil"/>
              <w:bottom w:val="single" w:sz="8" w:space="0" w:color="auto"/>
              <w:right w:val="nil"/>
            </w:tcBorders>
            <w:vAlign w:val="center"/>
            <w:hideMark/>
          </w:tcPr>
          <w:p w14:paraId="6C46A43C" w14:textId="77777777" w:rsidR="00057132" w:rsidRPr="001D2416" w:rsidRDefault="00057132" w:rsidP="002B1847">
            <w:pPr>
              <w:spacing w:after="0" w:line="240" w:lineRule="auto"/>
              <w:jc w:val="center"/>
              <w:rPr>
                <w:rFonts w:ascii="Arial Narrow" w:eastAsia="Times New Roman" w:hAnsi="Arial Narrow" w:cs="Calibri"/>
                <w:b/>
                <w:bCs/>
                <w:i/>
                <w:iCs/>
                <w:color w:val="2F5496"/>
                <w:kern w:val="0"/>
                <w:sz w:val="18"/>
                <w:szCs w:val="18"/>
                <w:lang w:eastAsia="sk-SK"/>
                <w14:ligatures w14:val="none"/>
              </w:rPr>
            </w:pPr>
            <w:r w:rsidRPr="001D2416">
              <w:rPr>
                <w:rFonts w:ascii="Arial Narrow" w:eastAsia="Times New Roman" w:hAnsi="Arial Narrow" w:cs="Calibri"/>
                <w:b/>
                <w:bCs/>
                <w:i/>
                <w:iCs/>
                <w:color w:val="2F5496"/>
                <w:kern w:val="0"/>
                <w:sz w:val="18"/>
                <w:szCs w:val="18"/>
                <w:lang w:eastAsia="sk-SK"/>
                <w14:ligatures w14:val="none"/>
              </w:rPr>
              <w:t> </w:t>
            </w:r>
          </w:p>
        </w:tc>
        <w:tc>
          <w:tcPr>
            <w:tcW w:w="1602" w:type="dxa"/>
            <w:tcBorders>
              <w:top w:val="nil"/>
              <w:left w:val="nil"/>
              <w:bottom w:val="single" w:sz="8" w:space="0" w:color="auto"/>
              <w:right w:val="nil"/>
            </w:tcBorders>
            <w:vAlign w:val="center"/>
            <w:hideMark/>
          </w:tcPr>
          <w:p w14:paraId="6D1781AA" w14:textId="77777777" w:rsidR="00057132" w:rsidRPr="001D2416" w:rsidRDefault="00057132" w:rsidP="002B1847">
            <w:pPr>
              <w:spacing w:after="0" w:line="240" w:lineRule="auto"/>
              <w:jc w:val="center"/>
              <w:rPr>
                <w:rFonts w:ascii="Arial Narrow" w:eastAsia="Times New Roman" w:hAnsi="Arial Narrow" w:cs="Calibri"/>
                <w:b/>
                <w:bCs/>
                <w:i/>
                <w:iCs/>
                <w:color w:val="2F5496"/>
                <w:kern w:val="0"/>
                <w:sz w:val="18"/>
                <w:szCs w:val="18"/>
                <w:lang w:eastAsia="sk-SK"/>
                <w14:ligatures w14:val="none"/>
              </w:rPr>
            </w:pPr>
            <w:r w:rsidRPr="001D2416">
              <w:rPr>
                <w:rFonts w:ascii="Arial Narrow" w:eastAsia="Times New Roman" w:hAnsi="Arial Narrow" w:cs="Calibri"/>
                <w:b/>
                <w:bCs/>
                <w:i/>
                <w:iCs/>
                <w:color w:val="2F5496"/>
                <w:kern w:val="0"/>
                <w:sz w:val="18"/>
                <w:szCs w:val="18"/>
                <w:lang w:eastAsia="sk-SK"/>
                <w14:ligatures w14:val="none"/>
              </w:rPr>
              <w:t> </w:t>
            </w:r>
          </w:p>
        </w:tc>
        <w:tc>
          <w:tcPr>
            <w:tcW w:w="1134" w:type="dxa"/>
            <w:tcBorders>
              <w:top w:val="nil"/>
              <w:left w:val="nil"/>
              <w:bottom w:val="single" w:sz="8" w:space="0" w:color="auto"/>
              <w:right w:val="nil"/>
            </w:tcBorders>
            <w:vAlign w:val="center"/>
          </w:tcPr>
          <w:p w14:paraId="59EEE9DB" w14:textId="70292DFB" w:rsidR="00057132" w:rsidRPr="001D2416"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Pr>
                <w:rFonts w:ascii="Arial Narrow" w:eastAsia="Times New Roman" w:hAnsi="Arial Narrow" w:cs="Calibri"/>
                <w:color w:val="2C9ADC"/>
                <w:kern w:val="0"/>
                <w:sz w:val="16"/>
                <w:szCs w:val="16"/>
                <w:lang w:eastAsia="sk-SK"/>
                <w14:ligatures w14:val="none"/>
              </w:rPr>
              <w:t>% HDP</w:t>
            </w:r>
          </w:p>
        </w:tc>
        <w:tc>
          <w:tcPr>
            <w:tcW w:w="850" w:type="dxa"/>
            <w:tcBorders>
              <w:top w:val="nil"/>
              <w:left w:val="nil"/>
              <w:bottom w:val="single" w:sz="8" w:space="0" w:color="auto"/>
              <w:right w:val="nil"/>
            </w:tcBorders>
            <w:vAlign w:val="center"/>
            <w:hideMark/>
          </w:tcPr>
          <w:p w14:paraId="39D637F1" w14:textId="39AA6B9B" w:rsidR="00057132" w:rsidRPr="001D2416" w:rsidRDefault="00057132" w:rsidP="002B1847">
            <w:pPr>
              <w:spacing w:after="0" w:line="240" w:lineRule="auto"/>
              <w:jc w:val="center"/>
              <w:rPr>
                <w:rFonts w:ascii="Arial Narrow" w:eastAsia="Times New Roman" w:hAnsi="Arial Narrow" w:cs="Calibri"/>
                <w:color w:val="2C9ADC"/>
                <w:kern w:val="0"/>
                <w:sz w:val="16"/>
                <w:szCs w:val="16"/>
                <w:lang w:eastAsia="sk-SK"/>
                <w14:ligatures w14:val="none"/>
              </w:rPr>
            </w:pPr>
            <w:r w:rsidRPr="001D2416">
              <w:rPr>
                <w:rFonts w:ascii="Arial Narrow" w:eastAsia="Times New Roman" w:hAnsi="Arial Narrow" w:cs="Calibri"/>
                <w:color w:val="2C9ADC"/>
                <w:kern w:val="0"/>
                <w:sz w:val="16"/>
                <w:szCs w:val="16"/>
                <w:lang w:eastAsia="sk-SK"/>
                <w14:ligatures w14:val="none"/>
              </w:rPr>
              <w:t>% HDP</w:t>
            </w:r>
          </w:p>
        </w:tc>
        <w:tc>
          <w:tcPr>
            <w:tcW w:w="1134" w:type="dxa"/>
            <w:tcBorders>
              <w:top w:val="nil"/>
              <w:left w:val="nil"/>
              <w:bottom w:val="single" w:sz="8" w:space="0" w:color="auto"/>
              <w:right w:val="nil"/>
            </w:tcBorders>
            <w:vAlign w:val="center"/>
            <w:hideMark/>
          </w:tcPr>
          <w:p w14:paraId="6A2CE2A7" w14:textId="77777777" w:rsidR="00057132" w:rsidRPr="001D2416" w:rsidRDefault="00057132" w:rsidP="002B1847">
            <w:pPr>
              <w:spacing w:after="0" w:line="240" w:lineRule="auto"/>
              <w:jc w:val="center"/>
              <w:rPr>
                <w:rFonts w:ascii="Arial Narrow" w:eastAsia="Times New Roman" w:hAnsi="Arial Narrow" w:cs="Calibri"/>
                <w:color w:val="2C9ADC"/>
                <w:kern w:val="0"/>
                <w:sz w:val="16"/>
                <w:szCs w:val="16"/>
                <w:lang w:eastAsia="sk-SK"/>
                <w14:ligatures w14:val="none"/>
              </w:rPr>
            </w:pPr>
            <w:r w:rsidRPr="001D2416">
              <w:rPr>
                <w:rFonts w:ascii="Arial Narrow" w:eastAsia="Times New Roman" w:hAnsi="Arial Narrow" w:cs="Calibri"/>
                <w:color w:val="2C9ADC"/>
                <w:kern w:val="0"/>
                <w:sz w:val="16"/>
                <w:szCs w:val="16"/>
                <w:lang w:eastAsia="sk-SK"/>
                <w14:ligatures w14:val="none"/>
              </w:rPr>
              <w:t>% HDP</w:t>
            </w:r>
          </w:p>
        </w:tc>
        <w:tc>
          <w:tcPr>
            <w:tcW w:w="992" w:type="dxa"/>
            <w:tcBorders>
              <w:top w:val="nil"/>
              <w:left w:val="nil"/>
              <w:bottom w:val="single" w:sz="8" w:space="0" w:color="auto"/>
              <w:right w:val="nil"/>
            </w:tcBorders>
            <w:vAlign w:val="center"/>
            <w:hideMark/>
          </w:tcPr>
          <w:p w14:paraId="57001328" w14:textId="77777777" w:rsidR="00057132" w:rsidRPr="001D2416" w:rsidRDefault="00057132" w:rsidP="002B1847">
            <w:pPr>
              <w:spacing w:after="0" w:line="240" w:lineRule="auto"/>
              <w:jc w:val="center"/>
              <w:rPr>
                <w:rFonts w:ascii="Arial Narrow" w:eastAsia="Times New Roman" w:hAnsi="Arial Narrow" w:cs="Calibri"/>
                <w:color w:val="2C9ADC"/>
                <w:kern w:val="0"/>
                <w:sz w:val="16"/>
                <w:szCs w:val="16"/>
                <w:lang w:eastAsia="sk-SK"/>
                <w14:ligatures w14:val="none"/>
              </w:rPr>
            </w:pPr>
            <w:r w:rsidRPr="001D2416">
              <w:rPr>
                <w:rFonts w:ascii="Arial Narrow" w:eastAsia="Times New Roman" w:hAnsi="Arial Narrow" w:cs="Calibri"/>
                <w:color w:val="2C9ADC"/>
                <w:kern w:val="0"/>
                <w:sz w:val="16"/>
                <w:szCs w:val="16"/>
                <w:lang w:eastAsia="sk-SK"/>
                <w14:ligatures w14:val="none"/>
              </w:rPr>
              <w:t>% HDP</w:t>
            </w:r>
          </w:p>
        </w:tc>
      </w:tr>
      <w:tr w:rsidR="00057132" w:rsidRPr="008E7F52" w14:paraId="0565F3A5" w14:textId="77777777" w:rsidTr="00057132">
        <w:trPr>
          <w:trHeight w:val="300"/>
        </w:trPr>
        <w:tc>
          <w:tcPr>
            <w:tcW w:w="480" w:type="dxa"/>
            <w:tcBorders>
              <w:top w:val="nil"/>
              <w:left w:val="nil"/>
              <w:bottom w:val="nil"/>
              <w:right w:val="nil"/>
            </w:tcBorders>
            <w:shd w:val="clear" w:color="000000" w:fill="DDEBF7"/>
            <w:vAlign w:val="center"/>
            <w:hideMark/>
          </w:tcPr>
          <w:p w14:paraId="4A3E4CF9" w14:textId="77777777" w:rsidR="00057132" w:rsidRPr="001D2416" w:rsidRDefault="00057132" w:rsidP="001D2416">
            <w:pPr>
              <w:spacing w:after="0" w:line="240" w:lineRule="auto"/>
              <w:jc w:val="center"/>
              <w:rPr>
                <w:rFonts w:ascii="Arial Narrow" w:eastAsia="Times New Roman" w:hAnsi="Arial Narrow" w:cs="Calibri"/>
                <w:b/>
                <w:bCs/>
                <w:color w:val="000000"/>
                <w:kern w:val="0"/>
                <w:sz w:val="16"/>
                <w:szCs w:val="16"/>
                <w:lang w:eastAsia="sk-SK"/>
                <w14:ligatures w14:val="none"/>
              </w:rPr>
            </w:pPr>
            <w:r w:rsidRPr="001D2416">
              <w:rPr>
                <w:rFonts w:ascii="Arial Narrow" w:eastAsia="Times New Roman" w:hAnsi="Arial Narrow" w:cs="Calibri"/>
                <w:b/>
                <w:bCs/>
                <w:color w:val="000000"/>
                <w:kern w:val="0"/>
                <w:sz w:val="16"/>
                <w:szCs w:val="16"/>
                <w:lang w:eastAsia="sk-SK"/>
                <w14:ligatures w14:val="none"/>
              </w:rPr>
              <w:t>1</w:t>
            </w:r>
          </w:p>
        </w:tc>
        <w:tc>
          <w:tcPr>
            <w:tcW w:w="4482" w:type="dxa"/>
            <w:gridSpan w:val="4"/>
            <w:tcBorders>
              <w:top w:val="nil"/>
              <w:left w:val="nil"/>
              <w:bottom w:val="nil"/>
              <w:right w:val="nil"/>
            </w:tcBorders>
            <w:shd w:val="clear" w:color="000000" w:fill="DDEBF7"/>
            <w:vAlign w:val="center"/>
            <w:hideMark/>
          </w:tcPr>
          <w:p w14:paraId="531BC2D9" w14:textId="77777777" w:rsidR="00057132" w:rsidRPr="001D2416" w:rsidRDefault="00057132" w:rsidP="001D2416">
            <w:pPr>
              <w:spacing w:after="0" w:line="240" w:lineRule="auto"/>
              <w:rPr>
                <w:rFonts w:ascii="Arial Narrow" w:eastAsia="Times New Roman" w:hAnsi="Arial Narrow" w:cs="Calibri"/>
                <w:b/>
                <w:bCs/>
                <w:color w:val="000000"/>
                <w:kern w:val="0"/>
                <w:sz w:val="16"/>
                <w:szCs w:val="16"/>
                <w:lang w:eastAsia="sk-SK"/>
                <w14:ligatures w14:val="none"/>
              </w:rPr>
            </w:pPr>
            <w:r w:rsidRPr="001D2416">
              <w:rPr>
                <w:rFonts w:ascii="Arial Narrow" w:eastAsia="Times New Roman" w:hAnsi="Arial Narrow" w:cs="Calibri"/>
                <w:b/>
                <w:bCs/>
                <w:color w:val="000000"/>
                <w:kern w:val="0"/>
                <w:sz w:val="16"/>
                <w:szCs w:val="16"/>
                <w:lang w:eastAsia="sk-SK"/>
                <w14:ligatures w14:val="none"/>
              </w:rPr>
              <w:t>Čisté pôžičky poskytnuté / prijaté verejnej správy</w:t>
            </w:r>
          </w:p>
        </w:tc>
        <w:tc>
          <w:tcPr>
            <w:tcW w:w="1134" w:type="dxa"/>
            <w:tcBorders>
              <w:top w:val="nil"/>
              <w:left w:val="nil"/>
              <w:bottom w:val="nil"/>
              <w:right w:val="nil"/>
            </w:tcBorders>
            <w:shd w:val="clear" w:color="000000" w:fill="DDEBF7"/>
            <w:vAlign w:val="center"/>
          </w:tcPr>
          <w:p w14:paraId="19333945" w14:textId="624BB207" w:rsidR="00057132" w:rsidRPr="001D2416" w:rsidRDefault="00057132"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w:t>
            </w:r>
            <w:r w:rsidR="009B57B3">
              <w:rPr>
                <w:rFonts w:ascii="Arial Narrow" w:hAnsi="Arial Narrow" w:cs="Calibri"/>
                <w:color w:val="000000"/>
                <w:sz w:val="16"/>
                <w:szCs w:val="16"/>
              </w:rPr>
              <w:t>5,3</w:t>
            </w:r>
          </w:p>
        </w:tc>
        <w:tc>
          <w:tcPr>
            <w:tcW w:w="850" w:type="dxa"/>
            <w:tcBorders>
              <w:top w:val="nil"/>
              <w:left w:val="nil"/>
              <w:bottom w:val="nil"/>
              <w:right w:val="nil"/>
            </w:tcBorders>
            <w:shd w:val="clear" w:color="000000" w:fill="DDEBF7"/>
            <w:vAlign w:val="center"/>
            <w:hideMark/>
          </w:tcPr>
          <w:p w14:paraId="6B0EE93A" w14:textId="3D8E5A83" w:rsidR="00057132" w:rsidRPr="001D2416" w:rsidRDefault="00057132" w:rsidP="001D2416">
            <w:pPr>
              <w:spacing w:after="0" w:line="240" w:lineRule="auto"/>
              <w:jc w:val="center"/>
              <w:rPr>
                <w:rFonts w:ascii="Arial Narrow" w:eastAsia="Times New Roman" w:hAnsi="Arial Narrow" w:cs="Calibri"/>
                <w:color w:val="000000"/>
                <w:kern w:val="0"/>
                <w:sz w:val="16"/>
                <w:szCs w:val="16"/>
                <w:lang w:eastAsia="sk-SK"/>
                <w14:ligatures w14:val="none"/>
              </w:rPr>
            </w:pPr>
            <w:r w:rsidRPr="001D2416">
              <w:rPr>
                <w:rFonts w:ascii="Arial Narrow" w:hAnsi="Arial Narrow" w:cs="Calibri"/>
                <w:color w:val="000000"/>
                <w:sz w:val="16"/>
                <w:szCs w:val="16"/>
              </w:rPr>
              <w:t>-5,3</w:t>
            </w:r>
          </w:p>
        </w:tc>
        <w:tc>
          <w:tcPr>
            <w:tcW w:w="1134" w:type="dxa"/>
            <w:tcBorders>
              <w:top w:val="nil"/>
              <w:left w:val="nil"/>
              <w:bottom w:val="nil"/>
              <w:right w:val="nil"/>
            </w:tcBorders>
            <w:shd w:val="clear" w:color="000000" w:fill="DDEBF7"/>
            <w:vAlign w:val="center"/>
            <w:hideMark/>
          </w:tcPr>
          <w:p w14:paraId="36165393" w14:textId="20F53C90" w:rsidR="00057132" w:rsidRPr="001D2416" w:rsidRDefault="00057132" w:rsidP="001D2416">
            <w:pPr>
              <w:spacing w:after="0" w:line="240" w:lineRule="auto"/>
              <w:jc w:val="center"/>
              <w:rPr>
                <w:rFonts w:ascii="Arial Narrow" w:eastAsia="Times New Roman" w:hAnsi="Arial Narrow" w:cs="Calibri"/>
                <w:color w:val="000000"/>
                <w:kern w:val="0"/>
                <w:sz w:val="16"/>
                <w:szCs w:val="16"/>
                <w:lang w:eastAsia="sk-SK"/>
                <w14:ligatures w14:val="none"/>
              </w:rPr>
            </w:pPr>
            <w:r w:rsidRPr="001D2416">
              <w:rPr>
                <w:rFonts w:ascii="Arial Narrow" w:hAnsi="Arial Narrow" w:cs="Calibri"/>
                <w:color w:val="000000"/>
                <w:sz w:val="16"/>
                <w:szCs w:val="16"/>
              </w:rPr>
              <w:t>-4,5</w:t>
            </w:r>
          </w:p>
        </w:tc>
        <w:tc>
          <w:tcPr>
            <w:tcW w:w="992" w:type="dxa"/>
            <w:tcBorders>
              <w:top w:val="nil"/>
              <w:left w:val="nil"/>
              <w:bottom w:val="nil"/>
              <w:right w:val="nil"/>
            </w:tcBorders>
            <w:shd w:val="clear" w:color="000000" w:fill="DDEBF7"/>
            <w:vAlign w:val="center"/>
            <w:hideMark/>
          </w:tcPr>
          <w:p w14:paraId="119111D6" w14:textId="41B2DF04" w:rsidR="00057132" w:rsidRPr="001D2416" w:rsidRDefault="00057132" w:rsidP="001D2416">
            <w:pPr>
              <w:spacing w:after="0" w:line="240" w:lineRule="auto"/>
              <w:jc w:val="center"/>
              <w:rPr>
                <w:rFonts w:ascii="Arial Narrow" w:eastAsia="Times New Roman" w:hAnsi="Arial Narrow" w:cs="Calibri"/>
                <w:color w:val="000000"/>
                <w:kern w:val="0"/>
                <w:sz w:val="16"/>
                <w:szCs w:val="16"/>
                <w:lang w:eastAsia="sk-SK"/>
                <w14:ligatures w14:val="none"/>
              </w:rPr>
            </w:pPr>
            <w:r w:rsidRPr="001D2416">
              <w:rPr>
                <w:rFonts w:ascii="Arial Narrow" w:hAnsi="Arial Narrow" w:cs="Calibri"/>
                <w:color w:val="000000"/>
                <w:sz w:val="16"/>
                <w:szCs w:val="16"/>
              </w:rPr>
              <w:t>-4,3</w:t>
            </w:r>
          </w:p>
        </w:tc>
      </w:tr>
      <w:tr w:rsidR="00057132" w:rsidRPr="008E7F52" w14:paraId="213772A7" w14:textId="77777777" w:rsidTr="00057132">
        <w:trPr>
          <w:trHeight w:val="300"/>
        </w:trPr>
        <w:tc>
          <w:tcPr>
            <w:tcW w:w="480" w:type="dxa"/>
            <w:tcBorders>
              <w:top w:val="nil"/>
              <w:left w:val="nil"/>
              <w:bottom w:val="nil"/>
              <w:right w:val="nil"/>
            </w:tcBorders>
            <w:shd w:val="clear" w:color="000000" w:fill="DDEBF7"/>
            <w:vAlign w:val="center"/>
            <w:hideMark/>
          </w:tcPr>
          <w:p w14:paraId="3340BD8F" w14:textId="77777777" w:rsidR="00057132" w:rsidRPr="001D2416" w:rsidRDefault="00057132" w:rsidP="001D2416">
            <w:pPr>
              <w:spacing w:after="0" w:line="240" w:lineRule="auto"/>
              <w:jc w:val="center"/>
              <w:rPr>
                <w:rFonts w:ascii="Arial Narrow" w:eastAsia="Times New Roman" w:hAnsi="Arial Narrow" w:cs="Calibri"/>
                <w:b/>
                <w:bCs/>
                <w:color w:val="000000"/>
                <w:kern w:val="0"/>
                <w:sz w:val="16"/>
                <w:szCs w:val="16"/>
                <w:lang w:eastAsia="sk-SK"/>
                <w14:ligatures w14:val="none"/>
              </w:rPr>
            </w:pPr>
            <w:r w:rsidRPr="001D2416">
              <w:rPr>
                <w:rFonts w:ascii="Arial Narrow" w:eastAsia="Times New Roman" w:hAnsi="Arial Narrow" w:cs="Calibri"/>
                <w:b/>
                <w:bCs/>
                <w:color w:val="000000"/>
                <w:kern w:val="0"/>
                <w:sz w:val="16"/>
                <w:szCs w:val="16"/>
                <w:lang w:eastAsia="sk-SK"/>
                <w14:ligatures w14:val="none"/>
              </w:rPr>
              <w:t>2</w:t>
            </w:r>
          </w:p>
        </w:tc>
        <w:tc>
          <w:tcPr>
            <w:tcW w:w="4482" w:type="dxa"/>
            <w:gridSpan w:val="4"/>
            <w:tcBorders>
              <w:top w:val="nil"/>
              <w:left w:val="nil"/>
              <w:bottom w:val="nil"/>
              <w:right w:val="nil"/>
            </w:tcBorders>
            <w:shd w:val="clear" w:color="000000" w:fill="DDEBF7"/>
            <w:vAlign w:val="center"/>
            <w:hideMark/>
          </w:tcPr>
          <w:p w14:paraId="55B4EEC4" w14:textId="77777777" w:rsidR="00057132" w:rsidRPr="001D2416" w:rsidRDefault="00057132" w:rsidP="001D2416">
            <w:pPr>
              <w:spacing w:after="0" w:line="240" w:lineRule="auto"/>
              <w:rPr>
                <w:rFonts w:ascii="Arial Narrow" w:eastAsia="Times New Roman" w:hAnsi="Arial Narrow" w:cs="Calibri"/>
                <w:b/>
                <w:bCs/>
                <w:color w:val="000000"/>
                <w:kern w:val="0"/>
                <w:sz w:val="16"/>
                <w:szCs w:val="16"/>
                <w:lang w:eastAsia="sk-SK"/>
                <w14:ligatures w14:val="none"/>
              </w:rPr>
            </w:pPr>
            <w:r w:rsidRPr="001D2416">
              <w:rPr>
                <w:rFonts w:ascii="Arial Narrow" w:eastAsia="Times New Roman" w:hAnsi="Arial Narrow" w:cs="Calibri"/>
                <w:b/>
                <w:bCs/>
                <w:color w:val="000000"/>
                <w:kern w:val="0"/>
                <w:sz w:val="16"/>
                <w:szCs w:val="16"/>
                <w:lang w:eastAsia="sk-SK"/>
                <w14:ligatures w14:val="none"/>
              </w:rPr>
              <w:t>Štrukturálne saldo</w:t>
            </w:r>
          </w:p>
        </w:tc>
        <w:tc>
          <w:tcPr>
            <w:tcW w:w="1134" w:type="dxa"/>
            <w:tcBorders>
              <w:top w:val="nil"/>
              <w:left w:val="nil"/>
              <w:bottom w:val="nil"/>
              <w:right w:val="nil"/>
            </w:tcBorders>
            <w:shd w:val="clear" w:color="000000" w:fill="DDEBF7"/>
            <w:vAlign w:val="center"/>
          </w:tcPr>
          <w:p w14:paraId="0214C8F8" w14:textId="038CBAB7" w:rsidR="00057132" w:rsidRPr="001D2416" w:rsidRDefault="00057132"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w:t>
            </w:r>
            <w:r w:rsidR="009B57B3">
              <w:rPr>
                <w:rFonts w:ascii="Arial Narrow" w:hAnsi="Arial Narrow" w:cs="Calibri"/>
                <w:color w:val="000000"/>
                <w:sz w:val="16"/>
                <w:szCs w:val="16"/>
              </w:rPr>
              <w:t>5,5</w:t>
            </w:r>
          </w:p>
        </w:tc>
        <w:tc>
          <w:tcPr>
            <w:tcW w:w="850" w:type="dxa"/>
            <w:tcBorders>
              <w:top w:val="nil"/>
              <w:left w:val="nil"/>
              <w:bottom w:val="nil"/>
              <w:right w:val="nil"/>
            </w:tcBorders>
            <w:shd w:val="clear" w:color="000000" w:fill="DDEBF7"/>
            <w:vAlign w:val="center"/>
            <w:hideMark/>
          </w:tcPr>
          <w:p w14:paraId="1938AA8D" w14:textId="5D28D233" w:rsidR="00057132" w:rsidRPr="001D2416" w:rsidRDefault="00057132" w:rsidP="001D2416">
            <w:pPr>
              <w:spacing w:after="0" w:line="240" w:lineRule="auto"/>
              <w:jc w:val="center"/>
              <w:rPr>
                <w:rFonts w:ascii="Arial Narrow" w:eastAsia="Times New Roman" w:hAnsi="Arial Narrow" w:cs="Calibri"/>
                <w:color w:val="000000"/>
                <w:kern w:val="0"/>
                <w:sz w:val="16"/>
                <w:szCs w:val="16"/>
                <w:lang w:eastAsia="sk-SK"/>
                <w14:ligatures w14:val="none"/>
              </w:rPr>
            </w:pPr>
            <w:r w:rsidRPr="001D2416">
              <w:rPr>
                <w:rFonts w:ascii="Arial Narrow" w:hAnsi="Arial Narrow" w:cs="Calibri"/>
                <w:color w:val="000000"/>
                <w:sz w:val="16"/>
                <w:szCs w:val="16"/>
              </w:rPr>
              <w:t>-5,5</w:t>
            </w:r>
          </w:p>
        </w:tc>
        <w:tc>
          <w:tcPr>
            <w:tcW w:w="1134" w:type="dxa"/>
            <w:tcBorders>
              <w:top w:val="nil"/>
              <w:left w:val="nil"/>
              <w:bottom w:val="nil"/>
              <w:right w:val="nil"/>
            </w:tcBorders>
            <w:shd w:val="clear" w:color="000000" w:fill="DDEBF7"/>
            <w:vAlign w:val="center"/>
            <w:hideMark/>
          </w:tcPr>
          <w:p w14:paraId="2DF3926E" w14:textId="4946F90A" w:rsidR="00057132" w:rsidRPr="001D2416" w:rsidRDefault="00057132" w:rsidP="001D2416">
            <w:pPr>
              <w:spacing w:after="0" w:line="240" w:lineRule="auto"/>
              <w:jc w:val="center"/>
              <w:rPr>
                <w:rFonts w:ascii="Arial Narrow" w:eastAsia="Times New Roman" w:hAnsi="Arial Narrow" w:cs="Calibri"/>
                <w:color w:val="000000"/>
                <w:kern w:val="0"/>
                <w:sz w:val="16"/>
                <w:szCs w:val="16"/>
                <w:lang w:eastAsia="sk-SK"/>
                <w14:ligatures w14:val="none"/>
              </w:rPr>
            </w:pPr>
            <w:r w:rsidRPr="001D2416">
              <w:rPr>
                <w:rFonts w:ascii="Arial Narrow" w:hAnsi="Arial Narrow" w:cs="Calibri"/>
                <w:color w:val="000000"/>
                <w:sz w:val="16"/>
                <w:szCs w:val="16"/>
              </w:rPr>
              <w:t>-4,2</w:t>
            </w:r>
          </w:p>
        </w:tc>
        <w:tc>
          <w:tcPr>
            <w:tcW w:w="992" w:type="dxa"/>
            <w:tcBorders>
              <w:top w:val="nil"/>
              <w:left w:val="nil"/>
              <w:bottom w:val="nil"/>
              <w:right w:val="nil"/>
            </w:tcBorders>
            <w:shd w:val="clear" w:color="000000" w:fill="DDEBF7"/>
            <w:vAlign w:val="center"/>
            <w:hideMark/>
          </w:tcPr>
          <w:p w14:paraId="74454A11" w14:textId="45873039" w:rsidR="00057132" w:rsidRPr="001D2416" w:rsidRDefault="00057132" w:rsidP="001D2416">
            <w:pPr>
              <w:spacing w:after="0" w:line="240" w:lineRule="auto"/>
              <w:jc w:val="center"/>
              <w:rPr>
                <w:rFonts w:ascii="Arial Narrow" w:eastAsia="Times New Roman" w:hAnsi="Arial Narrow" w:cs="Calibri"/>
                <w:color w:val="000000"/>
                <w:kern w:val="0"/>
                <w:sz w:val="16"/>
                <w:szCs w:val="16"/>
                <w:lang w:eastAsia="sk-SK"/>
                <w14:ligatures w14:val="none"/>
              </w:rPr>
            </w:pPr>
            <w:r w:rsidRPr="001D2416">
              <w:rPr>
                <w:rFonts w:ascii="Arial Narrow" w:hAnsi="Arial Narrow" w:cs="Calibri"/>
                <w:color w:val="000000"/>
                <w:sz w:val="16"/>
                <w:szCs w:val="16"/>
              </w:rPr>
              <w:t>-3,7</w:t>
            </w:r>
          </w:p>
        </w:tc>
      </w:tr>
      <w:tr w:rsidR="00057132" w:rsidRPr="008E7F52" w14:paraId="7FEF6885" w14:textId="77777777" w:rsidTr="00057132">
        <w:trPr>
          <w:trHeight w:val="300"/>
        </w:trPr>
        <w:tc>
          <w:tcPr>
            <w:tcW w:w="480" w:type="dxa"/>
            <w:tcBorders>
              <w:top w:val="nil"/>
              <w:left w:val="nil"/>
              <w:bottom w:val="nil"/>
              <w:right w:val="nil"/>
            </w:tcBorders>
            <w:shd w:val="clear" w:color="000000" w:fill="DDEBF7"/>
            <w:vAlign w:val="center"/>
            <w:hideMark/>
          </w:tcPr>
          <w:p w14:paraId="67362989" w14:textId="77777777" w:rsidR="00057132" w:rsidRPr="001D2416" w:rsidRDefault="00057132" w:rsidP="001D2416">
            <w:pPr>
              <w:spacing w:after="0" w:line="240" w:lineRule="auto"/>
              <w:jc w:val="center"/>
              <w:rPr>
                <w:rFonts w:ascii="Arial Narrow" w:eastAsia="Times New Roman" w:hAnsi="Arial Narrow" w:cs="Calibri"/>
                <w:b/>
                <w:bCs/>
                <w:color w:val="000000"/>
                <w:kern w:val="0"/>
                <w:sz w:val="16"/>
                <w:szCs w:val="16"/>
                <w:lang w:eastAsia="sk-SK"/>
                <w14:ligatures w14:val="none"/>
              </w:rPr>
            </w:pPr>
            <w:r w:rsidRPr="001D2416">
              <w:rPr>
                <w:rFonts w:ascii="Arial Narrow" w:eastAsia="Times New Roman" w:hAnsi="Arial Narrow" w:cs="Calibri"/>
                <w:b/>
                <w:bCs/>
                <w:color w:val="000000"/>
                <w:kern w:val="0"/>
                <w:sz w:val="16"/>
                <w:szCs w:val="16"/>
                <w:lang w:eastAsia="sk-SK"/>
                <w14:ligatures w14:val="none"/>
              </w:rPr>
              <w:t>3</w:t>
            </w:r>
          </w:p>
        </w:tc>
        <w:tc>
          <w:tcPr>
            <w:tcW w:w="4482" w:type="dxa"/>
            <w:gridSpan w:val="4"/>
            <w:tcBorders>
              <w:top w:val="nil"/>
              <w:left w:val="nil"/>
              <w:bottom w:val="nil"/>
              <w:right w:val="nil"/>
            </w:tcBorders>
            <w:shd w:val="clear" w:color="000000" w:fill="DDEBF7"/>
            <w:vAlign w:val="center"/>
            <w:hideMark/>
          </w:tcPr>
          <w:p w14:paraId="23E467CE" w14:textId="77777777" w:rsidR="00057132" w:rsidRPr="001D2416" w:rsidRDefault="00057132" w:rsidP="001D2416">
            <w:pPr>
              <w:spacing w:after="0" w:line="240" w:lineRule="auto"/>
              <w:rPr>
                <w:rFonts w:ascii="Arial Narrow" w:eastAsia="Times New Roman" w:hAnsi="Arial Narrow" w:cs="Calibri"/>
                <w:b/>
                <w:bCs/>
                <w:color w:val="000000"/>
                <w:kern w:val="0"/>
                <w:sz w:val="16"/>
                <w:szCs w:val="16"/>
                <w:lang w:eastAsia="sk-SK"/>
                <w14:ligatures w14:val="none"/>
              </w:rPr>
            </w:pPr>
            <w:r w:rsidRPr="001D2416">
              <w:rPr>
                <w:rFonts w:ascii="Arial Narrow" w:eastAsia="Times New Roman" w:hAnsi="Arial Narrow" w:cs="Calibri"/>
                <w:b/>
                <w:bCs/>
                <w:color w:val="000000"/>
                <w:kern w:val="0"/>
                <w:sz w:val="16"/>
                <w:szCs w:val="16"/>
                <w:lang w:eastAsia="sk-SK"/>
                <w14:ligatures w14:val="none"/>
              </w:rPr>
              <w:t>Primárne štrukturálne saldo</w:t>
            </w:r>
          </w:p>
        </w:tc>
        <w:tc>
          <w:tcPr>
            <w:tcW w:w="1134" w:type="dxa"/>
            <w:tcBorders>
              <w:top w:val="nil"/>
              <w:left w:val="nil"/>
              <w:bottom w:val="nil"/>
              <w:right w:val="nil"/>
            </w:tcBorders>
            <w:shd w:val="clear" w:color="000000" w:fill="DDEBF7"/>
            <w:vAlign w:val="center"/>
          </w:tcPr>
          <w:p w14:paraId="166893CF" w14:textId="09C88860" w:rsidR="00057132" w:rsidRPr="001D2416" w:rsidRDefault="00057132"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w:t>
            </w:r>
            <w:r w:rsidR="009B57B3">
              <w:rPr>
                <w:rFonts w:ascii="Arial Narrow" w:hAnsi="Arial Narrow" w:cs="Calibri"/>
                <w:color w:val="000000"/>
                <w:sz w:val="16"/>
                <w:szCs w:val="16"/>
              </w:rPr>
              <w:t>4,3</w:t>
            </w:r>
          </w:p>
        </w:tc>
        <w:tc>
          <w:tcPr>
            <w:tcW w:w="850" w:type="dxa"/>
            <w:tcBorders>
              <w:top w:val="nil"/>
              <w:left w:val="nil"/>
              <w:bottom w:val="nil"/>
              <w:right w:val="nil"/>
            </w:tcBorders>
            <w:shd w:val="clear" w:color="000000" w:fill="DDEBF7"/>
            <w:vAlign w:val="center"/>
            <w:hideMark/>
          </w:tcPr>
          <w:p w14:paraId="0C6F070E" w14:textId="726E8EC8" w:rsidR="00057132" w:rsidRPr="001D2416" w:rsidRDefault="00057132" w:rsidP="001D2416">
            <w:pPr>
              <w:spacing w:after="0" w:line="240" w:lineRule="auto"/>
              <w:jc w:val="center"/>
              <w:rPr>
                <w:rFonts w:ascii="Arial Narrow" w:eastAsia="Times New Roman" w:hAnsi="Arial Narrow" w:cs="Calibri"/>
                <w:color w:val="000000"/>
                <w:kern w:val="0"/>
                <w:sz w:val="16"/>
                <w:szCs w:val="16"/>
                <w:lang w:eastAsia="sk-SK"/>
                <w14:ligatures w14:val="none"/>
              </w:rPr>
            </w:pPr>
            <w:r w:rsidRPr="001D2416">
              <w:rPr>
                <w:rFonts w:ascii="Arial Narrow" w:hAnsi="Arial Narrow" w:cs="Calibri"/>
                <w:color w:val="000000"/>
                <w:sz w:val="16"/>
                <w:szCs w:val="16"/>
              </w:rPr>
              <w:t>-4,1</w:t>
            </w:r>
          </w:p>
        </w:tc>
        <w:tc>
          <w:tcPr>
            <w:tcW w:w="1134" w:type="dxa"/>
            <w:tcBorders>
              <w:top w:val="nil"/>
              <w:left w:val="nil"/>
              <w:bottom w:val="nil"/>
              <w:right w:val="nil"/>
            </w:tcBorders>
            <w:shd w:val="clear" w:color="000000" w:fill="DDEBF7"/>
            <w:vAlign w:val="center"/>
            <w:hideMark/>
          </w:tcPr>
          <w:p w14:paraId="1A6E66ED" w14:textId="3F7982AB" w:rsidR="00057132" w:rsidRPr="001D2416" w:rsidRDefault="00057132" w:rsidP="001D2416">
            <w:pPr>
              <w:spacing w:after="0" w:line="240" w:lineRule="auto"/>
              <w:jc w:val="center"/>
              <w:rPr>
                <w:rFonts w:ascii="Arial Narrow" w:eastAsia="Times New Roman" w:hAnsi="Arial Narrow" w:cs="Calibri"/>
                <w:color w:val="000000"/>
                <w:kern w:val="0"/>
                <w:sz w:val="16"/>
                <w:szCs w:val="16"/>
                <w:lang w:eastAsia="sk-SK"/>
                <w14:ligatures w14:val="none"/>
              </w:rPr>
            </w:pPr>
            <w:r w:rsidRPr="001D2416">
              <w:rPr>
                <w:rFonts w:ascii="Arial Narrow" w:hAnsi="Arial Narrow" w:cs="Calibri"/>
                <w:color w:val="000000"/>
                <w:sz w:val="16"/>
                <w:szCs w:val="16"/>
              </w:rPr>
              <w:t>-2,6</w:t>
            </w:r>
          </w:p>
        </w:tc>
        <w:tc>
          <w:tcPr>
            <w:tcW w:w="992" w:type="dxa"/>
            <w:tcBorders>
              <w:top w:val="nil"/>
              <w:left w:val="nil"/>
              <w:bottom w:val="nil"/>
              <w:right w:val="nil"/>
            </w:tcBorders>
            <w:shd w:val="clear" w:color="000000" w:fill="DDEBF7"/>
            <w:vAlign w:val="center"/>
            <w:hideMark/>
          </w:tcPr>
          <w:p w14:paraId="186F467A" w14:textId="35215175" w:rsidR="00057132" w:rsidRPr="001D2416" w:rsidRDefault="00057132" w:rsidP="001D2416">
            <w:pPr>
              <w:spacing w:after="0" w:line="240" w:lineRule="auto"/>
              <w:jc w:val="center"/>
              <w:rPr>
                <w:rFonts w:ascii="Arial Narrow" w:eastAsia="Times New Roman" w:hAnsi="Arial Narrow" w:cs="Calibri"/>
                <w:color w:val="000000"/>
                <w:kern w:val="0"/>
                <w:sz w:val="16"/>
                <w:szCs w:val="16"/>
                <w:lang w:eastAsia="sk-SK"/>
                <w14:ligatures w14:val="none"/>
              </w:rPr>
            </w:pPr>
            <w:r w:rsidRPr="001D2416">
              <w:rPr>
                <w:rFonts w:ascii="Arial Narrow" w:hAnsi="Arial Narrow" w:cs="Calibri"/>
                <w:color w:val="000000"/>
                <w:sz w:val="16"/>
                <w:szCs w:val="16"/>
              </w:rPr>
              <w:t>-2,0</w:t>
            </w:r>
          </w:p>
        </w:tc>
      </w:tr>
      <w:tr w:rsidR="00057132" w:rsidRPr="008E7F52" w14:paraId="116911C9" w14:textId="77777777" w:rsidTr="00057132">
        <w:trPr>
          <w:trHeight w:val="300"/>
        </w:trPr>
        <w:tc>
          <w:tcPr>
            <w:tcW w:w="480" w:type="dxa"/>
            <w:tcBorders>
              <w:top w:val="nil"/>
              <w:left w:val="nil"/>
              <w:bottom w:val="nil"/>
              <w:right w:val="nil"/>
            </w:tcBorders>
            <w:shd w:val="clear" w:color="000000" w:fill="DDEBF7"/>
            <w:vAlign w:val="center"/>
            <w:hideMark/>
          </w:tcPr>
          <w:p w14:paraId="1E89AAFB" w14:textId="77777777" w:rsidR="00057132" w:rsidRPr="001D2416" w:rsidRDefault="00057132" w:rsidP="001D2416">
            <w:pPr>
              <w:spacing w:after="0" w:line="240" w:lineRule="auto"/>
              <w:jc w:val="center"/>
              <w:rPr>
                <w:rFonts w:ascii="Arial Narrow" w:eastAsia="Times New Roman" w:hAnsi="Arial Narrow" w:cs="Calibri"/>
                <w:b/>
                <w:bCs/>
                <w:color w:val="000000"/>
                <w:kern w:val="0"/>
                <w:sz w:val="16"/>
                <w:szCs w:val="16"/>
                <w:lang w:eastAsia="sk-SK"/>
                <w14:ligatures w14:val="none"/>
              </w:rPr>
            </w:pPr>
            <w:r w:rsidRPr="001D2416">
              <w:rPr>
                <w:rFonts w:ascii="Arial Narrow" w:eastAsia="Times New Roman" w:hAnsi="Arial Narrow" w:cs="Calibri"/>
                <w:b/>
                <w:bCs/>
                <w:color w:val="000000"/>
                <w:kern w:val="0"/>
                <w:sz w:val="16"/>
                <w:szCs w:val="16"/>
                <w:lang w:eastAsia="sk-SK"/>
                <w14:ligatures w14:val="none"/>
              </w:rPr>
              <w:t>4</w:t>
            </w:r>
          </w:p>
        </w:tc>
        <w:tc>
          <w:tcPr>
            <w:tcW w:w="4482" w:type="dxa"/>
            <w:gridSpan w:val="4"/>
            <w:tcBorders>
              <w:top w:val="nil"/>
              <w:left w:val="nil"/>
              <w:bottom w:val="nil"/>
              <w:right w:val="nil"/>
            </w:tcBorders>
            <w:shd w:val="clear" w:color="000000" w:fill="DDEBF7"/>
            <w:vAlign w:val="center"/>
            <w:hideMark/>
          </w:tcPr>
          <w:p w14:paraId="227131FB" w14:textId="77777777" w:rsidR="00057132" w:rsidRPr="001D2416" w:rsidRDefault="00057132" w:rsidP="001D2416">
            <w:pPr>
              <w:spacing w:after="0" w:line="240" w:lineRule="auto"/>
              <w:rPr>
                <w:rFonts w:ascii="Arial Narrow" w:eastAsia="Times New Roman" w:hAnsi="Arial Narrow" w:cs="Calibri"/>
                <w:b/>
                <w:bCs/>
                <w:color w:val="000000"/>
                <w:kern w:val="0"/>
                <w:sz w:val="16"/>
                <w:szCs w:val="16"/>
                <w:lang w:eastAsia="sk-SK"/>
                <w14:ligatures w14:val="none"/>
              </w:rPr>
            </w:pPr>
            <w:r w:rsidRPr="001D2416">
              <w:rPr>
                <w:rFonts w:ascii="Arial Narrow" w:eastAsia="Times New Roman" w:hAnsi="Arial Narrow" w:cs="Calibri"/>
                <w:b/>
                <w:bCs/>
                <w:color w:val="000000"/>
                <w:kern w:val="0"/>
                <w:sz w:val="16"/>
                <w:szCs w:val="16"/>
                <w:lang w:eastAsia="sk-SK"/>
                <w14:ligatures w14:val="none"/>
              </w:rPr>
              <w:t>Hrubý dlh</w:t>
            </w:r>
          </w:p>
        </w:tc>
        <w:tc>
          <w:tcPr>
            <w:tcW w:w="1134" w:type="dxa"/>
            <w:tcBorders>
              <w:top w:val="nil"/>
              <w:left w:val="nil"/>
              <w:bottom w:val="nil"/>
              <w:right w:val="nil"/>
            </w:tcBorders>
            <w:shd w:val="clear" w:color="000000" w:fill="DDEBF7"/>
            <w:vAlign w:val="center"/>
          </w:tcPr>
          <w:p w14:paraId="7322E8B0" w14:textId="559C9604" w:rsidR="00057132" w:rsidRPr="0024746B" w:rsidRDefault="0024746B" w:rsidP="00057132">
            <w:pPr>
              <w:spacing w:after="0" w:line="240" w:lineRule="auto"/>
              <w:jc w:val="center"/>
              <w:rPr>
                <w:rFonts w:ascii="Arial Narrow" w:hAnsi="Arial Narrow" w:cs="Calibri"/>
                <w:color w:val="000000"/>
                <w:sz w:val="16"/>
                <w:szCs w:val="16"/>
              </w:rPr>
            </w:pPr>
            <w:r w:rsidRPr="0024746B">
              <w:rPr>
                <w:rFonts w:ascii="Arial Narrow" w:hAnsi="Arial Narrow" w:cs="Calibri"/>
                <w:color w:val="000000"/>
                <w:sz w:val="16"/>
                <w:szCs w:val="16"/>
              </w:rPr>
              <w:t>55,8</w:t>
            </w:r>
          </w:p>
        </w:tc>
        <w:tc>
          <w:tcPr>
            <w:tcW w:w="850" w:type="dxa"/>
            <w:tcBorders>
              <w:top w:val="nil"/>
              <w:left w:val="nil"/>
              <w:bottom w:val="nil"/>
              <w:right w:val="nil"/>
            </w:tcBorders>
            <w:shd w:val="clear" w:color="000000" w:fill="DDEBF7"/>
            <w:vAlign w:val="center"/>
            <w:hideMark/>
          </w:tcPr>
          <w:p w14:paraId="6B973901" w14:textId="44FB2E10" w:rsidR="00057132" w:rsidRPr="001D2416" w:rsidRDefault="00057132" w:rsidP="001D2416">
            <w:pPr>
              <w:spacing w:after="0" w:line="240" w:lineRule="auto"/>
              <w:jc w:val="center"/>
              <w:rPr>
                <w:rFonts w:ascii="Arial Narrow" w:eastAsia="Times New Roman" w:hAnsi="Arial Narrow" w:cs="Calibri"/>
                <w:color w:val="000000"/>
                <w:kern w:val="0"/>
                <w:sz w:val="16"/>
                <w:szCs w:val="16"/>
                <w:lang w:eastAsia="sk-SK"/>
                <w14:ligatures w14:val="none"/>
              </w:rPr>
            </w:pPr>
            <w:r w:rsidRPr="001D2416">
              <w:rPr>
                <w:rFonts w:ascii="Arial Narrow" w:hAnsi="Arial Narrow" w:cs="Calibri"/>
                <w:color w:val="000000"/>
                <w:sz w:val="16"/>
                <w:szCs w:val="16"/>
              </w:rPr>
              <w:t>59,7</w:t>
            </w:r>
          </w:p>
        </w:tc>
        <w:tc>
          <w:tcPr>
            <w:tcW w:w="1134" w:type="dxa"/>
            <w:tcBorders>
              <w:top w:val="nil"/>
              <w:left w:val="nil"/>
              <w:bottom w:val="nil"/>
              <w:right w:val="nil"/>
            </w:tcBorders>
            <w:shd w:val="clear" w:color="000000" w:fill="DDEBF7"/>
            <w:vAlign w:val="center"/>
            <w:hideMark/>
          </w:tcPr>
          <w:p w14:paraId="2372DEDD" w14:textId="1E8DCF95" w:rsidR="00057132" w:rsidRPr="001D2416" w:rsidRDefault="00057132" w:rsidP="001D2416">
            <w:pPr>
              <w:spacing w:after="0" w:line="240" w:lineRule="auto"/>
              <w:jc w:val="center"/>
              <w:rPr>
                <w:rFonts w:ascii="Arial Narrow" w:eastAsia="Times New Roman" w:hAnsi="Arial Narrow" w:cs="Calibri"/>
                <w:color w:val="000000"/>
                <w:kern w:val="0"/>
                <w:sz w:val="16"/>
                <w:szCs w:val="16"/>
                <w:lang w:eastAsia="sk-SK"/>
                <w14:ligatures w14:val="none"/>
              </w:rPr>
            </w:pPr>
            <w:r w:rsidRPr="001D2416">
              <w:rPr>
                <w:rFonts w:ascii="Arial Narrow" w:hAnsi="Arial Narrow" w:cs="Calibri"/>
                <w:color w:val="000000"/>
                <w:sz w:val="16"/>
                <w:szCs w:val="16"/>
              </w:rPr>
              <w:t>61,4</w:t>
            </w:r>
          </w:p>
        </w:tc>
        <w:tc>
          <w:tcPr>
            <w:tcW w:w="992" w:type="dxa"/>
            <w:tcBorders>
              <w:top w:val="nil"/>
              <w:left w:val="nil"/>
              <w:bottom w:val="nil"/>
              <w:right w:val="nil"/>
            </w:tcBorders>
            <w:shd w:val="clear" w:color="000000" w:fill="DDEBF7"/>
            <w:vAlign w:val="center"/>
            <w:hideMark/>
          </w:tcPr>
          <w:p w14:paraId="08DC95BC" w14:textId="4EE066A1" w:rsidR="00057132" w:rsidRPr="001D2416" w:rsidRDefault="00057132" w:rsidP="001D2416">
            <w:pPr>
              <w:spacing w:after="0" w:line="240" w:lineRule="auto"/>
              <w:jc w:val="center"/>
              <w:rPr>
                <w:rFonts w:ascii="Arial Narrow" w:eastAsia="Times New Roman" w:hAnsi="Arial Narrow" w:cs="Calibri"/>
                <w:color w:val="000000"/>
                <w:kern w:val="0"/>
                <w:sz w:val="16"/>
                <w:szCs w:val="16"/>
                <w:lang w:eastAsia="sk-SK"/>
                <w14:ligatures w14:val="none"/>
              </w:rPr>
            </w:pPr>
            <w:r w:rsidRPr="001D2416">
              <w:rPr>
                <w:rFonts w:ascii="Arial Narrow" w:hAnsi="Arial Narrow" w:cs="Calibri"/>
                <w:color w:val="000000"/>
                <w:sz w:val="16"/>
                <w:szCs w:val="16"/>
              </w:rPr>
              <w:t>63,3</w:t>
            </w:r>
          </w:p>
        </w:tc>
      </w:tr>
      <w:tr w:rsidR="00057132" w:rsidRPr="008E7F52" w14:paraId="01F95EA6" w14:textId="77777777" w:rsidTr="00057132">
        <w:trPr>
          <w:trHeight w:val="300"/>
        </w:trPr>
        <w:tc>
          <w:tcPr>
            <w:tcW w:w="480" w:type="dxa"/>
            <w:tcBorders>
              <w:top w:val="nil"/>
              <w:left w:val="nil"/>
              <w:bottom w:val="nil"/>
              <w:right w:val="nil"/>
            </w:tcBorders>
            <w:shd w:val="clear" w:color="000000" w:fill="DDEBF7"/>
            <w:vAlign w:val="center"/>
            <w:hideMark/>
          </w:tcPr>
          <w:p w14:paraId="06DC0040" w14:textId="77777777" w:rsidR="00057132" w:rsidRPr="001D2416" w:rsidRDefault="00057132" w:rsidP="001D2416">
            <w:pPr>
              <w:spacing w:after="0" w:line="240" w:lineRule="auto"/>
              <w:jc w:val="center"/>
              <w:rPr>
                <w:rFonts w:ascii="Arial Narrow" w:eastAsia="Times New Roman" w:hAnsi="Arial Narrow" w:cs="Calibri"/>
                <w:b/>
                <w:bCs/>
                <w:color w:val="000000"/>
                <w:kern w:val="0"/>
                <w:sz w:val="16"/>
                <w:szCs w:val="16"/>
                <w:lang w:eastAsia="sk-SK"/>
                <w14:ligatures w14:val="none"/>
              </w:rPr>
            </w:pPr>
            <w:r w:rsidRPr="001D2416">
              <w:rPr>
                <w:rFonts w:ascii="Arial Narrow" w:eastAsia="Times New Roman" w:hAnsi="Arial Narrow" w:cs="Calibri"/>
                <w:b/>
                <w:bCs/>
                <w:color w:val="000000"/>
                <w:kern w:val="0"/>
                <w:sz w:val="16"/>
                <w:szCs w:val="16"/>
                <w:lang w:eastAsia="sk-SK"/>
                <w14:ligatures w14:val="none"/>
              </w:rPr>
              <w:t>5</w:t>
            </w:r>
          </w:p>
        </w:tc>
        <w:tc>
          <w:tcPr>
            <w:tcW w:w="4482" w:type="dxa"/>
            <w:gridSpan w:val="4"/>
            <w:tcBorders>
              <w:top w:val="nil"/>
              <w:left w:val="nil"/>
              <w:bottom w:val="nil"/>
              <w:right w:val="nil"/>
            </w:tcBorders>
            <w:shd w:val="clear" w:color="000000" w:fill="DDEBF7"/>
            <w:vAlign w:val="center"/>
            <w:hideMark/>
          </w:tcPr>
          <w:p w14:paraId="41023B84" w14:textId="77777777" w:rsidR="00057132" w:rsidRPr="001D2416" w:rsidRDefault="00057132" w:rsidP="001D2416">
            <w:pPr>
              <w:spacing w:after="0" w:line="240" w:lineRule="auto"/>
              <w:rPr>
                <w:rFonts w:ascii="Arial Narrow" w:eastAsia="Times New Roman" w:hAnsi="Arial Narrow" w:cs="Calibri"/>
                <w:b/>
                <w:bCs/>
                <w:color w:val="000000"/>
                <w:kern w:val="0"/>
                <w:sz w:val="16"/>
                <w:szCs w:val="16"/>
                <w:lang w:eastAsia="sk-SK"/>
                <w14:ligatures w14:val="none"/>
              </w:rPr>
            </w:pPr>
            <w:r w:rsidRPr="001D2416">
              <w:rPr>
                <w:rFonts w:ascii="Arial Narrow" w:eastAsia="Times New Roman" w:hAnsi="Arial Narrow" w:cs="Calibri"/>
                <w:b/>
                <w:bCs/>
                <w:color w:val="000000"/>
                <w:kern w:val="0"/>
                <w:sz w:val="16"/>
                <w:szCs w:val="16"/>
                <w:lang w:eastAsia="sk-SK"/>
                <w14:ligatures w14:val="none"/>
              </w:rPr>
              <w:t>Zmena hrubého dlhu</w:t>
            </w:r>
          </w:p>
        </w:tc>
        <w:tc>
          <w:tcPr>
            <w:tcW w:w="1134" w:type="dxa"/>
            <w:tcBorders>
              <w:top w:val="nil"/>
              <w:left w:val="nil"/>
              <w:bottom w:val="nil"/>
              <w:right w:val="nil"/>
            </w:tcBorders>
            <w:shd w:val="clear" w:color="000000" w:fill="DDEBF7"/>
            <w:vAlign w:val="center"/>
          </w:tcPr>
          <w:p w14:paraId="10A728FD" w14:textId="3B4F012D" w:rsidR="00057132" w:rsidRPr="0024746B" w:rsidRDefault="0024746B" w:rsidP="00057132">
            <w:pPr>
              <w:spacing w:after="0" w:line="240" w:lineRule="auto"/>
              <w:jc w:val="center"/>
              <w:rPr>
                <w:rFonts w:ascii="Arial Narrow" w:hAnsi="Arial Narrow" w:cs="Calibri"/>
                <w:color w:val="000000"/>
                <w:sz w:val="16"/>
                <w:szCs w:val="16"/>
              </w:rPr>
            </w:pPr>
            <w:r w:rsidRPr="0024746B">
              <w:rPr>
                <w:rFonts w:ascii="Arial Narrow" w:hAnsi="Arial Narrow" w:cs="Calibri"/>
                <w:color w:val="000000"/>
                <w:sz w:val="16"/>
                <w:szCs w:val="16"/>
              </w:rPr>
              <w:t>-2,0</w:t>
            </w:r>
          </w:p>
        </w:tc>
        <w:tc>
          <w:tcPr>
            <w:tcW w:w="850" w:type="dxa"/>
            <w:tcBorders>
              <w:top w:val="nil"/>
              <w:left w:val="nil"/>
              <w:bottom w:val="nil"/>
              <w:right w:val="nil"/>
            </w:tcBorders>
            <w:shd w:val="clear" w:color="000000" w:fill="DDEBF7"/>
            <w:vAlign w:val="center"/>
            <w:hideMark/>
          </w:tcPr>
          <w:p w14:paraId="0DB20D80" w14:textId="1D458FB7" w:rsidR="00057132" w:rsidRPr="001D2416" w:rsidRDefault="00057132" w:rsidP="001D2416">
            <w:pPr>
              <w:spacing w:after="0" w:line="240" w:lineRule="auto"/>
              <w:jc w:val="center"/>
              <w:rPr>
                <w:rFonts w:ascii="Arial Narrow" w:eastAsia="Times New Roman" w:hAnsi="Arial Narrow" w:cs="Calibri"/>
                <w:color w:val="000000"/>
                <w:kern w:val="0"/>
                <w:sz w:val="16"/>
                <w:szCs w:val="16"/>
                <w:lang w:eastAsia="sk-SK"/>
                <w14:ligatures w14:val="none"/>
              </w:rPr>
            </w:pPr>
            <w:r w:rsidRPr="001D2416">
              <w:rPr>
                <w:rFonts w:ascii="Arial Narrow" w:hAnsi="Arial Narrow" w:cs="Calibri"/>
                <w:color w:val="000000"/>
                <w:sz w:val="16"/>
                <w:szCs w:val="16"/>
              </w:rPr>
              <w:t>3,9</w:t>
            </w:r>
          </w:p>
        </w:tc>
        <w:tc>
          <w:tcPr>
            <w:tcW w:w="1134" w:type="dxa"/>
            <w:tcBorders>
              <w:top w:val="nil"/>
              <w:left w:val="nil"/>
              <w:bottom w:val="nil"/>
              <w:right w:val="nil"/>
            </w:tcBorders>
            <w:shd w:val="clear" w:color="000000" w:fill="DDEBF7"/>
            <w:vAlign w:val="center"/>
            <w:hideMark/>
          </w:tcPr>
          <w:p w14:paraId="02BC931D" w14:textId="06BAE676" w:rsidR="00057132" w:rsidRPr="001D2416" w:rsidRDefault="00057132" w:rsidP="001D2416">
            <w:pPr>
              <w:spacing w:after="0" w:line="240" w:lineRule="auto"/>
              <w:jc w:val="center"/>
              <w:rPr>
                <w:rFonts w:ascii="Arial Narrow" w:eastAsia="Times New Roman" w:hAnsi="Arial Narrow" w:cs="Calibri"/>
                <w:color w:val="000000"/>
                <w:kern w:val="0"/>
                <w:sz w:val="16"/>
                <w:szCs w:val="16"/>
                <w:lang w:eastAsia="sk-SK"/>
                <w14:ligatures w14:val="none"/>
              </w:rPr>
            </w:pPr>
            <w:r w:rsidRPr="001D2416">
              <w:rPr>
                <w:rFonts w:ascii="Arial Narrow" w:hAnsi="Arial Narrow" w:cs="Calibri"/>
                <w:color w:val="000000"/>
                <w:sz w:val="16"/>
                <w:szCs w:val="16"/>
              </w:rPr>
              <w:t>1,7</w:t>
            </w:r>
          </w:p>
        </w:tc>
        <w:tc>
          <w:tcPr>
            <w:tcW w:w="992" w:type="dxa"/>
            <w:tcBorders>
              <w:top w:val="nil"/>
              <w:left w:val="nil"/>
              <w:bottom w:val="nil"/>
              <w:right w:val="nil"/>
            </w:tcBorders>
            <w:shd w:val="clear" w:color="000000" w:fill="DDEBF7"/>
            <w:vAlign w:val="center"/>
            <w:hideMark/>
          </w:tcPr>
          <w:p w14:paraId="17646813" w14:textId="56B4EC35" w:rsidR="00057132" w:rsidRPr="001D2416" w:rsidRDefault="00057132" w:rsidP="001D2416">
            <w:pPr>
              <w:spacing w:after="0" w:line="240" w:lineRule="auto"/>
              <w:jc w:val="center"/>
              <w:rPr>
                <w:rFonts w:ascii="Arial Narrow" w:eastAsia="Times New Roman" w:hAnsi="Arial Narrow" w:cs="Calibri"/>
                <w:color w:val="000000"/>
                <w:kern w:val="0"/>
                <w:sz w:val="16"/>
                <w:szCs w:val="16"/>
                <w:lang w:eastAsia="sk-SK"/>
                <w14:ligatures w14:val="none"/>
              </w:rPr>
            </w:pPr>
            <w:r w:rsidRPr="001D2416">
              <w:rPr>
                <w:rFonts w:ascii="Arial Narrow" w:hAnsi="Arial Narrow" w:cs="Calibri"/>
                <w:color w:val="000000"/>
                <w:sz w:val="16"/>
                <w:szCs w:val="16"/>
              </w:rPr>
              <w:t>1,9</w:t>
            </w:r>
          </w:p>
        </w:tc>
      </w:tr>
      <w:tr w:rsidR="00057132" w:rsidRPr="008E7F52" w14:paraId="32CB9086" w14:textId="77777777" w:rsidTr="00057132">
        <w:trPr>
          <w:trHeight w:val="300"/>
        </w:trPr>
        <w:tc>
          <w:tcPr>
            <w:tcW w:w="480" w:type="dxa"/>
            <w:tcBorders>
              <w:top w:val="nil"/>
              <w:left w:val="nil"/>
              <w:bottom w:val="nil"/>
              <w:right w:val="nil"/>
            </w:tcBorders>
            <w:noWrap/>
            <w:vAlign w:val="bottom"/>
            <w:hideMark/>
          </w:tcPr>
          <w:p w14:paraId="56B0C432" w14:textId="77777777" w:rsidR="00057132" w:rsidRPr="008E7F52" w:rsidRDefault="00057132" w:rsidP="002B1847">
            <w:pPr>
              <w:spacing w:after="0" w:line="240" w:lineRule="auto"/>
              <w:jc w:val="center"/>
              <w:rPr>
                <w:rFonts w:ascii="Arial Narrow" w:eastAsia="Times New Roman" w:hAnsi="Arial Narrow" w:cs="Calibri"/>
                <w:color w:val="000000"/>
                <w:kern w:val="0"/>
                <w:sz w:val="16"/>
                <w:szCs w:val="16"/>
                <w:highlight w:val="yellow"/>
                <w:lang w:eastAsia="sk-SK"/>
                <w14:ligatures w14:val="none"/>
              </w:rPr>
            </w:pPr>
          </w:p>
        </w:tc>
        <w:tc>
          <w:tcPr>
            <w:tcW w:w="960" w:type="dxa"/>
            <w:tcBorders>
              <w:top w:val="nil"/>
              <w:left w:val="nil"/>
              <w:bottom w:val="nil"/>
              <w:right w:val="nil"/>
            </w:tcBorders>
            <w:noWrap/>
            <w:vAlign w:val="bottom"/>
            <w:hideMark/>
          </w:tcPr>
          <w:p w14:paraId="56638D5A" w14:textId="77777777" w:rsidR="00057132" w:rsidRPr="001D2416" w:rsidRDefault="00057132" w:rsidP="002B1847">
            <w:pPr>
              <w:spacing w:after="0" w:line="240" w:lineRule="auto"/>
              <w:rPr>
                <w:rFonts w:ascii="Times New Roman" w:eastAsia="Times New Roman" w:hAnsi="Times New Roman" w:cs="Times New Roman"/>
                <w:kern w:val="0"/>
                <w:sz w:val="20"/>
                <w:szCs w:val="20"/>
                <w:lang w:eastAsia="sk-SK"/>
                <w14:ligatures w14:val="none"/>
              </w:rPr>
            </w:pPr>
          </w:p>
        </w:tc>
        <w:tc>
          <w:tcPr>
            <w:tcW w:w="960" w:type="dxa"/>
            <w:tcBorders>
              <w:top w:val="nil"/>
              <w:left w:val="nil"/>
              <w:bottom w:val="nil"/>
              <w:right w:val="nil"/>
            </w:tcBorders>
            <w:noWrap/>
            <w:vAlign w:val="bottom"/>
            <w:hideMark/>
          </w:tcPr>
          <w:p w14:paraId="4432A8B6" w14:textId="77777777" w:rsidR="00057132" w:rsidRPr="001D2416" w:rsidRDefault="00057132" w:rsidP="002B1847">
            <w:pPr>
              <w:spacing w:after="0" w:line="240" w:lineRule="auto"/>
              <w:rPr>
                <w:rFonts w:ascii="Times New Roman" w:eastAsia="Times New Roman" w:hAnsi="Times New Roman" w:cs="Times New Roman"/>
                <w:kern w:val="0"/>
                <w:sz w:val="20"/>
                <w:szCs w:val="20"/>
                <w:lang w:eastAsia="sk-SK"/>
                <w14:ligatures w14:val="none"/>
              </w:rPr>
            </w:pPr>
          </w:p>
        </w:tc>
        <w:tc>
          <w:tcPr>
            <w:tcW w:w="960" w:type="dxa"/>
            <w:tcBorders>
              <w:top w:val="nil"/>
              <w:left w:val="nil"/>
              <w:bottom w:val="nil"/>
              <w:right w:val="nil"/>
            </w:tcBorders>
            <w:noWrap/>
            <w:vAlign w:val="bottom"/>
            <w:hideMark/>
          </w:tcPr>
          <w:p w14:paraId="667F20FC" w14:textId="77777777" w:rsidR="00057132" w:rsidRPr="001D2416" w:rsidRDefault="00057132" w:rsidP="002B1847">
            <w:pPr>
              <w:spacing w:after="0" w:line="240" w:lineRule="auto"/>
              <w:rPr>
                <w:rFonts w:ascii="Times New Roman" w:eastAsia="Times New Roman" w:hAnsi="Times New Roman" w:cs="Times New Roman"/>
                <w:kern w:val="0"/>
                <w:sz w:val="20"/>
                <w:szCs w:val="20"/>
                <w:lang w:eastAsia="sk-SK"/>
                <w14:ligatures w14:val="none"/>
              </w:rPr>
            </w:pPr>
          </w:p>
        </w:tc>
        <w:tc>
          <w:tcPr>
            <w:tcW w:w="1602" w:type="dxa"/>
            <w:tcBorders>
              <w:top w:val="nil"/>
              <w:left w:val="nil"/>
              <w:bottom w:val="nil"/>
              <w:right w:val="nil"/>
            </w:tcBorders>
            <w:noWrap/>
            <w:vAlign w:val="bottom"/>
            <w:hideMark/>
          </w:tcPr>
          <w:p w14:paraId="36215FB4" w14:textId="77777777" w:rsidR="00057132" w:rsidRPr="001D2416" w:rsidRDefault="00057132" w:rsidP="002B1847">
            <w:pPr>
              <w:spacing w:after="0" w:line="240" w:lineRule="auto"/>
              <w:rPr>
                <w:rFonts w:ascii="Times New Roman" w:eastAsia="Times New Roman" w:hAnsi="Times New Roman" w:cs="Times New Roman"/>
                <w:kern w:val="0"/>
                <w:sz w:val="20"/>
                <w:szCs w:val="20"/>
                <w:lang w:eastAsia="sk-SK"/>
                <w14:ligatures w14:val="none"/>
              </w:rPr>
            </w:pPr>
          </w:p>
        </w:tc>
        <w:tc>
          <w:tcPr>
            <w:tcW w:w="1134" w:type="dxa"/>
            <w:tcBorders>
              <w:top w:val="nil"/>
              <w:left w:val="nil"/>
              <w:bottom w:val="nil"/>
              <w:right w:val="nil"/>
            </w:tcBorders>
          </w:tcPr>
          <w:p w14:paraId="54A9EC17" w14:textId="77777777" w:rsidR="00057132" w:rsidRPr="001D2416" w:rsidRDefault="00057132" w:rsidP="002B1847">
            <w:pPr>
              <w:spacing w:after="0" w:line="240" w:lineRule="auto"/>
              <w:rPr>
                <w:rFonts w:ascii="Times New Roman" w:eastAsia="Times New Roman" w:hAnsi="Times New Roman" w:cs="Times New Roman"/>
                <w:kern w:val="0"/>
                <w:sz w:val="20"/>
                <w:szCs w:val="20"/>
                <w:lang w:eastAsia="sk-SK"/>
                <w14:ligatures w14:val="none"/>
              </w:rPr>
            </w:pPr>
          </w:p>
        </w:tc>
        <w:tc>
          <w:tcPr>
            <w:tcW w:w="850" w:type="dxa"/>
            <w:tcBorders>
              <w:top w:val="nil"/>
              <w:left w:val="nil"/>
              <w:bottom w:val="nil"/>
              <w:right w:val="nil"/>
            </w:tcBorders>
            <w:noWrap/>
            <w:vAlign w:val="bottom"/>
            <w:hideMark/>
          </w:tcPr>
          <w:p w14:paraId="39615568" w14:textId="77DC2CA7" w:rsidR="00057132" w:rsidRPr="001D2416" w:rsidRDefault="00057132" w:rsidP="002B1847">
            <w:pPr>
              <w:spacing w:after="0" w:line="240" w:lineRule="auto"/>
              <w:rPr>
                <w:rFonts w:ascii="Times New Roman" w:eastAsia="Times New Roman" w:hAnsi="Times New Roman" w:cs="Times New Roman"/>
                <w:kern w:val="0"/>
                <w:sz w:val="20"/>
                <w:szCs w:val="20"/>
                <w:lang w:eastAsia="sk-SK"/>
                <w14:ligatures w14:val="none"/>
              </w:rPr>
            </w:pPr>
          </w:p>
        </w:tc>
        <w:tc>
          <w:tcPr>
            <w:tcW w:w="1134" w:type="dxa"/>
            <w:tcBorders>
              <w:top w:val="nil"/>
              <w:left w:val="nil"/>
              <w:bottom w:val="nil"/>
              <w:right w:val="nil"/>
            </w:tcBorders>
            <w:noWrap/>
            <w:vAlign w:val="bottom"/>
            <w:hideMark/>
          </w:tcPr>
          <w:p w14:paraId="66164887" w14:textId="77777777" w:rsidR="00057132" w:rsidRPr="001D2416" w:rsidRDefault="00057132" w:rsidP="002B1847">
            <w:pPr>
              <w:spacing w:after="0" w:line="240" w:lineRule="auto"/>
              <w:rPr>
                <w:rFonts w:ascii="Times New Roman" w:eastAsia="Times New Roman" w:hAnsi="Times New Roman" w:cs="Times New Roman"/>
                <w:kern w:val="0"/>
                <w:sz w:val="20"/>
                <w:szCs w:val="20"/>
                <w:lang w:eastAsia="sk-SK"/>
                <w14:ligatures w14:val="none"/>
              </w:rPr>
            </w:pPr>
          </w:p>
        </w:tc>
        <w:tc>
          <w:tcPr>
            <w:tcW w:w="992" w:type="dxa"/>
            <w:tcBorders>
              <w:top w:val="nil"/>
              <w:left w:val="nil"/>
              <w:bottom w:val="nil"/>
              <w:right w:val="nil"/>
            </w:tcBorders>
            <w:noWrap/>
            <w:vAlign w:val="center"/>
            <w:hideMark/>
          </w:tcPr>
          <w:p w14:paraId="7FE94366" w14:textId="77777777" w:rsidR="00057132" w:rsidRPr="001D2416" w:rsidRDefault="00057132" w:rsidP="002B1847">
            <w:pPr>
              <w:spacing w:after="0" w:line="240" w:lineRule="auto"/>
              <w:jc w:val="right"/>
              <w:rPr>
                <w:rFonts w:ascii="Arial Narrow" w:eastAsia="Times New Roman" w:hAnsi="Arial Narrow" w:cs="Calibri"/>
                <w:i/>
                <w:iCs/>
                <w:color w:val="000000"/>
                <w:kern w:val="0"/>
                <w:sz w:val="16"/>
                <w:szCs w:val="16"/>
                <w:lang w:eastAsia="sk-SK"/>
                <w14:ligatures w14:val="none"/>
              </w:rPr>
            </w:pPr>
            <w:r w:rsidRPr="001D2416">
              <w:rPr>
                <w:rFonts w:ascii="Arial Narrow" w:eastAsia="Times New Roman" w:hAnsi="Arial Narrow" w:cs="Calibri"/>
                <w:i/>
                <w:iCs/>
                <w:color w:val="000000"/>
                <w:kern w:val="0"/>
                <w:sz w:val="16"/>
                <w:szCs w:val="16"/>
                <w:lang w:eastAsia="sk-SK"/>
                <w14:ligatures w14:val="none"/>
              </w:rPr>
              <w:t>Zdroj: MF SR</w:t>
            </w:r>
          </w:p>
        </w:tc>
      </w:tr>
    </w:tbl>
    <w:p w14:paraId="467430E2" w14:textId="77777777" w:rsidR="00C24F6F" w:rsidRPr="008E7F52" w:rsidRDefault="00C24F6F" w:rsidP="00C24F6F">
      <w:pPr>
        <w:pStyle w:val="ifptext"/>
        <w:rPr>
          <w:highlight w:val="yellow"/>
        </w:rPr>
      </w:pPr>
    </w:p>
    <w:tbl>
      <w:tblPr>
        <w:tblW w:w="5000" w:type="pct"/>
        <w:tblCellMar>
          <w:left w:w="70" w:type="dxa"/>
          <w:right w:w="70" w:type="dxa"/>
        </w:tblCellMar>
        <w:tblLook w:val="04A0" w:firstRow="1" w:lastRow="0" w:firstColumn="1" w:lastColumn="0" w:noHBand="0" w:noVBand="1"/>
      </w:tblPr>
      <w:tblGrid>
        <w:gridCol w:w="429"/>
        <w:gridCol w:w="861"/>
        <w:gridCol w:w="861"/>
        <w:gridCol w:w="1791"/>
        <w:gridCol w:w="635"/>
        <w:gridCol w:w="890"/>
        <w:gridCol w:w="890"/>
        <w:gridCol w:w="890"/>
        <w:gridCol w:w="890"/>
        <w:gridCol w:w="888"/>
      </w:tblGrid>
      <w:tr w:rsidR="00C24F6F" w:rsidRPr="000C2D79" w14:paraId="2616D241" w14:textId="77777777" w:rsidTr="002B1847">
        <w:trPr>
          <w:trHeight w:val="282"/>
        </w:trPr>
        <w:tc>
          <w:tcPr>
            <w:tcW w:w="2184" w:type="pct"/>
            <w:gridSpan w:val="4"/>
            <w:tcBorders>
              <w:top w:val="nil"/>
              <w:left w:val="nil"/>
              <w:bottom w:val="nil"/>
              <w:right w:val="nil"/>
            </w:tcBorders>
            <w:shd w:val="clear" w:color="000000" w:fill="FFFFFF"/>
            <w:vAlign w:val="center"/>
            <w:hideMark/>
          </w:tcPr>
          <w:p w14:paraId="72841D86" w14:textId="77777777" w:rsidR="00C24F6F" w:rsidRPr="000C2D79" w:rsidRDefault="00C24F6F" w:rsidP="002B1847">
            <w:pPr>
              <w:spacing w:after="0" w:line="240" w:lineRule="auto"/>
              <w:rPr>
                <w:rFonts w:ascii="Arial Narrow" w:eastAsia="Times New Roman" w:hAnsi="Arial Narrow" w:cs="Calibri"/>
                <w:b/>
                <w:bCs/>
                <w:color w:val="2C9ADC"/>
                <w:kern w:val="0"/>
                <w:sz w:val="18"/>
                <w:szCs w:val="18"/>
                <w:lang w:eastAsia="sk-SK"/>
                <w14:ligatures w14:val="none"/>
              </w:rPr>
            </w:pPr>
            <w:r w:rsidRPr="000C2D79">
              <w:rPr>
                <w:rFonts w:ascii="Arial Narrow" w:eastAsia="Times New Roman" w:hAnsi="Arial Narrow" w:cs="Calibri"/>
                <w:b/>
                <w:bCs/>
                <w:color w:val="2C9ADC"/>
                <w:kern w:val="0"/>
                <w:sz w:val="18"/>
                <w:szCs w:val="18"/>
                <w:lang w:eastAsia="sk-SK"/>
                <w14:ligatures w14:val="none"/>
              </w:rPr>
              <w:t>TABUĽKA 2 – Makroekonomický scenár</w:t>
            </w:r>
          </w:p>
        </w:tc>
        <w:tc>
          <w:tcPr>
            <w:tcW w:w="352" w:type="pct"/>
            <w:tcBorders>
              <w:top w:val="nil"/>
              <w:left w:val="nil"/>
              <w:bottom w:val="nil"/>
              <w:right w:val="nil"/>
            </w:tcBorders>
            <w:shd w:val="clear" w:color="000000" w:fill="FFFFFF"/>
            <w:vAlign w:val="center"/>
          </w:tcPr>
          <w:p w14:paraId="516D8C33"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8"/>
                <w:szCs w:val="18"/>
                <w:lang w:eastAsia="sk-SK"/>
                <w14:ligatures w14:val="none"/>
              </w:rPr>
            </w:pPr>
            <w:r>
              <w:rPr>
                <w:rFonts w:ascii="Arial Narrow" w:hAnsi="Arial Narrow" w:cs="Calibri"/>
                <w:b/>
                <w:bCs/>
                <w:color w:val="000000"/>
                <w:sz w:val="18"/>
                <w:szCs w:val="18"/>
              </w:rPr>
              <w:t>2023</w:t>
            </w:r>
          </w:p>
        </w:tc>
        <w:tc>
          <w:tcPr>
            <w:tcW w:w="493" w:type="pct"/>
            <w:tcBorders>
              <w:top w:val="nil"/>
              <w:left w:val="nil"/>
              <w:bottom w:val="nil"/>
              <w:right w:val="nil"/>
            </w:tcBorders>
            <w:shd w:val="clear" w:color="000000" w:fill="FFFFFF"/>
            <w:vAlign w:val="center"/>
            <w:hideMark/>
          </w:tcPr>
          <w:p w14:paraId="72A8575E"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8"/>
                <w:szCs w:val="18"/>
                <w:lang w:eastAsia="sk-SK"/>
                <w14:ligatures w14:val="none"/>
              </w:rPr>
            </w:pPr>
            <w:r>
              <w:rPr>
                <w:rFonts w:ascii="Arial Narrow" w:hAnsi="Arial Narrow" w:cs="Calibri"/>
                <w:b/>
                <w:bCs/>
                <w:color w:val="000000"/>
                <w:sz w:val="18"/>
                <w:szCs w:val="18"/>
              </w:rPr>
              <w:t>2023</w:t>
            </w:r>
          </w:p>
        </w:tc>
        <w:tc>
          <w:tcPr>
            <w:tcW w:w="493" w:type="pct"/>
            <w:tcBorders>
              <w:top w:val="nil"/>
              <w:left w:val="nil"/>
              <w:bottom w:val="nil"/>
              <w:right w:val="nil"/>
            </w:tcBorders>
            <w:shd w:val="clear" w:color="000000" w:fill="FFFFFF"/>
            <w:vAlign w:val="center"/>
            <w:hideMark/>
          </w:tcPr>
          <w:p w14:paraId="3F2C9EFE"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8"/>
                <w:szCs w:val="18"/>
                <w:lang w:eastAsia="sk-SK"/>
                <w14:ligatures w14:val="none"/>
              </w:rPr>
            </w:pPr>
            <w:r>
              <w:rPr>
                <w:rFonts w:ascii="Arial Narrow" w:hAnsi="Arial Narrow" w:cs="Calibri"/>
                <w:b/>
                <w:bCs/>
                <w:color w:val="000000"/>
                <w:sz w:val="18"/>
                <w:szCs w:val="18"/>
              </w:rPr>
              <w:t>2024</w:t>
            </w:r>
          </w:p>
        </w:tc>
        <w:tc>
          <w:tcPr>
            <w:tcW w:w="493" w:type="pct"/>
            <w:tcBorders>
              <w:top w:val="nil"/>
              <w:left w:val="nil"/>
              <w:bottom w:val="nil"/>
              <w:right w:val="nil"/>
            </w:tcBorders>
            <w:shd w:val="clear" w:color="000000" w:fill="FFFFFF"/>
            <w:vAlign w:val="center"/>
            <w:hideMark/>
          </w:tcPr>
          <w:p w14:paraId="2DDC5B34"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8"/>
                <w:szCs w:val="18"/>
                <w:lang w:eastAsia="sk-SK"/>
                <w14:ligatures w14:val="none"/>
              </w:rPr>
            </w:pPr>
            <w:r>
              <w:rPr>
                <w:rFonts w:ascii="Arial Narrow" w:hAnsi="Arial Narrow" w:cs="Calibri"/>
                <w:b/>
                <w:bCs/>
                <w:color w:val="000000"/>
                <w:sz w:val="18"/>
                <w:szCs w:val="18"/>
              </w:rPr>
              <w:t>2025</w:t>
            </w:r>
          </w:p>
        </w:tc>
        <w:tc>
          <w:tcPr>
            <w:tcW w:w="493" w:type="pct"/>
            <w:tcBorders>
              <w:top w:val="nil"/>
              <w:left w:val="nil"/>
              <w:bottom w:val="nil"/>
              <w:right w:val="nil"/>
            </w:tcBorders>
            <w:shd w:val="clear" w:color="000000" w:fill="FFFFFF"/>
            <w:vAlign w:val="center"/>
          </w:tcPr>
          <w:p w14:paraId="79A3A710"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8"/>
                <w:szCs w:val="18"/>
                <w:lang w:eastAsia="sk-SK"/>
                <w14:ligatures w14:val="none"/>
              </w:rPr>
            </w:pPr>
            <w:r>
              <w:rPr>
                <w:rFonts w:ascii="Arial Narrow" w:hAnsi="Arial Narrow" w:cs="Calibri"/>
                <w:b/>
                <w:bCs/>
                <w:color w:val="000000"/>
                <w:sz w:val="18"/>
                <w:szCs w:val="18"/>
              </w:rPr>
              <w:t>2026</w:t>
            </w:r>
          </w:p>
        </w:tc>
        <w:tc>
          <w:tcPr>
            <w:tcW w:w="492" w:type="pct"/>
            <w:tcBorders>
              <w:top w:val="nil"/>
              <w:left w:val="nil"/>
              <w:bottom w:val="nil"/>
              <w:right w:val="nil"/>
            </w:tcBorders>
            <w:shd w:val="clear" w:color="000000" w:fill="FFFFFF"/>
            <w:vAlign w:val="center"/>
            <w:hideMark/>
          </w:tcPr>
          <w:p w14:paraId="164D1477"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8"/>
                <w:szCs w:val="18"/>
                <w:lang w:eastAsia="sk-SK"/>
                <w14:ligatures w14:val="none"/>
              </w:rPr>
            </w:pPr>
            <w:r>
              <w:rPr>
                <w:rFonts w:ascii="Arial Narrow" w:hAnsi="Arial Narrow" w:cs="Calibri"/>
                <w:b/>
                <w:bCs/>
                <w:color w:val="000000"/>
                <w:sz w:val="18"/>
                <w:szCs w:val="18"/>
              </w:rPr>
              <w:t>2027</w:t>
            </w:r>
          </w:p>
        </w:tc>
      </w:tr>
      <w:tr w:rsidR="00C24F6F" w:rsidRPr="000C2D79" w14:paraId="639CCA87" w14:textId="77777777" w:rsidTr="002B1847">
        <w:trPr>
          <w:trHeight w:val="282"/>
        </w:trPr>
        <w:tc>
          <w:tcPr>
            <w:tcW w:w="715" w:type="pct"/>
            <w:gridSpan w:val="2"/>
            <w:tcBorders>
              <w:top w:val="nil"/>
              <w:left w:val="nil"/>
              <w:bottom w:val="single" w:sz="8" w:space="0" w:color="auto"/>
              <w:right w:val="nil"/>
            </w:tcBorders>
            <w:vAlign w:val="center"/>
            <w:hideMark/>
          </w:tcPr>
          <w:p w14:paraId="548CC3DB" w14:textId="77777777" w:rsidR="00C24F6F" w:rsidRPr="000C2D79" w:rsidRDefault="00C24F6F" w:rsidP="002B1847">
            <w:pPr>
              <w:spacing w:after="0" w:line="240" w:lineRule="auto"/>
              <w:jc w:val="center"/>
              <w:rPr>
                <w:rFonts w:ascii="Arial Narrow" w:eastAsia="Times New Roman" w:hAnsi="Arial Narrow" w:cs="Calibri"/>
                <w:b/>
                <w:bCs/>
                <w:color w:val="2F5496"/>
                <w:kern w:val="0"/>
                <w:sz w:val="18"/>
                <w:szCs w:val="18"/>
                <w:lang w:eastAsia="sk-SK"/>
                <w14:ligatures w14:val="none"/>
              </w:rPr>
            </w:pPr>
            <w:r w:rsidRPr="000C2D79">
              <w:rPr>
                <w:rFonts w:ascii="Arial Narrow" w:eastAsia="Times New Roman" w:hAnsi="Arial Narrow" w:cs="Calibri"/>
                <w:b/>
                <w:bCs/>
                <w:color w:val="2F5496"/>
                <w:kern w:val="0"/>
                <w:sz w:val="18"/>
                <w:szCs w:val="18"/>
                <w:lang w:eastAsia="sk-SK"/>
                <w14:ligatures w14:val="none"/>
              </w:rPr>
              <w:t> </w:t>
            </w:r>
          </w:p>
        </w:tc>
        <w:tc>
          <w:tcPr>
            <w:tcW w:w="477" w:type="pct"/>
            <w:tcBorders>
              <w:top w:val="nil"/>
              <w:left w:val="nil"/>
              <w:bottom w:val="single" w:sz="8" w:space="0" w:color="auto"/>
              <w:right w:val="nil"/>
            </w:tcBorders>
            <w:vAlign w:val="center"/>
          </w:tcPr>
          <w:p w14:paraId="374283E6" w14:textId="77777777" w:rsidR="00C24F6F" w:rsidRPr="000C2D79" w:rsidRDefault="00C24F6F" w:rsidP="002B1847">
            <w:pPr>
              <w:spacing w:after="0" w:line="240" w:lineRule="auto"/>
              <w:jc w:val="center"/>
              <w:rPr>
                <w:rFonts w:ascii="Arial Narrow" w:eastAsia="Times New Roman" w:hAnsi="Arial Narrow" w:cs="Calibri"/>
                <w:b/>
                <w:bCs/>
                <w:i/>
                <w:iCs/>
                <w:color w:val="2F5496"/>
                <w:kern w:val="0"/>
                <w:sz w:val="18"/>
                <w:szCs w:val="18"/>
                <w:lang w:eastAsia="sk-SK"/>
                <w14:ligatures w14:val="none"/>
              </w:rPr>
            </w:pPr>
          </w:p>
        </w:tc>
        <w:tc>
          <w:tcPr>
            <w:tcW w:w="992" w:type="pct"/>
            <w:tcBorders>
              <w:top w:val="nil"/>
              <w:left w:val="nil"/>
              <w:bottom w:val="single" w:sz="8" w:space="0" w:color="auto"/>
              <w:right w:val="nil"/>
            </w:tcBorders>
            <w:vAlign w:val="center"/>
          </w:tcPr>
          <w:p w14:paraId="0DCAD225" w14:textId="77777777" w:rsidR="00C24F6F" w:rsidRPr="000C2D79" w:rsidRDefault="00C24F6F" w:rsidP="002B1847">
            <w:pPr>
              <w:spacing w:after="0" w:line="240" w:lineRule="auto"/>
              <w:jc w:val="center"/>
              <w:rPr>
                <w:rFonts w:ascii="Arial Narrow" w:eastAsia="Times New Roman" w:hAnsi="Arial Narrow" w:cs="Calibri"/>
                <w:b/>
                <w:bCs/>
                <w:i/>
                <w:iCs/>
                <w:color w:val="2F5496"/>
                <w:kern w:val="0"/>
                <w:sz w:val="18"/>
                <w:szCs w:val="18"/>
                <w:lang w:eastAsia="sk-SK"/>
                <w14:ligatures w14:val="none"/>
              </w:rPr>
            </w:pPr>
          </w:p>
        </w:tc>
        <w:tc>
          <w:tcPr>
            <w:tcW w:w="352" w:type="pct"/>
            <w:tcBorders>
              <w:top w:val="nil"/>
              <w:left w:val="nil"/>
              <w:bottom w:val="single" w:sz="8" w:space="0" w:color="auto"/>
              <w:right w:val="nil"/>
            </w:tcBorders>
            <w:vAlign w:val="center"/>
          </w:tcPr>
          <w:p w14:paraId="38EC82C6" w14:textId="77777777" w:rsidR="00C24F6F" w:rsidRPr="000C2D79" w:rsidRDefault="00C24F6F" w:rsidP="002B1847">
            <w:pPr>
              <w:spacing w:after="0" w:line="240" w:lineRule="auto"/>
              <w:jc w:val="center"/>
              <w:rPr>
                <w:rFonts w:ascii="Arial Narrow" w:eastAsia="Times New Roman" w:hAnsi="Arial Narrow" w:cs="Calibri"/>
                <w:color w:val="2C9ADC"/>
                <w:kern w:val="0"/>
                <w:sz w:val="16"/>
                <w:szCs w:val="16"/>
                <w:lang w:eastAsia="sk-SK"/>
                <w14:ligatures w14:val="none"/>
              </w:rPr>
            </w:pPr>
            <w:r>
              <w:rPr>
                <w:rFonts w:ascii="Arial Narrow" w:hAnsi="Arial Narrow" w:cs="Calibri"/>
                <w:color w:val="2C9ADC"/>
                <w:sz w:val="16"/>
                <w:szCs w:val="16"/>
              </w:rPr>
              <w:t>mld. eur</w:t>
            </w:r>
          </w:p>
        </w:tc>
        <w:tc>
          <w:tcPr>
            <w:tcW w:w="493" w:type="pct"/>
            <w:tcBorders>
              <w:top w:val="nil"/>
              <w:left w:val="nil"/>
              <w:bottom w:val="single" w:sz="8" w:space="0" w:color="auto"/>
              <w:right w:val="nil"/>
            </w:tcBorders>
            <w:vAlign w:val="center"/>
            <w:hideMark/>
          </w:tcPr>
          <w:p w14:paraId="6461BBA5" w14:textId="77777777" w:rsidR="00C24F6F" w:rsidRPr="000C2D79" w:rsidRDefault="00C24F6F" w:rsidP="002B1847">
            <w:pPr>
              <w:spacing w:after="0" w:line="240" w:lineRule="auto"/>
              <w:jc w:val="center"/>
              <w:rPr>
                <w:rFonts w:ascii="Arial Narrow" w:eastAsia="Times New Roman" w:hAnsi="Arial Narrow" w:cs="Calibri"/>
                <w:color w:val="2C9ADC"/>
                <w:kern w:val="0"/>
                <w:sz w:val="16"/>
                <w:szCs w:val="16"/>
                <w:lang w:eastAsia="sk-SK"/>
                <w14:ligatures w14:val="none"/>
              </w:rPr>
            </w:pPr>
            <w:r>
              <w:rPr>
                <w:rFonts w:ascii="Arial Narrow" w:hAnsi="Arial Narrow" w:cs="Calibri"/>
                <w:color w:val="2C9ADC"/>
                <w:sz w:val="16"/>
                <w:szCs w:val="16"/>
              </w:rPr>
              <w:t>rast v %</w:t>
            </w:r>
          </w:p>
        </w:tc>
        <w:tc>
          <w:tcPr>
            <w:tcW w:w="493" w:type="pct"/>
            <w:tcBorders>
              <w:top w:val="nil"/>
              <w:left w:val="nil"/>
              <w:bottom w:val="single" w:sz="8" w:space="0" w:color="auto"/>
              <w:right w:val="nil"/>
            </w:tcBorders>
            <w:vAlign w:val="center"/>
            <w:hideMark/>
          </w:tcPr>
          <w:p w14:paraId="1468A15B" w14:textId="77777777" w:rsidR="00C24F6F" w:rsidRPr="000C2D79" w:rsidRDefault="00C24F6F" w:rsidP="002B1847">
            <w:pPr>
              <w:spacing w:after="0" w:line="240" w:lineRule="auto"/>
              <w:jc w:val="center"/>
              <w:rPr>
                <w:rFonts w:ascii="Arial Narrow" w:eastAsia="Times New Roman" w:hAnsi="Arial Narrow" w:cs="Calibri"/>
                <w:color w:val="2C9ADC"/>
                <w:kern w:val="0"/>
                <w:sz w:val="16"/>
                <w:szCs w:val="16"/>
                <w:lang w:eastAsia="sk-SK"/>
                <w14:ligatures w14:val="none"/>
              </w:rPr>
            </w:pPr>
            <w:r>
              <w:rPr>
                <w:rFonts w:ascii="Arial Narrow" w:hAnsi="Arial Narrow" w:cs="Calibri"/>
                <w:color w:val="2C9ADC"/>
                <w:sz w:val="16"/>
                <w:szCs w:val="16"/>
              </w:rPr>
              <w:t>rast v %</w:t>
            </w:r>
          </w:p>
        </w:tc>
        <w:tc>
          <w:tcPr>
            <w:tcW w:w="493" w:type="pct"/>
            <w:tcBorders>
              <w:top w:val="nil"/>
              <w:left w:val="nil"/>
              <w:bottom w:val="single" w:sz="8" w:space="0" w:color="auto"/>
              <w:right w:val="nil"/>
            </w:tcBorders>
            <w:vAlign w:val="center"/>
            <w:hideMark/>
          </w:tcPr>
          <w:p w14:paraId="0D02CF91" w14:textId="77777777" w:rsidR="00C24F6F" w:rsidRPr="000C2D79" w:rsidRDefault="00C24F6F" w:rsidP="002B1847">
            <w:pPr>
              <w:spacing w:after="0" w:line="240" w:lineRule="auto"/>
              <w:jc w:val="center"/>
              <w:rPr>
                <w:rFonts w:ascii="Arial Narrow" w:eastAsia="Times New Roman" w:hAnsi="Arial Narrow" w:cs="Calibri"/>
                <w:color w:val="2C9ADC"/>
                <w:kern w:val="0"/>
                <w:sz w:val="16"/>
                <w:szCs w:val="16"/>
                <w:lang w:eastAsia="sk-SK"/>
                <w14:ligatures w14:val="none"/>
              </w:rPr>
            </w:pPr>
            <w:r>
              <w:rPr>
                <w:rFonts w:ascii="Arial Narrow" w:hAnsi="Arial Narrow" w:cs="Calibri"/>
                <w:color w:val="2C9ADC"/>
                <w:sz w:val="16"/>
                <w:szCs w:val="16"/>
              </w:rPr>
              <w:t>rast v %</w:t>
            </w:r>
          </w:p>
        </w:tc>
        <w:tc>
          <w:tcPr>
            <w:tcW w:w="493" w:type="pct"/>
            <w:tcBorders>
              <w:top w:val="nil"/>
              <w:left w:val="nil"/>
              <w:bottom w:val="single" w:sz="8" w:space="0" w:color="auto"/>
              <w:right w:val="nil"/>
            </w:tcBorders>
            <w:vAlign w:val="center"/>
          </w:tcPr>
          <w:p w14:paraId="3FE1A74C" w14:textId="77777777" w:rsidR="00C24F6F" w:rsidRPr="000C2D79" w:rsidRDefault="00C24F6F" w:rsidP="002B1847">
            <w:pPr>
              <w:spacing w:after="0" w:line="240" w:lineRule="auto"/>
              <w:jc w:val="center"/>
              <w:rPr>
                <w:rFonts w:ascii="Arial Narrow" w:eastAsia="Times New Roman" w:hAnsi="Arial Narrow" w:cs="Calibri"/>
                <w:color w:val="2C9ADC"/>
                <w:kern w:val="0"/>
                <w:sz w:val="16"/>
                <w:szCs w:val="16"/>
                <w:lang w:eastAsia="sk-SK"/>
                <w14:ligatures w14:val="none"/>
              </w:rPr>
            </w:pPr>
            <w:r w:rsidRPr="000C2D79">
              <w:rPr>
                <w:rFonts w:ascii="Arial Narrow" w:eastAsia="Times New Roman" w:hAnsi="Arial Narrow" w:cs="Calibri"/>
                <w:color w:val="2C9ADC"/>
                <w:kern w:val="0"/>
                <w:sz w:val="16"/>
                <w:szCs w:val="16"/>
                <w:lang w:eastAsia="sk-SK"/>
                <w14:ligatures w14:val="none"/>
              </w:rPr>
              <w:t>rast v %</w:t>
            </w:r>
          </w:p>
        </w:tc>
        <w:tc>
          <w:tcPr>
            <w:tcW w:w="492" w:type="pct"/>
            <w:tcBorders>
              <w:top w:val="nil"/>
              <w:left w:val="nil"/>
              <w:bottom w:val="single" w:sz="8" w:space="0" w:color="auto"/>
              <w:right w:val="nil"/>
            </w:tcBorders>
            <w:vAlign w:val="center"/>
            <w:hideMark/>
          </w:tcPr>
          <w:p w14:paraId="4EDBDC3C" w14:textId="77777777" w:rsidR="00C24F6F" w:rsidRPr="000C2D79" w:rsidRDefault="00C24F6F" w:rsidP="002B1847">
            <w:pPr>
              <w:spacing w:after="0" w:line="240" w:lineRule="auto"/>
              <w:jc w:val="center"/>
              <w:rPr>
                <w:rFonts w:ascii="Arial Narrow" w:eastAsia="Times New Roman" w:hAnsi="Arial Narrow" w:cs="Calibri"/>
                <w:color w:val="2C9ADC"/>
                <w:kern w:val="0"/>
                <w:sz w:val="16"/>
                <w:szCs w:val="16"/>
                <w:lang w:eastAsia="sk-SK"/>
                <w14:ligatures w14:val="none"/>
              </w:rPr>
            </w:pPr>
            <w:r w:rsidRPr="000C2D79">
              <w:rPr>
                <w:rFonts w:ascii="Arial Narrow" w:eastAsia="Times New Roman" w:hAnsi="Arial Narrow" w:cs="Calibri"/>
                <w:color w:val="2C9ADC"/>
                <w:kern w:val="0"/>
                <w:sz w:val="16"/>
                <w:szCs w:val="16"/>
                <w:lang w:eastAsia="sk-SK"/>
                <w14:ligatures w14:val="none"/>
              </w:rPr>
              <w:t>rast v %</w:t>
            </w:r>
          </w:p>
        </w:tc>
      </w:tr>
      <w:tr w:rsidR="00C24F6F" w:rsidRPr="000C2D79" w14:paraId="374DBF1E" w14:textId="77777777" w:rsidTr="002B1847">
        <w:trPr>
          <w:trHeight w:val="282"/>
        </w:trPr>
        <w:tc>
          <w:tcPr>
            <w:tcW w:w="2184" w:type="pct"/>
            <w:gridSpan w:val="4"/>
            <w:tcBorders>
              <w:top w:val="single" w:sz="8" w:space="0" w:color="auto"/>
              <w:left w:val="nil"/>
              <w:bottom w:val="nil"/>
              <w:right w:val="nil"/>
            </w:tcBorders>
            <w:vAlign w:val="center"/>
            <w:hideMark/>
          </w:tcPr>
          <w:p w14:paraId="111289FE" w14:textId="77777777" w:rsidR="00C24F6F" w:rsidRPr="000C2D79" w:rsidRDefault="00C24F6F" w:rsidP="002B1847">
            <w:pPr>
              <w:spacing w:after="0" w:line="240" w:lineRule="auto"/>
              <w:rPr>
                <w:rFonts w:ascii="Arial Narrow" w:eastAsia="Times New Roman" w:hAnsi="Arial Narrow" w:cs="Calibri"/>
                <w:i/>
                <w:iCs/>
                <w:color w:val="2C9ADC"/>
                <w:kern w:val="0"/>
                <w:sz w:val="16"/>
                <w:szCs w:val="16"/>
                <w:lang w:eastAsia="sk-SK"/>
                <w14:ligatures w14:val="none"/>
              </w:rPr>
            </w:pPr>
            <w:r w:rsidRPr="000C2D79">
              <w:rPr>
                <w:rFonts w:ascii="Arial Narrow" w:eastAsia="Times New Roman" w:hAnsi="Arial Narrow" w:cs="Calibri"/>
                <w:i/>
                <w:iCs/>
                <w:color w:val="2C9ADC"/>
                <w:kern w:val="0"/>
                <w:sz w:val="16"/>
                <w:szCs w:val="16"/>
                <w:lang w:eastAsia="sk-SK"/>
                <w14:ligatures w14:val="none"/>
              </w:rPr>
              <w:t>Hrubý domáci produkt</w:t>
            </w:r>
          </w:p>
        </w:tc>
        <w:tc>
          <w:tcPr>
            <w:tcW w:w="352" w:type="pct"/>
            <w:tcBorders>
              <w:top w:val="nil"/>
              <w:left w:val="nil"/>
              <w:bottom w:val="nil"/>
              <w:right w:val="nil"/>
            </w:tcBorders>
            <w:vAlign w:val="center"/>
            <w:hideMark/>
          </w:tcPr>
          <w:p w14:paraId="0F448CCC" w14:textId="77777777" w:rsidR="00C24F6F" w:rsidRPr="000C2D79" w:rsidRDefault="00C24F6F" w:rsidP="002B1847">
            <w:pPr>
              <w:spacing w:after="0" w:line="240" w:lineRule="auto"/>
              <w:jc w:val="center"/>
              <w:rPr>
                <w:rFonts w:ascii="Arial Narrow" w:eastAsia="Times New Roman" w:hAnsi="Arial Narrow" w:cs="Calibri"/>
                <w:b/>
                <w:bCs/>
                <w:color w:val="2F5496"/>
                <w:kern w:val="0"/>
                <w:sz w:val="16"/>
                <w:szCs w:val="16"/>
                <w:lang w:eastAsia="sk-SK"/>
                <w14:ligatures w14:val="none"/>
              </w:rPr>
            </w:pPr>
            <w:r w:rsidRPr="000C2D79">
              <w:rPr>
                <w:rFonts w:ascii="Arial Narrow" w:eastAsia="Times New Roman" w:hAnsi="Arial Narrow" w:cs="Calibri"/>
                <w:b/>
                <w:bCs/>
                <w:color w:val="2F5496"/>
                <w:kern w:val="0"/>
                <w:sz w:val="16"/>
                <w:szCs w:val="16"/>
                <w:lang w:eastAsia="sk-SK"/>
                <w14:ligatures w14:val="none"/>
              </w:rPr>
              <w:t> </w:t>
            </w:r>
          </w:p>
        </w:tc>
        <w:tc>
          <w:tcPr>
            <w:tcW w:w="493" w:type="pct"/>
            <w:tcBorders>
              <w:top w:val="nil"/>
              <w:left w:val="nil"/>
              <w:bottom w:val="nil"/>
              <w:right w:val="nil"/>
            </w:tcBorders>
            <w:vAlign w:val="center"/>
            <w:hideMark/>
          </w:tcPr>
          <w:p w14:paraId="53DA3870" w14:textId="77777777" w:rsidR="00C24F6F" w:rsidRPr="000C2D79" w:rsidRDefault="00C24F6F" w:rsidP="002B1847">
            <w:pPr>
              <w:spacing w:after="0" w:line="240" w:lineRule="auto"/>
              <w:jc w:val="center"/>
              <w:rPr>
                <w:rFonts w:ascii="Arial Narrow" w:eastAsia="Times New Roman" w:hAnsi="Arial Narrow" w:cs="Calibri"/>
                <w:b/>
                <w:bCs/>
                <w:color w:val="2F5496"/>
                <w:kern w:val="0"/>
                <w:sz w:val="16"/>
                <w:szCs w:val="16"/>
                <w:lang w:eastAsia="sk-SK"/>
                <w14:ligatures w14:val="none"/>
              </w:rPr>
            </w:pPr>
          </w:p>
        </w:tc>
        <w:tc>
          <w:tcPr>
            <w:tcW w:w="493" w:type="pct"/>
            <w:tcBorders>
              <w:top w:val="nil"/>
              <w:left w:val="nil"/>
              <w:bottom w:val="nil"/>
              <w:right w:val="nil"/>
            </w:tcBorders>
            <w:vAlign w:val="center"/>
            <w:hideMark/>
          </w:tcPr>
          <w:p w14:paraId="75B401B7"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3" w:type="pct"/>
            <w:tcBorders>
              <w:top w:val="nil"/>
              <w:left w:val="nil"/>
              <w:bottom w:val="nil"/>
              <w:right w:val="nil"/>
            </w:tcBorders>
            <w:vAlign w:val="center"/>
            <w:hideMark/>
          </w:tcPr>
          <w:p w14:paraId="15B2D24D"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3" w:type="pct"/>
            <w:tcBorders>
              <w:top w:val="nil"/>
              <w:left w:val="nil"/>
              <w:bottom w:val="nil"/>
              <w:right w:val="nil"/>
            </w:tcBorders>
          </w:tcPr>
          <w:p w14:paraId="083AA187"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2" w:type="pct"/>
            <w:tcBorders>
              <w:top w:val="nil"/>
              <w:left w:val="nil"/>
              <w:bottom w:val="nil"/>
              <w:right w:val="nil"/>
            </w:tcBorders>
            <w:vAlign w:val="center"/>
            <w:hideMark/>
          </w:tcPr>
          <w:p w14:paraId="4C536B71"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r>
      <w:tr w:rsidR="00C24F6F" w:rsidRPr="000C2D79" w14:paraId="1CAE4A62" w14:textId="77777777" w:rsidTr="002B1847">
        <w:trPr>
          <w:trHeight w:val="282"/>
        </w:trPr>
        <w:tc>
          <w:tcPr>
            <w:tcW w:w="238" w:type="pct"/>
            <w:tcBorders>
              <w:top w:val="nil"/>
              <w:left w:val="nil"/>
              <w:bottom w:val="nil"/>
              <w:right w:val="nil"/>
            </w:tcBorders>
            <w:shd w:val="clear" w:color="000000" w:fill="DDEBF7"/>
            <w:vAlign w:val="center"/>
            <w:hideMark/>
          </w:tcPr>
          <w:p w14:paraId="3CA9BF69"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1</w:t>
            </w:r>
          </w:p>
        </w:tc>
        <w:tc>
          <w:tcPr>
            <w:tcW w:w="1946" w:type="pct"/>
            <w:gridSpan w:val="3"/>
            <w:tcBorders>
              <w:top w:val="nil"/>
              <w:left w:val="nil"/>
              <w:bottom w:val="nil"/>
              <w:right w:val="nil"/>
            </w:tcBorders>
            <w:shd w:val="clear" w:color="000000" w:fill="DDEBF7"/>
            <w:vAlign w:val="center"/>
            <w:hideMark/>
          </w:tcPr>
          <w:p w14:paraId="5720ECFE"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Reálny HDP</w:t>
            </w:r>
          </w:p>
        </w:tc>
        <w:tc>
          <w:tcPr>
            <w:tcW w:w="352" w:type="pct"/>
            <w:tcBorders>
              <w:top w:val="nil"/>
              <w:left w:val="nil"/>
              <w:bottom w:val="nil"/>
              <w:right w:val="nil"/>
            </w:tcBorders>
            <w:shd w:val="clear" w:color="000000" w:fill="DDEBF7"/>
            <w:vAlign w:val="center"/>
            <w:hideMark/>
          </w:tcPr>
          <w:p w14:paraId="2530C1EA"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 </w:t>
            </w:r>
          </w:p>
        </w:tc>
        <w:tc>
          <w:tcPr>
            <w:tcW w:w="493" w:type="pct"/>
            <w:tcBorders>
              <w:top w:val="nil"/>
              <w:left w:val="nil"/>
              <w:bottom w:val="nil"/>
              <w:right w:val="nil"/>
            </w:tcBorders>
            <w:shd w:val="clear" w:color="000000" w:fill="DDEBF7"/>
            <w:vAlign w:val="center"/>
            <w:hideMark/>
          </w:tcPr>
          <w:p w14:paraId="5A8BE83A" w14:textId="6646BF94"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2</w:t>
            </w:r>
            <w:r w:rsidR="004C170C">
              <w:rPr>
                <w:rFonts w:ascii="Arial Narrow" w:hAnsi="Arial Narrow" w:cs="Calibri"/>
                <w:sz w:val="16"/>
                <w:szCs w:val="16"/>
              </w:rPr>
              <w:t>,</w:t>
            </w:r>
            <w:r>
              <w:rPr>
                <w:rFonts w:ascii="Arial Narrow" w:hAnsi="Arial Narrow" w:cs="Calibri"/>
                <w:sz w:val="16"/>
                <w:szCs w:val="16"/>
              </w:rPr>
              <w:t>1</w:t>
            </w:r>
          </w:p>
        </w:tc>
        <w:tc>
          <w:tcPr>
            <w:tcW w:w="493" w:type="pct"/>
            <w:tcBorders>
              <w:top w:val="nil"/>
              <w:left w:val="nil"/>
              <w:bottom w:val="nil"/>
              <w:right w:val="nil"/>
            </w:tcBorders>
            <w:shd w:val="clear" w:color="000000" w:fill="DDEBF7"/>
            <w:vAlign w:val="center"/>
            <w:hideMark/>
          </w:tcPr>
          <w:p w14:paraId="4458D814" w14:textId="7E232E3D"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4C170C">
              <w:rPr>
                <w:rFonts w:ascii="Arial Narrow" w:hAnsi="Arial Narrow" w:cs="Calibri"/>
                <w:sz w:val="16"/>
                <w:szCs w:val="16"/>
              </w:rPr>
              <w:t>,</w:t>
            </w:r>
            <w:r>
              <w:rPr>
                <w:rFonts w:ascii="Arial Narrow" w:hAnsi="Arial Narrow" w:cs="Calibri"/>
                <w:sz w:val="16"/>
                <w:szCs w:val="16"/>
              </w:rPr>
              <w:t>9</w:t>
            </w:r>
          </w:p>
        </w:tc>
        <w:tc>
          <w:tcPr>
            <w:tcW w:w="493" w:type="pct"/>
            <w:tcBorders>
              <w:top w:val="nil"/>
              <w:left w:val="nil"/>
              <w:bottom w:val="nil"/>
              <w:right w:val="nil"/>
            </w:tcBorders>
            <w:shd w:val="clear" w:color="000000" w:fill="DDEBF7"/>
            <w:vAlign w:val="center"/>
            <w:hideMark/>
          </w:tcPr>
          <w:p w14:paraId="1F665D65" w14:textId="0EE800FC"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4C170C">
              <w:rPr>
                <w:rFonts w:ascii="Arial Narrow" w:hAnsi="Arial Narrow" w:cs="Calibri"/>
                <w:sz w:val="16"/>
                <w:szCs w:val="16"/>
              </w:rPr>
              <w:t>,</w:t>
            </w:r>
            <w:r>
              <w:rPr>
                <w:rFonts w:ascii="Arial Narrow" w:hAnsi="Arial Narrow" w:cs="Calibri"/>
                <w:sz w:val="16"/>
                <w:szCs w:val="16"/>
              </w:rPr>
              <w:t>8</w:t>
            </w:r>
          </w:p>
        </w:tc>
        <w:tc>
          <w:tcPr>
            <w:tcW w:w="493" w:type="pct"/>
            <w:tcBorders>
              <w:top w:val="nil"/>
              <w:left w:val="nil"/>
              <w:bottom w:val="nil"/>
              <w:right w:val="nil"/>
            </w:tcBorders>
            <w:shd w:val="clear" w:color="000000" w:fill="DDEBF7"/>
            <w:vAlign w:val="center"/>
          </w:tcPr>
          <w:p w14:paraId="3519B546" w14:textId="782BFC3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4C170C">
              <w:rPr>
                <w:rFonts w:ascii="Arial Narrow" w:hAnsi="Arial Narrow" w:cs="Calibri"/>
                <w:sz w:val="16"/>
                <w:szCs w:val="16"/>
              </w:rPr>
              <w:t>,</w:t>
            </w:r>
            <w:r>
              <w:rPr>
                <w:rFonts w:ascii="Arial Narrow" w:hAnsi="Arial Narrow" w:cs="Calibri"/>
                <w:sz w:val="16"/>
                <w:szCs w:val="16"/>
              </w:rPr>
              <w:t>0</w:t>
            </w:r>
          </w:p>
        </w:tc>
        <w:tc>
          <w:tcPr>
            <w:tcW w:w="492" w:type="pct"/>
            <w:tcBorders>
              <w:top w:val="nil"/>
              <w:left w:val="nil"/>
              <w:bottom w:val="nil"/>
              <w:right w:val="nil"/>
            </w:tcBorders>
            <w:shd w:val="clear" w:color="000000" w:fill="DDEBF7"/>
            <w:vAlign w:val="center"/>
            <w:hideMark/>
          </w:tcPr>
          <w:p w14:paraId="364C0025" w14:textId="71ADF225"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4C170C">
              <w:rPr>
                <w:rFonts w:ascii="Arial Narrow" w:hAnsi="Arial Narrow" w:cs="Calibri"/>
                <w:sz w:val="16"/>
                <w:szCs w:val="16"/>
              </w:rPr>
              <w:t>,</w:t>
            </w:r>
            <w:r>
              <w:rPr>
                <w:rFonts w:ascii="Arial Narrow" w:hAnsi="Arial Narrow" w:cs="Calibri"/>
                <w:sz w:val="16"/>
                <w:szCs w:val="16"/>
              </w:rPr>
              <w:t>2</w:t>
            </w:r>
          </w:p>
        </w:tc>
      </w:tr>
      <w:tr w:rsidR="00C24F6F" w:rsidRPr="000C2D79" w14:paraId="12B0CCE3" w14:textId="77777777" w:rsidTr="002B1847">
        <w:trPr>
          <w:trHeight w:val="282"/>
        </w:trPr>
        <w:tc>
          <w:tcPr>
            <w:tcW w:w="238" w:type="pct"/>
            <w:tcBorders>
              <w:top w:val="nil"/>
              <w:left w:val="nil"/>
              <w:bottom w:val="nil"/>
              <w:right w:val="nil"/>
            </w:tcBorders>
            <w:shd w:val="clear" w:color="000000" w:fill="DDEBF7"/>
            <w:vAlign w:val="center"/>
            <w:hideMark/>
          </w:tcPr>
          <w:p w14:paraId="65685B41"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2</w:t>
            </w:r>
          </w:p>
        </w:tc>
        <w:tc>
          <w:tcPr>
            <w:tcW w:w="1946" w:type="pct"/>
            <w:gridSpan w:val="3"/>
            <w:tcBorders>
              <w:top w:val="nil"/>
              <w:left w:val="nil"/>
              <w:bottom w:val="nil"/>
              <w:right w:val="nil"/>
            </w:tcBorders>
            <w:shd w:val="clear" w:color="000000" w:fill="DDEBF7"/>
            <w:vAlign w:val="center"/>
            <w:hideMark/>
          </w:tcPr>
          <w:p w14:paraId="6F81BBA8"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Deflátor HDP</w:t>
            </w:r>
          </w:p>
        </w:tc>
        <w:tc>
          <w:tcPr>
            <w:tcW w:w="352" w:type="pct"/>
            <w:tcBorders>
              <w:top w:val="nil"/>
              <w:left w:val="nil"/>
              <w:bottom w:val="nil"/>
              <w:right w:val="nil"/>
            </w:tcBorders>
            <w:shd w:val="clear" w:color="000000" w:fill="DDEBF7"/>
            <w:vAlign w:val="center"/>
            <w:hideMark/>
          </w:tcPr>
          <w:p w14:paraId="5F08FD36"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 </w:t>
            </w:r>
          </w:p>
        </w:tc>
        <w:tc>
          <w:tcPr>
            <w:tcW w:w="493" w:type="pct"/>
            <w:tcBorders>
              <w:top w:val="nil"/>
              <w:left w:val="nil"/>
              <w:bottom w:val="nil"/>
              <w:right w:val="nil"/>
            </w:tcBorders>
            <w:shd w:val="clear" w:color="000000" w:fill="DDEBF7"/>
            <w:vAlign w:val="center"/>
            <w:hideMark/>
          </w:tcPr>
          <w:p w14:paraId="76E6F115" w14:textId="139BD078"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10</w:t>
            </w:r>
            <w:r w:rsidR="004C170C">
              <w:rPr>
                <w:rFonts w:ascii="Arial Narrow" w:hAnsi="Arial Narrow" w:cs="Calibri"/>
                <w:sz w:val="16"/>
                <w:szCs w:val="16"/>
              </w:rPr>
              <w:t>,</w:t>
            </w:r>
            <w:r>
              <w:rPr>
                <w:rFonts w:ascii="Arial Narrow" w:hAnsi="Arial Narrow" w:cs="Calibri"/>
                <w:sz w:val="16"/>
                <w:szCs w:val="16"/>
              </w:rPr>
              <w:t>0</w:t>
            </w:r>
          </w:p>
        </w:tc>
        <w:tc>
          <w:tcPr>
            <w:tcW w:w="493" w:type="pct"/>
            <w:tcBorders>
              <w:top w:val="nil"/>
              <w:left w:val="nil"/>
              <w:bottom w:val="nil"/>
              <w:right w:val="nil"/>
            </w:tcBorders>
            <w:shd w:val="clear" w:color="000000" w:fill="DDEBF7"/>
            <w:vAlign w:val="center"/>
            <w:hideMark/>
          </w:tcPr>
          <w:p w14:paraId="14BBA51F" w14:textId="73089002"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4C170C">
              <w:rPr>
                <w:rFonts w:ascii="Arial Narrow" w:hAnsi="Arial Narrow" w:cs="Calibri"/>
                <w:sz w:val="16"/>
                <w:szCs w:val="16"/>
              </w:rPr>
              <w:t>,</w:t>
            </w:r>
            <w:r>
              <w:rPr>
                <w:rFonts w:ascii="Arial Narrow" w:hAnsi="Arial Narrow" w:cs="Calibri"/>
                <w:sz w:val="16"/>
                <w:szCs w:val="16"/>
              </w:rPr>
              <w:t>4</w:t>
            </w:r>
          </w:p>
        </w:tc>
        <w:tc>
          <w:tcPr>
            <w:tcW w:w="493" w:type="pct"/>
            <w:tcBorders>
              <w:top w:val="nil"/>
              <w:left w:val="nil"/>
              <w:bottom w:val="nil"/>
              <w:right w:val="nil"/>
            </w:tcBorders>
            <w:shd w:val="clear" w:color="000000" w:fill="DDEBF7"/>
            <w:vAlign w:val="center"/>
            <w:hideMark/>
          </w:tcPr>
          <w:p w14:paraId="7DBA5EB7" w14:textId="7542D625"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4</w:t>
            </w:r>
            <w:r w:rsidR="004C170C">
              <w:rPr>
                <w:rFonts w:ascii="Arial Narrow" w:hAnsi="Arial Narrow" w:cs="Calibri"/>
                <w:sz w:val="16"/>
                <w:szCs w:val="16"/>
              </w:rPr>
              <w:t>,</w:t>
            </w:r>
            <w:r>
              <w:rPr>
                <w:rFonts w:ascii="Arial Narrow" w:hAnsi="Arial Narrow" w:cs="Calibri"/>
                <w:sz w:val="16"/>
                <w:szCs w:val="16"/>
              </w:rPr>
              <w:t>2</w:t>
            </w:r>
          </w:p>
        </w:tc>
        <w:tc>
          <w:tcPr>
            <w:tcW w:w="493" w:type="pct"/>
            <w:tcBorders>
              <w:top w:val="nil"/>
              <w:left w:val="nil"/>
              <w:bottom w:val="nil"/>
              <w:right w:val="nil"/>
            </w:tcBorders>
            <w:shd w:val="clear" w:color="000000" w:fill="DDEBF7"/>
            <w:vAlign w:val="center"/>
          </w:tcPr>
          <w:p w14:paraId="71D0851E" w14:textId="42C016C0"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4C170C">
              <w:rPr>
                <w:rFonts w:ascii="Arial Narrow" w:hAnsi="Arial Narrow" w:cs="Calibri"/>
                <w:sz w:val="16"/>
                <w:szCs w:val="16"/>
              </w:rPr>
              <w:t>,</w:t>
            </w:r>
            <w:r>
              <w:rPr>
                <w:rFonts w:ascii="Arial Narrow" w:hAnsi="Arial Narrow" w:cs="Calibri"/>
                <w:sz w:val="16"/>
                <w:szCs w:val="16"/>
              </w:rPr>
              <w:t>7</w:t>
            </w:r>
          </w:p>
        </w:tc>
        <w:tc>
          <w:tcPr>
            <w:tcW w:w="492" w:type="pct"/>
            <w:tcBorders>
              <w:top w:val="nil"/>
              <w:left w:val="nil"/>
              <w:bottom w:val="nil"/>
              <w:right w:val="nil"/>
            </w:tcBorders>
            <w:shd w:val="clear" w:color="000000" w:fill="DDEBF7"/>
            <w:vAlign w:val="center"/>
            <w:hideMark/>
          </w:tcPr>
          <w:p w14:paraId="678FCCCD" w14:textId="6AB3044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2</w:t>
            </w:r>
            <w:r w:rsidR="004C170C">
              <w:rPr>
                <w:rFonts w:ascii="Arial Narrow" w:hAnsi="Arial Narrow" w:cs="Calibri"/>
                <w:sz w:val="16"/>
                <w:szCs w:val="16"/>
              </w:rPr>
              <w:t>,</w:t>
            </w:r>
            <w:r>
              <w:rPr>
                <w:rFonts w:ascii="Arial Narrow" w:hAnsi="Arial Narrow" w:cs="Calibri"/>
                <w:sz w:val="16"/>
                <w:szCs w:val="16"/>
              </w:rPr>
              <w:t>4</w:t>
            </w:r>
          </w:p>
        </w:tc>
      </w:tr>
      <w:tr w:rsidR="00C24F6F" w:rsidRPr="000C2D79" w14:paraId="6C39741C" w14:textId="77777777" w:rsidTr="002B1847">
        <w:trPr>
          <w:trHeight w:val="282"/>
        </w:trPr>
        <w:tc>
          <w:tcPr>
            <w:tcW w:w="238" w:type="pct"/>
            <w:tcBorders>
              <w:top w:val="nil"/>
              <w:left w:val="nil"/>
              <w:bottom w:val="nil"/>
              <w:right w:val="nil"/>
            </w:tcBorders>
            <w:shd w:val="clear" w:color="000000" w:fill="DDEBF7"/>
            <w:vAlign w:val="center"/>
            <w:hideMark/>
          </w:tcPr>
          <w:p w14:paraId="23B0CFF9"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3</w:t>
            </w:r>
          </w:p>
        </w:tc>
        <w:tc>
          <w:tcPr>
            <w:tcW w:w="1946" w:type="pct"/>
            <w:gridSpan w:val="3"/>
            <w:tcBorders>
              <w:top w:val="nil"/>
              <w:left w:val="nil"/>
              <w:bottom w:val="nil"/>
              <w:right w:val="nil"/>
            </w:tcBorders>
            <w:shd w:val="clear" w:color="000000" w:fill="DDEBF7"/>
            <w:vAlign w:val="center"/>
            <w:hideMark/>
          </w:tcPr>
          <w:p w14:paraId="51273D13"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Nominálny HDP</w:t>
            </w:r>
          </w:p>
        </w:tc>
        <w:tc>
          <w:tcPr>
            <w:tcW w:w="352" w:type="pct"/>
            <w:tcBorders>
              <w:top w:val="nil"/>
              <w:left w:val="nil"/>
              <w:bottom w:val="nil"/>
              <w:right w:val="nil"/>
            </w:tcBorders>
            <w:shd w:val="clear" w:color="000000" w:fill="DDEBF7"/>
            <w:vAlign w:val="center"/>
            <w:hideMark/>
          </w:tcPr>
          <w:p w14:paraId="695EF5E4"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123.5</w:t>
            </w:r>
          </w:p>
        </w:tc>
        <w:tc>
          <w:tcPr>
            <w:tcW w:w="493" w:type="pct"/>
            <w:tcBorders>
              <w:top w:val="nil"/>
              <w:left w:val="nil"/>
              <w:bottom w:val="nil"/>
              <w:right w:val="nil"/>
            </w:tcBorders>
            <w:shd w:val="clear" w:color="000000" w:fill="DDEBF7"/>
            <w:vAlign w:val="center"/>
            <w:hideMark/>
          </w:tcPr>
          <w:p w14:paraId="7B0C0C8F" w14:textId="24A77E16"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12</w:t>
            </w:r>
            <w:r w:rsidR="004C170C">
              <w:rPr>
                <w:rFonts w:ascii="Arial Narrow" w:hAnsi="Arial Narrow" w:cs="Calibri"/>
                <w:sz w:val="16"/>
                <w:szCs w:val="16"/>
              </w:rPr>
              <w:t>,</w:t>
            </w:r>
            <w:r>
              <w:rPr>
                <w:rFonts w:ascii="Arial Narrow" w:hAnsi="Arial Narrow" w:cs="Calibri"/>
                <w:sz w:val="16"/>
                <w:szCs w:val="16"/>
              </w:rPr>
              <w:t>3</w:t>
            </w:r>
          </w:p>
        </w:tc>
        <w:tc>
          <w:tcPr>
            <w:tcW w:w="493" w:type="pct"/>
            <w:tcBorders>
              <w:top w:val="nil"/>
              <w:left w:val="nil"/>
              <w:bottom w:val="nil"/>
              <w:right w:val="nil"/>
            </w:tcBorders>
            <w:shd w:val="clear" w:color="000000" w:fill="DDEBF7"/>
            <w:vAlign w:val="center"/>
            <w:hideMark/>
          </w:tcPr>
          <w:p w14:paraId="184AB6E6" w14:textId="7C5068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5</w:t>
            </w:r>
            <w:r w:rsidR="004C170C">
              <w:rPr>
                <w:rFonts w:ascii="Arial Narrow" w:hAnsi="Arial Narrow" w:cs="Calibri"/>
                <w:sz w:val="16"/>
                <w:szCs w:val="16"/>
              </w:rPr>
              <w:t>,</w:t>
            </w:r>
            <w:r>
              <w:rPr>
                <w:rFonts w:ascii="Arial Narrow" w:hAnsi="Arial Narrow" w:cs="Calibri"/>
                <w:sz w:val="16"/>
                <w:szCs w:val="16"/>
              </w:rPr>
              <w:t>4</w:t>
            </w:r>
          </w:p>
        </w:tc>
        <w:tc>
          <w:tcPr>
            <w:tcW w:w="493" w:type="pct"/>
            <w:tcBorders>
              <w:top w:val="nil"/>
              <w:left w:val="nil"/>
              <w:bottom w:val="nil"/>
              <w:right w:val="nil"/>
            </w:tcBorders>
            <w:shd w:val="clear" w:color="000000" w:fill="DDEBF7"/>
            <w:vAlign w:val="center"/>
            <w:hideMark/>
          </w:tcPr>
          <w:p w14:paraId="05574D3B" w14:textId="4223BDBF"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5</w:t>
            </w:r>
            <w:r w:rsidR="004C170C">
              <w:rPr>
                <w:rFonts w:ascii="Arial Narrow" w:hAnsi="Arial Narrow" w:cs="Calibri"/>
                <w:sz w:val="16"/>
                <w:szCs w:val="16"/>
              </w:rPr>
              <w:t>,</w:t>
            </w:r>
            <w:r>
              <w:rPr>
                <w:rFonts w:ascii="Arial Narrow" w:hAnsi="Arial Narrow" w:cs="Calibri"/>
                <w:sz w:val="16"/>
                <w:szCs w:val="16"/>
              </w:rPr>
              <w:t>0</w:t>
            </w:r>
          </w:p>
        </w:tc>
        <w:tc>
          <w:tcPr>
            <w:tcW w:w="493" w:type="pct"/>
            <w:tcBorders>
              <w:top w:val="nil"/>
              <w:left w:val="nil"/>
              <w:bottom w:val="nil"/>
              <w:right w:val="nil"/>
            </w:tcBorders>
            <w:shd w:val="clear" w:color="000000" w:fill="DDEBF7"/>
            <w:vAlign w:val="center"/>
          </w:tcPr>
          <w:p w14:paraId="013A8257" w14:textId="4ABA723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4</w:t>
            </w:r>
            <w:r w:rsidR="004C170C">
              <w:rPr>
                <w:rFonts w:ascii="Arial Narrow" w:hAnsi="Arial Narrow" w:cs="Calibri"/>
                <w:sz w:val="16"/>
                <w:szCs w:val="16"/>
              </w:rPr>
              <w:t>,</w:t>
            </w:r>
            <w:r>
              <w:rPr>
                <w:rFonts w:ascii="Arial Narrow" w:hAnsi="Arial Narrow" w:cs="Calibri"/>
                <w:sz w:val="16"/>
                <w:szCs w:val="16"/>
              </w:rPr>
              <w:t>8</w:t>
            </w:r>
          </w:p>
        </w:tc>
        <w:tc>
          <w:tcPr>
            <w:tcW w:w="492" w:type="pct"/>
            <w:tcBorders>
              <w:top w:val="nil"/>
              <w:left w:val="nil"/>
              <w:bottom w:val="nil"/>
              <w:right w:val="nil"/>
            </w:tcBorders>
            <w:shd w:val="clear" w:color="000000" w:fill="DDEBF7"/>
            <w:vAlign w:val="center"/>
            <w:hideMark/>
          </w:tcPr>
          <w:p w14:paraId="3CA6F608" w14:textId="5F751AB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4C170C">
              <w:rPr>
                <w:rFonts w:ascii="Arial Narrow" w:hAnsi="Arial Narrow" w:cs="Calibri"/>
                <w:sz w:val="16"/>
                <w:szCs w:val="16"/>
              </w:rPr>
              <w:t>,</w:t>
            </w:r>
            <w:r>
              <w:rPr>
                <w:rFonts w:ascii="Arial Narrow" w:hAnsi="Arial Narrow" w:cs="Calibri"/>
                <w:sz w:val="16"/>
                <w:szCs w:val="16"/>
              </w:rPr>
              <w:t>6</w:t>
            </w:r>
          </w:p>
        </w:tc>
      </w:tr>
      <w:tr w:rsidR="00C24F6F" w:rsidRPr="000C2D79" w14:paraId="3E60B6C9" w14:textId="77777777" w:rsidTr="002B1847">
        <w:trPr>
          <w:trHeight w:val="282"/>
        </w:trPr>
        <w:tc>
          <w:tcPr>
            <w:tcW w:w="2184" w:type="pct"/>
            <w:gridSpan w:val="4"/>
            <w:tcBorders>
              <w:top w:val="nil"/>
              <w:left w:val="nil"/>
              <w:bottom w:val="nil"/>
              <w:right w:val="nil"/>
            </w:tcBorders>
            <w:vAlign w:val="center"/>
            <w:hideMark/>
          </w:tcPr>
          <w:p w14:paraId="73284E5B" w14:textId="77777777" w:rsidR="00C24F6F" w:rsidRPr="000C2D79" w:rsidRDefault="00C24F6F" w:rsidP="002B1847">
            <w:pPr>
              <w:spacing w:after="0" w:line="240" w:lineRule="auto"/>
              <w:rPr>
                <w:rFonts w:ascii="Arial Narrow" w:eastAsia="Times New Roman" w:hAnsi="Arial Narrow" w:cs="Calibri"/>
                <w:i/>
                <w:iCs/>
                <w:color w:val="2C9ADC"/>
                <w:kern w:val="0"/>
                <w:sz w:val="16"/>
                <w:szCs w:val="16"/>
                <w:lang w:eastAsia="sk-SK"/>
                <w14:ligatures w14:val="none"/>
              </w:rPr>
            </w:pPr>
            <w:r w:rsidRPr="000C2D79">
              <w:rPr>
                <w:rFonts w:ascii="Arial Narrow" w:eastAsia="Times New Roman" w:hAnsi="Arial Narrow" w:cs="Calibri"/>
                <w:i/>
                <w:iCs/>
                <w:color w:val="2C9ADC"/>
                <w:kern w:val="0"/>
                <w:sz w:val="16"/>
                <w:szCs w:val="16"/>
                <w:lang w:eastAsia="sk-SK"/>
                <w14:ligatures w14:val="none"/>
              </w:rPr>
              <w:t>Dekompozícia reálneho HDP</w:t>
            </w:r>
          </w:p>
        </w:tc>
        <w:tc>
          <w:tcPr>
            <w:tcW w:w="352" w:type="pct"/>
            <w:tcBorders>
              <w:top w:val="nil"/>
              <w:left w:val="nil"/>
              <w:bottom w:val="nil"/>
              <w:right w:val="nil"/>
            </w:tcBorders>
            <w:vAlign w:val="center"/>
            <w:hideMark/>
          </w:tcPr>
          <w:p w14:paraId="6C52E062" w14:textId="77777777" w:rsidR="00C24F6F" w:rsidRPr="000C2D79" w:rsidRDefault="00C24F6F" w:rsidP="002B1847">
            <w:pPr>
              <w:spacing w:after="0" w:line="240" w:lineRule="auto"/>
              <w:rPr>
                <w:rFonts w:ascii="Arial Narrow" w:eastAsia="Times New Roman" w:hAnsi="Arial Narrow" w:cs="Calibri"/>
                <w:i/>
                <w:iCs/>
                <w:color w:val="2C9ADC"/>
                <w:kern w:val="0"/>
                <w:sz w:val="16"/>
                <w:szCs w:val="16"/>
                <w:lang w:eastAsia="sk-SK"/>
                <w14:ligatures w14:val="none"/>
              </w:rPr>
            </w:pPr>
          </w:p>
        </w:tc>
        <w:tc>
          <w:tcPr>
            <w:tcW w:w="493" w:type="pct"/>
            <w:tcBorders>
              <w:top w:val="nil"/>
              <w:left w:val="nil"/>
              <w:bottom w:val="nil"/>
              <w:right w:val="nil"/>
            </w:tcBorders>
            <w:vAlign w:val="center"/>
            <w:hideMark/>
          </w:tcPr>
          <w:p w14:paraId="4276FC06"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3" w:type="pct"/>
            <w:tcBorders>
              <w:top w:val="nil"/>
              <w:left w:val="nil"/>
              <w:bottom w:val="nil"/>
              <w:right w:val="nil"/>
            </w:tcBorders>
            <w:vAlign w:val="center"/>
            <w:hideMark/>
          </w:tcPr>
          <w:p w14:paraId="69AF45B9"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3" w:type="pct"/>
            <w:tcBorders>
              <w:top w:val="nil"/>
              <w:left w:val="nil"/>
              <w:bottom w:val="nil"/>
              <w:right w:val="nil"/>
            </w:tcBorders>
            <w:vAlign w:val="center"/>
            <w:hideMark/>
          </w:tcPr>
          <w:p w14:paraId="0412B85B"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3" w:type="pct"/>
            <w:tcBorders>
              <w:top w:val="nil"/>
              <w:left w:val="nil"/>
              <w:bottom w:val="nil"/>
              <w:right w:val="nil"/>
            </w:tcBorders>
          </w:tcPr>
          <w:p w14:paraId="5D372EFC"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2" w:type="pct"/>
            <w:tcBorders>
              <w:top w:val="nil"/>
              <w:left w:val="nil"/>
              <w:bottom w:val="nil"/>
              <w:right w:val="nil"/>
            </w:tcBorders>
            <w:vAlign w:val="center"/>
            <w:hideMark/>
          </w:tcPr>
          <w:p w14:paraId="29124EAB"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r>
      <w:tr w:rsidR="00C24F6F" w:rsidRPr="000C2D79" w14:paraId="2ABCD9D1" w14:textId="77777777" w:rsidTr="002B1847">
        <w:trPr>
          <w:trHeight w:val="282"/>
        </w:trPr>
        <w:tc>
          <w:tcPr>
            <w:tcW w:w="238" w:type="pct"/>
            <w:tcBorders>
              <w:top w:val="nil"/>
              <w:left w:val="nil"/>
              <w:bottom w:val="nil"/>
              <w:right w:val="nil"/>
            </w:tcBorders>
            <w:shd w:val="clear" w:color="000000" w:fill="DDEBF7"/>
            <w:vAlign w:val="center"/>
            <w:hideMark/>
          </w:tcPr>
          <w:p w14:paraId="1F510D7F"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4</w:t>
            </w:r>
          </w:p>
        </w:tc>
        <w:tc>
          <w:tcPr>
            <w:tcW w:w="1946" w:type="pct"/>
            <w:gridSpan w:val="3"/>
            <w:tcBorders>
              <w:top w:val="nil"/>
              <w:left w:val="nil"/>
              <w:bottom w:val="nil"/>
              <w:right w:val="nil"/>
            </w:tcBorders>
            <w:shd w:val="clear" w:color="000000" w:fill="DDEBF7"/>
            <w:vAlign w:val="center"/>
            <w:hideMark/>
          </w:tcPr>
          <w:p w14:paraId="037F77C3"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Konečná spotreba domácností a NISD</w:t>
            </w:r>
          </w:p>
        </w:tc>
        <w:tc>
          <w:tcPr>
            <w:tcW w:w="352" w:type="pct"/>
            <w:tcBorders>
              <w:top w:val="nil"/>
              <w:left w:val="nil"/>
              <w:bottom w:val="nil"/>
              <w:right w:val="nil"/>
            </w:tcBorders>
            <w:shd w:val="clear" w:color="000000" w:fill="DDEBF7"/>
            <w:vAlign w:val="center"/>
            <w:hideMark/>
          </w:tcPr>
          <w:p w14:paraId="4C223746"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 </w:t>
            </w:r>
          </w:p>
        </w:tc>
        <w:tc>
          <w:tcPr>
            <w:tcW w:w="493" w:type="pct"/>
            <w:tcBorders>
              <w:top w:val="nil"/>
              <w:left w:val="nil"/>
              <w:bottom w:val="nil"/>
              <w:right w:val="nil"/>
            </w:tcBorders>
            <w:shd w:val="clear" w:color="000000" w:fill="DDEBF7"/>
            <w:vAlign w:val="center"/>
            <w:hideMark/>
          </w:tcPr>
          <w:p w14:paraId="57AF648D" w14:textId="6A1CA9EB"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-2</w:t>
            </w:r>
            <w:r w:rsidR="004C170C">
              <w:rPr>
                <w:rFonts w:ascii="Arial Narrow" w:hAnsi="Arial Narrow" w:cs="Calibri"/>
                <w:sz w:val="16"/>
                <w:szCs w:val="16"/>
              </w:rPr>
              <w:t>,</w:t>
            </w:r>
            <w:r>
              <w:rPr>
                <w:rFonts w:ascii="Arial Narrow" w:hAnsi="Arial Narrow" w:cs="Calibri"/>
                <w:sz w:val="16"/>
                <w:szCs w:val="16"/>
              </w:rPr>
              <w:t>9</w:t>
            </w:r>
          </w:p>
        </w:tc>
        <w:tc>
          <w:tcPr>
            <w:tcW w:w="493" w:type="pct"/>
            <w:tcBorders>
              <w:top w:val="nil"/>
              <w:left w:val="nil"/>
              <w:bottom w:val="nil"/>
              <w:right w:val="nil"/>
            </w:tcBorders>
            <w:shd w:val="clear" w:color="000000" w:fill="DDEBF7"/>
            <w:vAlign w:val="center"/>
            <w:hideMark/>
          </w:tcPr>
          <w:p w14:paraId="7EB1532E" w14:textId="75B2CFA4"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4C170C">
              <w:rPr>
                <w:rFonts w:ascii="Arial Narrow" w:hAnsi="Arial Narrow" w:cs="Calibri"/>
                <w:sz w:val="16"/>
                <w:szCs w:val="16"/>
              </w:rPr>
              <w:t>,</w:t>
            </w:r>
            <w:r>
              <w:rPr>
                <w:rFonts w:ascii="Arial Narrow" w:hAnsi="Arial Narrow" w:cs="Calibri"/>
                <w:sz w:val="16"/>
                <w:szCs w:val="16"/>
              </w:rPr>
              <w:t>5</w:t>
            </w:r>
          </w:p>
        </w:tc>
        <w:tc>
          <w:tcPr>
            <w:tcW w:w="493" w:type="pct"/>
            <w:tcBorders>
              <w:top w:val="nil"/>
              <w:left w:val="nil"/>
              <w:bottom w:val="nil"/>
              <w:right w:val="nil"/>
            </w:tcBorders>
            <w:shd w:val="clear" w:color="000000" w:fill="DDEBF7"/>
            <w:vAlign w:val="center"/>
            <w:hideMark/>
          </w:tcPr>
          <w:p w14:paraId="73D1035E" w14:textId="5071B56E"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4C170C">
              <w:rPr>
                <w:rFonts w:ascii="Arial Narrow" w:hAnsi="Arial Narrow" w:cs="Calibri"/>
                <w:sz w:val="16"/>
                <w:szCs w:val="16"/>
              </w:rPr>
              <w:t>,</w:t>
            </w:r>
            <w:r>
              <w:rPr>
                <w:rFonts w:ascii="Arial Narrow" w:hAnsi="Arial Narrow" w:cs="Calibri"/>
                <w:sz w:val="16"/>
                <w:szCs w:val="16"/>
              </w:rPr>
              <w:t>2</w:t>
            </w:r>
          </w:p>
        </w:tc>
        <w:tc>
          <w:tcPr>
            <w:tcW w:w="493" w:type="pct"/>
            <w:tcBorders>
              <w:top w:val="nil"/>
              <w:left w:val="nil"/>
              <w:bottom w:val="nil"/>
              <w:right w:val="nil"/>
            </w:tcBorders>
            <w:shd w:val="clear" w:color="000000" w:fill="DDEBF7"/>
            <w:vAlign w:val="center"/>
          </w:tcPr>
          <w:p w14:paraId="347B3080" w14:textId="13CFACEB"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4C170C">
              <w:rPr>
                <w:rFonts w:ascii="Arial Narrow" w:hAnsi="Arial Narrow" w:cs="Calibri"/>
                <w:sz w:val="16"/>
                <w:szCs w:val="16"/>
              </w:rPr>
              <w:t>,</w:t>
            </w:r>
            <w:r>
              <w:rPr>
                <w:rFonts w:ascii="Arial Narrow" w:hAnsi="Arial Narrow" w:cs="Calibri"/>
                <w:sz w:val="16"/>
                <w:szCs w:val="16"/>
              </w:rPr>
              <w:t>8</w:t>
            </w:r>
          </w:p>
        </w:tc>
        <w:tc>
          <w:tcPr>
            <w:tcW w:w="492" w:type="pct"/>
            <w:tcBorders>
              <w:top w:val="nil"/>
              <w:left w:val="nil"/>
              <w:bottom w:val="nil"/>
              <w:right w:val="nil"/>
            </w:tcBorders>
            <w:shd w:val="clear" w:color="000000" w:fill="DDEBF7"/>
            <w:vAlign w:val="center"/>
            <w:hideMark/>
          </w:tcPr>
          <w:p w14:paraId="75006202" w14:textId="4613276E"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2</w:t>
            </w:r>
            <w:r w:rsidR="004C170C">
              <w:rPr>
                <w:rFonts w:ascii="Arial Narrow" w:hAnsi="Arial Narrow" w:cs="Calibri"/>
                <w:sz w:val="16"/>
                <w:szCs w:val="16"/>
              </w:rPr>
              <w:t>,</w:t>
            </w:r>
            <w:r>
              <w:rPr>
                <w:rFonts w:ascii="Arial Narrow" w:hAnsi="Arial Narrow" w:cs="Calibri"/>
                <w:sz w:val="16"/>
                <w:szCs w:val="16"/>
              </w:rPr>
              <w:t>0</w:t>
            </w:r>
          </w:p>
        </w:tc>
      </w:tr>
      <w:tr w:rsidR="00C24F6F" w:rsidRPr="000C2D79" w14:paraId="4EF19FB0" w14:textId="77777777" w:rsidTr="002B1847">
        <w:trPr>
          <w:trHeight w:val="282"/>
        </w:trPr>
        <w:tc>
          <w:tcPr>
            <w:tcW w:w="238" w:type="pct"/>
            <w:tcBorders>
              <w:top w:val="nil"/>
              <w:left w:val="nil"/>
              <w:bottom w:val="nil"/>
              <w:right w:val="nil"/>
            </w:tcBorders>
            <w:shd w:val="clear" w:color="000000" w:fill="DDEBF7"/>
            <w:vAlign w:val="center"/>
            <w:hideMark/>
          </w:tcPr>
          <w:p w14:paraId="29FD00C4"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5</w:t>
            </w:r>
          </w:p>
        </w:tc>
        <w:tc>
          <w:tcPr>
            <w:tcW w:w="1946" w:type="pct"/>
            <w:gridSpan w:val="3"/>
            <w:tcBorders>
              <w:top w:val="nil"/>
              <w:left w:val="nil"/>
              <w:bottom w:val="nil"/>
              <w:right w:val="nil"/>
            </w:tcBorders>
            <w:shd w:val="clear" w:color="000000" w:fill="DDEBF7"/>
            <w:vAlign w:val="center"/>
            <w:hideMark/>
          </w:tcPr>
          <w:p w14:paraId="6A1330DF"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Konečná spotreba verejnej správy</w:t>
            </w:r>
          </w:p>
        </w:tc>
        <w:tc>
          <w:tcPr>
            <w:tcW w:w="352" w:type="pct"/>
            <w:tcBorders>
              <w:top w:val="nil"/>
              <w:left w:val="nil"/>
              <w:bottom w:val="nil"/>
              <w:right w:val="nil"/>
            </w:tcBorders>
            <w:shd w:val="clear" w:color="000000" w:fill="DDEBF7"/>
            <w:vAlign w:val="center"/>
            <w:hideMark/>
          </w:tcPr>
          <w:p w14:paraId="7D46DAC3"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 </w:t>
            </w:r>
          </w:p>
        </w:tc>
        <w:tc>
          <w:tcPr>
            <w:tcW w:w="493" w:type="pct"/>
            <w:tcBorders>
              <w:top w:val="nil"/>
              <w:left w:val="nil"/>
              <w:bottom w:val="nil"/>
              <w:right w:val="nil"/>
            </w:tcBorders>
            <w:shd w:val="clear" w:color="000000" w:fill="DDEBF7"/>
            <w:vAlign w:val="center"/>
            <w:hideMark/>
          </w:tcPr>
          <w:p w14:paraId="22435F6E" w14:textId="320F2300"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-2</w:t>
            </w:r>
            <w:r w:rsidR="004C170C">
              <w:rPr>
                <w:rFonts w:ascii="Arial Narrow" w:hAnsi="Arial Narrow" w:cs="Calibri"/>
                <w:sz w:val="16"/>
                <w:szCs w:val="16"/>
              </w:rPr>
              <w:t>,</w:t>
            </w:r>
            <w:r>
              <w:rPr>
                <w:rFonts w:ascii="Arial Narrow" w:hAnsi="Arial Narrow" w:cs="Calibri"/>
                <w:sz w:val="16"/>
                <w:szCs w:val="16"/>
              </w:rPr>
              <w:t>5</w:t>
            </w:r>
          </w:p>
        </w:tc>
        <w:tc>
          <w:tcPr>
            <w:tcW w:w="493" w:type="pct"/>
            <w:tcBorders>
              <w:top w:val="nil"/>
              <w:left w:val="nil"/>
              <w:bottom w:val="nil"/>
              <w:right w:val="nil"/>
            </w:tcBorders>
            <w:shd w:val="clear" w:color="000000" w:fill="DDEBF7"/>
            <w:vAlign w:val="center"/>
            <w:hideMark/>
          </w:tcPr>
          <w:p w14:paraId="0DB0CAB8" w14:textId="282B5F40"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4</w:t>
            </w:r>
            <w:r w:rsidR="004C170C">
              <w:rPr>
                <w:rFonts w:ascii="Arial Narrow" w:hAnsi="Arial Narrow" w:cs="Calibri"/>
                <w:sz w:val="16"/>
                <w:szCs w:val="16"/>
              </w:rPr>
              <w:t>,</w:t>
            </w:r>
            <w:r>
              <w:rPr>
                <w:rFonts w:ascii="Arial Narrow" w:hAnsi="Arial Narrow" w:cs="Calibri"/>
                <w:sz w:val="16"/>
                <w:szCs w:val="16"/>
              </w:rPr>
              <w:t>0</w:t>
            </w:r>
          </w:p>
        </w:tc>
        <w:tc>
          <w:tcPr>
            <w:tcW w:w="493" w:type="pct"/>
            <w:tcBorders>
              <w:top w:val="nil"/>
              <w:left w:val="nil"/>
              <w:bottom w:val="nil"/>
              <w:right w:val="nil"/>
            </w:tcBorders>
            <w:shd w:val="clear" w:color="000000" w:fill="DDEBF7"/>
            <w:vAlign w:val="center"/>
            <w:hideMark/>
          </w:tcPr>
          <w:p w14:paraId="525D9A75" w14:textId="45AC9B5B"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4C170C">
              <w:rPr>
                <w:rFonts w:ascii="Arial Narrow" w:hAnsi="Arial Narrow" w:cs="Calibri"/>
                <w:sz w:val="16"/>
                <w:szCs w:val="16"/>
              </w:rPr>
              <w:t>,</w:t>
            </w:r>
            <w:r>
              <w:rPr>
                <w:rFonts w:ascii="Arial Narrow" w:hAnsi="Arial Narrow" w:cs="Calibri"/>
                <w:sz w:val="16"/>
                <w:szCs w:val="16"/>
              </w:rPr>
              <w:t>1</w:t>
            </w:r>
          </w:p>
        </w:tc>
        <w:tc>
          <w:tcPr>
            <w:tcW w:w="493" w:type="pct"/>
            <w:tcBorders>
              <w:top w:val="nil"/>
              <w:left w:val="nil"/>
              <w:bottom w:val="nil"/>
              <w:right w:val="nil"/>
            </w:tcBorders>
            <w:shd w:val="clear" w:color="000000" w:fill="DDEBF7"/>
            <w:vAlign w:val="center"/>
          </w:tcPr>
          <w:p w14:paraId="6BFB5B62" w14:textId="56A0F90D"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4C170C">
              <w:rPr>
                <w:rFonts w:ascii="Arial Narrow" w:hAnsi="Arial Narrow" w:cs="Calibri"/>
                <w:sz w:val="16"/>
                <w:szCs w:val="16"/>
              </w:rPr>
              <w:t>,</w:t>
            </w:r>
            <w:r>
              <w:rPr>
                <w:rFonts w:ascii="Arial Narrow" w:hAnsi="Arial Narrow" w:cs="Calibri"/>
                <w:sz w:val="16"/>
                <w:szCs w:val="16"/>
              </w:rPr>
              <w:t>2</w:t>
            </w:r>
          </w:p>
        </w:tc>
        <w:tc>
          <w:tcPr>
            <w:tcW w:w="492" w:type="pct"/>
            <w:tcBorders>
              <w:top w:val="nil"/>
              <w:left w:val="nil"/>
              <w:bottom w:val="nil"/>
              <w:right w:val="nil"/>
            </w:tcBorders>
            <w:shd w:val="clear" w:color="000000" w:fill="DDEBF7"/>
            <w:vAlign w:val="center"/>
            <w:hideMark/>
          </w:tcPr>
          <w:p w14:paraId="24EDB97C" w14:textId="2F22DE1C"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4C170C">
              <w:rPr>
                <w:rFonts w:ascii="Arial Narrow" w:hAnsi="Arial Narrow" w:cs="Calibri"/>
                <w:sz w:val="16"/>
                <w:szCs w:val="16"/>
              </w:rPr>
              <w:t>,</w:t>
            </w:r>
            <w:r>
              <w:rPr>
                <w:rFonts w:ascii="Arial Narrow" w:hAnsi="Arial Narrow" w:cs="Calibri"/>
                <w:sz w:val="16"/>
                <w:szCs w:val="16"/>
              </w:rPr>
              <w:t>5</w:t>
            </w:r>
          </w:p>
        </w:tc>
      </w:tr>
      <w:tr w:rsidR="00C24F6F" w:rsidRPr="000C2D79" w14:paraId="5B5667E4" w14:textId="77777777" w:rsidTr="002B1847">
        <w:trPr>
          <w:trHeight w:val="282"/>
        </w:trPr>
        <w:tc>
          <w:tcPr>
            <w:tcW w:w="238" w:type="pct"/>
            <w:tcBorders>
              <w:top w:val="nil"/>
              <w:left w:val="nil"/>
              <w:bottom w:val="nil"/>
              <w:right w:val="nil"/>
            </w:tcBorders>
            <w:shd w:val="clear" w:color="000000" w:fill="DDEBF7"/>
            <w:vAlign w:val="center"/>
            <w:hideMark/>
          </w:tcPr>
          <w:p w14:paraId="26881461"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6</w:t>
            </w:r>
          </w:p>
        </w:tc>
        <w:tc>
          <w:tcPr>
            <w:tcW w:w="1946" w:type="pct"/>
            <w:gridSpan w:val="3"/>
            <w:tcBorders>
              <w:top w:val="nil"/>
              <w:left w:val="nil"/>
              <w:bottom w:val="nil"/>
              <w:right w:val="nil"/>
            </w:tcBorders>
            <w:shd w:val="clear" w:color="000000" w:fill="DDEBF7"/>
            <w:vAlign w:val="center"/>
            <w:hideMark/>
          </w:tcPr>
          <w:p w14:paraId="4D82A73A"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Tvorba hrubého fixného kapitálu</w:t>
            </w:r>
          </w:p>
        </w:tc>
        <w:tc>
          <w:tcPr>
            <w:tcW w:w="352" w:type="pct"/>
            <w:tcBorders>
              <w:top w:val="nil"/>
              <w:left w:val="nil"/>
              <w:bottom w:val="nil"/>
              <w:right w:val="nil"/>
            </w:tcBorders>
            <w:shd w:val="clear" w:color="000000" w:fill="DDEBF7"/>
            <w:vAlign w:val="center"/>
            <w:hideMark/>
          </w:tcPr>
          <w:p w14:paraId="28563BAE"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 </w:t>
            </w:r>
          </w:p>
        </w:tc>
        <w:tc>
          <w:tcPr>
            <w:tcW w:w="493" w:type="pct"/>
            <w:tcBorders>
              <w:top w:val="nil"/>
              <w:left w:val="nil"/>
              <w:bottom w:val="nil"/>
              <w:right w:val="nil"/>
            </w:tcBorders>
            <w:shd w:val="clear" w:color="000000" w:fill="DDEBF7"/>
            <w:vAlign w:val="center"/>
            <w:hideMark/>
          </w:tcPr>
          <w:p w14:paraId="0F3C535D" w14:textId="6E9F1B96"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4</w:t>
            </w:r>
            <w:r w:rsidR="004C170C">
              <w:rPr>
                <w:rFonts w:ascii="Arial Narrow" w:hAnsi="Arial Narrow" w:cs="Calibri"/>
                <w:sz w:val="16"/>
                <w:szCs w:val="16"/>
              </w:rPr>
              <w:t>,</w:t>
            </w:r>
            <w:r>
              <w:rPr>
                <w:rFonts w:ascii="Arial Narrow" w:hAnsi="Arial Narrow" w:cs="Calibri"/>
                <w:sz w:val="16"/>
                <w:szCs w:val="16"/>
              </w:rPr>
              <w:t>0</w:t>
            </w:r>
          </w:p>
        </w:tc>
        <w:tc>
          <w:tcPr>
            <w:tcW w:w="493" w:type="pct"/>
            <w:tcBorders>
              <w:top w:val="nil"/>
              <w:left w:val="nil"/>
              <w:bottom w:val="nil"/>
              <w:right w:val="nil"/>
            </w:tcBorders>
            <w:shd w:val="clear" w:color="000000" w:fill="DDEBF7"/>
            <w:vAlign w:val="center"/>
            <w:hideMark/>
          </w:tcPr>
          <w:p w14:paraId="1856BF66" w14:textId="2F16A509"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4C170C">
              <w:rPr>
                <w:rFonts w:ascii="Arial Narrow" w:hAnsi="Arial Narrow" w:cs="Calibri"/>
                <w:sz w:val="16"/>
                <w:szCs w:val="16"/>
              </w:rPr>
              <w:t>,</w:t>
            </w:r>
            <w:r>
              <w:rPr>
                <w:rFonts w:ascii="Arial Narrow" w:hAnsi="Arial Narrow" w:cs="Calibri"/>
                <w:sz w:val="16"/>
                <w:szCs w:val="16"/>
              </w:rPr>
              <w:t>6</w:t>
            </w:r>
          </w:p>
        </w:tc>
        <w:tc>
          <w:tcPr>
            <w:tcW w:w="493" w:type="pct"/>
            <w:tcBorders>
              <w:top w:val="nil"/>
              <w:left w:val="nil"/>
              <w:bottom w:val="nil"/>
              <w:right w:val="nil"/>
            </w:tcBorders>
            <w:shd w:val="clear" w:color="000000" w:fill="DDEBF7"/>
            <w:vAlign w:val="center"/>
            <w:hideMark/>
          </w:tcPr>
          <w:p w14:paraId="52F970C3" w14:textId="56F6B13F"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2</w:t>
            </w:r>
            <w:r w:rsidR="004C170C">
              <w:rPr>
                <w:rFonts w:ascii="Arial Narrow" w:hAnsi="Arial Narrow" w:cs="Calibri"/>
                <w:sz w:val="16"/>
                <w:szCs w:val="16"/>
              </w:rPr>
              <w:t>,</w:t>
            </w:r>
            <w:r>
              <w:rPr>
                <w:rFonts w:ascii="Arial Narrow" w:hAnsi="Arial Narrow" w:cs="Calibri"/>
                <w:sz w:val="16"/>
                <w:szCs w:val="16"/>
              </w:rPr>
              <w:t>2</w:t>
            </w:r>
          </w:p>
        </w:tc>
        <w:tc>
          <w:tcPr>
            <w:tcW w:w="493" w:type="pct"/>
            <w:tcBorders>
              <w:top w:val="nil"/>
              <w:left w:val="nil"/>
              <w:bottom w:val="nil"/>
              <w:right w:val="nil"/>
            </w:tcBorders>
            <w:shd w:val="clear" w:color="000000" w:fill="DDEBF7"/>
            <w:vAlign w:val="center"/>
          </w:tcPr>
          <w:p w14:paraId="4667D855" w14:textId="3B89CA7D"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4C170C">
              <w:rPr>
                <w:rFonts w:ascii="Arial Narrow" w:hAnsi="Arial Narrow" w:cs="Calibri"/>
                <w:sz w:val="16"/>
                <w:szCs w:val="16"/>
              </w:rPr>
              <w:t>,</w:t>
            </w:r>
            <w:r>
              <w:rPr>
                <w:rFonts w:ascii="Arial Narrow" w:hAnsi="Arial Narrow" w:cs="Calibri"/>
                <w:sz w:val="16"/>
                <w:szCs w:val="16"/>
              </w:rPr>
              <w:t>3</w:t>
            </w:r>
          </w:p>
        </w:tc>
        <w:tc>
          <w:tcPr>
            <w:tcW w:w="492" w:type="pct"/>
            <w:tcBorders>
              <w:top w:val="nil"/>
              <w:left w:val="nil"/>
              <w:bottom w:val="nil"/>
              <w:right w:val="nil"/>
            </w:tcBorders>
            <w:shd w:val="clear" w:color="000000" w:fill="DDEBF7"/>
            <w:vAlign w:val="center"/>
            <w:hideMark/>
          </w:tcPr>
          <w:p w14:paraId="18E31983" w14:textId="54B7472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-5</w:t>
            </w:r>
            <w:r w:rsidR="004C170C">
              <w:rPr>
                <w:rFonts w:ascii="Arial Narrow" w:hAnsi="Arial Narrow" w:cs="Calibri"/>
                <w:sz w:val="16"/>
                <w:szCs w:val="16"/>
              </w:rPr>
              <w:t>,</w:t>
            </w:r>
            <w:r>
              <w:rPr>
                <w:rFonts w:ascii="Arial Narrow" w:hAnsi="Arial Narrow" w:cs="Calibri"/>
                <w:sz w:val="16"/>
                <w:szCs w:val="16"/>
              </w:rPr>
              <w:t>9</w:t>
            </w:r>
          </w:p>
        </w:tc>
      </w:tr>
      <w:tr w:rsidR="00C24F6F" w:rsidRPr="000C2D79" w14:paraId="7820D2ED" w14:textId="77777777" w:rsidTr="002B1847">
        <w:trPr>
          <w:trHeight w:val="282"/>
        </w:trPr>
        <w:tc>
          <w:tcPr>
            <w:tcW w:w="238" w:type="pct"/>
            <w:tcBorders>
              <w:top w:val="nil"/>
              <w:left w:val="nil"/>
              <w:bottom w:val="nil"/>
              <w:right w:val="nil"/>
            </w:tcBorders>
            <w:shd w:val="clear" w:color="000000" w:fill="DDEBF7"/>
            <w:vAlign w:val="center"/>
            <w:hideMark/>
          </w:tcPr>
          <w:p w14:paraId="1CDC839A"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7</w:t>
            </w:r>
          </w:p>
        </w:tc>
        <w:tc>
          <w:tcPr>
            <w:tcW w:w="1946" w:type="pct"/>
            <w:gridSpan w:val="3"/>
            <w:tcBorders>
              <w:top w:val="nil"/>
              <w:left w:val="nil"/>
              <w:bottom w:val="nil"/>
              <w:right w:val="nil"/>
            </w:tcBorders>
            <w:shd w:val="clear" w:color="000000" w:fill="DDEBF7"/>
            <w:vAlign w:val="center"/>
            <w:hideMark/>
          </w:tcPr>
          <w:p w14:paraId="52B16264"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Zmena stavu zásob a čisté nadobudnutie cenností</w:t>
            </w:r>
          </w:p>
        </w:tc>
        <w:tc>
          <w:tcPr>
            <w:tcW w:w="352" w:type="pct"/>
            <w:tcBorders>
              <w:top w:val="nil"/>
              <w:left w:val="nil"/>
              <w:bottom w:val="nil"/>
              <w:right w:val="nil"/>
            </w:tcBorders>
            <w:shd w:val="clear" w:color="000000" w:fill="DDEBF7"/>
            <w:vAlign w:val="center"/>
            <w:hideMark/>
          </w:tcPr>
          <w:p w14:paraId="7A18800C"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n.a.</w:t>
            </w:r>
          </w:p>
        </w:tc>
        <w:tc>
          <w:tcPr>
            <w:tcW w:w="493" w:type="pct"/>
            <w:tcBorders>
              <w:top w:val="nil"/>
              <w:left w:val="nil"/>
              <w:bottom w:val="nil"/>
              <w:right w:val="nil"/>
            </w:tcBorders>
            <w:shd w:val="clear" w:color="000000" w:fill="DDEBF7"/>
            <w:vAlign w:val="center"/>
            <w:hideMark/>
          </w:tcPr>
          <w:p w14:paraId="18F557E1"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n.a.</w:t>
            </w:r>
          </w:p>
        </w:tc>
        <w:tc>
          <w:tcPr>
            <w:tcW w:w="493" w:type="pct"/>
            <w:tcBorders>
              <w:top w:val="nil"/>
              <w:left w:val="nil"/>
              <w:bottom w:val="nil"/>
              <w:right w:val="nil"/>
            </w:tcBorders>
            <w:shd w:val="clear" w:color="000000" w:fill="DDEBF7"/>
            <w:vAlign w:val="center"/>
            <w:hideMark/>
          </w:tcPr>
          <w:p w14:paraId="17390E9C"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n.a.</w:t>
            </w:r>
          </w:p>
        </w:tc>
        <w:tc>
          <w:tcPr>
            <w:tcW w:w="493" w:type="pct"/>
            <w:tcBorders>
              <w:top w:val="nil"/>
              <w:left w:val="nil"/>
              <w:bottom w:val="nil"/>
              <w:right w:val="nil"/>
            </w:tcBorders>
            <w:shd w:val="clear" w:color="000000" w:fill="DDEBF7"/>
            <w:vAlign w:val="center"/>
            <w:hideMark/>
          </w:tcPr>
          <w:p w14:paraId="02F22F2C"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n.a.</w:t>
            </w:r>
          </w:p>
        </w:tc>
        <w:tc>
          <w:tcPr>
            <w:tcW w:w="493" w:type="pct"/>
            <w:tcBorders>
              <w:top w:val="nil"/>
              <w:left w:val="nil"/>
              <w:bottom w:val="nil"/>
              <w:right w:val="nil"/>
            </w:tcBorders>
            <w:shd w:val="clear" w:color="000000" w:fill="DDEBF7"/>
            <w:vAlign w:val="center"/>
          </w:tcPr>
          <w:p w14:paraId="20085CD0"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n.a.</w:t>
            </w:r>
          </w:p>
        </w:tc>
        <w:tc>
          <w:tcPr>
            <w:tcW w:w="492" w:type="pct"/>
            <w:tcBorders>
              <w:top w:val="nil"/>
              <w:left w:val="nil"/>
              <w:bottom w:val="nil"/>
              <w:right w:val="nil"/>
            </w:tcBorders>
            <w:shd w:val="clear" w:color="000000" w:fill="DDEBF7"/>
            <w:vAlign w:val="center"/>
            <w:hideMark/>
          </w:tcPr>
          <w:p w14:paraId="7BDD6962"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n.a.</w:t>
            </w:r>
          </w:p>
        </w:tc>
      </w:tr>
      <w:tr w:rsidR="00C24F6F" w:rsidRPr="000C2D79" w14:paraId="049A6B15" w14:textId="77777777" w:rsidTr="002B1847">
        <w:trPr>
          <w:trHeight w:val="282"/>
        </w:trPr>
        <w:tc>
          <w:tcPr>
            <w:tcW w:w="238" w:type="pct"/>
            <w:tcBorders>
              <w:top w:val="nil"/>
              <w:left w:val="nil"/>
              <w:bottom w:val="nil"/>
              <w:right w:val="nil"/>
            </w:tcBorders>
            <w:shd w:val="clear" w:color="000000" w:fill="DDEBF7"/>
            <w:vAlign w:val="center"/>
            <w:hideMark/>
          </w:tcPr>
          <w:p w14:paraId="1E48D7E5"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8</w:t>
            </w:r>
          </w:p>
        </w:tc>
        <w:tc>
          <w:tcPr>
            <w:tcW w:w="1946" w:type="pct"/>
            <w:gridSpan w:val="3"/>
            <w:tcBorders>
              <w:top w:val="nil"/>
              <w:left w:val="nil"/>
              <w:bottom w:val="nil"/>
              <w:right w:val="nil"/>
            </w:tcBorders>
            <w:shd w:val="clear" w:color="000000" w:fill="DDEBF7"/>
            <w:vAlign w:val="center"/>
            <w:hideMark/>
          </w:tcPr>
          <w:p w14:paraId="6B8F212A"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Export tovarov a služieb</w:t>
            </w:r>
          </w:p>
        </w:tc>
        <w:tc>
          <w:tcPr>
            <w:tcW w:w="352" w:type="pct"/>
            <w:tcBorders>
              <w:top w:val="nil"/>
              <w:left w:val="nil"/>
              <w:bottom w:val="nil"/>
              <w:right w:val="nil"/>
            </w:tcBorders>
            <w:shd w:val="clear" w:color="000000" w:fill="DDEBF7"/>
            <w:vAlign w:val="center"/>
            <w:hideMark/>
          </w:tcPr>
          <w:p w14:paraId="6CF83234"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 </w:t>
            </w:r>
          </w:p>
        </w:tc>
        <w:tc>
          <w:tcPr>
            <w:tcW w:w="493" w:type="pct"/>
            <w:tcBorders>
              <w:top w:val="nil"/>
              <w:left w:val="nil"/>
              <w:bottom w:val="nil"/>
              <w:right w:val="nil"/>
            </w:tcBorders>
            <w:shd w:val="clear" w:color="000000" w:fill="DDEBF7"/>
            <w:vAlign w:val="center"/>
            <w:hideMark/>
          </w:tcPr>
          <w:p w14:paraId="08AAEF1A" w14:textId="72B1CBCD"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4C170C">
              <w:rPr>
                <w:rFonts w:ascii="Arial Narrow" w:hAnsi="Arial Narrow" w:cs="Calibri"/>
                <w:sz w:val="16"/>
                <w:szCs w:val="16"/>
              </w:rPr>
              <w:t>,</w:t>
            </w:r>
            <w:r>
              <w:rPr>
                <w:rFonts w:ascii="Arial Narrow" w:hAnsi="Arial Narrow" w:cs="Calibri"/>
                <w:sz w:val="16"/>
                <w:szCs w:val="16"/>
              </w:rPr>
              <w:t>7</w:t>
            </w:r>
          </w:p>
        </w:tc>
        <w:tc>
          <w:tcPr>
            <w:tcW w:w="493" w:type="pct"/>
            <w:tcBorders>
              <w:top w:val="nil"/>
              <w:left w:val="nil"/>
              <w:bottom w:val="nil"/>
              <w:right w:val="nil"/>
            </w:tcBorders>
            <w:shd w:val="clear" w:color="000000" w:fill="DDEBF7"/>
            <w:vAlign w:val="center"/>
            <w:hideMark/>
          </w:tcPr>
          <w:p w14:paraId="20A375D0" w14:textId="18A90C63"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4C170C">
              <w:rPr>
                <w:rFonts w:ascii="Arial Narrow" w:hAnsi="Arial Narrow" w:cs="Calibri"/>
                <w:sz w:val="16"/>
                <w:szCs w:val="16"/>
              </w:rPr>
              <w:t>,</w:t>
            </w:r>
            <w:r>
              <w:rPr>
                <w:rFonts w:ascii="Arial Narrow" w:hAnsi="Arial Narrow" w:cs="Calibri"/>
                <w:sz w:val="16"/>
                <w:szCs w:val="16"/>
              </w:rPr>
              <w:t>0</w:t>
            </w:r>
          </w:p>
        </w:tc>
        <w:tc>
          <w:tcPr>
            <w:tcW w:w="493" w:type="pct"/>
            <w:tcBorders>
              <w:top w:val="nil"/>
              <w:left w:val="nil"/>
              <w:bottom w:val="nil"/>
              <w:right w:val="nil"/>
            </w:tcBorders>
            <w:shd w:val="clear" w:color="000000" w:fill="DDEBF7"/>
            <w:vAlign w:val="center"/>
            <w:hideMark/>
          </w:tcPr>
          <w:p w14:paraId="39EB7D56" w14:textId="44EFCD82"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4</w:t>
            </w:r>
            <w:r w:rsidR="004C170C">
              <w:rPr>
                <w:rFonts w:ascii="Arial Narrow" w:hAnsi="Arial Narrow" w:cs="Calibri"/>
                <w:sz w:val="16"/>
                <w:szCs w:val="16"/>
              </w:rPr>
              <w:t>,</w:t>
            </w:r>
            <w:r>
              <w:rPr>
                <w:rFonts w:ascii="Arial Narrow" w:hAnsi="Arial Narrow" w:cs="Calibri"/>
                <w:sz w:val="16"/>
                <w:szCs w:val="16"/>
              </w:rPr>
              <w:t>0</w:t>
            </w:r>
          </w:p>
        </w:tc>
        <w:tc>
          <w:tcPr>
            <w:tcW w:w="493" w:type="pct"/>
            <w:tcBorders>
              <w:top w:val="nil"/>
              <w:left w:val="nil"/>
              <w:bottom w:val="nil"/>
              <w:right w:val="nil"/>
            </w:tcBorders>
            <w:shd w:val="clear" w:color="000000" w:fill="DDEBF7"/>
            <w:vAlign w:val="center"/>
          </w:tcPr>
          <w:p w14:paraId="1A341EBE" w14:textId="4C265294"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4C170C">
              <w:rPr>
                <w:rFonts w:ascii="Arial Narrow" w:hAnsi="Arial Narrow" w:cs="Calibri"/>
                <w:sz w:val="16"/>
                <w:szCs w:val="16"/>
              </w:rPr>
              <w:t>,</w:t>
            </w:r>
            <w:r>
              <w:rPr>
                <w:rFonts w:ascii="Arial Narrow" w:hAnsi="Arial Narrow" w:cs="Calibri"/>
                <w:sz w:val="16"/>
                <w:szCs w:val="16"/>
              </w:rPr>
              <w:t>9</w:t>
            </w:r>
          </w:p>
        </w:tc>
        <w:tc>
          <w:tcPr>
            <w:tcW w:w="492" w:type="pct"/>
            <w:tcBorders>
              <w:top w:val="nil"/>
              <w:left w:val="nil"/>
              <w:bottom w:val="nil"/>
              <w:right w:val="nil"/>
            </w:tcBorders>
            <w:shd w:val="clear" w:color="000000" w:fill="DDEBF7"/>
            <w:vAlign w:val="center"/>
            <w:hideMark/>
          </w:tcPr>
          <w:p w14:paraId="5C8C11F9" w14:textId="07753AC9"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4</w:t>
            </w:r>
            <w:r w:rsidR="004C170C">
              <w:rPr>
                <w:rFonts w:ascii="Arial Narrow" w:hAnsi="Arial Narrow" w:cs="Calibri"/>
                <w:sz w:val="16"/>
                <w:szCs w:val="16"/>
              </w:rPr>
              <w:t>,</w:t>
            </w:r>
            <w:r>
              <w:rPr>
                <w:rFonts w:ascii="Arial Narrow" w:hAnsi="Arial Narrow" w:cs="Calibri"/>
                <w:sz w:val="16"/>
                <w:szCs w:val="16"/>
              </w:rPr>
              <w:t>0</w:t>
            </w:r>
          </w:p>
        </w:tc>
      </w:tr>
      <w:tr w:rsidR="00C24F6F" w:rsidRPr="000C2D79" w14:paraId="1FF512F0" w14:textId="77777777" w:rsidTr="002B1847">
        <w:trPr>
          <w:trHeight w:val="282"/>
        </w:trPr>
        <w:tc>
          <w:tcPr>
            <w:tcW w:w="238" w:type="pct"/>
            <w:tcBorders>
              <w:top w:val="nil"/>
              <w:left w:val="nil"/>
              <w:bottom w:val="nil"/>
              <w:right w:val="nil"/>
            </w:tcBorders>
            <w:shd w:val="clear" w:color="000000" w:fill="DDEBF7"/>
            <w:vAlign w:val="center"/>
            <w:hideMark/>
          </w:tcPr>
          <w:p w14:paraId="330AAE24"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9</w:t>
            </w:r>
          </w:p>
        </w:tc>
        <w:tc>
          <w:tcPr>
            <w:tcW w:w="1946" w:type="pct"/>
            <w:gridSpan w:val="3"/>
            <w:tcBorders>
              <w:top w:val="nil"/>
              <w:left w:val="nil"/>
              <w:bottom w:val="nil"/>
              <w:right w:val="nil"/>
            </w:tcBorders>
            <w:shd w:val="clear" w:color="000000" w:fill="DDEBF7"/>
            <w:vAlign w:val="center"/>
            <w:hideMark/>
          </w:tcPr>
          <w:p w14:paraId="3BC766AE"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Import tovarov a služieb</w:t>
            </w:r>
          </w:p>
        </w:tc>
        <w:tc>
          <w:tcPr>
            <w:tcW w:w="352" w:type="pct"/>
            <w:tcBorders>
              <w:top w:val="nil"/>
              <w:left w:val="nil"/>
              <w:bottom w:val="nil"/>
              <w:right w:val="nil"/>
            </w:tcBorders>
            <w:shd w:val="clear" w:color="000000" w:fill="DDEBF7"/>
            <w:vAlign w:val="center"/>
            <w:hideMark/>
          </w:tcPr>
          <w:p w14:paraId="6BBB059D"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 </w:t>
            </w:r>
          </w:p>
        </w:tc>
        <w:tc>
          <w:tcPr>
            <w:tcW w:w="493" w:type="pct"/>
            <w:tcBorders>
              <w:top w:val="nil"/>
              <w:left w:val="nil"/>
              <w:bottom w:val="nil"/>
              <w:right w:val="nil"/>
            </w:tcBorders>
            <w:shd w:val="clear" w:color="000000" w:fill="DDEBF7"/>
            <w:vAlign w:val="center"/>
            <w:hideMark/>
          </w:tcPr>
          <w:p w14:paraId="00D3412A" w14:textId="39F8BA64"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-7</w:t>
            </w:r>
            <w:r w:rsidR="004C170C">
              <w:rPr>
                <w:rFonts w:ascii="Arial Narrow" w:hAnsi="Arial Narrow" w:cs="Calibri"/>
                <w:sz w:val="16"/>
                <w:szCs w:val="16"/>
              </w:rPr>
              <w:t>,</w:t>
            </w:r>
            <w:r>
              <w:rPr>
                <w:rFonts w:ascii="Arial Narrow" w:hAnsi="Arial Narrow" w:cs="Calibri"/>
                <w:sz w:val="16"/>
                <w:szCs w:val="16"/>
              </w:rPr>
              <w:t>7</w:t>
            </w:r>
          </w:p>
        </w:tc>
        <w:tc>
          <w:tcPr>
            <w:tcW w:w="493" w:type="pct"/>
            <w:tcBorders>
              <w:top w:val="nil"/>
              <w:left w:val="nil"/>
              <w:bottom w:val="nil"/>
              <w:right w:val="nil"/>
            </w:tcBorders>
            <w:shd w:val="clear" w:color="000000" w:fill="DDEBF7"/>
            <w:vAlign w:val="center"/>
            <w:hideMark/>
          </w:tcPr>
          <w:p w14:paraId="437795BD" w14:textId="2AA5FF3B"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2</w:t>
            </w:r>
            <w:r w:rsidR="004C170C">
              <w:rPr>
                <w:rFonts w:ascii="Arial Narrow" w:hAnsi="Arial Narrow" w:cs="Calibri"/>
                <w:sz w:val="16"/>
                <w:szCs w:val="16"/>
              </w:rPr>
              <w:t>,</w:t>
            </w:r>
            <w:r>
              <w:rPr>
                <w:rFonts w:ascii="Arial Narrow" w:hAnsi="Arial Narrow" w:cs="Calibri"/>
                <w:sz w:val="16"/>
                <w:szCs w:val="16"/>
              </w:rPr>
              <w:t>6</w:t>
            </w:r>
          </w:p>
        </w:tc>
        <w:tc>
          <w:tcPr>
            <w:tcW w:w="493" w:type="pct"/>
            <w:tcBorders>
              <w:top w:val="nil"/>
              <w:left w:val="nil"/>
              <w:bottom w:val="nil"/>
              <w:right w:val="nil"/>
            </w:tcBorders>
            <w:shd w:val="clear" w:color="000000" w:fill="DDEBF7"/>
            <w:vAlign w:val="center"/>
            <w:hideMark/>
          </w:tcPr>
          <w:p w14:paraId="5DB85751" w14:textId="6112C814"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4C170C">
              <w:rPr>
                <w:rFonts w:ascii="Arial Narrow" w:hAnsi="Arial Narrow" w:cs="Calibri"/>
                <w:sz w:val="16"/>
                <w:szCs w:val="16"/>
              </w:rPr>
              <w:t>,</w:t>
            </w:r>
            <w:r>
              <w:rPr>
                <w:rFonts w:ascii="Arial Narrow" w:hAnsi="Arial Narrow" w:cs="Calibri"/>
                <w:sz w:val="16"/>
                <w:szCs w:val="16"/>
              </w:rPr>
              <w:t>7</w:t>
            </w:r>
          </w:p>
        </w:tc>
        <w:tc>
          <w:tcPr>
            <w:tcW w:w="493" w:type="pct"/>
            <w:tcBorders>
              <w:top w:val="nil"/>
              <w:left w:val="nil"/>
              <w:bottom w:val="nil"/>
              <w:right w:val="nil"/>
            </w:tcBorders>
            <w:shd w:val="clear" w:color="000000" w:fill="DDEBF7"/>
            <w:vAlign w:val="center"/>
          </w:tcPr>
          <w:p w14:paraId="03FA93B3" w14:textId="6E6AE340"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4C170C">
              <w:rPr>
                <w:rFonts w:ascii="Arial Narrow" w:hAnsi="Arial Narrow" w:cs="Calibri"/>
                <w:sz w:val="16"/>
                <w:szCs w:val="16"/>
              </w:rPr>
              <w:t>,</w:t>
            </w:r>
            <w:r>
              <w:rPr>
                <w:rFonts w:ascii="Arial Narrow" w:hAnsi="Arial Narrow" w:cs="Calibri"/>
                <w:sz w:val="16"/>
                <w:szCs w:val="16"/>
              </w:rPr>
              <w:t>7</w:t>
            </w:r>
          </w:p>
        </w:tc>
        <w:tc>
          <w:tcPr>
            <w:tcW w:w="492" w:type="pct"/>
            <w:tcBorders>
              <w:top w:val="nil"/>
              <w:left w:val="nil"/>
              <w:bottom w:val="nil"/>
              <w:right w:val="nil"/>
            </w:tcBorders>
            <w:shd w:val="clear" w:color="000000" w:fill="DDEBF7"/>
            <w:vAlign w:val="center"/>
            <w:hideMark/>
          </w:tcPr>
          <w:p w14:paraId="3F00E244" w14:textId="014C5299"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4C170C">
              <w:rPr>
                <w:rFonts w:ascii="Arial Narrow" w:hAnsi="Arial Narrow" w:cs="Calibri"/>
                <w:sz w:val="16"/>
                <w:szCs w:val="16"/>
              </w:rPr>
              <w:t>,</w:t>
            </w:r>
            <w:r>
              <w:rPr>
                <w:rFonts w:ascii="Arial Narrow" w:hAnsi="Arial Narrow" w:cs="Calibri"/>
                <w:sz w:val="16"/>
                <w:szCs w:val="16"/>
              </w:rPr>
              <w:t>0</w:t>
            </w:r>
          </w:p>
        </w:tc>
      </w:tr>
      <w:tr w:rsidR="00C24F6F" w:rsidRPr="000C2D79" w14:paraId="0A18155B" w14:textId="77777777" w:rsidTr="002B1847">
        <w:trPr>
          <w:trHeight w:val="282"/>
        </w:trPr>
        <w:tc>
          <w:tcPr>
            <w:tcW w:w="2184" w:type="pct"/>
            <w:gridSpan w:val="4"/>
            <w:tcBorders>
              <w:top w:val="nil"/>
              <w:left w:val="nil"/>
              <w:bottom w:val="nil"/>
              <w:right w:val="nil"/>
            </w:tcBorders>
            <w:vAlign w:val="center"/>
            <w:hideMark/>
          </w:tcPr>
          <w:p w14:paraId="17E43890" w14:textId="77777777" w:rsidR="00C24F6F" w:rsidRPr="000C2D79" w:rsidRDefault="00C24F6F" w:rsidP="002B1847">
            <w:pPr>
              <w:spacing w:after="0" w:line="240" w:lineRule="auto"/>
              <w:rPr>
                <w:rFonts w:ascii="Arial Narrow" w:eastAsia="Times New Roman" w:hAnsi="Arial Narrow" w:cs="Calibri"/>
                <w:i/>
                <w:iCs/>
                <w:color w:val="2C9ADC"/>
                <w:kern w:val="0"/>
                <w:sz w:val="16"/>
                <w:szCs w:val="16"/>
                <w:lang w:eastAsia="sk-SK"/>
                <w14:ligatures w14:val="none"/>
              </w:rPr>
            </w:pPr>
            <w:r w:rsidRPr="000C2D79">
              <w:rPr>
                <w:rFonts w:ascii="Arial Narrow" w:eastAsia="Times New Roman" w:hAnsi="Arial Narrow" w:cs="Calibri"/>
                <w:i/>
                <w:iCs/>
                <w:color w:val="2C9ADC"/>
                <w:kern w:val="0"/>
                <w:sz w:val="16"/>
                <w:szCs w:val="16"/>
                <w:lang w:eastAsia="sk-SK"/>
                <w14:ligatures w14:val="none"/>
              </w:rPr>
              <w:t>Príspevky k reálnemu HDP</w:t>
            </w:r>
          </w:p>
        </w:tc>
        <w:tc>
          <w:tcPr>
            <w:tcW w:w="352" w:type="pct"/>
            <w:tcBorders>
              <w:top w:val="nil"/>
              <w:left w:val="nil"/>
              <w:bottom w:val="nil"/>
              <w:right w:val="nil"/>
            </w:tcBorders>
            <w:vAlign w:val="center"/>
            <w:hideMark/>
          </w:tcPr>
          <w:p w14:paraId="295AA8B5" w14:textId="77777777" w:rsidR="00C24F6F" w:rsidRPr="000C2D79" w:rsidRDefault="00C24F6F" w:rsidP="002B1847">
            <w:pPr>
              <w:spacing w:after="0" w:line="240" w:lineRule="auto"/>
              <w:rPr>
                <w:rFonts w:ascii="Arial Narrow" w:eastAsia="Times New Roman" w:hAnsi="Arial Narrow" w:cs="Calibri"/>
                <w:i/>
                <w:iCs/>
                <w:color w:val="2C9ADC"/>
                <w:kern w:val="0"/>
                <w:sz w:val="16"/>
                <w:szCs w:val="16"/>
                <w:lang w:eastAsia="sk-SK"/>
                <w14:ligatures w14:val="none"/>
              </w:rPr>
            </w:pPr>
          </w:p>
        </w:tc>
        <w:tc>
          <w:tcPr>
            <w:tcW w:w="493" w:type="pct"/>
            <w:tcBorders>
              <w:top w:val="nil"/>
              <w:left w:val="nil"/>
              <w:bottom w:val="nil"/>
              <w:right w:val="nil"/>
            </w:tcBorders>
            <w:vAlign w:val="center"/>
            <w:hideMark/>
          </w:tcPr>
          <w:p w14:paraId="1606EAAB"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3" w:type="pct"/>
            <w:tcBorders>
              <w:top w:val="nil"/>
              <w:left w:val="nil"/>
              <w:bottom w:val="nil"/>
              <w:right w:val="nil"/>
            </w:tcBorders>
            <w:vAlign w:val="center"/>
            <w:hideMark/>
          </w:tcPr>
          <w:p w14:paraId="22655D77"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3" w:type="pct"/>
            <w:tcBorders>
              <w:top w:val="nil"/>
              <w:left w:val="nil"/>
              <w:bottom w:val="nil"/>
              <w:right w:val="nil"/>
            </w:tcBorders>
            <w:vAlign w:val="center"/>
            <w:hideMark/>
          </w:tcPr>
          <w:p w14:paraId="25BF72AD"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3" w:type="pct"/>
            <w:tcBorders>
              <w:top w:val="nil"/>
              <w:left w:val="nil"/>
              <w:bottom w:val="nil"/>
              <w:right w:val="nil"/>
            </w:tcBorders>
          </w:tcPr>
          <w:p w14:paraId="3C9F2586"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2" w:type="pct"/>
            <w:tcBorders>
              <w:top w:val="nil"/>
              <w:left w:val="nil"/>
              <w:bottom w:val="nil"/>
              <w:right w:val="nil"/>
            </w:tcBorders>
            <w:vAlign w:val="center"/>
            <w:hideMark/>
          </w:tcPr>
          <w:p w14:paraId="406F54E1"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r>
      <w:tr w:rsidR="00C24F6F" w:rsidRPr="000C2D79" w14:paraId="0D7C3864" w14:textId="77777777" w:rsidTr="002B1847">
        <w:trPr>
          <w:trHeight w:val="282"/>
        </w:trPr>
        <w:tc>
          <w:tcPr>
            <w:tcW w:w="238" w:type="pct"/>
            <w:tcBorders>
              <w:top w:val="nil"/>
              <w:left w:val="nil"/>
              <w:bottom w:val="nil"/>
              <w:right w:val="nil"/>
            </w:tcBorders>
            <w:shd w:val="clear" w:color="000000" w:fill="DDEBF7"/>
            <w:vAlign w:val="center"/>
            <w:hideMark/>
          </w:tcPr>
          <w:p w14:paraId="58F800D3"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10</w:t>
            </w:r>
          </w:p>
        </w:tc>
        <w:tc>
          <w:tcPr>
            <w:tcW w:w="1946" w:type="pct"/>
            <w:gridSpan w:val="3"/>
            <w:tcBorders>
              <w:top w:val="nil"/>
              <w:left w:val="nil"/>
              <w:bottom w:val="nil"/>
              <w:right w:val="nil"/>
            </w:tcBorders>
            <w:shd w:val="clear" w:color="000000" w:fill="DDEBF7"/>
            <w:vAlign w:val="center"/>
            <w:hideMark/>
          </w:tcPr>
          <w:p w14:paraId="3D448468" w14:textId="77777777" w:rsidR="00C24F6F" w:rsidRPr="000C2D79" w:rsidRDefault="00C24F6F" w:rsidP="002B1847">
            <w:pPr>
              <w:spacing w:after="0" w:line="240" w:lineRule="auto"/>
              <w:ind w:firstLineChars="100" w:firstLine="161"/>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Domáci dopyt spolu</w:t>
            </w:r>
          </w:p>
        </w:tc>
        <w:tc>
          <w:tcPr>
            <w:tcW w:w="352" w:type="pct"/>
            <w:tcBorders>
              <w:top w:val="nil"/>
              <w:left w:val="nil"/>
              <w:bottom w:val="nil"/>
              <w:right w:val="nil"/>
            </w:tcBorders>
            <w:shd w:val="clear" w:color="000000" w:fill="DDEBF7"/>
            <w:vAlign w:val="center"/>
            <w:hideMark/>
          </w:tcPr>
          <w:p w14:paraId="089856E3"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sidRPr="000C2D79">
              <w:rPr>
                <w:rFonts w:ascii="Arial Narrow" w:eastAsia="Times New Roman" w:hAnsi="Arial Narrow" w:cs="Calibri"/>
                <w:kern w:val="0"/>
                <w:sz w:val="16"/>
                <w:szCs w:val="16"/>
                <w:lang w:eastAsia="sk-SK"/>
                <w14:ligatures w14:val="none"/>
              </w:rPr>
              <w:t> </w:t>
            </w:r>
          </w:p>
        </w:tc>
        <w:tc>
          <w:tcPr>
            <w:tcW w:w="493" w:type="pct"/>
            <w:tcBorders>
              <w:top w:val="nil"/>
              <w:left w:val="nil"/>
              <w:bottom w:val="nil"/>
              <w:right w:val="nil"/>
            </w:tcBorders>
            <w:shd w:val="clear" w:color="000000" w:fill="DDEBF7"/>
            <w:vAlign w:val="center"/>
            <w:hideMark/>
          </w:tcPr>
          <w:p w14:paraId="5749F26B" w14:textId="191F01BA"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-5</w:t>
            </w:r>
            <w:r w:rsidR="004C170C">
              <w:rPr>
                <w:rFonts w:ascii="Arial Narrow" w:hAnsi="Arial Narrow" w:cs="Calibri"/>
                <w:sz w:val="16"/>
                <w:szCs w:val="16"/>
              </w:rPr>
              <w:t>,</w:t>
            </w:r>
            <w:r>
              <w:rPr>
                <w:rFonts w:ascii="Arial Narrow" w:hAnsi="Arial Narrow" w:cs="Calibri"/>
                <w:sz w:val="16"/>
                <w:szCs w:val="16"/>
              </w:rPr>
              <w:t>0</w:t>
            </w:r>
          </w:p>
        </w:tc>
        <w:tc>
          <w:tcPr>
            <w:tcW w:w="493" w:type="pct"/>
            <w:tcBorders>
              <w:top w:val="nil"/>
              <w:left w:val="nil"/>
              <w:bottom w:val="nil"/>
              <w:right w:val="nil"/>
            </w:tcBorders>
            <w:shd w:val="clear" w:color="000000" w:fill="DDEBF7"/>
            <w:vAlign w:val="center"/>
            <w:hideMark/>
          </w:tcPr>
          <w:p w14:paraId="4AE5D64D" w14:textId="6013C46A"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4</w:t>
            </w:r>
            <w:r w:rsidR="004C170C">
              <w:rPr>
                <w:rFonts w:ascii="Arial Narrow" w:hAnsi="Arial Narrow" w:cs="Calibri"/>
                <w:sz w:val="16"/>
                <w:szCs w:val="16"/>
              </w:rPr>
              <w:t>,</w:t>
            </w:r>
            <w:r>
              <w:rPr>
                <w:rFonts w:ascii="Arial Narrow" w:hAnsi="Arial Narrow" w:cs="Calibri"/>
                <w:sz w:val="16"/>
                <w:szCs w:val="16"/>
              </w:rPr>
              <w:t>1</w:t>
            </w:r>
          </w:p>
        </w:tc>
        <w:tc>
          <w:tcPr>
            <w:tcW w:w="493" w:type="pct"/>
            <w:tcBorders>
              <w:top w:val="nil"/>
              <w:left w:val="nil"/>
              <w:bottom w:val="nil"/>
              <w:right w:val="nil"/>
            </w:tcBorders>
            <w:shd w:val="clear" w:color="000000" w:fill="DDEBF7"/>
            <w:vAlign w:val="center"/>
            <w:hideMark/>
          </w:tcPr>
          <w:p w14:paraId="6E5B233C" w14:textId="3CB34A43"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4C170C">
              <w:rPr>
                <w:rFonts w:ascii="Arial Narrow" w:hAnsi="Arial Narrow" w:cs="Calibri"/>
                <w:sz w:val="16"/>
                <w:szCs w:val="16"/>
              </w:rPr>
              <w:t>,</w:t>
            </w:r>
            <w:r>
              <w:rPr>
                <w:rFonts w:ascii="Arial Narrow" w:hAnsi="Arial Narrow" w:cs="Calibri"/>
                <w:sz w:val="16"/>
                <w:szCs w:val="16"/>
              </w:rPr>
              <w:t>6</w:t>
            </w:r>
          </w:p>
        </w:tc>
        <w:tc>
          <w:tcPr>
            <w:tcW w:w="493" w:type="pct"/>
            <w:tcBorders>
              <w:top w:val="nil"/>
              <w:left w:val="nil"/>
              <w:bottom w:val="nil"/>
              <w:right w:val="nil"/>
            </w:tcBorders>
            <w:shd w:val="clear" w:color="000000" w:fill="DDEBF7"/>
            <w:vAlign w:val="center"/>
          </w:tcPr>
          <w:p w14:paraId="396397C7" w14:textId="756B3376"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4C170C">
              <w:rPr>
                <w:rFonts w:ascii="Arial Narrow" w:hAnsi="Arial Narrow" w:cs="Calibri"/>
                <w:sz w:val="16"/>
                <w:szCs w:val="16"/>
              </w:rPr>
              <w:t>,</w:t>
            </w:r>
            <w:r>
              <w:rPr>
                <w:rFonts w:ascii="Arial Narrow" w:hAnsi="Arial Narrow" w:cs="Calibri"/>
                <w:sz w:val="16"/>
                <w:szCs w:val="16"/>
              </w:rPr>
              <w:t>2</w:t>
            </w:r>
          </w:p>
        </w:tc>
        <w:tc>
          <w:tcPr>
            <w:tcW w:w="492" w:type="pct"/>
            <w:tcBorders>
              <w:top w:val="nil"/>
              <w:left w:val="nil"/>
              <w:bottom w:val="nil"/>
              <w:right w:val="nil"/>
            </w:tcBorders>
            <w:shd w:val="clear" w:color="000000" w:fill="DDEBF7"/>
            <w:vAlign w:val="center"/>
            <w:hideMark/>
          </w:tcPr>
          <w:p w14:paraId="3CC2852F" w14:textId="7EDB4A75"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4C170C">
              <w:rPr>
                <w:rFonts w:ascii="Arial Narrow" w:hAnsi="Arial Narrow" w:cs="Calibri"/>
                <w:sz w:val="16"/>
                <w:szCs w:val="16"/>
              </w:rPr>
              <w:t>,</w:t>
            </w:r>
            <w:r>
              <w:rPr>
                <w:rFonts w:ascii="Arial Narrow" w:hAnsi="Arial Narrow" w:cs="Calibri"/>
                <w:sz w:val="16"/>
                <w:szCs w:val="16"/>
              </w:rPr>
              <w:t>1</w:t>
            </w:r>
          </w:p>
        </w:tc>
      </w:tr>
      <w:tr w:rsidR="00C24F6F" w:rsidRPr="000C2D79" w14:paraId="011622AC" w14:textId="77777777" w:rsidTr="002B1847">
        <w:trPr>
          <w:trHeight w:val="282"/>
        </w:trPr>
        <w:tc>
          <w:tcPr>
            <w:tcW w:w="238" w:type="pct"/>
            <w:tcBorders>
              <w:top w:val="nil"/>
              <w:left w:val="nil"/>
              <w:bottom w:val="nil"/>
              <w:right w:val="nil"/>
            </w:tcBorders>
            <w:shd w:val="clear" w:color="000000" w:fill="DDEBF7"/>
            <w:vAlign w:val="center"/>
            <w:hideMark/>
          </w:tcPr>
          <w:p w14:paraId="718BFF69"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11</w:t>
            </w:r>
          </w:p>
        </w:tc>
        <w:tc>
          <w:tcPr>
            <w:tcW w:w="1946" w:type="pct"/>
            <w:gridSpan w:val="3"/>
            <w:tcBorders>
              <w:top w:val="nil"/>
              <w:left w:val="nil"/>
              <w:bottom w:val="nil"/>
              <w:right w:val="nil"/>
            </w:tcBorders>
            <w:shd w:val="clear" w:color="000000" w:fill="DDEBF7"/>
            <w:vAlign w:val="center"/>
            <w:hideMark/>
          </w:tcPr>
          <w:p w14:paraId="22D249FF" w14:textId="77777777" w:rsidR="00C24F6F" w:rsidRPr="000C2D79" w:rsidRDefault="00C24F6F" w:rsidP="002B1847">
            <w:pPr>
              <w:spacing w:after="0" w:line="240" w:lineRule="auto"/>
              <w:ind w:firstLineChars="100" w:firstLine="161"/>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Zmena stavu zásob a čisté nadobudnutie cenností</w:t>
            </w:r>
          </w:p>
        </w:tc>
        <w:tc>
          <w:tcPr>
            <w:tcW w:w="352" w:type="pct"/>
            <w:tcBorders>
              <w:top w:val="nil"/>
              <w:left w:val="nil"/>
              <w:bottom w:val="nil"/>
              <w:right w:val="nil"/>
            </w:tcBorders>
            <w:shd w:val="clear" w:color="000000" w:fill="DDEBF7"/>
            <w:vAlign w:val="center"/>
            <w:hideMark/>
          </w:tcPr>
          <w:p w14:paraId="786D7002"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sidRPr="000C2D79">
              <w:rPr>
                <w:rFonts w:ascii="Arial Narrow" w:eastAsia="Times New Roman" w:hAnsi="Arial Narrow" w:cs="Calibri"/>
                <w:kern w:val="0"/>
                <w:sz w:val="16"/>
                <w:szCs w:val="16"/>
                <w:lang w:eastAsia="sk-SK"/>
                <w14:ligatures w14:val="none"/>
              </w:rPr>
              <w:t> </w:t>
            </w:r>
          </w:p>
        </w:tc>
        <w:tc>
          <w:tcPr>
            <w:tcW w:w="493" w:type="pct"/>
            <w:tcBorders>
              <w:top w:val="nil"/>
              <w:left w:val="nil"/>
              <w:bottom w:val="nil"/>
              <w:right w:val="nil"/>
            </w:tcBorders>
            <w:shd w:val="clear" w:color="000000" w:fill="DDEBF7"/>
            <w:vAlign w:val="center"/>
            <w:hideMark/>
          </w:tcPr>
          <w:p w14:paraId="196EFBA8" w14:textId="5E19C6D8"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-2</w:t>
            </w:r>
            <w:r w:rsidR="004C170C">
              <w:rPr>
                <w:rFonts w:ascii="Arial Narrow" w:hAnsi="Arial Narrow" w:cs="Calibri"/>
                <w:sz w:val="16"/>
                <w:szCs w:val="16"/>
              </w:rPr>
              <w:t>,</w:t>
            </w:r>
            <w:r>
              <w:rPr>
                <w:rFonts w:ascii="Arial Narrow" w:hAnsi="Arial Narrow" w:cs="Calibri"/>
                <w:sz w:val="16"/>
                <w:szCs w:val="16"/>
              </w:rPr>
              <w:t>9</w:t>
            </w:r>
          </w:p>
        </w:tc>
        <w:tc>
          <w:tcPr>
            <w:tcW w:w="493" w:type="pct"/>
            <w:tcBorders>
              <w:top w:val="nil"/>
              <w:left w:val="nil"/>
              <w:bottom w:val="nil"/>
              <w:right w:val="nil"/>
            </w:tcBorders>
            <w:shd w:val="clear" w:color="000000" w:fill="DDEBF7"/>
            <w:vAlign w:val="center"/>
            <w:hideMark/>
          </w:tcPr>
          <w:p w14:paraId="51B92A7B" w14:textId="7BFEB440"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4C170C">
              <w:rPr>
                <w:rFonts w:ascii="Arial Narrow" w:hAnsi="Arial Narrow" w:cs="Calibri"/>
                <w:sz w:val="16"/>
                <w:szCs w:val="16"/>
              </w:rPr>
              <w:t>,</w:t>
            </w:r>
            <w:r>
              <w:rPr>
                <w:rFonts w:ascii="Arial Narrow" w:hAnsi="Arial Narrow" w:cs="Calibri"/>
                <w:sz w:val="16"/>
                <w:szCs w:val="16"/>
              </w:rPr>
              <w:t>0</w:t>
            </w:r>
          </w:p>
        </w:tc>
        <w:tc>
          <w:tcPr>
            <w:tcW w:w="493" w:type="pct"/>
            <w:tcBorders>
              <w:top w:val="nil"/>
              <w:left w:val="nil"/>
              <w:bottom w:val="nil"/>
              <w:right w:val="nil"/>
            </w:tcBorders>
            <w:shd w:val="clear" w:color="000000" w:fill="DDEBF7"/>
            <w:vAlign w:val="center"/>
            <w:hideMark/>
          </w:tcPr>
          <w:p w14:paraId="479F9157" w14:textId="1375D1F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4C170C">
              <w:rPr>
                <w:rFonts w:ascii="Arial Narrow" w:hAnsi="Arial Narrow" w:cs="Calibri"/>
                <w:sz w:val="16"/>
                <w:szCs w:val="16"/>
              </w:rPr>
              <w:t>,</w:t>
            </w:r>
            <w:r>
              <w:rPr>
                <w:rFonts w:ascii="Arial Narrow" w:hAnsi="Arial Narrow" w:cs="Calibri"/>
                <w:sz w:val="16"/>
                <w:szCs w:val="16"/>
              </w:rPr>
              <w:t>4</w:t>
            </w:r>
          </w:p>
        </w:tc>
        <w:tc>
          <w:tcPr>
            <w:tcW w:w="493" w:type="pct"/>
            <w:tcBorders>
              <w:top w:val="nil"/>
              <w:left w:val="nil"/>
              <w:bottom w:val="nil"/>
              <w:right w:val="nil"/>
            </w:tcBorders>
            <w:shd w:val="clear" w:color="000000" w:fill="DDEBF7"/>
            <w:vAlign w:val="center"/>
          </w:tcPr>
          <w:p w14:paraId="4F979C95" w14:textId="669F3B3F"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4C170C">
              <w:rPr>
                <w:rFonts w:ascii="Arial Narrow" w:hAnsi="Arial Narrow" w:cs="Calibri"/>
                <w:sz w:val="16"/>
                <w:szCs w:val="16"/>
              </w:rPr>
              <w:t>,</w:t>
            </w:r>
            <w:r>
              <w:rPr>
                <w:rFonts w:ascii="Arial Narrow" w:hAnsi="Arial Narrow" w:cs="Calibri"/>
                <w:sz w:val="16"/>
                <w:szCs w:val="16"/>
              </w:rPr>
              <w:t>6</w:t>
            </w:r>
          </w:p>
        </w:tc>
        <w:tc>
          <w:tcPr>
            <w:tcW w:w="492" w:type="pct"/>
            <w:tcBorders>
              <w:top w:val="nil"/>
              <w:left w:val="nil"/>
              <w:bottom w:val="nil"/>
              <w:right w:val="nil"/>
            </w:tcBorders>
            <w:shd w:val="clear" w:color="000000" w:fill="DDEBF7"/>
            <w:vAlign w:val="center"/>
            <w:hideMark/>
          </w:tcPr>
          <w:p w14:paraId="065EE224" w14:textId="32895B93"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4C170C">
              <w:rPr>
                <w:rFonts w:ascii="Arial Narrow" w:hAnsi="Arial Narrow" w:cs="Calibri"/>
                <w:sz w:val="16"/>
                <w:szCs w:val="16"/>
              </w:rPr>
              <w:t>,</w:t>
            </w:r>
            <w:r>
              <w:rPr>
                <w:rFonts w:ascii="Arial Narrow" w:hAnsi="Arial Narrow" w:cs="Calibri"/>
                <w:sz w:val="16"/>
                <w:szCs w:val="16"/>
              </w:rPr>
              <w:t>6</w:t>
            </w:r>
          </w:p>
        </w:tc>
      </w:tr>
      <w:tr w:rsidR="00C24F6F" w:rsidRPr="000C2D79" w14:paraId="75F4D6DB" w14:textId="77777777" w:rsidTr="002B1847">
        <w:trPr>
          <w:trHeight w:val="282"/>
        </w:trPr>
        <w:tc>
          <w:tcPr>
            <w:tcW w:w="238" w:type="pct"/>
            <w:tcBorders>
              <w:top w:val="nil"/>
              <w:left w:val="nil"/>
              <w:bottom w:val="nil"/>
              <w:right w:val="nil"/>
            </w:tcBorders>
            <w:shd w:val="clear" w:color="000000" w:fill="DDEBF7"/>
            <w:vAlign w:val="center"/>
            <w:hideMark/>
          </w:tcPr>
          <w:p w14:paraId="493CDEAD"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12</w:t>
            </w:r>
          </w:p>
        </w:tc>
        <w:tc>
          <w:tcPr>
            <w:tcW w:w="1946" w:type="pct"/>
            <w:gridSpan w:val="3"/>
            <w:tcBorders>
              <w:top w:val="nil"/>
              <w:left w:val="nil"/>
              <w:bottom w:val="nil"/>
              <w:right w:val="nil"/>
            </w:tcBorders>
            <w:shd w:val="clear" w:color="000000" w:fill="DDEBF7"/>
            <w:vAlign w:val="center"/>
            <w:hideMark/>
          </w:tcPr>
          <w:p w14:paraId="3F37638C" w14:textId="77777777" w:rsidR="00C24F6F" w:rsidRPr="000C2D79" w:rsidRDefault="00C24F6F" w:rsidP="002B1847">
            <w:pPr>
              <w:spacing w:after="0" w:line="240" w:lineRule="auto"/>
              <w:ind w:firstLineChars="100" w:firstLine="161"/>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Saldo zahraničného obchodu s výrobkami a službami</w:t>
            </w:r>
          </w:p>
        </w:tc>
        <w:tc>
          <w:tcPr>
            <w:tcW w:w="352" w:type="pct"/>
            <w:tcBorders>
              <w:top w:val="nil"/>
              <w:left w:val="nil"/>
              <w:bottom w:val="nil"/>
              <w:right w:val="nil"/>
            </w:tcBorders>
            <w:shd w:val="clear" w:color="000000" w:fill="DDEBF7"/>
            <w:vAlign w:val="center"/>
            <w:hideMark/>
          </w:tcPr>
          <w:p w14:paraId="4AF2C8DA"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sidRPr="000C2D79">
              <w:rPr>
                <w:rFonts w:ascii="Arial Narrow" w:eastAsia="Times New Roman" w:hAnsi="Arial Narrow" w:cs="Calibri"/>
                <w:kern w:val="0"/>
                <w:sz w:val="16"/>
                <w:szCs w:val="16"/>
                <w:lang w:eastAsia="sk-SK"/>
                <w14:ligatures w14:val="none"/>
              </w:rPr>
              <w:t> </w:t>
            </w:r>
          </w:p>
        </w:tc>
        <w:tc>
          <w:tcPr>
            <w:tcW w:w="493" w:type="pct"/>
            <w:tcBorders>
              <w:top w:val="nil"/>
              <w:left w:val="nil"/>
              <w:bottom w:val="nil"/>
              <w:right w:val="nil"/>
            </w:tcBorders>
            <w:shd w:val="clear" w:color="000000" w:fill="DDEBF7"/>
            <w:vAlign w:val="center"/>
            <w:hideMark/>
          </w:tcPr>
          <w:p w14:paraId="5F10289D" w14:textId="56C73946"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6</w:t>
            </w:r>
            <w:r w:rsidR="004C170C">
              <w:rPr>
                <w:rFonts w:ascii="Arial Narrow" w:hAnsi="Arial Narrow" w:cs="Calibri"/>
                <w:sz w:val="16"/>
                <w:szCs w:val="16"/>
              </w:rPr>
              <w:t>,</w:t>
            </w:r>
            <w:r>
              <w:rPr>
                <w:rFonts w:ascii="Arial Narrow" w:hAnsi="Arial Narrow" w:cs="Calibri"/>
                <w:sz w:val="16"/>
                <w:szCs w:val="16"/>
              </w:rPr>
              <w:t>4</w:t>
            </w:r>
          </w:p>
        </w:tc>
        <w:tc>
          <w:tcPr>
            <w:tcW w:w="493" w:type="pct"/>
            <w:tcBorders>
              <w:top w:val="nil"/>
              <w:left w:val="nil"/>
              <w:bottom w:val="nil"/>
              <w:right w:val="nil"/>
            </w:tcBorders>
            <w:shd w:val="clear" w:color="000000" w:fill="DDEBF7"/>
            <w:vAlign w:val="center"/>
            <w:hideMark/>
          </w:tcPr>
          <w:p w14:paraId="09F2EB93" w14:textId="7DE46B29"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-2</w:t>
            </w:r>
            <w:r w:rsidR="004C170C">
              <w:rPr>
                <w:rFonts w:ascii="Arial Narrow" w:hAnsi="Arial Narrow" w:cs="Calibri"/>
                <w:sz w:val="16"/>
                <w:szCs w:val="16"/>
              </w:rPr>
              <w:t>,</w:t>
            </w:r>
            <w:r>
              <w:rPr>
                <w:rFonts w:ascii="Arial Narrow" w:hAnsi="Arial Narrow" w:cs="Calibri"/>
                <w:sz w:val="16"/>
                <w:szCs w:val="16"/>
              </w:rPr>
              <w:t>1</w:t>
            </w:r>
          </w:p>
        </w:tc>
        <w:tc>
          <w:tcPr>
            <w:tcW w:w="493" w:type="pct"/>
            <w:tcBorders>
              <w:top w:val="nil"/>
              <w:left w:val="nil"/>
              <w:bottom w:val="nil"/>
              <w:right w:val="nil"/>
            </w:tcBorders>
            <w:shd w:val="clear" w:color="000000" w:fill="DDEBF7"/>
            <w:vAlign w:val="center"/>
            <w:hideMark/>
          </w:tcPr>
          <w:p w14:paraId="47442664" w14:textId="10A62536"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4C170C">
              <w:rPr>
                <w:rFonts w:ascii="Arial Narrow" w:hAnsi="Arial Narrow" w:cs="Calibri"/>
                <w:sz w:val="16"/>
                <w:szCs w:val="16"/>
              </w:rPr>
              <w:t>,</w:t>
            </w:r>
            <w:r>
              <w:rPr>
                <w:rFonts w:ascii="Arial Narrow" w:hAnsi="Arial Narrow" w:cs="Calibri"/>
                <w:sz w:val="16"/>
                <w:szCs w:val="16"/>
              </w:rPr>
              <w:t>4</w:t>
            </w:r>
          </w:p>
        </w:tc>
        <w:tc>
          <w:tcPr>
            <w:tcW w:w="493" w:type="pct"/>
            <w:tcBorders>
              <w:top w:val="nil"/>
              <w:left w:val="nil"/>
              <w:bottom w:val="nil"/>
              <w:right w:val="nil"/>
            </w:tcBorders>
            <w:shd w:val="clear" w:color="000000" w:fill="DDEBF7"/>
            <w:vAlign w:val="center"/>
          </w:tcPr>
          <w:p w14:paraId="1C81A8D1" w14:textId="6A5E68E2"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4C170C">
              <w:rPr>
                <w:rFonts w:ascii="Arial Narrow" w:hAnsi="Arial Narrow" w:cs="Calibri"/>
                <w:sz w:val="16"/>
                <w:szCs w:val="16"/>
              </w:rPr>
              <w:t>,</w:t>
            </w:r>
            <w:r>
              <w:rPr>
                <w:rFonts w:ascii="Arial Narrow" w:hAnsi="Arial Narrow" w:cs="Calibri"/>
                <w:sz w:val="16"/>
                <w:szCs w:val="16"/>
              </w:rPr>
              <w:t>3</w:t>
            </w:r>
          </w:p>
        </w:tc>
        <w:tc>
          <w:tcPr>
            <w:tcW w:w="492" w:type="pct"/>
            <w:tcBorders>
              <w:top w:val="nil"/>
              <w:left w:val="nil"/>
              <w:bottom w:val="nil"/>
              <w:right w:val="nil"/>
            </w:tcBorders>
            <w:shd w:val="clear" w:color="000000" w:fill="DDEBF7"/>
            <w:vAlign w:val="center"/>
            <w:hideMark/>
          </w:tcPr>
          <w:p w14:paraId="35360F47" w14:textId="1DC7FC5D"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4C170C">
              <w:rPr>
                <w:rFonts w:ascii="Arial Narrow" w:hAnsi="Arial Narrow" w:cs="Calibri"/>
                <w:sz w:val="16"/>
                <w:szCs w:val="16"/>
              </w:rPr>
              <w:t>,</w:t>
            </w:r>
            <w:r>
              <w:rPr>
                <w:rFonts w:ascii="Arial Narrow" w:hAnsi="Arial Narrow" w:cs="Calibri"/>
                <w:sz w:val="16"/>
                <w:szCs w:val="16"/>
              </w:rPr>
              <w:t>0</w:t>
            </w:r>
          </w:p>
        </w:tc>
      </w:tr>
      <w:tr w:rsidR="00C24F6F" w:rsidRPr="000C2D79" w14:paraId="4B11D071" w14:textId="77777777" w:rsidTr="002B1847">
        <w:trPr>
          <w:trHeight w:val="282"/>
        </w:trPr>
        <w:tc>
          <w:tcPr>
            <w:tcW w:w="2184" w:type="pct"/>
            <w:gridSpan w:val="4"/>
            <w:tcBorders>
              <w:top w:val="nil"/>
              <w:left w:val="nil"/>
              <w:bottom w:val="nil"/>
              <w:right w:val="nil"/>
            </w:tcBorders>
            <w:vAlign w:val="center"/>
            <w:hideMark/>
          </w:tcPr>
          <w:p w14:paraId="4CE37503" w14:textId="77777777" w:rsidR="00C24F6F" w:rsidRPr="000C2D79" w:rsidRDefault="00C24F6F" w:rsidP="002B1847">
            <w:pPr>
              <w:spacing w:after="0" w:line="240" w:lineRule="auto"/>
              <w:rPr>
                <w:rFonts w:ascii="Arial Narrow" w:eastAsia="Times New Roman" w:hAnsi="Arial Narrow" w:cs="Calibri"/>
                <w:i/>
                <w:iCs/>
                <w:color w:val="2C9ADC"/>
                <w:kern w:val="0"/>
                <w:sz w:val="16"/>
                <w:szCs w:val="16"/>
                <w:lang w:eastAsia="sk-SK"/>
                <w14:ligatures w14:val="none"/>
              </w:rPr>
            </w:pPr>
            <w:r w:rsidRPr="000C2D79">
              <w:rPr>
                <w:rFonts w:ascii="Arial Narrow" w:eastAsia="Times New Roman" w:hAnsi="Arial Narrow" w:cs="Calibri"/>
                <w:i/>
                <w:iCs/>
                <w:color w:val="2C9ADC"/>
                <w:kern w:val="0"/>
                <w:sz w:val="16"/>
                <w:szCs w:val="16"/>
                <w:lang w:eastAsia="sk-SK"/>
                <w14:ligatures w14:val="none"/>
              </w:rPr>
              <w:t>Deflátory a HICP</w:t>
            </w:r>
          </w:p>
        </w:tc>
        <w:tc>
          <w:tcPr>
            <w:tcW w:w="352" w:type="pct"/>
            <w:tcBorders>
              <w:top w:val="nil"/>
              <w:left w:val="nil"/>
              <w:bottom w:val="nil"/>
              <w:right w:val="nil"/>
            </w:tcBorders>
            <w:vAlign w:val="center"/>
            <w:hideMark/>
          </w:tcPr>
          <w:p w14:paraId="4D0CCBD5" w14:textId="77777777" w:rsidR="00C24F6F" w:rsidRPr="000C2D79" w:rsidRDefault="00C24F6F" w:rsidP="002B1847">
            <w:pPr>
              <w:spacing w:after="0" w:line="240" w:lineRule="auto"/>
              <w:rPr>
                <w:rFonts w:ascii="Arial Narrow" w:eastAsia="Times New Roman" w:hAnsi="Arial Narrow" w:cs="Calibri"/>
                <w:i/>
                <w:iCs/>
                <w:color w:val="2C9ADC"/>
                <w:kern w:val="0"/>
                <w:sz w:val="16"/>
                <w:szCs w:val="16"/>
                <w:lang w:eastAsia="sk-SK"/>
                <w14:ligatures w14:val="none"/>
              </w:rPr>
            </w:pPr>
          </w:p>
        </w:tc>
        <w:tc>
          <w:tcPr>
            <w:tcW w:w="493" w:type="pct"/>
            <w:tcBorders>
              <w:top w:val="nil"/>
              <w:left w:val="nil"/>
              <w:bottom w:val="nil"/>
              <w:right w:val="nil"/>
            </w:tcBorders>
            <w:vAlign w:val="center"/>
            <w:hideMark/>
          </w:tcPr>
          <w:p w14:paraId="7EF478C0"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3" w:type="pct"/>
            <w:tcBorders>
              <w:top w:val="nil"/>
              <w:left w:val="nil"/>
              <w:bottom w:val="nil"/>
              <w:right w:val="nil"/>
            </w:tcBorders>
            <w:vAlign w:val="center"/>
            <w:hideMark/>
          </w:tcPr>
          <w:p w14:paraId="03C95DCE"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3" w:type="pct"/>
            <w:tcBorders>
              <w:top w:val="nil"/>
              <w:left w:val="nil"/>
              <w:bottom w:val="nil"/>
              <w:right w:val="nil"/>
            </w:tcBorders>
            <w:vAlign w:val="center"/>
            <w:hideMark/>
          </w:tcPr>
          <w:p w14:paraId="5F206BA5"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3" w:type="pct"/>
            <w:tcBorders>
              <w:top w:val="nil"/>
              <w:left w:val="nil"/>
              <w:bottom w:val="nil"/>
              <w:right w:val="nil"/>
            </w:tcBorders>
          </w:tcPr>
          <w:p w14:paraId="79CE818A"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2" w:type="pct"/>
            <w:tcBorders>
              <w:top w:val="nil"/>
              <w:left w:val="nil"/>
              <w:bottom w:val="nil"/>
              <w:right w:val="nil"/>
            </w:tcBorders>
            <w:vAlign w:val="center"/>
            <w:hideMark/>
          </w:tcPr>
          <w:p w14:paraId="024C7ADB"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r>
      <w:tr w:rsidR="00C24F6F" w:rsidRPr="000C2D79" w14:paraId="22E2C1C7" w14:textId="77777777" w:rsidTr="002B1847">
        <w:trPr>
          <w:trHeight w:val="282"/>
        </w:trPr>
        <w:tc>
          <w:tcPr>
            <w:tcW w:w="238" w:type="pct"/>
            <w:tcBorders>
              <w:top w:val="nil"/>
              <w:left w:val="nil"/>
              <w:bottom w:val="nil"/>
              <w:right w:val="nil"/>
            </w:tcBorders>
            <w:shd w:val="clear" w:color="000000" w:fill="DDEBF7"/>
            <w:vAlign w:val="center"/>
            <w:hideMark/>
          </w:tcPr>
          <w:p w14:paraId="05765154"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13</w:t>
            </w:r>
          </w:p>
        </w:tc>
        <w:tc>
          <w:tcPr>
            <w:tcW w:w="1946" w:type="pct"/>
            <w:gridSpan w:val="3"/>
            <w:tcBorders>
              <w:top w:val="nil"/>
              <w:left w:val="nil"/>
              <w:bottom w:val="nil"/>
              <w:right w:val="nil"/>
            </w:tcBorders>
            <w:shd w:val="clear" w:color="000000" w:fill="DDEBF7"/>
            <w:vAlign w:val="center"/>
            <w:hideMark/>
          </w:tcPr>
          <w:p w14:paraId="271AB891"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Deflátor domácej spotreby</w:t>
            </w:r>
          </w:p>
        </w:tc>
        <w:tc>
          <w:tcPr>
            <w:tcW w:w="352" w:type="pct"/>
            <w:tcBorders>
              <w:top w:val="nil"/>
              <w:left w:val="nil"/>
              <w:bottom w:val="nil"/>
              <w:right w:val="nil"/>
            </w:tcBorders>
            <w:shd w:val="clear" w:color="000000" w:fill="DDEBF7"/>
            <w:vAlign w:val="center"/>
            <w:hideMark/>
          </w:tcPr>
          <w:p w14:paraId="47275D3B"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sidRPr="000C2D79">
              <w:rPr>
                <w:rFonts w:ascii="Arial Narrow" w:eastAsia="Times New Roman" w:hAnsi="Arial Narrow" w:cs="Calibri"/>
                <w:kern w:val="0"/>
                <w:sz w:val="16"/>
                <w:szCs w:val="16"/>
                <w:lang w:eastAsia="sk-SK"/>
                <w14:ligatures w14:val="none"/>
              </w:rPr>
              <w:t> </w:t>
            </w:r>
          </w:p>
        </w:tc>
        <w:tc>
          <w:tcPr>
            <w:tcW w:w="493" w:type="pct"/>
            <w:tcBorders>
              <w:top w:val="nil"/>
              <w:left w:val="nil"/>
              <w:bottom w:val="nil"/>
              <w:right w:val="nil"/>
            </w:tcBorders>
            <w:shd w:val="clear" w:color="000000" w:fill="DDEBF7"/>
            <w:vAlign w:val="center"/>
            <w:hideMark/>
          </w:tcPr>
          <w:p w14:paraId="4C307002" w14:textId="26F130C4"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10</w:t>
            </w:r>
            <w:r w:rsidR="004C170C">
              <w:rPr>
                <w:rFonts w:ascii="Arial Narrow" w:hAnsi="Arial Narrow" w:cs="Calibri"/>
                <w:sz w:val="16"/>
                <w:szCs w:val="16"/>
              </w:rPr>
              <w:t>,</w:t>
            </w:r>
            <w:r>
              <w:rPr>
                <w:rFonts w:ascii="Arial Narrow" w:hAnsi="Arial Narrow" w:cs="Calibri"/>
                <w:sz w:val="16"/>
                <w:szCs w:val="16"/>
              </w:rPr>
              <w:t>1</w:t>
            </w:r>
          </w:p>
        </w:tc>
        <w:tc>
          <w:tcPr>
            <w:tcW w:w="493" w:type="pct"/>
            <w:tcBorders>
              <w:top w:val="nil"/>
              <w:left w:val="nil"/>
              <w:bottom w:val="nil"/>
              <w:right w:val="nil"/>
            </w:tcBorders>
            <w:shd w:val="clear" w:color="000000" w:fill="DDEBF7"/>
            <w:vAlign w:val="center"/>
            <w:hideMark/>
          </w:tcPr>
          <w:p w14:paraId="7945D2D1" w14:textId="318A3E1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4C170C">
              <w:rPr>
                <w:rFonts w:ascii="Arial Narrow" w:hAnsi="Arial Narrow" w:cs="Calibri"/>
                <w:sz w:val="16"/>
                <w:szCs w:val="16"/>
              </w:rPr>
              <w:t>,</w:t>
            </w:r>
            <w:r>
              <w:rPr>
                <w:rFonts w:ascii="Arial Narrow" w:hAnsi="Arial Narrow" w:cs="Calibri"/>
                <w:sz w:val="16"/>
                <w:szCs w:val="16"/>
              </w:rPr>
              <w:t>0</w:t>
            </w:r>
          </w:p>
        </w:tc>
        <w:tc>
          <w:tcPr>
            <w:tcW w:w="493" w:type="pct"/>
            <w:tcBorders>
              <w:top w:val="nil"/>
              <w:left w:val="nil"/>
              <w:bottom w:val="nil"/>
              <w:right w:val="nil"/>
            </w:tcBorders>
            <w:shd w:val="clear" w:color="000000" w:fill="DDEBF7"/>
            <w:vAlign w:val="center"/>
            <w:hideMark/>
          </w:tcPr>
          <w:p w14:paraId="06B590D1" w14:textId="1392AE96"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4</w:t>
            </w:r>
            <w:r w:rsidR="004C170C">
              <w:rPr>
                <w:rFonts w:ascii="Arial Narrow" w:hAnsi="Arial Narrow" w:cs="Calibri"/>
                <w:sz w:val="16"/>
                <w:szCs w:val="16"/>
              </w:rPr>
              <w:t>,</w:t>
            </w:r>
            <w:r>
              <w:rPr>
                <w:rFonts w:ascii="Arial Narrow" w:hAnsi="Arial Narrow" w:cs="Calibri"/>
                <w:sz w:val="16"/>
                <w:szCs w:val="16"/>
              </w:rPr>
              <w:t>2</w:t>
            </w:r>
          </w:p>
        </w:tc>
        <w:tc>
          <w:tcPr>
            <w:tcW w:w="493" w:type="pct"/>
            <w:tcBorders>
              <w:top w:val="nil"/>
              <w:left w:val="nil"/>
              <w:bottom w:val="nil"/>
              <w:right w:val="nil"/>
            </w:tcBorders>
            <w:shd w:val="clear" w:color="000000" w:fill="DDEBF7"/>
            <w:vAlign w:val="center"/>
          </w:tcPr>
          <w:p w14:paraId="7E81632F" w14:textId="2DF9A838"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4C170C">
              <w:rPr>
                <w:rFonts w:ascii="Arial Narrow" w:hAnsi="Arial Narrow" w:cs="Calibri"/>
                <w:sz w:val="16"/>
                <w:szCs w:val="16"/>
              </w:rPr>
              <w:t>,</w:t>
            </w:r>
            <w:r>
              <w:rPr>
                <w:rFonts w:ascii="Arial Narrow" w:hAnsi="Arial Narrow" w:cs="Calibri"/>
                <w:sz w:val="16"/>
                <w:szCs w:val="16"/>
              </w:rPr>
              <w:t>4</w:t>
            </w:r>
          </w:p>
        </w:tc>
        <w:tc>
          <w:tcPr>
            <w:tcW w:w="492" w:type="pct"/>
            <w:tcBorders>
              <w:top w:val="nil"/>
              <w:left w:val="nil"/>
              <w:bottom w:val="nil"/>
              <w:right w:val="nil"/>
            </w:tcBorders>
            <w:shd w:val="clear" w:color="000000" w:fill="DDEBF7"/>
            <w:vAlign w:val="center"/>
            <w:hideMark/>
          </w:tcPr>
          <w:p w14:paraId="44C70A4B" w14:textId="5906E206"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2</w:t>
            </w:r>
            <w:r w:rsidR="004C170C">
              <w:rPr>
                <w:rFonts w:ascii="Arial Narrow" w:hAnsi="Arial Narrow" w:cs="Calibri"/>
                <w:sz w:val="16"/>
                <w:szCs w:val="16"/>
              </w:rPr>
              <w:t>,</w:t>
            </w:r>
            <w:r>
              <w:rPr>
                <w:rFonts w:ascii="Arial Narrow" w:hAnsi="Arial Narrow" w:cs="Calibri"/>
                <w:sz w:val="16"/>
                <w:szCs w:val="16"/>
              </w:rPr>
              <w:t>5</w:t>
            </w:r>
          </w:p>
        </w:tc>
      </w:tr>
      <w:tr w:rsidR="00C24F6F" w:rsidRPr="000C2D79" w14:paraId="39D72BB9" w14:textId="77777777" w:rsidTr="002B1847">
        <w:trPr>
          <w:trHeight w:val="282"/>
        </w:trPr>
        <w:tc>
          <w:tcPr>
            <w:tcW w:w="238" w:type="pct"/>
            <w:tcBorders>
              <w:top w:val="nil"/>
              <w:left w:val="nil"/>
              <w:bottom w:val="nil"/>
              <w:right w:val="nil"/>
            </w:tcBorders>
            <w:shd w:val="clear" w:color="000000" w:fill="DDEBF7"/>
            <w:vAlign w:val="center"/>
            <w:hideMark/>
          </w:tcPr>
          <w:p w14:paraId="7030C3A9"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14</w:t>
            </w:r>
          </w:p>
        </w:tc>
        <w:tc>
          <w:tcPr>
            <w:tcW w:w="1946" w:type="pct"/>
            <w:gridSpan w:val="3"/>
            <w:tcBorders>
              <w:top w:val="nil"/>
              <w:left w:val="nil"/>
              <w:bottom w:val="nil"/>
              <w:right w:val="nil"/>
            </w:tcBorders>
            <w:shd w:val="clear" w:color="000000" w:fill="DDEBF7"/>
            <w:vAlign w:val="center"/>
            <w:hideMark/>
          </w:tcPr>
          <w:p w14:paraId="19CF1878" w14:textId="77777777" w:rsidR="00C24F6F" w:rsidRPr="000C2D79" w:rsidRDefault="00C24F6F" w:rsidP="002B1847">
            <w:pPr>
              <w:spacing w:after="0" w:line="240" w:lineRule="auto"/>
              <w:ind w:firstLineChars="100" w:firstLine="161"/>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p.m. HICP</w:t>
            </w:r>
          </w:p>
        </w:tc>
        <w:tc>
          <w:tcPr>
            <w:tcW w:w="352" w:type="pct"/>
            <w:tcBorders>
              <w:top w:val="nil"/>
              <w:left w:val="nil"/>
              <w:bottom w:val="nil"/>
              <w:right w:val="nil"/>
            </w:tcBorders>
            <w:shd w:val="clear" w:color="000000" w:fill="DDEBF7"/>
            <w:vAlign w:val="center"/>
            <w:hideMark/>
          </w:tcPr>
          <w:p w14:paraId="38EA60A0"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sidRPr="000C2D79">
              <w:rPr>
                <w:rFonts w:ascii="Arial Narrow" w:eastAsia="Times New Roman" w:hAnsi="Arial Narrow" w:cs="Calibri"/>
                <w:kern w:val="0"/>
                <w:sz w:val="16"/>
                <w:szCs w:val="16"/>
                <w:lang w:eastAsia="sk-SK"/>
                <w14:ligatures w14:val="none"/>
              </w:rPr>
              <w:t> </w:t>
            </w:r>
          </w:p>
        </w:tc>
        <w:tc>
          <w:tcPr>
            <w:tcW w:w="493" w:type="pct"/>
            <w:tcBorders>
              <w:top w:val="nil"/>
              <w:left w:val="nil"/>
              <w:bottom w:val="nil"/>
              <w:right w:val="nil"/>
            </w:tcBorders>
            <w:shd w:val="clear" w:color="000000" w:fill="DDEBF7"/>
            <w:vAlign w:val="center"/>
            <w:hideMark/>
          </w:tcPr>
          <w:p w14:paraId="1289BA56" w14:textId="5FA888FF"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11</w:t>
            </w:r>
            <w:r w:rsidR="004C170C">
              <w:rPr>
                <w:rFonts w:ascii="Arial Narrow" w:hAnsi="Arial Narrow" w:cs="Calibri"/>
                <w:sz w:val="16"/>
                <w:szCs w:val="16"/>
              </w:rPr>
              <w:t>,</w:t>
            </w:r>
            <w:r>
              <w:rPr>
                <w:rFonts w:ascii="Arial Narrow" w:hAnsi="Arial Narrow" w:cs="Calibri"/>
                <w:sz w:val="16"/>
                <w:szCs w:val="16"/>
              </w:rPr>
              <w:t>0</w:t>
            </w:r>
          </w:p>
        </w:tc>
        <w:tc>
          <w:tcPr>
            <w:tcW w:w="493" w:type="pct"/>
            <w:tcBorders>
              <w:top w:val="nil"/>
              <w:left w:val="nil"/>
              <w:bottom w:val="nil"/>
              <w:right w:val="nil"/>
            </w:tcBorders>
            <w:shd w:val="clear" w:color="000000" w:fill="DDEBF7"/>
            <w:vAlign w:val="center"/>
            <w:hideMark/>
          </w:tcPr>
          <w:p w14:paraId="48BE3169" w14:textId="1EDFC680"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4C170C">
              <w:rPr>
                <w:rFonts w:ascii="Arial Narrow" w:hAnsi="Arial Narrow" w:cs="Calibri"/>
                <w:sz w:val="16"/>
                <w:szCs w:val="16"/>
              </w:rPr>
              <w:t>,</w:t>
            </w:r>
            <w:r>
              <w:rPr>
                <w:rFonts w:ascii="Arial Narrow" w:hAnsi="Arial Narrow" w:cs="Calibri"/>
                <w:sz w:val="16"/>
                <w:szCs w:val="16"/>
              </w:rPr>
              <w:t>1</w:t>
            </w:r>
          </w:p>
        </w:tc>
        <w:tc>
          <w:tcPr>
            <w:tcW w:w="493" w:type="pct"/>
            <w:tcBorders>
              <w:top w:val="nil"/>
              <w:left w:val="nil"/>
              <w:bottom w:val="nil"/>
              <w:right w:val="nil"/>
            </w:tcBorders>
            <w:shd w:val="clear" w:color="000000" w:fill="DDEBF7"/>
            <w:vAlign w:val="center"/>
            <w:hideMark/>
          </w:tcPr>
          <w:p w14:paraId="437A5D84" w14:textId="702199EB"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4</w:t>
            </w:r>
            <w:r w:rsidR="004C170C">
              <w:rPr>
                <w:rFonts w:ascii="Arial Narrow" w:hAnsi="Arial Narrow" w:cs="Calibri"/>
                <w:sz w:val="16"/>
                <w:szCs w:val="16"/>
              </w:rPr>
              <w:t>,</w:t>
            </w:r>
            <w:r>
              <w:rPr>
                <w:rFonts w:ascii="Arial Narrow" w:hAnsi="Arial Narrow" w:cs="Calibri"/>
                <w:sz w:val="16"/>
                <w:szCs w:val="16"/>
              </w:rPr>
              <w:t>2</w:t>
            </w:r>
          </w:p>
        </w:tc>
        <w:tc>
          <w:tcPr>
            <w:tcW w:w="493" w:type="pct"/>
            <w:tcBorders>
              <w:top w:val="nil"/>
              <w:left w:val="nil"/>
              <w:bottom w:val="nil"/>
              <w:right w:val="nil"/>
            </w:tcBorders>
            <w:shd w:val="clear" w:color="000000" w:fill="DDEBF7"/>
            <w:vAlign w:val="center"/>
          </w:tcPr>
          <w:p w14:paraId="486258A9" w14:textId="729D675B"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4</w:t>
            </w:r>
            <w:r w:rsidR="004C170C">
              <w:rPr>
                <w:rFonts w:ascii="Arial Narrow" w:hAnsi="Arial Narrow" w:cs="Calibri"/>
                <w:sz w:val="16"/>
                <w:szCs w:val="16"/>
              </w:rPr>
              <w:t>,</w:t>
            </w:r>
            <w:r>
              <w:rPr>
                <w:rFonts w:ascii="Arial Narrow" w:hAnsi="Arial Narrow" w:cs="Calibri"/>
                <w:sz w:val="16"/>
                <w:szCs w:val="16"/>
              </w:rPr>
              <w:t>0</w:t>
            </w:r>
          </w:p>
        </w:tc>
        <w:tc>
          <w:tcPr>
            <w:tcW w:w="492" w:type="pct"/>
            <w:tcBorders>
              <w:top w:val="nil"/>
              <w:left w:val="nil"/>
              <w:bottom w:val="nil"/>
              <w:right w:val="nil"/>
            </w:tcBorders>
            <w:shd w:val="clear" w:color="000000" w:fill="DDEBF7"/>
            <w:vAlign w:val="center"/>
            <w:hideMark/>
          </w:tcPr>
          <w:p w14:paraId="7FF01EB6" w14:textId="14AAEE06"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2</w:t>
            </w:r>
            <w:r w:rsidR="004C170C">
              <w:rPr>
                <w:rFonts w:ascii="Arial Narrow" w:hAnsi="Arial Narrow" w:cs="Calibri"/>
                <w:sz w:val="16"/>
                <w:szCs w:val="16"/>
              </w:rPr>
              <w:t>,</w:t>
            </w:r>
            <w:r>
              <w:rPr>
                <w:rFonts w:ascii="Arial Narrow" w:hAnsi="Arial Narrow" w:cs="Calibri"/>
                <w:sz w:val="16"/>
                <w:szCs w:val="16"/>
              </w:rPr>
              <w:t>5</w:t>
            </w:r>
          </w:p>
        </w:tc>
      </w:tr>
      <w:tr w:rsidR="00C24F6F" w:rsidRPr="000C2D79" w14:paraId="0F070AA9" w14:textId="77777777" w:rsidTr="002B1847">
        <w:trPr>
          <w:trHeight w:val="282"/>
        </w:trPr>
        <w:tc>
          <w:tcPr>
            <w:tcW w:w="238" w:type="pct"/>
            <w:tcBorders>
              <w:top w:val="nil"/>
              <w:left w:val="nil"/>
              <w:bottom w:val="nil"/>
              <w:right w:val="nil"/>
            </w:tcBorders>
            <w:shd w:val="clear" w:color="000000" w:fill="DDEBF7"/>
            <w:vAlign w:val="center"/>
            <w:hideMark/>
          </w:tcPr>
          <w:p w14:paraId="0EB51893"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15</w:t>
            </w:r>
          </w:p>
        </w:tc>
        <w:tc>
          <w:tcPr>
            <w:tcW w:w="1946" w:type="pct"/>
            <w:gridSpan w:val="3"/>
            <w:tcBorders>
              <w:top w:val="nil"/>
              <w:left w:val="nil"/>
              <w:bottom w:val="nil"/>
              <w:right w:val="nil"/>
            </w:tcBorders>
            <w:shd w:val="clear" w:color="000000" w:fill="DDEBF7"/>
            <w:vAlign w:val="center"/>
            <w:hideMark/>
          </w:tcPr>
          <w:p w14:paraId="547C7400"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Deflátor spotreby verejnej správy</w:t>
            </w:r>
          </w:p>
        </w:tc>
        <w:tc>
          <w:tcPr>
            <w:tcW w:w="352" w:type="pct"/>
            <w:tcBorders>
              <w:top w:val="nil"/>
              <w:left w:val="nil"/>
              <w:bottom w:val="nil"/>
              <w:right w:val="nil"/>
            </w:tcBorders>
            <w:shd w:val="clear" w:color="000000" w:fill="DDEBF7"/>
            <w:vAlign w:val="center"/>
            <w:hideMark/>
          </w:tcPr>
          <w:p w14:paraId="457B1178"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sidRPr="000C2D79">
              <w:rPr>
                <w:rFonts w:ascii="Arial Narrow" w:eastAsia="Times New Roman" w:hAnsi="Arial Narrow" w:cs="Calibri"/>
                <w:kern w:val="0"/>
                <w:sz w:val="16"/>
                <w:szCs w:val="16"/>
                <w:lang w:eastAsia="sk-SK"/>
                <w14:ligatures w14:val="none"/>
              </w:rPr>
              <w:t> </w:t>
            </w:r>
          </w:p>
        </w:tc>
        <w:tc>
          <w:tcPr>
            <w:tcW w:w="493" w:type="pct"/>
            <w:tcBorders>
              <w:top w:val="nil"/>
              <w:left w:val="nil"/>
              <w:bottom w:val="nil"/>
              <w:right w:val="nil"/>
            </w:tcBorders>
            <w:shd w:val="clear" w:color="000000" w:fill="DDEBF7"/>
            <w:vAlign w:val="center"/>
            <w:hideMark/>
          </w:tcPr>
          <w:p w14:paraId="1D5A10E5" w14:textId="1461687B"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10</w:t>
            </w:r>
            <w:r w:rsidR="004C170C">
              <w:rPr>
                <w:rFonts w:ascii="Arial Narrow" w:hAnsi="Arial Narrow" w:cs="Calibri"/>
                <w:sz w:val="16"/>
                <w:szCs w:val="16"/>
              </w:rPr>
              <w:t>,</w:t>
            </w:r>
            <w:r>
              <w:rPr>
                <w:rFonts w:ascii="Arial Narrow" w:hAnsi="Arial Narrow" w:cs="Calibri"/>
                <w:sz w:val="16"/>
                <w:szCs w:val="16"/>
              </w:rPr>
              <w:t>2</w:t>
            </w:r>
          </w:p>
        </w:tc>
        <w:tc>
          <w:tcPr>
            <w:tcW w:w="493" w:type="pct"/>
            <w:tcBorders>
              <w:top w:val="nil"/>
              <w:left w:val="nil"/>
              <w:bottom w:val="nil"/>
              <w:right w:val="nil"/>
            </w:tcBorders>
            <w:shd w:val="clear" w:color="000000" w:fill="DDEBF7"/>
            <w:vAlign w:val="center"/>
            <w:hideMark/>
          </w:tcPr>
          <w:p w14:paraId="2346F50A" w14:textId="19997713"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5</w:t>
            </w:r>
            <w:r w:rsidR="004C170C">
              <w:rPr>
                <w:rFonts w:ascii="Arial Narrow" w:hAnsi="Arial Narrow" w:cs="Calibri"/>
                <w:sz w:val="16"/>
                <w:szCs w:val="16"/>
              </w:rPr>
              <w:t>,</w:t>
            </w:r>
            <w:r>
              <w:rPr>
                <w:rFonts w:ascii="Arial Narrow" w:hAnsi="Arial Narrow" w:cs="Calibri"/>
                <w:sz w:val="16"/>
                <w:szCs w:val="16"/>
              </w:rPr>
              <w:t>3</w:t>
            </w:r>
          </w:p>
        </w:tc>
        <w:tc>
          <w:tcPr>
            <w:tcW w:w="493" w:type="pct"/>
            <w:tcBorders>
              <w:top w:val="nil"/>
              <w:left w:val="nil"/>
              <w:bottom w:val="nil"/>
              <w:right w:val="nil"/>
            </w:tcBorders>
            <w:shd w:val="clear" w:color="000000" w:fill="DDEBF7"/>
            <w:vAlign w:val="center"/>
            <w:hideMark/>
          </w:tcPr>
          <w:p w14:paraId="74333DEC" w14:textId="6ED9DAC9"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5</w:t>
            </w:r>
            <w:r w:rsidR="004C170C">
              <w:rPr>
                <w:rFonts w:ascii="Arial Narrow" w:hAnsi="Arial Narrow" w:cs="Calibri"/>
                <w:sz w:val="16"/>
                <w:szCs w:val="16"/>
              </w:rPr>
              <w:t>,</w:t>
            </w:r>
            <w:r>
              <w:rPr>
                <w:rFonts w:ascii="Arial Narrow" w:hAnsi="Arial Narrow" w:cs="Calibri"/>
                <w:sz w:val="16"/>
                <w:szCs w:val="16"/>
              </w:rPr>
              <w:t>3</w:t>
            </w:r>
          </w:p>
        </w:tc>
        <w:tc>
          <w:tcPr>
            <w:tcW w:w="493" w:type="pct"/>
            <w:tcBorders>
              <w:top w:val="nil"/>
              <w:left w:val="nil"/>
              <w:bottom w:val="nil"/>
              <w:right w:val="nil"/>
            </w:tcBorders>
            <w:shd w:val="clear" w:color="000000" w:fill="DDEBF7"/>
            <w:vAlign w:val="center"/>
          </w:tcPr>
          <w:p w14:paraId="6CDB76E6" w14:textId="63E7DA01"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4</w:t>
            </w:r>
            <w:r w:rsidR="004C170C">
              <w:rPr>
                <w:rFonts w:ascii="Arial Narrow" w:hAnsi="Arial Narrow" w:cs="Calibri"/>
                <w:sz w:val="16"/>
                <w:szCs w:val="16"/>
              </w:rPr>
              <w:t>,</w:t>
            </w:r>
            <w:r>
              <w:rPr>
                <w:rFonts w:ascii="Arial Narrow" w:hAnsi="Arial Narrow" w:cs="Calibri"/>
                <w:sz w:val="16"/>
                <w:szCs w:val="16"/>
              </w:rPr>
              <w:t>1</w:t>
            </w:r>
          </w:p>
        </w:tc>
        <w:tc>
          <w:tcPr>
            <w:tcW w:w="492" w:type="pct"/>
            <w:tcBorders>
              <w:top w:val="nil"/>
              <w:left w:val="nil"/>
              <w:bottom w:val="nil"/>
              <w:right w:val="nil"/>
            </w:tcBorders>
            <w:shd w:val="clear" w:color="000000" w:fill="DDEBF7"/>
            <w:vAlign w:val="center"/>
            <w:hideMark/>
          </w:tcPr>
          <w:p w14:paraId="3A6D529C" w14:textId="2513A9A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4C170C">
              <w:rPr>
                <w:rFonts w:ascii="Arial Narrow" w:hAnsi="Arial Narrow" w:cs="Calibri"/>
                <w:sz w:val="16"/>
                <w:szCs w:val="16"/>
              </w:rPr>
              <w:t>,</w:t>
            </w:r>
            <w:r>
              <w:rPr>
                <w:rFonts w:ascii="Arial Narrow" w:hAnsi="Arial Narrow" w:cs="Calibri"/>
                <w:sz w:val="16"/>
                <w:szCs w:val="16"/>
              </w:rPr>
              <w:t>0</w:t>
            </w:r>
          </w:p>
        </w:tc>
      </w:tr>
      <w:tr w:rsidR="00C24F6F" w:rsidRPr="000C2D79" w14:paraId="58CB1962" w14:textId="77777777" w:rsidTr="002B1847">
        <w:trPr>
          <w:trHeight w:val="282"/>
        </w:trPr>
        <w:tc>
          <w:tcPr>
            <w:tcW w:w="238" w:type="pct"/>
            <w:tcBorders>
              <w:top w:val="nil"/>
              <w:left w:val="nil"/>
              <w:bottom w:val="nil"/>
              <w:right w:val="nil"/>
            </w:tcBorders>
            <w:shd w:val="clear" w:color="000000" w:fill="DDEBF7"/>
            <w:vAlign w:val="center"/>
            <w:hideMark/>
          </w:tcPr>
          <w:p w14:paraId="1C309CA9"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16</w:t>
            </w:r>
          </w:p>
        </w:tc>
        <w:tc>
          <w:tcPr>
            <w:tcW w:w="1946" w:type="pct"/>
            <w:gridSpan w:val="3"/>
            <w:tcBorders>
              <w:top w:val="nil"/>
              <w:left w:val="nil"/>
              <w:bottom w:val="nil"/>
              <w:right w:val="nil"/>
            </w:tcBorders>
            <w:shd w:val="clear" w:color="000000" w:fill="DDEBF7"/>
            <w:noWrap/>
            <w:vAlign w:val="center"/>
            <w:hideMark/>
          </w:tcPr>
          <w:p w14:paraId="0FF6B9C4"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Deflátor investícií</w:t>
            </w:r>
          </w:p>
        </w:tc>
        <w:tc>
          <w:tcPr>
            <w:tcW w:w="352" w:type="pct"/>
            <w:tcBorders>
              <w:top w:val="nil"/>
              <w:left w:val="nil"/>
              <w:bottom w:val="nil"/>
              <w:right w:val="nil"/>
            </w:tcBorders>
            <w:shd w:val="clear" w:color="000000" w:fill="DDEBF7"/>
            <w:vAlign w:val="center"/>
            <w:hideMark/>
          </w:tcPr>
          <w:p w14:paraId="07415ACA"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sidRPr="000C2D79">
              <w:rPr>
                <w:rFonts w:ascii="Arial Narrow" w:eastAsia="Times New Roman" w:hAnsi="Arial Narrow" w:cs="Calibri"/>
                <w:kern w:val="0"/>
                <w:sz w:val="16"/>
                <w:szCs w:val="16"/>
                <w:lang w:eastAsia="sk-SK"/>
                <w14:ligatures w14:val="none"/>
              </w:rPr>
              <w:t> </w:t>
            </w:r>
          </w:p>
        </w:tc>
        <w:tc>
          <w:tcPr>
            <w:tcW w:w="493" w:type="pct"/>
            <w:tcBorders>
              <w:top w:val="nil"/>
              <w:left w:val="nil"/>
              <w:bottom w:val="nil"/>
              <w:right w:val="nil"/>
            </w:tcBorders>
            <w:shd w:val="clear" w:color="000000" w:fill="DDEBF7"/>
            <w:vAlign w:val="center"/>
            <w:hideMark/>
          </w:tcPr>
          <w:p w14:paraId="7144AEE7" w14:textId="433D9060"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9</w:t>
            </w:r>
            <w:r w:rsidR="00900212">
              <w:rPr>
                <w:rFonts w:ascii="Arial Narrow" w:hAnsi="Arial Narrow" w:cs="Calibri"/>
                <w:sz w:val="16"/>
                <w:szCs w:val="16"/>
              </w:rPr>
              <w:t>,</w:t>
            </w:r>
            <w:r>
              <w:rPr>
                <w:rFonts w:ascii="Arial Narrow" w:hAnsi="Arial Narrow" w:cs="Calibri"/>
                <w:sz w:val="16"/>
                <w:szCs w:val="16"/>
              </w:rPr>
              <w:t>1</w:t>
            </w:r>
          </w:p>
        </w:tc>
        <w:tc>
          <w:tcPr>
            <w:tcW w:w="493" w:type="pct"/>
            <w:tcBorders>
              <w:top w:val="nil"/>
              <w:left w:val="nil"/>
              <w:bottom w:val="nil"/>
              <w:right w:val="nil"/>
            </w:tcBorders>
            <w:shd w:val="clear" w:color="000000" w:fill="DDEBF7"/>
            <w:vAlign w:val="center"/>
            <w:hideMark/>
          </w:tcPr>
          <w:p w14:paraId="72F6C49B" w14:textId="3040274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2</w:t>
            </w:r>
          </w:p>
        </w:tc>
        <w:tc>
          <w:tcPr>
            <w:tcW w:w="493" w:type="pct"/>
            <w:tcBorders>
              <w:top w:val="nil"/>
              <w:left w:val="nil"/>
              <w:bottom w:val="nil"/>
              <w:right w:val="nil"/>
            </w:tcBorders>
            <w:shd w:val="clear" w:color="000000" w:fill="DDEBF7"/>
            <w:vAlign w:val="center"/>
            <w:hideMark/>
          </w:tcPr>
          <w:p w14:paraId="7FE175B3" w14:textId="330D2062"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900212">
              <w:rPr>
                <w:rFonts w:ascii="Arial Narrow" w:hAnsi="Arial Narrow" w:cs="Calibri"/>
                <w:sz w:val="16"/>
                <w:szCs w:val="16"/>
              </w:rPr>
              <w:t>,</w:t>
            </w:r>
            <w:r>
              <w:rPr>
                <w:rFonts w:ascii="Arial Narrow" w:hAnsi="Arial Narrow" w:cs="Calibri"/>
                <w:sz w:val="16"/>
                <w:szCs w:val="16"/>
              </w:rPr>
              <w:t>3</w:t>
            </w:r>
          </w:p>
        </w:tc>
        <w:tc>
          <w:tcPr>
            <w:tcW w:w="493" w:type="pct"/>
            <w:tcBorders>
              <w:top w:val="nil"/>
              <w:left w:val="nil"/>
              <w:bottom w:val="nil"/>
              <w:right w:val="nil"/>
            </w:tcBorders>
            <w:shd w:val="clear" w:color="000000" w:fill="DDEBF7"/>
            <w:vAlign w:val="center"/>
          </w:tcPr>
          <w:p w14:paraId="076D5CED" w14:textId="4EF49D06"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900212">
              <w:rPr>
                <w:rFonts w:ascii="Arial Narrow" w:hAnsi="Arial Narrow" w:cs="Calibri"/>
                <w:sz w:val="16"/>
                <w:szCs w:val="16"/>
              </w:rPr>
              <w:t>,</w:t>
            </w:r>
            <w:r>
              <w:rPr>
                <w:rFonts w:ascii="Arial Narrow" w:hAnsi="Arial Narrow" w:cs="Calibri"/>
                <w:sz w:val="16"/>
                <w:szCs w:val="16"/>
              </w:rPr>
              <w:t>5</w:t>
            </w:r>
          </w:p>
        </w:tc>
        <w:tc>
          <w:tcPr>
            <w:tcW w:w="492" w:type="pct"/>
            <w:tcBorders>
              <w:top w:val="nil"/>
              <w:left w:val="nil"/>
              <w:bottom w:val="nil"/>
              <w:right w:val="nil"/>
            </w:tcBorders>
            <w:shd w:val="clear" w:color="000000" w:fill="DDEBF7"/>
            <w:vAlign w:val="center"/>
            <w:hideMark/>
          </w:tcPr>
          <w:p w14:paraId="09929E2F" w14:textId="2340D1DF"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900212">
              <w:rPr>
                <w:rFonts w:ascii="Arial Narrow" w:hAnsi="Arial Narrow" w:cs="Calibri"/>
                <w:sz w:val="16"/>
                <w:szCs w:val="16"/>
              </w:rPr>
              <w:t>,</w:t>
            </w:r>
            <w:r>
              <w:rPr>
                <w:rFonts w:ascii="Arial Narrow" w:hAnsi="Arial Narrow" w:cs="Calibri"/>
                <w:sz w:val="16"/>
                <w:szCs w:val="16"/>
              </w:rPr>
              <w:t>2</w:t>
            </w:r>
          </w:p>
        </w:tc>
      </w:tr>
      <w:tr w:rsidR="00C24F6F" w:rsidRPr="000C2D79" w14:paraId="7B861F09" w14:textId="77777777" w:rsidTr="002B1847">
        <w:trPr>
          <w:trHeight w:val="282"/>
        </w:trPr>
        <w:tc>
          <w:tcPr>
            <w:tcW w:w="238" w:type="pct"/>
            <w:tcBorders>
              <w:top w:val="nil"/>
              <w:left w:val="nil"/>
              <w:bottom w:val="nil"/>
              <w:right w:val="nil"/>
            </w:tcBorders>
            <w:shd w:val="clear" w:color="000000" w:fill="DDEBF7"/>
            <w:vAlign w:val="center"/>
            <w:hideMark/>
          </w:tcPr>
          <w:p w14:paraId="0299BA2B"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17</w:t>
            </w:r>
          </w:p>
        </w:tc>
        <w:tc>
          <w:tcPr>
            <w:tcW w:w="1946" w:type="pct"/>
            <w:gridSpan w:val="3"/>
            <w:tcBorders>
              <w:top w:val="nil"/>
              <w:left w:val="nil"/>
              <w:bottom w:val="nil"/>
              <w:right w:val="nil"/>
            </w:tcBorders>
            <w:shd w:val="clear" w:color="000000" w:fill="DDEBF7"/>
            <w:vAlign w:val="center"/>
            <w:hideMark/>
          </w:tcPr>
          <w:p w14:paraId="5E87B6DF"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Deflátor exportných cien</w:t>
            </w:r>
          </w:p>
        </w:tc>
        <w:tc>
          <w:tcPr>
            <w:tcW w:w="352" w:type="pct"/>
            <w:tcBorders>
              <w:top w:val="nil"/>
              <w:left w:val="nil"/>
              <w:bottom w:val="nil"/>
              <w:right w:val="nil"/>
            </w:tcBorders>
            <w:shd w:val="clear" w:color="000000" w:fill="DDEBF7"/>
            <w:vAlign w:val="center"/>
            <w:hideMark/>
          </w:tcPr>
          <w:p w14:paraId="177F6C26"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sidRPr="000C2D79">
              <w:rPr>
                <w:rFonts w:ascii="Arial Narrow" w:eastAsia="Times New Roman" w:hAnsi="Arial Narrow" w:cs="Calibri"/>
                <w:kern w:val="0"/>
                <w:sz w:val="16"/>
                <w:szCs w:val="16"/>
                <w:lang w:eastAsia="sk-SK"/>
                <w14:ligatures w14:val="none"/>
              </w:rPr>
              <w:t> </w:t>
            </w:r>
          </w:p>
        </w:tc>
        <w:tc>
          <w:tcPr>
            <w:tcW w:w="493" w:type="pct"/>
            <w:tcBorders>
              <w:top w:val="nil"/>
              <w:left w:val="nil"/>
              <w:bottom w:val="nil"/>
              <w:right w:val="nil"/>
            </w:tcBorders>
            <w:shd w:val="clear" w:color="000000" w:fill="DDEBF7"/>
            <w:vAlign w:val="center"/>
            <w:hideMark/>
          </w:tcPr>
          <w:p w14:paraId="0E649DD6" w14:textId="2C142BBE"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4</w:t>
            </w:r>
            <w:r w:rsidR="00900212">
              <w:rPr>
                <w:rFonts w:ascii="Arial Narrow" w:hAnsi="Arial Narrow" w:cs="Calibri"/>
                <w:sz w:val="16"/>
                <w:szCs w:val="16"/>
              </w:rPr>
              <w:t>,</w:t>
            </w:r>
            <w:r>
              <w:rPr>
                <w:rFonts w:ascii="Arial Narrow" w:hAnsi="Arial Narrow" w:cs="Calibri"/>
                <w:sz w:val="16"/>
                <w:szCs w:val="16"/>
              </w:rPr>
              <w:t>5</w:t>
            </w:r>
          </w:p>
        </w:tc>
        <w:tc>
          <w:tcPr>
            <w:tcW w:w="493" w:type="pct"/>
            <w:tcBorders>
              <w:top w:val="nil"/>
              <w:left w:val="nil"/>
              <w:bottom w:val="nil"/>
              <w:right w:val="nil"/>
            </w:tcBorders>
            <w:shd w:val="clear" w:color="000000" w:fill="DDEBF7"/>
            <w:vAlign w:val="center"/>
            <w:hideMark/>
          </w:tcPr>
          <w:p w14:paraId="4507DEC7" w14:textId="213B1326"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5</w:t>
            </w:r>
          </w:p>
        </w:tc>
        <w:tc>
          <w:tcPr>
            <w:tcW w:w="493" w:type="pct"/>
            <w:tcBorders>
              <w:top w:val="nil"/>
              <w:left w:val="nil"/>
              <w:bottom w:val="nil"/>
              <w:right w:val="nil"/>
            </w:tcBorders>
            <w:shd w:val="clear" w:color="000000" w:fill="DDEBF7"/>
            <w:vAlign w:val="center"/>
            <w:hideMark/>
          </w:tcPr>
          <w:p w14:paraId="59FA4F6F" w14:textId="71C0115F"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5</w:t>
            </w:r>
          </w:p>
        </w:tc>
        <w:tc>
          <w:tcPr>
            <w:tcW w:w="493" w:type="pct"/>
            <w:tcBorders>
              <w:top w:val="nil"/>
              <w:left w:val="nil"/>
              <w:bottom w:val="nil"/>
              <w:right w:val="nil"/>
            </w:tcBorders>
            <w:shd w:val="clear" w:color="000000" w:fill="DDEBF7"/>
            <w:vAlign w:val="center"/>
          </w:tcPr>
          <w:p w14:paraId="72C638AD" w14:textId="3631B9B2"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900212">
              <w:rPr>
                <w:rFonts w:ascii="Arial Narrow" w:hAnsi="Arial Narrow" w:cs="Calibri"/>
                <w:sz w:val="16"/>
                <w:szCs w:val="16"/>
              </w:rPr>
              <w:t>,</w:t>
            </w:r>
            <w:r>
              <w:rPr>
                <w:rFonts w:ascii="Arial Narrow" w:hAnsi="Arial Narrow" w:cs="Calibri"/>
                <w:sz w:val="16"/>
                <w:szCs w:val="16"/>
              </w:rPr>
              <w:t>5</w:t>
            </w:r>
          </w:p>
        </w:tc>
        <w:tc>
          <w:tcPr>
            <w:tcW w:w="492" w:type="pct"/>
            <w:tcBorders>
              <w:top w:val="nil"/>
              <w:left w:val="nil"/>
              <w:bottom w:val="nil"/>
              <w:right w:val="nil"/>
            </w:tcBorders>
            <w:shd w:val="clear" w:color="000000" w:fill="DDEBF7"/>
            <w:vAlign w:val="center"/>
            <w:hideMark/>
          </w:tcPr>
          <w:p w14:paraId="39793F82" w14:textId="6B938304"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2</w:t>
            </w:r>
            <w:r w:rsidR="00900212">
              <w:rPr>
                <w:rFonts w:ascii="Arial Narrow" w:hAnsi="Arial Narrow" w:cs="Calibri"/>
                <w:sz w:val="16"/>
                <w:szCs w:val="16"/>
              </w:rPr>
              <w:t>,</w:t>
            </w:r>
            <w:r>
              <w:rPr>
                <w:rFonts w:ascii="Arial Narrow" w:hAnsi="Arial Narrow" w:cs="Calibri"/>
                <w:sz w:val="16"/>
                <w:szCs w:val="16"/>
              </w:rPr>
              <w:t>8</w:t>
            </w:r>
          </w:p>
        </w:tc>
      </w:tr>
      <w:tr w:rsidR="00C24F6F" w:rsidRPr="000C2D79" w14:paraId="25A80631" w14:textId="77777777" w:rsidTr="002B1847">
        <w:trPr>
          <w:trHeight w:val="282"/>
        </w:trPr>
        <w:tc>
          <w:tcPr>
            <w:tcW w:w="238" w:type="pct"/>
            <w:tcBorders>
              <w:top w:val="nil"/>
              <w:left w:val="nil"/>
              <w:bottom w:val="nil"/>
              <w:right w:val="nil"/>
            </w:tcBorders>
            <w:shd w:val="clear" w:color="000000" w:fill="DDEBF7"/>
            <w:vAlign w:val="center"/>
            <w:hideMark/>
          </w:tcPr>
          <w:p w14:paraId="6361A10A"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18</w:t>
            </w:r>
          </w:p>
        </w:tc>
        <w:tc>
          <w:tcPr>
            <w:tcW w:w="1946" w:type="pct"/>
            <w:gridSpan w:val="3"/>
            <w:tcBorders>
              <w:top w:val="nil"/>
              <w:left w:val="nil"/>
              <w:bottom w:val="nil"/>
              <w:right w:val="nil"/>
            </w:tcBorders>
            <w:shd w:val="clear" w:color="000000" w:fill="DDEBF7"/>
            <w:vAlign w:val="center"/>
            <w:hideMark/>
          </w:tcPr>
          <w:p w14:paraId="336BF7BE"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Deflátor importných cien</w:t>
            </w:r>
          </w:p>
        </w:tc>
        <w:tc>
          <w:tcPr>
            <w:tcW w:w="352" w:type="pct"/>
            <w:tcBorders>
              <w:top w:val="nil"/>
              <w:left w:val="nil"/>
              <w:bottom w:val="nil"/>
              <w:right w:val="nil"/>
            </w:tcBorders>
            <w:shd w:val="clear" w:color="000000" w:fill="DDEBF7"/>
            <w:vAlign w:val="center"/>
            <w:hideMark/>
          </w:tcPr>
          <w:p w14:paraId="500BF835"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sidRPr="000C2D79">
              <w:rPr>
                <w:rFonts w:ascii="Arial Narrow" w:eastAsia="Times New Roman" w:hAnsi="Arial Narrow" w:cs="Calibri"/>
                <w:kern w:val="0"/>
                <w:sz w:val="16"/>
                <w:szCs w:val="16"/>
                <w:lang w:eastAsia="sk-SK"/>
                <w14:ligatures w14:val="none"/>
              </w:rPr>
              <w:t> </w:t>
            </w:r>
          </w:p>
        </w:tc>
        <w:tc>
          <w:tcPr>
            <w:tcW w:w="493" w:type="pct"/>
            <w:tcBorders>
              <w:top w:val="nil"/>
              <w:left w:val="nil"/>
              <w:bottom w:val="nil"/>
              <w:right w:val="nil"/>
            </w:tcBorders>
            <w:shd w:val="clear" w:color="000000" w:fill="DDEBF7"/>
            <w:vAlign w:val="center"/>
            <w:hideMark/>
          </w:tcPr>
          <w:p w14:paraId="763DEE54" w14:textId="2DA15799"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4</w:t>
            </w:r>
            <w:r w:rsidR="00900212">
              <w:rPr>
                <w:rFonts w:ascii="Arial Narrow" w:hAnsi="Arial Narrow" w:cs="Calibri"/>
                <w:sz w:val="16"/>
                <w:szCs w:val="16"/>
              </w:rPr>
              <w:t>,</w:t>
            </w:r>
            <w:r>
              <w:rPr>
                <w:rFonts w:ascii="Arial Narrow" w:hAnsi="Arial Narrow" w:cs="Calibri"/>
                <w:sz w:val="16"/>
                <w:szCs w:val="16"/>
              </w:rPr>
              <w:t>2</w:t>
            </w:r>
          </w:p>
        </w:tc>
        <w:tc>
          <w:tcPr>
            <w:tcW w:w="493" w:type="pct"/>
            <w:tcBorders>
              <w:top w:val="nil"/>
              <w:left w:val="nil"/>
              <w:bottom w:val="nil"/>
              <w:right w:val="nil"/>
            </w:tcBorders>
            <w:shd w:val="clear" w:color="000000" w:fill="DDEBF7"/>
            <w:vAlign w:val="center"/>
            <w:hideMark/>
          </w:tcPr>
          <w:p w14:paraId="40ED0DFE" w14:textId="104C53E1"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-2</w:t>
            </w:r>
            <w:r w:rsidR="00900212">
              <w:rPr>
                <w:rFonts w:ascii="Arial Narrow" w:hAnsi="Arial Narrow" w:cs="Calibri"/>
                <w:sz w:val="16"/>
                <w:szCs w:val="16"/>
              </w:rPr>
              <w:t>,</w:t>
            </w:r>
            <w:r>
              <w:rPr>
                <w:rFonts w:ascii="Arial Narrow" w:hAnsi="Arial Narrow" w:cs="Calibri"/>
                <w:sz w:val="16"/>
                <w:szCs w:val="16"/>
              </w:rPr>
              <w:t>0</w:t>
            </w:r>
          </w:p>
        </w:tc>
        <w:tc>
          <w:tcPr>
            <w:tcW w:w="493" w:type="pct"/>
            <w:tcBorders>
              <w:top w:val="nil"/>
              <w:left w:val="nil"/>
              <w:bottom w:val="nil"/>
              <w:right w:val="nil"/>
            </w:tcBorders>
            <w:shd w:val="clear" w:color="000000" w:fill="DDEBF7"/>
            <w:vAlign w:val="center"/>
            <w:hideMark/>
          </w:tcPr>
          <w:p w14:paraId="613E9E51" w14:textId="4AF61BBA"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7</w:t>
            </w:r>
          </w:p>
        </w:tc>
        <w:tc>
          <w:tcPr>
            <w:tcW w:w="493" w:type="pct"/>
            <w:tcBorders>
              <w:top w:val="nil"/>
              <w:left w:val="nil"/>
              <w:bottom w:val="nil"/>
              <w:right w:val="nil"/>
            </w:tcBorders>
            <w:shd w:val="clear" w:color="000000" w:fill="DDEBF7"/>
            <w:vAlign w:val="center"/>
          </w:tcPr>
          <w:p w14:paraId="3A4C697C" w14:textId="21358792"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900212">
              <w:rPr>
                <w:rFonts w:ascii="Arial Narrow" w:hAnsi="Arial Narrow" w:cs="Calibri"/>
                <w:sz w:val="16"/>
                <w:szCs w:val="16"/>
              </w:rPr>
              <w:t>,</w:t>
            </w:r>
            <w:r>
              <w:rPr>
                <w:rFonts w:ascii="Arial Narrow" w:hAnsi="Arial Narrow" w:cs="Calibri"/>
                <w:sz w:val="16"/>
                <w:szCs w:val="16"/>
              </w:rPr>
              <w:t>6</w:t>
            </w:r>
          </w:p>
        </w:tc>
        <w:tc>
          <w:tcPr>
            <w:tcW w:w="492" w:type="pct"/>
            <w:tcBorders>
              <w:top w:val="nil"/>
              <w:left w:val="nil"/>
              <w:bottom w:val="nil"/>
              <w:right w:val="nil"/>
            </w:tcBorders>
            <w:shd w:val="clear" w:color="000000" w:fill="DDEBF7"/>
            <w:vAlign w:val="center"/>
            <w:hideMark/>
          </w:tcPr>
          <w:p w14:paraId="20778EA5" w14:textId="0DB78168"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900212">
              <w:rPr>
                <w:rFonts w:ascii="Arial Narrow" w:hAnsi="Arial Narrow" w:cs="Calibri"/>
                <w:sz w:val="16"/>
                <w:szCs w:val="16"/>
              </w:rPr>
              <w:t>,</w:t>
            </w:r>
            <w:r>
              <w:rPr>
                <w:rFonts w:ascii="Arial Narrow" w:hAnsi="Arial Narrow" w:cs="Calibri"/>
                <w:sz w:val="16"/>
                <w:szCs w:val="16"/>
              </w:rPr>
              <w:t>1</w:t>
            </w:r>
          </w:p>
        </w:tc>
      </w:tr>
      <w:tr w:rsidR="00C24F6F" w:rsidRPr="000C2D79" w14:paraId="0A37693E" w14:textId="77777777" w:rsidTr="002B1847">
        <w:trPr>
          <w:trHeight w:val="282"/>
        </w:trPr>
        <w:tc>
          <w:tcPr>
            <w:tcW w:w="2184" w:type="pct"/>
            <w:gridSpan w:val="4"/>
            <w:tcBorders>
              <w:top w:val="nil"/>
              <w:left w:val="nil"/>
              <w:bottom w:val="nil"/>
              <w:right w:val="nil"/>
            </w:tcBorders>
            <w:vAlign w:val="center"/>
            <w:hideMark/>
          </w:tcPr>
          <w:p w14:paraId="3A024CC2" w14:textId="77777777" w:rsidR="00C24F6F" w:rsidRPr="000C2D79" w:rsidRDefault="00C24F6F" w:rsidP="002B1847">
            <w:pPr>
              <w:spacing w:after="0" w:line="240" w:lineRule="auto"/>
              <w:rPr>
                <w:rFonts w:ascii="Arial Narrow" w:eastAsia="Times New Roman" w:hAnsi="Arial Narrow" w:cs="Calibri"/>
                <w:i/>
                <w:iCs/>
                <w:color w:val="2C9ADC"/>
                <w:kern w:val="0"/>
                <w:sz w:val="16"/>
                <w:szCs w:val="16"/>
                <w:lang w:eastAsia="sk-SK"/>
                <w14:ligatures w14:val="none"/>
              </w:rPr>
            </w:pPr>
            <w:r w:rsidRPr="000C2D79">
              <w:rPr>
                <w:rFonts w:ascii="Arial Narrow" w:eastAsia="Times New Roman" w:hAnsi="Arial Narrow" w:cs="Calibri"/>
                <w:i/>
                <w:iCs/>
                <w:color w:val="2C9ADC"/>
                <w:kern w:val="0"/>
                <w:sz w:val="16"/>
                <w:szCs w:val="16"/>
                <w:lang w:eastAsia="sk-SK"/>
                <w14:ligatures w14:val="none"/>
              </w:rPr>
              <w:t>Trh práce</w:t>
            </w:r>
          </w:p>
        </w:tc>
        <w:tc>
          <w:tcPr>
            <w:tcW w:w="352" w:type="pct"/>
            <w:tcBorders>
              <w:top w:val="nil"/>
              <w:left w:val="nil"/>
              <w:bottom w:val="nil"/>
              <w:right w:val="nil"/>
            </w:tcBorders>
            <w:vAlign w:val="center"/>
            <w:hideMark/>
          </w:tcPr>
          <w:p w14:paraId="054788D8" w14:textId="77777777" w:rsidR="00C24F6F" w:rsidRPr="000C2D79" w:rsidRDefault="00C24F6F" w:rsidP="002B1847">
            <w:pPr>
              <w:spacing w:after="0" w:line="240" w:lineRule="auto"/>
              <w:rPr>
                <w:rFonts w:ascii="Arial Narrow" w:eastAsia="Times New Roman" w:hAnsi="Arial Narrow" w:cs="Calibri"/>
                <w:i/>
                <w:iCs/>
                <w:color w:val="2C9ADC"/>
                <w:kern w:val="0"/>
                <w:sz w:val="16"/>
                <w:szCs w:val="16"/>
                <w:lang w:eastAsia="sk-SK"/>
                <w14:ligatures w14:val="none"/>
              </w:rPr>
            </w:pPr>
          </w:p>
        </w:tc>
        <w:tc>
          <w:tcPr>
            <w:tcW w:w="493" w:type="pct"/>
            <w:tcBorders>
              <w:top w:val="nil"/>
              <w:left w:val="nil"/>
              <w:bottom w:val="nil"/>
              <w:right w:val="nil"/>
            </w:tcBorders>
            <w:vAlign w:val="center"/>
            <w:hideMark/>
          </w:tcPr>
          <w:p w14:paraId="24597C32"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3" w:type="pct"/>
            <w:tcBorders>
              <w:top w:val="nil"/>
              <w:left w:val="nil"/>
              <w:bottom w:val="nil"/>
              <w:right w:val="nil"/>
            </w:tcBorders>
            <w:vAlign w:val="center"/>
            <w:hideMark/>
          </w:tcPr>
          <w:p w14:paraId="17FE46B5"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3" w:type="pct"/>
            <w:tcBorders>
              <w:top w:val="nil"/>
              <w:left w:val="nil"/>
              <w:bottom w:val="nil"/>
              <w:right w:val="nil"/>
            </w:tcBorders>
            <w:vAlign w:val="center"/>
            <w:hideMark/>
          </w:tcPr>
          <w:p w14:paraId="10EB5E9B"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3" w:type="pct"/>
            <w:tcBorders>
              <w:top w:val="nil"/>
              <w:left w:val="nil"/>
              <w:bottom w:val="nil"/>
              <w:right w:val="nil"/>
            </w:tcBorders>
          </w:tcPr>
          <w:p w14:paraId="30991369"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2" w:type="pct"/>
            <w:tcBorders>
              <w:top w:val="nil"/>
              <w:left w:val="nil"/>
              <w:bottom w:val="nil"/>
              <w:right w:val="nil"/>
            </w:tcBorders>
            <w:vAlign w:val="center"/>
            <w:hideMark/>
          </w:tcPr>
          <w:p w14:paraId="7B8A7856"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r>
      <w:tr w:rsidR="00C24F6F" w:rsidRPr="000C2D79" w14:paraId="20AA76B9" w14:textId="77777777" w:rsidTr="002B1847">
        <w:trPr>
          <w:trHeight w:val="282"/>
        </w:trPr>
        <w:tc>
          <w:tcPr>
            <w:tcW w:w="238" w:type="pct"/>
            <w:tcBorders>
              <w:top w:val="nil"/>
              <w:left w:val="nil"/>
              <w:bottom w:val="nil"/>
              <w:right w:val="nil"/>
            </w:tcBorders>
            <w:shd w:val="clear" w:color="000000" w:fill="DDEBF7"/>
            <w:vAlign w:val="center"/>
            <w:hideMark/>
          </w:tcPr>
          <w:p w14:paraId="0ACD1584"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19</w:t>
            </w:r>
          </w:p>
        </w:tc>
        <w:tc>
          <w:tcPr>
            <w:tcW w:w="1946" w:type="pct"/>
            <w:gridSpan w:val="3"/>
            <w:tcBorders>
              <w:top w:val="nil"/>
              <w:left w:val="nil"/>
              <w:bottom w:val="nil"/>
              <w:right w:val="nil"/>
            </w:tcBorders>
            <w:shd w:val="clear" w:color="000000" w:fill="DDEBF7"/>
            <w:vAlign w:val="center"/>
            <w:hideMark/>
          </w:tcPr>
          <w:p w14:paraId="78BF1FF3"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Domáca zamestnanosť (v tisícoch ľudí, národné účty)</w:t>
            </w:r>
          </w:p>
        </w:tc>
        <w:tc>
          <w:tcPr>
            <w:tcW w:w="352" w:type="pct"/>
            <w:tcBorders>
              <w:top w:val="nil"/>
              <w:left w:val="nil"/>
              <w:bottom w:val="nil"/>
              <w:right w:val="nil"/>
            </w:tcBorders>
            <w:shd w:val="clear" w:color="000000" w:fill="DDEBF7"/>
            <w:vAlign w:val="center"/>
            <w:hideMark/>
          </w:tcPr>
          <w:p w14:paraId="5739938E" w14:textId="22A09B41"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2434</w:t>
            </w:r>
            <w:r w:rsidR="00900212">
              <w:rPr>
                <w:rFonts w:ascii="Arial Narrow" w:hAnsi="Arial Narrow" w:cs="Calibri"/>
                <w:sz w:val="16"/>
                <w:szCs w:val="16"/>
              </w:rPr>
              <w:t>,</w:t>
            </w:r>
            <w:r>
              <w:rPr>
                <w:rFonts w:ascii="Arial Narrow" w:hAnsi="Arial Narrow" w:cs="Calibri"/>
                <w:sz w:val="16"/>
                <w:szCs w:val="16"/>
              </w:rPr>
              <w:t>1</w:t>
            </w:r>
          </w:p>
        </w:tc>
        <w:tc>
          <w:tcPr>
            <w:tcW w:w="493" w:type="pct"/>
            <w:tcBorders>
              <w:top w:val="nil"/>
              <w:left w:val="nil"/>
              <w:bottom w:val="nil"/>
              <w:right w:val="nil"/>
            </w:tcBorders>
            <w:shd w:val="clear" w:color="000000" w:fill="DDEBF7"/>
            <w:vAlign w:val="center"/>
            <w:hideMark/>
          </w:tcPr>
          <w:p w14:paraId="56DE862D" w14:textId="6F36290B"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3</w:t>
            </w:r>
          </w:p>
        </w:tc>
        <w:tc>
          <w:tcPr>
            <w:tcW w:w="493" w:type="pct"/>
            <w:tcBorders>
              <w:top w:val="nil"/>
              <w:left w:val="nil"/>
              <w:bottom w:val="nil"/>
              <w:right w:val="nil"/>
            </w:tcBorders>
            <w:shd w:val="clear" w:color="000000" w:fill="DDEBF7"/>
            <w:vAlign w:val="center"/>
            <w:hideMark/>
          </w:tcPr>
          <w:p w14:paraId="31CE5327" w14:textId="10CC97FF"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2</w:t>
            </w:r>
          </w:p>
        </w:tc>
        <w:tc>
          <w:tcPr>
            <w:tcW w:w="493" w:type="pct"/>
            <w:tcBorders>
              <w:top w:val="nil"/>
              <w:left w:val="nil"/>
              <w:bottom w:val="nil"/>
              <w:right w:val="nil"/>
            </w:tcBorders>
            <w:shd w:val="clear" w:color="000000" w:fill="DDEBF7"/>
            <w:vAlign w:val="center"/>
            <w:hideMark/>
          </w:tcPr>
          <w:p w14:paraId="5358BABC" w14:textId="6C097E6A"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1</w:t>
            </w:r>
          </w:p>
        </w:tc>
        <w:tc>
          <w:tcPr>
            <w:tcW w:w="493" w:type="pct"/>
            <w:tcBorders>
              <w:top w:val="nil"/>
              <w:left w:val="nil"/>
              <w:bottom w:val="nil"/>
              <w:right w:val="nil"/>
            </w:tcBorders>
            <w:shd w:val="clear" w:color="000000" w:fill="DDEBF7"/>
            <w:vAlign w:val="center"/>
          </w:tcPr>
          <w:p w14:paraId="0E00A7A6" w14:textId="35ED9561"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4</w:t>
            </w:r>
          </w:p>
        </w:tc>
        <w:tc>
          <w:tcPr>
            <w:tcW w:w="492" w:type="pct"/>
            <w:tcBorders>
              <w:top w:val="nil"/>
              <w:left w:val="nil"/>
              <w:bottom w:val="nil"/>
              <w:right w:val="nil"/>
            </w:tcBorders>
            <w:shd w:val="clear" w:color="000000" w:fill="DDEBF7"/>
            <w:vAlign w:val="center"/>
            <w:hideMark/>
          </w:tcPr>
          <w:p w14:paraId="4A2C4D9E" w14:textId="2370BB93" w:rsidR="00C24F6F" w:rsidRPr="000C2D79" w:rsidRDefault="00C24F6F" w:rsidP="002B1847">
            <w:pPr>
              <w:spacing w:after="0" w:line="240" w:lineRule="auto"/>
              <w:jc w:val="center"/>
              <w:rPr>
                <w:rFonts w:ascii="Arial Narrow" w:eastAsia="Times New Roman" w:hAnsi="Arial Narrow" w:cs="Calibri"/>
                <w:sz w:val="16"/>
                <w:szCs w:val="16"/>
                <w:lang w:eastAsia="sk-SK"/>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1</w:t>
            </w:r>
          </w:p>
        </w:tc>
      </w:tr>
      <w:tr w:rsidR="00C24F6F" w:rsidRPr="000C2D79" w14:paraId="5C240A49" w14:textId="77777777" w:rsidTr="002B1847">
        <w:trPr>
          <w:trHeight w:val="282"/>
        </w:trPr>
        <w:tc>
          <w:tcPr>
            <w:tcW w:w="238" w:type="pct"/>
            <w:tcBorders>
              <w:top w:val="nil"/>
              <w:left w:val="nil"/>
              <w:bottom w:val="nil"/>
              <w:right w:val="nil"/>
            </w:tcBorders>
            <w:shd w:val="clear" w:color="000000" w:fill="DDEBF7"/>
            <w:vAlign w:val="center"/>
            <w:hideMark/>
          </w:tcPr>
          <w:p w14:paraId="46996642"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20</w:t>
            </w:r>
          </w:p>
        </w:tc>
        <w:tc>
          <w:tcPr>
            <w:tcW w:w="1946" w:type="pct"/>
            <w:gridSpan w:val="3"/>
            <w:tcBorders>
              <w:top w:val="nil"/>
              <w:left w:val="nil"/>
              <w:bottom w:val="nil"/>
              <w:right w:val="nil"/>
            </w:tcBorders>
            <w:shd w:val="clear" w:color="000000" w:fill="DDEBF7"/>
            <w:vAlign w:val="center"/>
            <w:hideMark/>
          </w:tcPr>
          <w:p w14:paraId="05F4BDA8"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Priemerný ročný počet odpracovaných hodín na zamestnanca</w:t>
            </w:r>
          </w:p>
        </w:tc>
        <w:tc>
          <w:tcPr>
            <w:tcW w:w="352" w:type="pct"/>
            <w:tcBorders>
              <w:top w:val="nil"/>
              <w:left w:val="nil"/>
              <w:bottom w:val="nil"/>
              <w:right w:val="nil"/>
            </w:tcBorders>
            <w:shd w:val="clear" w:color="000000" w:fill="DDEBF7"/>
            <w:vAlign w:val="center"/>
            <w:hideMark/>
          </w:tcPr>
          <w:p w14:paraId="191C9B0B" w14:textId="4D54A4BB"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1624</w:t>
            </w:r>
            <w:r w:rsidR="00900212">
              <w:rPr>
                <w:rFonts w:ascii="Arial Narrow" w:hAnsi="Arial Narrow" w:cs="Calibri"/>
                <w:sz w:val="16"/>
                <w:szCs w:val="16"/>
              </w:rPr>
              <w:t>,</w:t>
            </w:r>
            <w:r>
              <w:rPr>
                <w:rFonts w:ascii="Arial Narrow" w:hAnsi="Arial Narrow" w:cs="Calibri"/>
                <w:sz w:val="16"/>
                <w:szCs w:val="16"/>
              </w:rPr>
              <w:t>4</w:t>
            </w:r>
          </w:p>
        </w:tc>
        <w:tc>
          <w:tcPr>
            <w:tcW w:w="493" w:type="pct"/>
            <w:tcBorders>
              <w:top w:val="nil"/>
              <w:left w:val="nil"/>
              <w:bottom w:val="nil"/>
              <w:right w:val="nil"/>
            </w:tcBorders>
            <w:shd w:val="clear" w:color="000000" w:fill="DDEBF7"/>
            <w:vAlign w:val="center"/>
            <w:hideMark/>
          </w:tcPr>
          <w:p w14:paraId="7974B3A2" w14:textId="7DDC379E"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9</w:t>
            </w:r>
          </w:p>
        </w:tc>
        <w:tc>
          <w:tcPr>
            <w:tcW w:w="493" w:type="pct"/>
            <w:tcBorders>
              <w:top w:val="nil"/>
              <w:left w:val="nil"/>
              <w:bottom w:val="nil"/>
              <w:right w:val="nil"/>
            </w:tcBorders>
            <w:shd w:val="clear" w:color="000000" w:fill="DDEBF7"/>
            <w:vAlign w:val="center"/>
            <w:hideMark/>
          </w:tcPr>
          <w:p w14:paraId="0D1C485D" w14:textId="579B99CB"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3</w:t>
            </w:r>
          </w:p>
        </w:tc>
        <w:tc>
          <w:tcPr>
            <w:tcW w:w="493" w:type="pct"/>
            <w:tcBorders>
              <w:top w:val="nil"/>
              <w:left w:val="nil"/>
              <w:bottom w:val="nil"/>
              <w:right w:val="nil"/>
            </w:tcBorders>
            <w:shd w:val="clear" w:color="000000" w:fill="DDEBF7"/>
            <w:vAlign w:val="center"/>
            <w:hideMark/>
          </w:tcPr>
          <w:p w14:paraId="1110CAAA" w14:textId="38308788"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7</w:t>
            </w:r>
          </w:p>
        </w:tc>
        <w:tc>
          <w:tcPr>
            <w:tcW w:w="493" w:type="pct"/>
            <w:tcBorders>
              <w:top w:val="nil"/>
              <w:left w:val="nil"/>
              <w:bottom w:val="nil"/>
              <w:right w:val="nil"/>
            </w:tcBorders>
            <w:shd w:val="clear" w:color="000000" w:fill="DDEBF7"/>
            <w:vAlign w:val="center"/>
          </w:tcPr>
          <w:p w14:paraId="4C3B9C0C" w14:textId="10C68404"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2</w:t>
            </w:r>
          </w:p>
        </w:tc>
        <w:tc>
          <w:tcPr>
            <w:tcW w:w="492" w:type="pct"/>
            <w:tcBorders>
              <w:top w:val="nil"/>
              <w:left w:val="nil"/>
              <w:bottom w:val="nil"/>
              <w:right w:val="nil"/>
            </w:tcBorders>
            <w:shd w:val="clear" w:color="000000" w:fill="DDEBF7"/>
            <w:vAlign w:val="center"/>
            <w:hideMark/>
          </w:tcPr>
          <w:p w14:paraId="25DE4C5B" w14:textId="22E33680"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3</w:t>
            </w:r>
          </w:p>
        </w:tc>
      </w:tr>
      <w:tr w:rsidR="00C24F6F" w:rsidRPr="000C2D79" w14:paraId="37F21CCA" w14:textId="77777777" w:rsidTr="002B1847">
        <w:trPr>
          <w:trHeight w:val="282"/>
        </w:trPr>
        <w:tc>
          <w:tcPr>
            <w:tcW w:w="238" w:type="pct"/>
            <w:tcBorders>
              <w:top w:val="nil"/>
              <w:left w:val="nil"/>
              <w:bottom w:val="nil"/>
              <w:right w:val="nil"/>
            </w:tcBorders>
            <w:shd w:val="clear" w:color="000000" w:fill="DDEBF7"/>
            <w:vAlign w:val="center"/>
            <w:hideMark/>
          </w:tcPr>
          <w:p w14:paraId="6DAB7A71"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lastRenderedPageBreak/>
              <w:t>21</w:t>
            </w:r>
          </w:p>
        </w:tc>
        <w:tc>
          <w:tcPr>
            <w:tcW w:w="1946" w:type="pct"/>
            <w:gridSpan w:val="3"/>
            <w:tcBorders>
              <w:top w:val="nil"/>
              <w:left w:val="nil"/>
              <w:bottom w:val="nil"/>
              <w:right w:val="nil"/>
            </w:tcBorders>
            <w:shd w:val="clear" w:color="000000" w:fill="DDEBF7"/>
            <w:vAlign w:val="center"/>
            <w:hideMark/>
          </w:tcPr>
          <w:p w14:paraId="66853EC7"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Reálny HDP na zamestnanca</w:t>
            </w:r>
          </w:p>
        </w:tc>
        <w:tc>
          <w:tcPr>
            <w:tcW w:w="352" w:type="pct"/>
            <w:tcBorders>
              <w:top w:val="nil"/>
              <w:left w:val="nil"/>
              <w:bottom w:val="nil"/>
              <w:right w:val="nil"/>
            </w:tcBorders>
            <w:shd w:val="clear" w:color="000000" w:fill="DDEBF7"/>
            <w:vAlign w:val="center"/>
            <w:hideMark/>
          </w:tcPr>
          <w:p w14:paraId="20C650B4" w14:textId="02499DDA"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42</w:t>
            </w:r>
            <w:r w:rsidR="00900212">
              <w:rPr>
                <w:rFonts w:ascii="Arial Narrow" w:hAnsi="Arial Narrow" w:cs="Calibri"/>
                <w:sz w:val="16"/>
                <w:szCs w:val="16"/>
              </w:rPr>
              <w:t>,</w:t>
            </w:r>
            <w:r>
              <w:rPr>
                <w:rFonts w:ascii="Arial Narrow" w:hAnsi="Arial Narrow" w:cs="Calibri"/>
                <w:sz w:val="16"/>
                <w:szCs w:val="16"/>
              </w:rPr>
              <w:t>0</w:t>
            </w:r>
          </w:p>
        </w:tc>
        <w:tc>
          <w:tcPr>
            <w:tcW w:w="493" w:type="pct"/>
            <w:tcBorders>
              <w:top w:val="nil"/>
              <w:left w:val="nil"/>
              <w:bottom w:val="nil"/>
              <w:right w:val="nil"/>
            </w:tcBorders>
            <w:shd w:val="clear" w:color="000000" w:fill="DDEBF7"/>
            <w:vAlign w:val="center"/>
            <w:hideMark/>
          </w:tcPr>
          <w:p w14:paraId="7312DF41" w14:textId="2EC23201"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8</w:t>
            </w:r>
          </w:p>
        </w:tc>
        <w:tc>
          <w:tcPr>
            <w:tcW w:w="493" w:type="pct"/>
            <w:tcBorders>
              <w:top w:val="nil"/>
              <w:left w:val="nil"/>
              <w:bottom w:val="nil"/>
              <w:right w:val="nil"/>
            </w:tcBorders>
            <w:shd w:val="clear" w:color="000000" w:fill="DDEBF7"/>
            <w:vAlign w:val="center"/>
            <w:hideMark/>
          </w:tcPr>
          <w:p w14:paraId="360BC6F6" w14:textId="578CC1A6"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2</w:t>
            </w:r>
            <w:r w:rsidR="00900212">
              <w:rPr>
                <w:rFonts w:ascii="Arial Narrow" w:hAnsi="Arial Narrow" w:cs="Calibri"/>
                <w:sz w:val="16"/>
                <w:szCs w:val="16"/>
              </w:rPr>
              <w:t>,</w:t>
            </w:r>
            <w:r>
              <w:rPr>
                <w:rFonts w:ascii="Arial Narrow" w:hAnsi="Arial Narrow" w:cs="Calibri"/>
                <w:sz w:val="16"/>
                <w:szCs w:val="16"/>
              </w:rPr>
              <w:t>1</w:t>
            </w:r>
          </w:p>
        </w:tc>
        <w:tc>
          <w:tcPr>
            <w:tcW w:w="493" w:type="pct"/>
            <w:tcBorders>
              <w:top w:val="nil"/>
              <w:left w:val="nil"/>
              <w:bottom w:val="nil"/>
              <w:right w:val="nil"/>
            </w:tcBorders>
            <w:shd w:val="clear" w:color="000000" w:fill="DDEBF7"/>
            <w:vAlign w:val="center"/>
            <w:hideMark/>
          </w:tcPr>
          <w:p w14:paraId="7CDC9910" w14:textId="5F8E7A58"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0</w:t>
            </w:r>
          </w:p>
        </w:tc>
        <w:tc>
          <w:tcPr>
            <w:tcW w:w="493" w:type="pct"/>
            <w:tcBorders>
              <w:top w:val="nil"/>
              <w:left w:val="nil"/>
              <w:bottom w:val="nil"/>
              <w:right w:val="nil"/>
            </w:tcBorders>
            <w:shd w:val="clear" w:color="000000" w:fill="DDEBF7"/>
            <w:vAlign w:val="center"/>
          </w:tcPr>
          <w:p w14:paraId="35E908E1" w14:textId="519A49BB"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4</w:t>
            </w:r>
          </w:p>
        </w:tc>
        <w:tc>
          <w:tcPr>
            <w:tcW w:w="492" w:type="pct"/>
            <w:tcBorders>
              <w:top w:val="nil"/>
              <w:left w:val="nil"/>
              <w:bottom w:val="nil"/>
              <w:right w:val="nil"/>
            </w:tcBorders>
            <w:shd w:val="clear" w:color="000000" w:fill="DDEBF7"/>
            <w:vAlign w:val="center"/>
            <w:hideMark/>
          </w:tcPr>
          <w:p w14:paraId="48066233" w14:textId="6716FEC3"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3</w:t>
            </w:r>
          </w:p>
        </w:tc>
      </w:tr>
      <w:tr w:rsidR="00C24F6F" w:rsidRPr="000C2D79" w14:paraId="0A646D89" w14:textId="77777777" w:rsidTr="002B1847">
        <w:trPr>
          <w:trHeight w:val="282"/>
        </w:trPr>
        <w:tc>
          <w:tcPr>
            <w:tcW w:w="238" w:type="pct"/>
            <w:tcBorders>
              <w:top w:val="nil"/>
              <w:left w:val="nil"/>
              <w:bottom w:val="nil"/>
              <w:right w:val="nil"/>
            </w:tcBorders>
            <w:shd w:val="clear" w:color="000000" w:fill="DDEBF7"/>
            <w:vAlign w:val="center"/>
            <w:hideMark/>
          </w:tcPr>
          <w:p w14:paraId="5E473830"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22</w:t>
            </w:r>
          </w:p>
        </w:tc>
        <w:tc>
          <w:tcPr>
            <w:tcW w:w="1946" w:type="pct"/>
            <w:gridSpan w:val="3"/>
            <w:tcBorders>
              <w:top w:val="nil"/>
              <w:left w:val="nil"/>
              <w:bottom w:val="nil"/>
              <w:right w:val="nil"/>
            </w:tcBorders>
            <w:shd w:val="clear" w:color="000000" w:fill="DDEBF7"/>
            <w:vAlign w:val="center"/>
            <w:hideMark/>
          </w:tcPr>
          <w:p w14:paraId="6D437C3A"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Reálny HDP na odpracovanú hodinu</w:t>
            </w:r>
          </w:p>
        </w:tc>
        <w:tc>
          <w:tcPr>
            <w:tcW w:w="352" w:type="pct"/>
            <w:tcBorders>
              <w:top w:val="nil"/>
              <w:left w:val="nil"/>
              <w:bottom w:val="nil"/>
              <w:right w:val="nil"/>
            </w:tcBorders>
            <w:shd w:val="clear" w:color="000000" w:fill="DDEBF7"/>
            <w:vAlign w:val="center"/>
            <w:hideMark/>
          </w:tcPr>
          <w:p w14:paraId="5101A166" w14:textId="7DE667AE"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25</w:t>
            </w:r>
            <w:r w:rsidR="00900212">
              <w:rPr>
                <w:rFonts w:ascii="Arial Narrow" w:hAnsi="Arial Narrow" w:cs="Calibri"/>
                <w:sz w:val="16"/>
                <w:szCs w:val="16"/>
              </w:rPr>
              <w:t>,</w:t>
            </w:r>
            <w:r>
              <w:rPr>
                <w:rFonts w:ascii="Arial Narrow" w:hAnsi="Arial Narrow" w:cs="Calibri"/>
                <w:sz w:val="16"/>
                <w:szCs w:val="16"/>
              </w:rPr>
              <w:t>9</w:t>
            </w:r>
          </w:p>
        </w:tc>
        <w:tc>
          <w:tcPr>
            <w:tcW w:w="493" w:type="pct"/>
            <w:tcBorders>
              <w:top w:val="nil"/>
              <w:left w:val="nil"/>
              <w:bottom w:val="nil"/>
              <w:right w:val="nil"/>
            </w:tcBorders>
            <w:shd w:val="clear" w:color="000000" w:fill="DDEBF7"/>
            <w:vAlign w:val="center"/>
            <w:hideMark/>
          </w:tcPr>
          <w:p w14:paraId="4699A849" w14:textId="3E7BF238"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2</w:t>
            </w:r>
          </w:p>
        </w:tc>
        <w:tc>
          <w:tcPr>
            <w:tcW w:w="493" w:type="pct"/>
            <w:tcBorders>
              <w:top w:val="nil"/>
              <w:left w:val="nil"/>
              <w:bottom w:val="nil"/>
              <w:right w:val="nil"/>
            </w:tcBorders>
            <w:shd w:val="clear" w:color="000000" w:fill="DDEBF7"/>
            <w:vAlign w:val="center"/>
            <w:hideMark/>
          </w:tcPr>
          <w:p w14:paraId="0FD9D762" w14:textId="3B09D998"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6</w:t>
            </w:r>
          </w:p>
        </w:tc>
        <w:tc>
          <w:tcPr>
            <w:tcW w:w="493" w:type="pct"/>
            <w:tcBorders>
              <w:top w:val="nil"/>
              <w:left w:val="nil"/>
              <w:bottom w:val="nil"/>
              <w:right w:val="nil"/>
            </w:tcBorders>
            <w:shd w:val="clear" w:color="000000" w:fill="DDEBF7"/>
            <w:vAlign w:val="center"/>
            <w:hideMark/>
          </w:tcPr>
          <w:p w14:paraId="33287C6E" w14:textId="0F28D764"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5</w:t>
            </w:r>
          </w:p>
        </w:tc>
        <w:tc>
          <w:tcPr>
            <w:tcW w:w="493" w:type="pct"/>
            <w:tcBorders>
              <w:top w:val="nil"/>
              <w:left w:val="nil"/>
              <w:bottom w:val="nil"/>
              <w:right w:val="nil"/>
            </w:tcBorders>
            <w:shd w:val="clear" w:color="000000" w:fill="DDEBF7"/>
            <w:vAlign w:val="center"/>
          </w:tcPr>
          <w:p w14:paraId="333A59C9" w14:textId="7EA9891E"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8</w:t>
            </w:r>
          </w:p>
        </w:tc>
        <w:tc>
          <w:tcPr>
            <w:tcW w:w="492" w:type="pct"/>
            <w:tcBorders>
              <w:top w:val="nil"/>
              <w:left w:val="nil"/>
              <w:bottom w:val="nil"/>
              <w:right w:val="nil"/>
            </w:tcBorders>
            <w:shd w:val="clear" w:color="000000" w:fill="DDEBF7"/>
            <w:vAlign w:val="center"/>
            <w:hideMark/>
          </w:tcPr>
          <w:p w14:paraId="609334FB" w14:textId="27CB1910"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5</w:t>
            </w:r>
          </w:p>
        </w:tc>
      </w:tr>
      <w:tr w:rsidR="00C24F6F" w:rsidRPr="000C2D79" w14:paraId="6D81BDAE" w14:textId="77777777" w:rsidTr="002B1847">
        <w:trPr>
          <w:trHeight w:val="282"/>
        </w:trPr>
        <w:tc>
          <w:tcPr>
            <w:tcW w:w="238" w:type="pct"/>
            <w:tcBorders>
              <w:top w:val="nil"/>
              <w:left w:val="nil"/>
              <w:bottom w:val="nil"/>
              <w:right w:val="nil"/>
            </w:tcBorders>
            <w:shd w:val="clear" w:color="000000" w:fill="DDEBF7"/>
            <w:vAlign w:val="center"/>
            <w:hideMark/>
          </w:tcPr>
          <w:p w14:paraId="49CAC6E8"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23</w:t>
            </w:r>
          </w:p>
        </w:tc>
        <w:tc>
          <w:tcPr>
            <w:tcW w:w="1946" w:type="pct"/>
            <w:gridSpan w:val="3"/>
            <w:tcBorders>
              <w:top w:val="nil"/>
              <w:left w:val="nil"/>
              <w:bottom w:val="nil"/>
              <w:right w:val="nil"/>
            </w:tcBorders>
            <w:shd w:val="clear" w:color="000000" w:fill="DDEBF7"/>
            <w:vAlign w:val="center"/>
            <w:hideMark/>
          </w:tcPr>
          <w:p w14:paraId="033D9D95"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Kompenzácie zamestnancov (mld. eur)</w:t>
            </w:r>
          </w:p>
        </w:tc>
        <w:tc>
          <w:tcPr>
            <w:tcW w:w="352" w:type="pct"/>
            <w:tcBorders>
              <w:top w:val="nil"/>
              <w:left w:val="nil"/>
              <w:bottom w:val="nil"/>
              <w:right w:val="nil"/>
            </w:tcBorders>
            <w:shd w:val="clear" w:color="000000" w:fill="DDEBF7"/>
            <w:vAlign w:val="center"/>
            <w:hideMark/>
          </w:tcPr>
          <w:p w14:paraId="6DD314CC" w14:textId="1412233D"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51</w:t>
            </w:r>
            <w:r w:rsidR="00900212">
              <w:rPr>
                <w:rFonts w:ascii="Arial Narrow" w:hAnsi="Arial Narrow" w:cs="Calibri"/>
                <w:sz w:val="16"/>
                <w:szCs w:val="16"/>
              </w:rPr>
              <w:t>,</w:t>
            </w:r>
            <w:r>
              <w:rPr>
                <w:rFonts w:ascii="Arial Narrow" w:hAnsi="Arial Narrow" w:cs="Calibri"/>
                <w:sz w:val="16"/>
                <w:szCs w:val="16"/>
              </w:rPr>
              <w:t>6</w:t>
            </w:r>
          </w:p>
        </w:tc>
        <w:tc>
          <w:tcPr>
            <w:tcW w:w="493" w:type="pct"/>
            <w:tcBorders>
              <w:top w:val="nil"/>
              <w:left w:val="nil"/>
              <w:bottom w:val="nil"/>
              <w:right w:val="nil"/>
            </w:tcBorders>
            <w:shd w:val="clear" w:color="000000" w:fill="DDEBF7"/>
            <w:vAlign w:val="center"/>
            <w:hideMark/>
          </w:tcPr>
          <w:p w14:paraId="55D1D4BD" w14:textId="39D1CF8A"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10</w:t>
            </w:r>
            <w:r w:rsidR="00900212">
              <w:rPr>
                <w:rFonts w:ascii="Arial Narrow" w:hAnsi="Arial Narrow" w:cs="Calibri"/>
                <w:sz w:val="16"/>
                <w:szCs w:val="16"/>
              </w:rPr>
              <w:t>,</w:t>
            </w:r>
            <w:r>
              <w:rPr>
                <w:rFonts w:ascii="Arial Narrow" w:hAnsi="Arial Narrow" w:cs="Calibri"/>
                <w:sz w:val="16"/>
                <w:szCs w:val="16"/>
              </w:rPr>
              <w:t>5</w:t>
            </w:r>
          </w:p>
        </w:tc>
        <w:tc>
          <w:tcPr>
            <w:tcW w:w="493" w:type="pct"/>
            <w:tcBorders>
              <w:top w:val="nil"/>
              <w:left w:val="nil"/>
              <w:bottom w:val="nil"/>
              <w:right w:val="nil"/>
            </w:tcBorders>
            <w:shd w:val="clear" w:color="000000" w:fill="DDEBF7"/>
            <w:vAlign w:val="center"/>
            <w:hideMark/>
          </w:tcPr>
          <w:p w14:paraId="6DDB4687" w14:textId="45C0472D"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7</w:t>
            </w:r>
            <w:r w:rsidR="00900212">
              <w:rPr>
                <w:rFonts w:ascii="Arial Narrow" w:hAnsi="Arial Narrow" w:cs="Calibri"/>
                <w:sz w:val="16"/>
                <w:szCs w:val="16"/>
              </w:rPr>
              <w:t>,</w:t>
            </w:r>
            <w:r>
              <w:rPr>
                <w:rFonts w:ascii="Arial Narrow" w:hAnsi="Arial Narrow" w:cs="Calibri"/>
                <w:sz w:val="16"/>
                <w:szCs w:val="16"/>
              </w:rPr>
              <w:t>3</w:t>
            </w:r>
          </w:p>
        </w:tc>
        <w:tc>
          <w:tcPr>
            <w:tcW w:w="493" w:type="pct"/>
            <w:tcBorders>
              <w:top w:val="nil"/>
              <w:left w:val="nil"/>
              <w:bottom w:val="nil"/>
              <w:right w:val="nil"/>
            </w:tcBorders>
            <w:shd w:val="clear" w:color="000000" w:fill="DDEBF7"/>
            <w:vAlign w:val="center"/>
            <w:hideMark/>
          </w:tcPr>
          <w:p w14:paraId="102D8A27" w14:textId="06C69519"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6</w:t>
            </w:r>
            <w:r w:rsidR="00900212">
              <w:rPr>
                <w:rFonts w:ascii="Arial Narrow" w:hAnsi="Arial Narrow" w:cs="Calibri"/>
                <w:sz w:val="16"/>
                <w:szCs w:val="16"/>
              </w:rPr>
              <w:t>,</w:t>
            </w:r>
            <w:r>
              <w:rPr>
                <w:rFonts w:ascii="Arial Narrow" w:hAnsi="Arial Narrow" w:cs="Calibri"/>
                <w:sz w:val="16"/>
                <w:szCs w:val="16"/>
              </w:rPr>
              <w:t>4</w:t>
            </w:r>
          </w:p>
        </w:tc>
        <w:tc>
          <w:tcPr>
            <w:tcW w:w="493" w:type="pct"/>
            <w:tcBorders>
              <w:top w:val="nil"/>
              <w:left w:val="nil"/>
              <w:bottom w:val="nil"/>
              <w:right w:val="nil"/>
            </w:tcBorders>
            <w:shd w:val="clear" w:color="000000" w:fill="DDEBF7"/>
            <w:vAlign w:val="center"/>
          </w:tcPr>
          <w:p w14:paraId="3E19BD3B" w14:textId="5FA0F315"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4</w:t>
            </w:r>
            <w:r w:rsidR="00900212">
              <w:rPr>
                <w:rFonts w:ascii="Arial Narrow" w:hAnsi="Arial Narrow" w:cs="Calibri"/>
                <w:sz w:val="16"/>
                <w:szCs w:val="16"/>
              </w:rPr>
              <w:t>,</w:t>
            </w:r>
            <w:r>
              <w:rPr>
                <w:rFonts w:ascii="Arial Narrow" w:hAnsi="Arial Narrow" w:cs="Calibri"/>
                <w:sz w:val="16"/>
                <w:szCs w:val="16"/>
              </w:rPr>
              <w:t>1</w:t>
            </w:r>
          </w:p>
        </w:tc>
        <w:tc>
          <w:tcPr>
            <w:tcW w:w="492" w:type="pct"/>
            <w:tcBorders>
              <w:top w:val="nil"/>
              <w:left w:val="nil"/>
              <w:bottom w:val="nil"/>
              <w:right w:val="nil"/>
            </w:tcBorders>
            <w:shd w:val="clear" w:color="000000" w:fill="DDEBF7"/>
            <w:vAlign w:val="center"/>
            <w:hideMark/>
          </w:tcPr>
          <w:p w14:paraId="7C7D49B6" w14:textId="058E8F0A"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4</w:t>
            </w:r>
            <w:r w:rsidR="00900212">
              <w:rPr>
                <w:rFonts w:ascii="Arial Narrow" w:hAnsi="Arial Narrow" w:cs="Calibri"/>
                <w:sz w:val="16"/>
                <w:szCs w:val="16"/>
              </w:rPr>
              <w:t>,</w:t>
            </w:r>
            <w:r>
              <w:rPr>
                <w:rFonts w:ascii="Arial Narrow" w:hAnsi="Arial Narrow" w:cs="Calibri"/>
                <w:sz w:val="16"/>
                <w:szCs w:val="16"/>
              </w:rPr>
              <w:t>9</w:t>
            </w:r>
          </w:p>
        </w:tc>
      </w:tr>
      <w:tr w:rsidR="00C24F6F" w:rsidRPr="000C2D79" w14:paraId="18667FEA" w14:textId="77777777" w:rsidTr="002B1847">
        <w:trPr>
          <w:trHeight w:val="282"/>
        </w:trPr>
        <w:tc>
          <w:tcPr>
            <w:tcW w:w="238" w:type="pct"/>
            <w:tcBorders>
              <w:top w:val="nil"/>
              <w:left w:val="nil"/>
              <w:bottom w:val="nil"/>
              <w:right w:val="nil"/>
            </w:tcBorders>
            <w:shd w:val="clear" w:color="000000" w:fill="DDEBF7"/>
            <w:vAlign w:val="center"/>
            <w:hideMark/>
          </w:tcPr>
          <w:p w14:paraId="2556B213"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24</w:t>
            </w:r>
          </w:p>
        </w:tc>
        <w:tc>
          <w:tcPr>
            <w:tcW w:w="1946" w:type="pct"/>
            <w:gridSpan w:val="3"/>
            <w:tcBorders>
              <w:top w:val="nil"/>
              <w:left w:val="nil"/>
              <w:bottom w:val="nil"/>
              <w:right w:val="nil"/>
            </w:tcBorders>
            <w:shd w:val="clear" w:color="000000" w:fill="DDEBF7"/>
            <w:vAlign w:val="center"/>
            <w:hideMark/>
          </w:tcPr>
          <w:p w14:paraId="09FA521B"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Kompenzácie na zamestnanca (= 23/19)</w:t>
            </w:r>
          </w:p>
        </w:tc>
        <w:tc>
          <w:tcPr>
            <w:tcW w:w="352" w:type="pct"/>
            <w:tcBorders>
              <w:top w:val="nil"/>
              <w:left w:val="nil"/>
              <w:bottom w:val="nil"/>
              <w:right w:val="nil"/>
            </w:tcBorders>
            <w:shd w:val="clear" w:color="000000" w:fill="DDEBF7"/>
            <w:vAlign w:val="center"/>
            <w:hideMark/>
          </w:tcPr>
          <w:p w14:paraId="632C890F" w14:textId="735AB1A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21205</w:t>
            </w:r>
            <w:r w:rsidR="00900212">
              <w:rPr>
                <w:rFonts w:ascii="Arial Narrow" w:hAnsi="Arial Narrow" w:cs="Calibri"/>
                <w:sz w:val="16"/>
                <w:szCs w:val="16"/>
              </w:rPr>
              <w:t>,</w:t>
            </w:r>
            <w:r>
              <w:rPr>
                <w:rFonts w:ascii="Arial Narrow" w:hAnsi="Arial Narrow" w:cs="Calibri"/>
                <w:sz w:val="16"/>
                <w:szCs w:val="16"/>
              </w:rPr>
              <w:t>8</w:t>
            </w:r>
          </w:p>
        </w:tc>
        <w:tc>
          <w:tcPr>
            <w:tcW w:w="493" w:type="pct"/>
            <w:tcBorders>
              <w:top w:val="nil"/>
              <w:left w:val="nil"/>
              <w:bottom w:val="nil"/>
              <w:right w:val="nil"/>
            </w:tcBorders>
            <w:shd w:val="clear" w:color="000000" w:fill="DDEBF7"/>
            <w:vAlign w:val="center"/>
            <w:hideMark/>
          </w:tcPr>
          <w:p w14:paraId="3E92E794" w14:textId="295B1DC6"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10</w:t>
            </w:r>
            <w:r w:rsidR="00900212">
              <w:rPr>
                <w:rFonts w:ascii="Arial Narrow" w:hAnsi="Arial Narrow" w:cs="Calibri"/>
                <w:sz w:val="16"/>
                <w:szCs w:val="16"/>
              </w:rPr>
              <w:t>,</w:t>
            </w:r>
            <w:r>
              <w:rPr>
                <w:rFonts w:ascii="Arial Narrow" w:hAnsi="Arial Narrow" w:cs="Calibri"/>
                <w:sz w:val="16"/>
                <w:szCs w:val="16"/>
              </w:rPr>
              <w:t>2</w:t>
            </w:r>
          </w:p>
        </w:tc>
        <w:tc>
          <w:tcPr>
            <w:tcW w:w="493" w:type="pct"/>
            <w:tcBorders>
              <w:top w:val="nil"/>
              <w:left w:val="nil"/>
              <w:bottom w:val="nil"/>
              <w:right w:val="nil"/>
            </w:tcBorders>
            <w:shd w:val="clear" w:color="000000" w:fill="DDEBF7"/>
            <w:vAlign w:val="center"/>
            <w:hideMark/>
          </w:tcPr>
          <w:p w14:paraId="24CAFE85" w14:textId="0AF6FC2F"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7</w:t>
            </w:r>
            <w:r w:rsidR="00900212">
              <w:rPr>
                <w:rFonts w:ascii="Arial Narrow" w:hAnsi="Arial Narrow" w:cs="Calibri"/>
                <w:sz w:val="16"/>
                <w:szCs w:val="16"/>
              </w:rPr>
              <w:t>,</w:t>
            </w:r>
            <w:r>
              <w:rPr>
                <w:rFonts w:ascii="Arial Narrow" w:hAnsi="Arial Narrow" w:cs="Calibri"/>
                <w:sz w:val="16"/>
                <w:szCs w:val="16"/>
              </w:rPr>
              <w:t>5</w:t>
            </w:r>
          </w:p>
        </w:tc>
        <w:tc>
          <w:tcPr>
            <w:tcW w:w="493" w:type="pct"/>
            <w:tcBorders>
              <w:top w:val="nil"/>
              <w:left w:val="nil"/>
              <w:bottom w:val="nil"/>
              <w:right w:val="nil"/>
            </w:tcBorders>
            <w:shd w:val="clear" w:color="000000" w:fill="DDEBF7"/>
            <w:vAlign w:val="center"/>
            <w:hideMark/>
          </w:tcPr>
          <w:p w14:paraId="1A93016C" w14:textId="7ABCDD91"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6</w:t>
            </w:r>
            <w:r w:rsidR="00900212">
              <w:rPr>
                <w:rFonts w:ascii="Arial Narrow" w:hAnsi="Arial Narrow" w:cs="Calibri"/>
                <w:sz w:val="16"/>
                <w:szCs w:val="16"/>
              </w:rPr>
              <w:t>,</w:t>
            </w:r>
            <w:r>
              <w:rPr>
                <w:rFonts w:ascii="Arial Narrow" w:hAnsi="Arial Narrow" w:cs="Calibri"/>
                <w:sz w:val="16"/>
                <w:szCs w:val="16"/>
              </w:rPr>
              <w:t>5</w:t>
            </w:r>
          </w:p>
        </w:tc>
        <w:tc>
          <w:tcPr>
            <w:tcW w:w="493" w:type="pct"/>
            <w:tcBorders>
              <w:top w:val="nil"/>
              <w:left w:val="nil"/>
              <w:bottom w:val="nil"/>
              <w:right w:val="nil"/>
            </w:tcBorders>
            <w:shd w:val="clear" w:color="000000" w:fill="DDEBF7"/>
            <w:vAlign w:val="center"/>
          </w:tcPr>
          <w:p w14:paraId="14AA3C31" w14:textId="071249CF"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4</w:t>
            </w:r>
            <w:r w:rsidR="00900212">
              <w:rPr>
                <w:rFonts w:ascii="Arial Narrow" w:hAnsi="Arial Narrow" w:cs="Calibri"/>
                <w:sz w:val="16"/>
                <w:szCs w:val="16"/>
              </w:rPr>
              <w:t>,</w:t>
            </w:r>
            <w:r>
              <w:rPr>
                <w:rFonts w:ascii="Arial Narrow" w:hAnsi="Arial Narrow" w:cs="Calibri"/>
                <w:sz w:val="16"/>
                <w:szCs w:val="16"/>
              </w:rPr>
              <w:t>5</w:t>
            </w:r>
          </w:p>
        </w:tc>
        <w:tc>
          <w:tcPr>
            <w:tcW w:w="492" w:type="pct"/>
            <w:tcBorders>
              <w:top w:val="nil"/>
              <w:left w:val="nil"/>
              <w:bottom w:val="nil"/>
              <w:right w:val="nil"/>
            </w:tcBorders>
            <w:shd w:val="clear" w:color="000000" w:fill="DDEBF7"/>
            <w:vAlign w:val="center"/>
            <w:hideMark/>
          </w:tcPr>
          <w:p w14:paraId="61D3E0DE" w14:textId="58DC8B60"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5</w:t>
            </w:r>
            <w:r w:rsidR="00900212">
              <w:rPr>
                <w:rFonts w:ascii="Arial Narrow" w:hAnsi="Arial Narrow" w:cs="Calibri"/>
                <w:sz w:val="16"/>
                <w:szCs w:val="16"/>
              </w:rPr>
              <w:t>,</w:t>
            </w:r>
            <w:r>
              <w:rPr>
                <w:rFonts w:ascii="Arial Narrow" w:hAnsi="Arial Narrow" w:cs="Calibri"/>
                <w:sz w:val="16"/>
                <w:szCs w:val="16"/>
              </w:rPr>
              <w:t>1</w:t>
            </w:r>
          </w:p>
        </w:tc>
      </w:tr>
      <w:tr w:rsidR="00C24F6F" w:rsidRPr="000C2D79" w14:paraId="3EB37CBF" w14:textId="77777777" w:rsidTr="002B1847">
        <w:trPr>
          <w:trHeight w:val="282"/>
        </w:trPr>
        <w:tc>
          <w:tcPr>
            <w:tcW w:w="238" w:type="pct"/>
            <w:tcBorders>
              <w:top w:val="nil"/>
              <w:left w:val="nil"/>
              <w:bottom w:val="nil"/>
              <w:right w:val="nil"/>
            </w:tcBorders>
            <w:shd w:val="clear" w:color="000000" w:fill="DDEBF7"/>
            <w:vAlign w:val="center"/>
            <w:hideMark/>
          </w:tcPr>
          <w:p w14:paraId="2F45F0A0"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25</w:t>
            </w:r>
          </w:p>
        </w:tc>
        <w:tc>
          <w:tcPr>
            <w:tcW w:w="1946" w:type="pct"/>
            <w:gridSpan w:val="3"/>
            <w:tcBorders>
              <w:top w:val="nil"/>
              <w:left w:val="nil"/>
              <w:bottom w:val="nil"/>
              <w:right w:val="nil"/>
            </w:tcBorders>
            <w:shd w:val="clear" w:color="000000" w:fill="DDEBF7"/>
            <w:vAlign w:val="center"/>
            <w:hideMark/>
          </w:tcPr>
          <w:p w14:paraId="292D01F1"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Nezamestnanosť (%)</w:t>
            </w:r>
          </w:p>
        </w:tc>
        <w:tc>
          <w:tcPr>
            <w:tcW w:w="352" w:type="pct"/>
            <w:tcBorders>
              <w:top w:val="nil"/>
              <w:left w:val="nil"/>
              <w:bottom w:val="nil"/>
              <w:right w:val="nil"/>
            </w:tcBorders>
            <w:shd w:val="clear" w:color="000000" w:fill="DDEBF7"/>
            <w:vAlign w:val="center"/>
            <w:hideMark/>
          </w:tcPr>
          <w:p w14:paraId="3EB04FE5"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 </w:t>
            </w:r>
          </w:p>
        </w:tc>
        <w:tc>
          <w:tcPr>
            <w:tcW w:w="493" w:type="pct"/>
            <w:tcBorders>
              <w:top w:val="nil"/>
              <w:left w:val="nil"/>
              <w:bottom w:val="nil"/>
              <w:right w:val="nil"/>
            </w:tcBorders>
            <w:shd w:val="clear" w:color="000000" w:fill="DDEBF7"/>
            <w:vAlign w:val="center"/>
            <w:hideMark/>
          </w:tcPr>
          <w:p w14:paraId="0CF5D9C3" w14:textId="26E0892D"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5</w:t>
            </w:r>
            <w:r w:rsidR="00900212">
              <w:rPr>
                <w:rFonts w:ascii="Arial Narrow" w:hAnsi="Arial Narrow" w:cs="Calibri"/>
                <w:sz w:val="16"/>
                <w:szCs w:val="16"/>
              </w:rPr>
              <w:t>,</w:t>
            </w:r>
            <w:r>
              <w:rPr>
                <w:rFonts w:ascii="Arial Narrow" w:hAnsi="Arial Narrow" w:cs="Calibri"/>
                <w:sz w:val="16"/>
                <w:szCs w:val="16"/>
              </w:rPr>
              <w:t>8</w:t>
            </w:r>
          </w:p>
        </w:tc>
        <w:tc>
          <w:tcPr>
            <w:tcW w:w="493" w:type="pct"/>
            <w:tcBorders>
              <w:top w:val="nil"/>
              <w:left w:val="nil"/>
              <w:bottom w:val="nil"/>
              <w:right w:val="nil"/>
            </w:tcBorders>
            <w:shd w:val="clear" w:color="000000" w:fill="DDEBF7"/>
            <w:vAlign w:val="center"/>
            <w:hideMark/>
          </w:tcPr>
          <w:p w14:paraId="4EAFD1F3" w14:textId="55D06809"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5</w:t>
            </w:r>
            <w:r w:rsidR="00900212">
              <w:rPr>
                <w:rFonts w:ascii="Arial Narrow" w:hAnsi="Arial Narrow" w:cs="Calibri"/>
                <w:sz w:val="16"/>
                <w:szCs w:val="16"/>
              </w:rPr>
              <w:t>,</w:t>
            </w:r>
            <w:r>
              <w:rPr>
                <w:rFonts w:ascii="Arial Narrow" w:hAnsi="Arial Narrow" w:cs="Calibri"/>
                <w:sz w:val="16"/>
                <w:szCs w:val="16"/>
              </w:rPr>
              <w:t>3</w:t>
            </w:r>
          </w:p>
        </w:tc>
        <w:tc>
          <w:tcPr>
            <w:tcW w:w="493" w:type="pct"/>
            <w:tcBorders>
              <w:top w:val="nil"/>
              <w:left w:val="nil"/>
              <w:bottom w:val="nil"/>
              <w:right w:val="nil"/>
            </w:tcBorders>
            <w:shd w:val="clear" w:color="000000" w:fill="DDEBF7"/>
            <w:vAlign w:val="center"/>
            <w:hideMark/>
          </w:tcPr>
          <w:p w14:paraId="4A163563" w14:textId="4BCCC3A9"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5</w:t>
            </w:r>
            <w:r w:rsidR="00900212">
              <w:rPr>
                <w:rFonts w:ascii="Arial Narrow" w:hAnsi="Arial Narrow" w:cs="Calibri"/>
                <w:sz w:val="16"/>
                <w:szCs w:val="16"/>
              </w:rPr>
              <w:t>,</w:t>
            </w:r>
            <w:r>
              <w:rPr>
                <w:rFonts w:ascii="Arial Narrow" w:hAnsi="Arial Narrow" w:cs="Calibri"/>
                <w:sz w:val="16"/>
                <w:szCs w:val="16"/>
              </w:rPr>
              <w:t>3</w:t>
            </w:r>
          </w:p>
        </w:tc>
        <w:tc>
          <w:tcPr>
            <w:tcW w:w="493" w:type="pct"/>
            <w:tcBorders>
              <w:top w:val="nil"/>
              <w:left w:val="nil"/>
              <w:bottom w:val="nil"/>
              <w:right w:val="nil"/>
            </w:tcBorders>
            <w:shd w:val="clear" w:color="000000" w:fill="DDEBF7"/>
            <w:vAlign w:val="center"/>
          </w:tcPr>
          <w:p w14:paraId="510AF633" w14:textId="7E64A750"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5</w:t>
            </w:r>
            <w:r w:rsidR="00900212">
              <w:rPr>
                <w:rFonts w:ascii="Arial Narrow" w:hAnsi="Arial Narrow" w:cs="Calibri"/>
                <w:sz w:val="16"/>
                <w:szCs w:val="16"/>
              </w:rPr>
              <w:t>,</w:t>
            </w:r>
            <w:r>
              <w:rPr>
                <w:rFonts w:ascii="Arial Narrow" w:hAnsi="Arial Narrow" w:cs="Calibri"/>
                <w:sz w:val="16"/>
                <w:szCs w:val="16"/>
              </w:rPr>
              <w:t>8</w:t>
            </w:r>
          </w:p>
        </w:tc>
        <w:tc>
          <w:tcPr>
            <w:tcW w:w="492" w:type="pct"/>
            <w:tcBorders>
              <w:top w:val="nil"/>
              <w:left w:val="nil"/>
              <w:bottom w:val="nil"/>
              <w:right w:val="nil"/>
            </w:tcBorders>
            <w:shd w:val="clear" w:color="000000" w:fill="DDEBF7"/>
            <w:vAlign w:val="center"/>
            <w:hideMark/>
          </w:tcPr>
          <w:p w14:paraId="2C93D733" w14:textId="4F498449"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5</w:t>
            </w:r>
            <w:r w:rsidR="00900212">
              <w:rPr>
                <w:rFonts w:ascii="Arial Narrow" w:hAnsi="Arial Narrow" w:cs="Calibri"/>
                <w:sz w:val="16"/>
                <w:szCs w:val="16"/>
              </w:rPr>
              <w:t>,</w:t>
            </w:r>
            <w:r>
              <w:rPr>
                <w:rFonts w:ascii="Arial Narrow" w:hAnsi="Arial Narrow" w:cs="Calibri"/>
                <w:sz w:val="16"/>
                <w:szCs w:val="16"/>
              </w:rPr>
              <w:t>8</w:t>
            </w:r>
          </w:p>
        </w:tc>
      </w:tr>
      <w:tr w:rsidR="00C24F6F" w:rsidRPr="000C2D79" w14:paraId="3F74A1C5" w14:textId="77777777" w:rsidTr="002B1847">
        <w:trPr>
          <w:trHeight w:val="282"/>
        </w:trPr>
        <w:tc>
          <w:tcPr>
            <w:tcW w:w="2184" w:type="pct"/>
            <w:gridSpan w:val="4"/>
            <w:tcBorders>
              <w:top w:val="nil"/>
              <w:left w:val="nil"/>
              <w:bottom w:val="nil"/>
              <w:right w:val="nil"/>
            </w:tcBorders>
            <w:vAlign w:val="center"/>
            <w:hideMark/>
          </w:tcPr>
          <w:p w14:paraId="06C56E3A" w14:textId="77777777" w:rsidR="00C24F6F" w:rsidRPr="000C2D79" w:rsidRDefault="00C24F6F" w:rsidP="002B1847">
            <w:pPr>
              <w:spacing w:after="0" w:line="240" w:lineRule="auto"/>
              <w:rPr>
                <w:rFonts w:ascii="Arial Narrow" w:eastAsia="Times New Roman" w:hAnsi="Arial Narrow" w:cs="Calibri"/>
                <w:i/>
                <w:iCs/>
                <w:color w:val="2C9ADC"/>
                <w:kern w:val="0"/>
                <w:sz w:val="16"/>
                <w:szCs w:val="16"/>
                <w:lang w:eastAsia="sk-SK"/>
                <w14:ligatures w14:val="none"/>
              </w:rPr>
            </w:pPr>
            <w:r w:rsidRPr="000C2D79">
              <w:rPr>
                <w:rFonts w:ascii="Arial Narrow" w:eastAsia="Times New Roman" w:hAnsi="Arial Narrow" w:cs="Calibri"/>
                <w:i/>
                <w:iCs/>
                <w:color w:val="2C9ADC"/>
                <w:kern w:val="0"/>
                <w:sz w:val="16"/>
                <w:szCs w:val="16"/>
                <w:lang w:eastAsia="sk-SK"/>
                <w14:ligatures w14:val="none"/>
              </w:rPr>
              <w:t>Potenciálny produkt a jeho komponenty</w:t>
            </w:r>
          </w:p>
        </w:tc>
        <w:tc>
          <w:tcPr>
            <w:tcW w:w="352" w:type="pct"/>
            <w:tcBorders>
              <w:top w:val="nil"/>
              <w:left w:val="nil"/>
              <w:bottom w:val="nil"/>
              <w:right w:val="nil"/>
            </w:tcBorders>
            <w:vAlign w:val="center"/>
            <w:hideMark/>
          </w:tcPr>
          <w:p w14:paraId="5F225B72" w14:textId="77777777" w:rsidR="00C24F6F" w:rsidRPr="000C2D79" w:rsidRDefault="00C24F6F" w:rsidP="002B1847">
            <w:pPr>
              <w:spacing w:after="0" w:line="240" w:lineRule="auto"/>
              <w:rPr>
                <w:rFonts w:ascii="Arial Narrow" w:eastAsia="Times New Roman" w:hAnsi="Arial Narrow" w:cs="Calibri"/>
                <w:i/>
                <w:iCs/>
                <w:color w:val="2C9ADC"/>
                <w:kern w:val="0"/>
                <w:sz w:val="16"/>
                <w:szCs w:val="16"/>
                <w:lang w:eastAsia="sk-SK"/>
                <w14:ligatures w14:val="none"/>
              </w:rPr>
            </w:pPr>
          </w:p>
        </w:tc>
        <w:tc>
          <w:tcPr>
            <w:tcW w:w="493" w:type="pct"/>
            <w:tcBorders>
              <w:top w:val="nil"/>
              <w:left w:val="nil"/>
              <w:bottom w:val="nil"/>
              <w:right w:val="nil"/>
            </w:tcBorders>
            <w:vAlign w:val="center"/>
            <w:hideMark/>
          </w:tcPr>
          <w:p w14:paraId="441AFCFB"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3" w:type="pct"/>
            <w:tcBorders>
              <w:top w:val="nil"/>
              <w:left w:val="nil"/>
              <w:bottom w:val="nil"/>
              <w:right w:val="nil"/>
            </w:tcBorders>
            <w:vAlign w:val="center"/>
            <w:hideMark/>
          </w:tcPr>
          <w:p w14:paraId="5A67F77B"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3" w:type="pct"/>
            <w:tcBorders>
              <w:top w:val="nil"/>
              <w:left w:val="nil"/>
              <w:bottom w:val="nil"/>
              <w:right w:val="nil"/>
            </w:tcBorders>
            <w:vAlign w:val="center"/>
            <w:hideMark/>
          </w:tcPr>
          <w:p w14:paraId="618E22C4"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3" w:type="pct"/>
            <w:tcBorders>
              <w:top w:val="nil"/>
              <w:left w:val="nil"/>
              <w:bottom w:val="nil"/>
              <w:right w:val="nil"/>
            </w:tcBorders>
          </w:tcPr>
          <w:p w14:paraId="24D8A76D"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2" w:type="pct"/>
            <w:tcBorders>
              <w:top w:val="nil"/>
              <w:left w:val="nil"/>
              <w:bottom w:val="nil"/>
              <w:right w:val="nil"/>
            </w:tcBorders>
            <w:vAlign w:val="center"/>
            <w:hideMark/>
          </w:tcPr>
          <w:p w14:paraId="269BBB7E"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r>
      <w:tr w:rsidR="00C24F6F" w:rsidRPr="000C2D79" w14:paraId="22A65B8B" w14:textId="77777777" w:rsidTr="002B1847">
        <w:trPr>
          <w:trHeight w:val="282"/>
        </w:trPr>
        <w:tc>
          <w:tcPr>
            <w:tcW w:w="238" w:type="pct"/>
            <w:tcBorders>
              <w:top w:val="nil"/>
              <w:left w:val="nil"/>
              <w:bottom w:val="nil"/>
              <w:right w:val="nil"/>
            </w:tcBorders>
            <w:shd w:val="clear" w:color="000000" w:fill="DDEBF7"/>
            <w:vAlign w:val="center"/>
            <w:hideMark/>
          </w:tcPr>
          <w:p w14:paraId="786EE9F7"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26</w:t>
            </w:r>
          </w:p>
        </w:tc>
        <w:tc>
          <w:tcPr>
            <w:tcW w:w="1946" w:type="pct"/>
            <w:gridSpan w:val="3"/>
            <w:tcBorders>
              <w:top w:val="nil"/>
              <w:left w:val="nil"/>
              <w:bottom w:val="nil"/>
              <w:right w:val="nil"/>
            </w:tcBorders>
            <w:shd w:val="clear" w:color="000000" w:fill="DDEBF7"/>
            <w:vAlign w:val="center"/>
            <w:hideMark/>
          </w:tcPr>
          <w:p w14:paraId="52129C0B"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Potenciálne HDP</w:t>
            </w:r>
          </w:p>
        </w:tc>
        <w:tc>
          <w:tcPr>
            <w:tcW w:w="352" w:type="pct"/>
            <w:tcBorders>
              <w:top w:val="nil"/>
              <w:left w:val="nil"/>
              <w:bottom w:val="nil"/>
              <w:right w:val="nil"/>
            </w:tcBorders>
            <w:shd w:val="clear" w:color="000000" w:fill="DDEBF7"/>
            <w:vAlign w:val="center"/>
            <w:hideMark/>
          </w:tcPr>
          <w:p w14:paraId="2EF940D1"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sidRPr="000C2D79">
              <w:rPr>
                <w:rFonts w:ascii="Arial Narrow" w:eastAsia="Times New Roman" w:hAnsi="Arial Narrow" w:cs="Calibri"/>
                <w:kern w:val="0"/>
                <w:sz w:val="16"/>
                <w:szCs w:val="16"/>
                <w:lang w:eastAsia="sk-SK"/>
                <w14:ligatures w14:val="none"/>
              </w:rPr>
              <w:t> </w:t>
            </w:r>
          </w:p>
        </w:tc>
        <w:tc>
          <w:tcPr>
            <w:tcW w:w="493" w:type="pct"/>
            <w:tcBorders>
              <w:top w:val="nil"/>
              <w:left w:val="nil"/>
              <w:bottom w:val="nil"/>
              <w:right w:val="nil"/>
            </w:tcBorders>
            <w:shd w:val="clear" w:color="000000" w:fill="DDEBF7"/>
            <w:vAlign w:val="center"/>
            <w:hideMark/>
          </w:tcPr>
          <w:p w14:paraId="2B385E34" w14:textId="39423A36"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2</w:t>
            </w:r>
            <w:r w:rsidR="00900212">
              <w:rPr>
                <w:rFonts w:ascii="Arial Narrow" w:hAnsi="Arial Narrow" w:cs="Calibri"/>
                <w:sz w:val="16"/>
                <w:szCs w:val="16"/>
              </w:rPr>
              <w:t>,</w:t>
            </w:r>
            <w:r>
              <w:rPr>
                <w:rFonts w:ascii="Arial Narrow" w:hAnsi="Arial Narrow" w:cs="Calibri"/>
                <w:sz w:val="16"/>
                <w:szCs w:val="16"/>
              </w:rPr>
              <w:t>3</w:t>
            </w:r>
          </w:p>
        </w:tc>
        <w:tc>
          <w:tcPr>
            <w:tcW w:w="493" w:type="pct"/>
            <w:tcBorders>
              <w:top w:val="nil"/>
              <w:left w:val="nil"/>
              <w:bottom w:val="nil"/>
              <w:right w:val="nil"/>
            </w:tcBorders>
            <w:shd w:val="clear" w:color="000000" w:fill="DDEBF7"/>
            <w:vAlign w:val="center"/>
            <w:hideMark/>
          </w:tcPr>
          <w:p w14:paraId="2C82C749" w14:textId="16EBE2A2"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2</w:t>
            </w:r>
            <w:r w:rsidR="00900212">
              <w:rPr>
                <w:rFonts w:ascii="Arial Narrow" w:hAnsi="Arial Narrow" w:cs="Calibri"/>
                <w:sz w:val="16"/>
                <w:szCs w:val="16"/>
              </w:rPr>
              <w:t>,</w:t>
            </w:r>
            <w:r>
              <w:rPr>
                <w:rFonts w:ascii="Arial Narrow" w:hAnsi="Arial Narrow" w:cs="Calibri"/>
                <w:sz w:val="16"/>
                <w:szCs w:val="16"/>
              </w:rPr>
              <w:t>0</w:t>
            </w:r>
          </w:p>
        </w:tc>
        <w:tc>
          <w:tcPr>
            <w:tcW w:w="493" w:type="pct"/>
            <w:tcBorders>
              <w:top w:val="nil"/>
              <w:left w:val="nil"/>
              <w:bottom w:val="nil"/>
              <w:right w:val="nil"/>
            </w:tcBorders>
            <w:shd w:val="clear" w:color="000000" w:fill="DDEBF7"/>
            <w:vAlign w:val="center"/>
            <w:hideMark/>
          </w:tcPr>
          <w:p w14:paraId="3023FF8E" w14:textId="0603EA03"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8</w:t>
            </w:r>
          </w:p>
        </w:tc>
        <w:tc>
          <w:tcPr>
            <w:tcW w:w="493" w:type="pct"/>
            <w:tcBorders>
              <w:top w:val="nil"/>
              <w:left w:val="nil"/>
              <w:bottom w:val="nil"/>
              <w:right w:val="nil"/>
            </w:tcBorders>
            <w:shd w:val="clear" w:color="000000" w:fill="DDEBF7"/>
            <w:vAlign w:val="center"/>
          </w:tcPr>
          <w:p w14:paraId="700FC1BA" w14:textId="253FB7EF"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2</w:t>
            </w:r>
            <w:r w:rsidR="00900212">
              <w:rPr>
                <w:rFonts w:ascii="Arial Narrow" w:hAnsi="Arial Narrow" w:cs="Calibri"/>
                <w:sz w:val="16"/>
                <w:szCs w:val="16"/>
              </w:rPr>
              <w:t>,</w:t>
            </w:r>
            <w:r>
              <w:rPr>
                <w:rFonts w:ascii="Arial Narrow" w:hAnsi="Arial Narrow" w:cs="Calibri"/>
                <w:sz w:val="16"/>
                <w:szCs w:val="16"/>
              </w:rPr>
              <w:t>2</w:t>
            </w:r>
          </w:p>
        </w:tc>
        <w:tc>
          <w:tcPr>
            <w:tcW w:w="492" w:type="pct"/>
            <w:tcBorders>
              <w:top w:val="nil"/>
              <w:left w:val="nil"/>
              <w:bottom w:val="nil"/>
              <w:right w:val="nil"/>
            </w:tcBorders>
            <w:shd w:val="clear" w:color="000000" w:fill="DDEBF7"/>
            <w:vAlign w:val="center"/>
            <w:hideMark/>
          </w:tcPr>
          <w:p w14:paraId="2787DFED" w14:textId="7E26DE3F"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9</w:t>
            </w:r>
          </w:p>
        </w:tc>
      </w:tr>
      <w:tr w:rsidR="00C24F6F" w:rsidRPr="000C2D79" w14:paraId="03C799EC" w14:textId="77777777" w:rsidTr="002B1847">
        <w:trPr>
          <w:trHeight w:val="282"/>
        </w:trPr>
        <w:tc>
          <w:tcPr>
            <w:tcW w:w="2184" w:type="pct"/>
            <w:gridSpan w:val="4"/>
            <w:tcBorders>
              <w:top w:val="nil"/>
              <w:left w:val="nil"/>
              <w:bottom w:val="nil"/>
              <w:right w:val="nil"/>
            </w:tcBorders>
            <w:vAlign w:val="center"/>
            <w:hideMark/>
          </w:tcPr>
          <w:p w14:paraId="6312B22B" w14:textId="77777777" w:rsidR="00C24F6F" w:rsidRPr="000C2D79" w:rsidRDefault="00C24F6F" w:rsidP="002B1847">
            <w:pPr>
              <w:spacing w:after="0" w:line="240" w:lineRule="auto"/>
              <w:rPr>
                <w:rFonts w:ascii="Arial Narrow" w:eastAsia="Times New Roman" w:hAnsi="Arial Narrow" w:cs="Calibri"/>
                <w:i/>
                <w:iCs/>
                <w:color w:val="2C9ADC"/>
                <w:kern w:val="0"/>
                <w:sz w:val="16"/>
                <w:szCs w:val="16"/>
                <w:lang w:eastAsia="sk-SK"/>
                <w14:ligatures w14:val="none"/>
              </w:rPr>
            </w:pPr>
            <w:r w:rsidRPr="000C2D79">
              <w:rPr>
                <w:rFonts w:ascii="Arial Narrow" w:eastAsia="Times New Roman" w:hAnsi="Arial Narrow" w:cs="Calibri"/>
                <w:i/>
                <w:iCs/>
                <w:color w:val="2C9ADC"/>
                <w:kern w:val="0"/>
                <w:sz w:val="16"/>
                <w:szCs w:val="16"/>
                <w:lang w:eastAsia="sk-SK"/>
                <w14:ligatures w14:val="none"/>
              </w:rPr>
              <w:t>Príspevky v potenciálnemu rastu</w:t>
            </w:r>
          </w:p>
        </w:tc>
        <w:tc>
          <w:tcPr>
            <w:tcW w:w="352" w:type="pct"/>
            <w:tcBorders>
              <w:top w:val="nil"/>
              <w:left w:val="nil"/>
              <w:bottom w:val="nil"/>
              <w:right w:val="nil"/>
            </w:tcBorders>
            <w:vAlign w:val="center"/>
            <w:hideMark/>
          </w:tcPr>
          <w:p w14:paraId="5F4A112F" w14:textId="77777777" w:rsidR="00C24F6F" w:rsidRPr="000C2D79" w:rsidRDefault="00C24F6F" w:rsidP="002B1847">
            <w:pPr>
              <w:spacing w:after="0" w:line="240" w:lineRule="auto"/>
              <w:rPr>
                <w:rFonts w:ascii="Arial Narrow" w:eastAsia="Times New Roman" w:hAnsi="Arial Narrow" w:cs="Calibri"/>
                <w:i/>
                <w:iCs/>
                <w:color w:val="2C9ADC"/>
                <w:kern w:val="0"/>
                <w:sz w:val="16"/>
                <w:szCs w:val="16"/>
                <w:lang w:eastAsia="sk-SK"/>
                <w14:ligatures w14:val="none"/>
              </w:rPr>
            </w:pPr>
          </w:p>
        </w:tc>
        <w:tc>
          <w:tcPr>
            <w:tcW w:w="493" w:type="pct"/>
            <w:tcBorders>
              <w:top w:val="nil"/>
              <w:left w:val="nil"/>
              <w:bottom w:val="nil"/>
              <w:right w:val="nil"/>
            </w:tcBorders>
            <w:vAlign w:val="center"/>
            <w:hideMark/>
          </w:tcPr>
          <w:p w14:paraId="378211B0"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3" w:type="pct"/>
            <w:tcBorders>
              <w:top w:val="nil"/>
              <w:left w:val="nil"/>
              <w:bottom w:val="nil"/>
              <w:right w:val="nil"/>
            </w:tcBorders>
            <w:vAlign w:val="center"/>
            <w:hideMark/>
          </w:tcPr>
          <w:p w14:paraId="13ED7012"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3" w:type="pct"/>
            <w:tcBorders>
              <w:top w:val="nil"/>
              <w:left w:val="nil"/>
              <w:bottom w:val="nil"/>
              <w:right w:val="nil"/>
            </w:tcBorders>
            <w:vAlign w:val="center"/>
            <w:hideMark/>
          </w:tcPr>
          <w:p w14:paraId="16F121EE"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3" w:type="pct"/>
            <w:tcBorders>
              <w:top w:val="nil"/>
              <w:left w:val="nil"/>
              <w:bottom w:val="nil"/>
              <w:right w:val="nil"/>
            </w:tcBorders>
          </w:tcPr>
          <w:p w14:paraId="3BAF7490"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492" w:type="pct"/>
            <w:tcBorders>
              <w:top w:val="nil"/>
              <w:left w:val="nil"/>
              <w:bottom w:val="nil"/>
              <w:right w:val="nil"/>
            </w:tcBorders>
            <w:vAlign w:val="center"/>
            <w:hideMark/>
          </w:tcPr>
          <w:p w14:paraId="55178EA1" w14:textId="77777777" w:rsidR="00C24F6F" w:rsidRPr="000C2D79" w:rsidRDefault="00C24F6F" w:rsidP="002B1847">
            <w:pPr>
              <w:spacing w:after="0" w:line="240" w:lineRule="auto"/>
              <w:jc w:val="center"/>
              <w:rPr>
                <w:rFonts w:ascii="Times New Roman" w:eastAsia="Times New Roman" w:hAnsi="Times New Roman" w:cs="Times New Roman"/>
                <w:kern w:val="0"/>
                <w:sz w:val="20"/>
                <w:szCs w:val="20"/>
                <w:lang w:eastAsia="sk-SK"/>
                <w14:ligatures w14:val="none"/>
              </w:rPr>
            </w:pPr>
          </w:p>
        </w:tc>
      </w:tr>
      <w:tr w:rsidR="00C24F6F" w:rsidRPr="000C2D79" w14:paraId="18C3EA8C" w14:textId="77777777" w:rsidTr="002B1847">
        <w:trPr>
          <w:trHeight w:val="282"/>
        </w:trPr>
        <w:tc>
          <w:tcPr>
            <w:tcW w:w="238" w:type="pct"/>
            <w:tcBorders>
              <w:top w:val="nil"/>
              <w:left w:val="nil"/>
              <w:bottom w:val="nil"/>
              <w:right w:val="nil"/>
            </w:tcBorders>
            <w:shd w:val="clear" w:color="000000" w:fill="DDEBF7"/>
            <w:vAlign w:val="center"/>
            <w:hideMark/>
          </w:tcPr>
          <w:p w14:paraId="1B68A7A3"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27</w:t>
            </w:r>
          </w:p>
        </w:tc>
        <w:tc>
          <w:tcPr>
            <w:tcW w:w="1946" w:type="pct"/>
            <w:gridSpan w:val="3"/>
            <w:tcBorders>
              <w:top w:val="nil"/>
              <w:left w:val="nil"/>
              <w:bottom w:val="nil"/>
              <w:right w:val="nil"/>
            </w:tcBorders>
            <w:shd w:val="clear" w:color="000000" w:fill="DDEBF7"/>
            <w:vAlign w:val="center"/>
            <w:hideMark/>
          </w:tcPr>
          <w:p w14:paraId="18F3D4D6"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Práca</w:t>
            </w:r>
          </w:p>
        </w:tc>
        <w:tc>
          <w:tcPr>
            <w:tcW w:w="352" w:type="pct"/>
            <w:tcBorders>
              <w:top w:val="nil"/>
              <w:left w:val="nil"/>
              <w:bottom w:val="nil"/>
              <w:right w:val="nil"/>
            </w:tcBorders>
            <w:shd w:val="clear" w:color="000000" w:fill="DDEBF7"/>
            <w:vAlign w:val="center"/>
            <w:hideMark/>
          </w:tcPr>
          <w:p w14:paraId="5D38C732"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sidRPr="000C2D79">
              <w:rPr>
                <w:rFonts w:ascii="Arial Narrow" w:eastAsia="Times New Roman" w:hAnsi="Arial Narrow" w:cs="Calibri"/>
                <w:kern w:val="0"/>
                <w:sz w:val="16"/>
                <w:szCs w:val="16"/>
                <w:lang w:eastAsia="sk-SK"/>
                <w14:ligatures w14:val="none"/>
              </w:rPr>
              <w:t> </w:t>
            </w:r>
          </w:p>
        </w:tc>
        <w:tc>
          <w:tcPr>
            <w:tcW w:w="493" w:type="pct"/>
            <w:tcBorders>
              <w:top w:val="nil"/>
              <w:left w:val="nil"/>
              <w:bottom w:val="nil"/>
              <w:right w:val="nil"/>
            </w:tcBorders>
            <w:shd w:val="clear" w:color="000000" w:fill="DDEBF7"/>
            <w:vAlign w:val="center"/>
            <w:hideMark/>
          </w:tcPr>
          <w:p w14:paraId="663E9E81" w14:textId="4DA530F2"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0</w:t>
            </w:r>
          </w:p>
        </w:tc>
        <w:tc>
          <w:tcPr>
            <w:tcW w:w="493" w:type="pct"/>
            <w:tcBorders>
              <w:top w:val="nil"/>
              <w:left w:val="nil"/>
              <w:bottom w:val="nil"/>
              <w:right w:val="nil"/>
            </w:tcBorders>
            <w:shd w:val="clear" w:color="000000" w:fill="DDEBF7"/>
            <w:vAlign w:val="center"/>
            <w:hideMark/>
          </w:tcPr>
          <w:p w14:paraId="0B53B6CC" w14:textId="4B3C2E73"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0</w:t>
            </w:r>
          </w:p>
        </w:tc>
        <w:tc>
          <w:tcPr>
            <w:tcW w:w="493" w:type="pct"/>
            <w:tcBorders>
              <w:top w:val="nil"/>
              <w:left w:val="nil"/>
              <w:bottom w:val="nil"/>
              <w:right w:val="nil"/>
            </w:tcBorders>
            <w:shd w:val="clear" w:color="000000" w:fill="DDEBF7"/>
            <w:vAlign w:val="center"/>
            <w:hideMark/>
          </w:tcPr>
          <w:p w14:paraId="25987439" w14:textId="282AEB84"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0</w:t>
            </w:r>
          </w:p>
        </w:tc>
        <w:tc>
          <w:tcPr>
            <w:tcW w:w="493" w:type="pct"/>
            <w:tcBorders>
              <w:top w:val="nil"/>
              <w:left w:val="nil"/>
              <w:bottom w:val="nil"/>
              <w:right w:val="nil"/>
            </w:tcBorders>
            <w:shd w:val="clear" w:color="000000" w:fill="DDEBF7"/>
            <w:vAlign w:val="center"/>
          </w:tcPr>
          <w:p w14:paraId="64AF6674" w14:textId="41011AF8"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0</w:t>
            </w:r>
          </w:p>
        </w:tc>
        <w:tc>
          <w:tcPr>
            <w:tcW w:w="492" w:type="pct"/>
            <w:tcBorders>
              <w:top w:val="nil"/>
              <w:left w:val="nil"/>
              <w:bottom w:val="nil"/>
              <w:right w:val="nil"/>
            </w:tcBorders>
            <w:shd w:val="clear" w:color="000000" w:fill="DDEBF7"/>
            <w:vAlign w:val="center"/>
            <w:hideMark/>
          </w:tcPr>
          <w:p w14:paraId="37FA4F60" w14:textId="2DA7AD4C"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1</w:t>
            </w:r>
          </w:p>
        </w:tc>
      </w:tr>
      <w:tr w:rsidR="00C24F6F" w:rsidRPr="000C2D79" w14:paraId="4700CC19" w14:textId="77777777" w:rsidTr="002B1847">
        <w:trPr>
          <w:trHeight w:val="282"/>
        </w:trPr>
        <w:tc>
          <w:tcPr>
            <w:tcW w:w="238" w:type="pct"/>
            <w:tcBorders>
              <w:top w:val="nil"/>
              <w:left w:val="nil"/>
              <w:bottom w:val="nil"/>
              <w:right w:val="nil"/>
            </w:tcBorders>
            <w:shd w:val="clear" w:color="000000" w:fill="DDEBF7"/>
            <w:vAlign w:val="center"/>
            <w:hideMark/>
          </w:tcPr>
          <w:p w14:paraId="2F09BA14"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28</w:t>
            </w:r>
          </w:p>
        </w:tc>
        <w:tc>
          <w:tcPr>
            <w:tcW w:w="1946" w:type="pct"/>
            <w:gridSpan w:val="3"/>
            <w:tcBorders>
              <w:top w:val="nil"/>
              <w:left w:val="nil"/>
              <w:bottom w:val="nil"/>
              <w:right w:val="nil"/>
            </w:tcBorders>
            <w:shd w:val="clear" w:color="000000" w:fill="DDEBF7"/>
            <w:vAlign w:val="center"/>
            <w:hideMark/>
          </w:tcPr>
          <w:p w14:paraId="2334541B"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Kapitál</w:t>
            </w:r>
          </w:p>
        </w:tc>
        <w:tc>
          <w:tcPr>
            <w:tcW w:w="352" w:type="pct"/>
            <w:tcBorders>
              <w:top w:val="nil"/>
              <w:left w:val="nil"/>
              <w:bottom w:val="nil"/>
              <w:right w:val="nil"/>
            </w:tcBorders>
            <w:shd w:val="clear" w:color="000000" w:fill="DDEBF7"/>
            <w:vAlign w:val="center"/>
            <w:hideMark/>
          </w:tcPr>
          <w:p w14:paraId="298B442F"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sidRPr="000C2D79">
              <w:rPr>
                <w:rFonts w:ascii="Arial Narrow" w:eastAsia="Times New Roman" w:hAnsi="Arial Narrow" w:cs="Calibri"/>
                <w:kern w:val="0"/>
                <w:sz w:val="16"/>
                <w:szCs w:val="16"/>
                <w:lang w:eastAsia="sk-SK"/>
                <w14:ligatures w14:val="none"/>
              </w:rPr>
              <w:t> </w:t>
            </w:r>
          </w:p>
        </w:tc>
        <w:tc>
          <w:tcPr>
            <w:tcW w:w="493" w:type="pct"/>
            <w:tcBorders>
              <w:top w:val="nil"/>
              <w:left w:val="nil"/>
              <w:bottom w:val="nil"/>
              <w:right w:val="nil"/>
            </w:tcBorders>
            <w:shd w:val="clear" w:color="000000" w:fill="DDEBF7"/>
            <w:vAlign w:val="center"/>
            <w:hideMark/>
          </w:tcPr>
          <w:p w14:paraId="5EC397A3" w14:textId="7FB74AB3"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7</w:t>
            </w:r>
          </w:p>
        </w:tc>
        <w:tc>
          <w:tcPr>
            <w:tcW w:w="493" w:type="pct"/>
            <w:tcBorders>
              <w:top w:val="nil"/>
              <w:left w:val="nil"/>
              <w:bottom w:val="nil"/>
              <w:right w:val="nil"/>
            </w:tcBorders>
            <w:shd w:val="clear" w:color="000000" w:fill="DDEBF7"/>
            <w:vAlign w:val="center"/>
            <w:hideMark/>
          </w:tcPr>
          <w:p w14:paraId="109D3CE2" w14:textId="3DFBE2DB"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9</w:t>
            </w:r>
          </w:p>
        </w:tc>
        <w:tc>
          <w:tcPr>
            <w:tcW w:w="493" w:type="pct"/>
            <w:tcBorders>
              <w:top w:val="nil"/>
              <w:left w:val="nil"/>
              <w:bottom w:val="nil"/>
              <w:right w:val="nil"/>
            </w:tcBorders>
            <w:shd w:val="clear" w:color="000000" w:fill="DDEBF7"/>
            <w:vAlign w:val="center"/>
            <w:hideMark/>
          </w:tcPr>
          <w:p w14:paraId="7B355675" w14:textId="6B4CE4D6"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7</w:t>
            </w:r>
          </w:p>
        </w:tc>
        <w:tc>
          <w:tcPr>
            <w:tcW w:w="493" w:type="pct"/>
            <w:tcBorders>
              <w:top w:val="nil"/>
              <w:left w:val="nil"/>
              <w:bottom w:val="nil"/>
              <w:right w:val="nil"/>
            </w:tcBorders>
            <w:shd w:val="clear" w:color="000000" w:fill="DDEBF7"/>
            <w:vAlign w:val="center"/>
          </w:tcPr>
          <w:p w14:paraId="4842B4B9" w14:textId="0BC23EEC"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0</w:t>
            </w:r>
          </w:p>
        </w:tc>
        <w:tc>
          <w:tcPr>
            <w:tcW w:w="492" w:type="pct"/>
            <w:tcBorders>
              <w:top w:val="nil"/>
              <w:left w:val="nil"/>
              <w:bottom w:val="nil"/>
              <w:right w:val="nil"/>
            </w:tcBorders>
            <w:shd w:val="clear" w:color="000000" w:fill="DDEBF7"/>
            <w:vAlign w:val="center"/>
            <w:hideMark/>
          </w:tcPr>
          <w:p w14:paraId="421BFE8A" w14:textId="714BA563"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8</w:t>
            </w:r>
          </w:p>
        </w:tc>
      </w:tr>
      <w:tr w:rsidR="00C24F6F" w:rsidRPr="000C2D79" w14:paraId="67D1E1A5" w14:textId="77777777" w:rsidTr="002B1847">
        <w:trPr>
          <w:trHeight w:val="282"/>
        </w:trPr>
        <w:tc>
          <w:tcPr>
            <w:tcW w:w="238" w:type="pct"/>
            <w:tcBorders>
              <w:top w:val="nil"/>
              <w:left w:val="nil"/>
              <w:bottom w:val="nil"/>
              <w:right w:val="nil"/>
            </w:tcBorders>
            <w:shd w:val="clear" w:color="000000" w:fill="DDEBF7"/>
            <w:vAlign w:val="center"/>
            <w:hideMark/>
          </w:tcPr>
          <w:p w14:paraId="04A2BE5E"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29</w:t>
            </w:r>
          </w:p>
        </w:tc>
        <w:tc>
          <w:tcPr>
            <w:tcW w:w="1946" w:type="pct"/>
            <w:gridSpan w:val="3"/>
            <w:tcBorders>
              <w:top w:val="nil"/>
              <w:left w:val="nil"/>
              <w:bottom w:val="nil"/>
              <w:right w:val="nil"/>
            </w:tcBorders>
            <w:shd w:val="clear" w:color="000000" w:fill="DDEBF7"/>
            <w:vAlign w:val="center"/>
            <w:hideMark/>
          </w:tcPr>
          <w:p w14:paraId="726DC31C"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TFP</w:t>
            </w:r>
          </w:p>
        </w:tc>
        <w:tc>
          <w:tcPr>
            <w:tcW w:w="352" w:type="pct"/>
            <w:tcBorders>
              <w:top w:val="nil"/>
              <w:left w:val="nil"/>
              <w:bottom w:val="nil"/>
              <w:right w:val="nil"/>
            </w:tcBorders>
            <w:shd w:val="clear" w:color="000000" w:fill="DDEBF7"/>
            <w:vAlign w:val="center"/>
            <w:hideMark/>
          </w:tcPr>
          <w:p w14:paraId="77E2F464"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sidRPr="000C2D79">
              <w:rPr>
                <w:rFonts w:ascii="Arial Narrow" w:eastAsia="Times New Roman" w:hAnsi="Arial Narrow" w:cs="Calibri"/>
                <w:kern w:val="0"/>
                <w:sz w:val="16"/>
                <w:szCs w:val="16"/>
                <w:lang w:eastAsia="sk-SK"/>
                <w14:ligatures w14:val="none"/>
              </w:rPr>
              <w:t> </w:t>
            </w:r>
          </w:p>
        </w:tc>
        <w:tc>
          <w:tcPr>
            <w:tcW w:w="493" w:type="pct"/>
            <w:tcBorders>
              <w:top w:val="nil"/>
              <w:left w:val="nil"/>
              <w:bottom w:val="nil"/>
              <w:right w:val="nil"/>
            </w:tcBorders>
            <w:shd w:val="clear" w:color="000000" w:fill="DDEBF7"/>
            <w:vAlign w:val="center"/>
            <w:hideMark/>
          </w:tcPr>
          <w:p w14:paraId="58C69DD5" w14:textId="2DB88938"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6</w:t>
            </w:r>
          </w:p>
        </w:tc>
        <w:tc>
          <w:tcPr>
            <w:tcW w:w="493" w:type="pct"/>
            <w:tcBorders>
              <w:top w:val="nil"/>
              <w:left w:val="nil"/>
              <w:bottom w:val="nil"/>
              <w:right w:val="nil"/>
            </w:tcBorders>
            <w:shd w:val="clear" w:color="000000" w:fill="DDEBF7"/>
            <w:vAlign w:val="center"/>
            <w:hideMark/>
          </w:tcPr>
          <w:p w14:paraId="56A1D7CF" w14:textId="007D0E30"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1</w:t>
            </w:r>
          </w:p>
        </w:tc>
        <w:tc>
          <w:tcPr>
            <w:tcW w:w="493" w:type="pct"/>
            <w:tcBorders>
              <w:top w:val="nil"/>
              <w:left w:val="nil"/>
              <w:bottom w:val="nil"/>
              <w:right w:val="nil"/>
            </w:tcBorders>
            <w:shd w:val="clear" w:color="000000" w:fill="DDEBF7"/>
            <w:vAlign w:val="center"/>
            <w:hideMark/>
          </w:tcPr>
          <w:p w14:paraId="19E0FB77" w14:textId="48C0FE25"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1</w:t>
            </w:r>
          </w:p>
        </w:tc>
        <w:tc>
          <w:tcPr>
            <w:tcW w:w="493" w:type="pct"/>
            <w:tcBorders>
              <w:top w:val="nil"/>
              <w:left w:val="nil"/>
              <w:bottom w:val="nil"/>
              <w:right w:val="nil"/>
            </w:tcBorders>
            <w:shd w:val="clear" w:color="000000" w:fill="DDEBF7"/>
            <w:vAlign w:val="center"/>
          </w:tcPr>
          <w:p w14:paraId="671BC0D8" w14:textId="04623865"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2</w:t>
            </w:r>
          </w:p>
        </w:tc>
        <w:tc>
          <w:tcPr>
            <w:tcW w:w="492" w:type="pct"/>
            <w:tcBorders>
              <w:top w:val="nil"/>
              <w:left w:val="nil"/>
              <w:bottom w:val="nil"/>
              <w:right w:val="nil"/>
            </w:tcBorders>
            <w:shd w:val="clear" w:color="000000" w:fill="DDEBF7"/>
            <w:vAlign w:val="center"/>
            <w:hideMark/>
          </w:tcPr>
          <w:p w14:paraId="2EC21CA6" w14:textId="7C4C63D5"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1</w:t>
            </w:r>
          </w:p>
        </w:tc>
      </w:tr>
      <w:tr w:rsidR="00C24F6F" w:rsidRPr="000C2D79" w14:paraId="5029805F" w14:textId="77777777" w:rsidTr="002B1847">
        <w:trPr>
          <w:trHeight w:val="282"/>
        </w:trPr>
        <w:tc>
          <w:tcPr>
            <w:tcW w:w="238" w:type="pct"/>
            <w:tcBorders>
              <w:top w:val="nil"/>
              <w:left w:val="nil"/>
              <w:bottom w:val="nil"/>
              <w:right w:val="nil"/>
            </w:tcBorders>
            <w:shd w:val="clear" w:color="000000" w:fill="DDEBF7"/>
            <w:vAlign w:val="center"/>
            <w:hideMark/>
          </w:tcPr>
          <w:p w14:paraId="79CA72DF"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30</w:t>
            </w:r>
          </w:p>
        </w:tc>
        <w:tc>
          <w:tcPr>
            <w:tcW w:w="1946" w:type="pct"/>
            <w:gridSpan w:val="3"/>
            <w:tcBorders>
              <w:top w:val="nil"/>
              <w:left w:val="nil"/>
              <w:bottom w:val="nil"/>
              <w:right w:val="nil"/>
            </w:tcBorders>
            <w:shd w:val="clear" w:color="000000" w:fill="DDEBF7"/>
            <w:vAlign w:val="center"/>
            <w:hideMark/>
          </w:tcPr>
          <w:p w14:paraId="66A5BF7C"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Produkčná medzera (% k potenciálnemu HDP)</w:t>
            </w:r>
          </w:p>
        </w:tc>
        <w:tc>
          <w:tcPr>
            <w:tcW w:w="352" w:type="pct"/>
            <w:tcBorders>
              <w:top w:val="nil"/>
              <w:left w:val="nil"/>
              <w:bottom w:val="nil"/>
              <w:right w:val="nil"/>
            </w:tcBorders>
            <w:shd w:val="clear" w:color="000000" w:fill="DDEBF7"/>
            <w:vAlign w:val="center"/>
            <w:hideMark/>
          </w:tcPr>
          <w:p w14:paraId="7FAFD63A"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sidRPr="000C2D79">
              <w:rPr>
                <w:rFonts w:ascii="Arial Narrow" w:eastAsia="Times New Roman" w:hAnsi="Arial Narrow" w:cs="Calibri"/>
                <w:kern w:val="0"/>
                <w:sz w:val="16"/>
                <w:szCs w:val="16"/>
                <w:lang w:eastAsia="sk-SK"/>
                <w14:ligatures w14:val="none"/>
              </w:rPr>
              <w:t> </w:t>
            </w:r>
          </w:p>
        </w:tc>
        <w:tc>
          <w:tcPr>
            <w:tcW w:w="493" w:type="pct"/>
            <w:tcBorders>
              <w:top w:val="nil"/>
              <w:left w:val="nil"/>
              <w:bottom w:val="nil"/>
              <w:right w:val="nil"/>
            </w:tcBorders>
            <w:shd w:val="clear" w:color="000000" w:fill="DDEBF7"/>
            <w:vAlign w:val="center"/>
            <w:hideMark/>
          </w:tcPr>
          <w:p w14:paraId="17BA7BA3" w14:textId="72C016FA"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4</w:t>
            </w:r>
          </w:p>
        </w:tc>
        <w:tc>
          <w:tcPr>
            <w:tcW w:w="493" w:type="pct"/>
            <w:tcBorders>
              <w:top w:val="nil"/>
              <w:left w:val="nil"/>
              <w:bottom w:val="nil"/>
              <w:right w:val="nil"/>
            </w:tcBorders>
            <w:shd w:val="clear" w:color="000000" w:fill="DDEBF7"/>
            <w:vAlign w:val="center"/>
            <w:hideMark/>
          </w:tcPr>
          <w:p w14:paraId="6825ECC3" w14:textId="0CF2E9BE"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3</w:t>
            </w:r>
          </w:p>
        </w:tc>
        <w:tc>
          <w:tcPr>
            <w:tcW w:w="493" w:type="pct"/>
            <w:tcBorders>
              <w:top w:val="nil"/>
              <w:left w:val="nil"/>
              <w:bottom w:val="nil"/>
              <w:right w:val="nil"/>
            </w:tcBorders>
            <w:shd w:val="clear" w:color="000000" w:fill="DDEBF7"/>
            <w:vAlign w:val="center"/>
            <w:hideMark/>
          </w:tcPr>
          <w:p w14:paraId="11F8D8CC" w14:textId="47A6C84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-0</w:t>
            </w:r>
            <w:r w:rsidR="00900212">
              <w:rPr>
                <w:rFonts w:ascii="Arial Narrow" w:hAnsi="Arial Narrow" w:cs="Calibri"/>
                <w:sz w:val="16"/>
                <w:szCs w:val="16"/>
              </w:rPr>
              <w:t>,</w:t>
            </w:r>
            <w:r>
              <w:rPr>
                <w:rFonts w:ascii="Arial Narrow" w:hAnsi="Arial Narrow" w:cs="Calibri"/>
                <w:sz w:val="16"/>
                <w:szCs w:val="16"/>
              </w:rPr>
              <w:t>7</w:t>
            </w:r>
          </w:p>
        </w:tc>
        <w:tc>
          <w:tcPr>
            <w:tcW w:w="493" w:type="pct"/>
            <w:tcBorders>
              <w:top w:val="nil"/>
              <w:left w:val="nil"/>
              <w:bottom w:val="nil"/>
              <w:right w:val="nil"/>
            </w:tcBorders>
            <w:shd w:val="clear" w:color="000000" w:fill="DDEBF7"/>
            <w:vAlign w:val="center"/>
          </w:tcPr>
          <w:p w14:paraId="12A1C96D" w14:textId="5305324F"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9</w:t>
            </w:r>
          </w:p>
        </w:tc>
        <w:tc>
          <w:tcPr>
            <w:tcW w:w="492" w:type="pct"/>
            <w:tcBorders>
              <w:top w:val="nil"/>
              <w:left w:val="nil"/>
              <w:bottom w:val="nil"/>
              <w:right w:val="nil"/>
            </w:tcBorders>
            <w:shd w:val="clear" w:color="000000" w:fill="DDEBF7"/>
            <w:vAlign w:val="center"/>
            <w:hideMark/>
          </w:tcPr>
          <w:p w14:paraId="63B920BB" w14:textId="7F6CFF9D"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-2</w:t>
            </w:r>
            <w:r w:rsidR="00900212">
              <w:rPr>
                <w:rFonts w:ascii="Arial Narrow" w:hAnsi="Arial Narrow" w:cs="Calibri"/>
                <w:sz w:val="16"/>
                <w:szCs w:val="16"/>
              </w:rPr>
              <w:t>,</w:t>
            </w:r>
            <w:r>
              <w:rPr>
                <w:rFonts w:ascii="Arial Narrow" w:hAnsi="Arial Narrow" w:cs="Calibri"/>
                <w:sz w:val="16"/>
                <w:szCs w:val="16"/>
              </w:rPr>
              <w:t>6</w:t>
            </w:r>
          </w:p>
        </w:tc>
      </w:tr>
      <w:tr w:rsidR="00C24F6F" w:rsidRPr="008E7F52" w14:paraId="04B33E34" w14:textId="77777777" w:rsidTr="002B1847">
        <w:trPr>
          <w:trHeight w:val="282"/>
        </w:trPr>
        <w:tc>
          <w:tcPr>
            <w:tcW w:w="238" w:type="pct"/>
            <w:tcBorders>
              <w:top w:val="nil"/>
              <w:left w:val="nil"/>
              <w:bottom w:val="nil"/>
              <w:right w:val="nil"/>
            </w:tcBorders>
            <w:vAlign w:val="center"/>
          </w:tcPr>
          <w:p w14:paraId="632E9F91"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p>
        </w:tc>
        <w:tc>
          <w:tcPr>
            <w:tcW w:w="1946" w:type="pct"/>
            <w:gridSpan w:val="3"/>
            <w:tcBorders>
              <w:top w:val="nil"/>
              <w:left w:val="nil"/>
              <w:bottom w:val="nil"/>
              <w:right w:val="nil"/>
            </w:tcBorders>
            <w:vAlign w:val="center"/>
          </w:tcPr>
          <w:p w14:paraId="0EAC5C77"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p>
        </w:tc>
        <w:tc>
          <w:tcPr>
            <w:tcW w:w="352" w:type="pct"/>
            <w:tcBorders>
              <w:top w:val="nil"/>
              <w:left w:val="nil"/>
              <w:bottom w:val="nil"/>
              <w:right w:val="nil"/>
            </w:tcBorders>
            <w:vAlign w:val="center"/>
          </w:tcPr>
          <w:p w14:paraId="0563EC18"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p>
        </w:tc>
        <w:tc>
          <w:tcPr>
            <w:tcW w:w="493" w:type="pct"/>
            <w:tcBorders>
              <w:top w:val="nil"/>
              <w:left w:val="nil"/>
              <w:bottom w:val="nil"/>
              <w:right w:val="nil"/>
            </w:tcBorders>
            <w:vAlign w:val="center"/>
          </w:tcPr>
          <w:p w14:paraId="6565044C"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p>
        </w:tc>
        <w:tc>
          <w:tcPr>
            <w:tcW w:w="493" w:type="pct"/>
            <w:tcBorders>
              <w:top w:val="nil"/>
              <w:left w:val="nil"/>
              <w:bottom w:val="nil"/>
              <w:right w:val="nil"/>
            </w:tcBorders>
            <w:vAlign w:val="center"/>
          </w:tcPr>
          <w:p w14:paraId="6F62BE8F"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p>
        </w:tc>
        <w:tc>
          <w:tcPr>
            <w:tcW w:w="493" w:type="pct"/>
            <w:tcBorders>
              <w:top w:val="nil"/>
              <w:left w:val="nil"/>
              <w:bottom w:val="nil"/>
              <w:right w:val="nil"/>
            </w:tcBorders>
            <w:vAlign w:val="center"/>
          </w:tcPr>
          <w:p w14:paraId="3A3563D1"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p>
        </w:tc>
        <w:tc>
          <w:tcPr>
            <w:tcW w:w="985" w:type="pct"/>
            <w:gridSpan w:val="2"/>
            <w:tcBorders>
              <w:top w:val="nil"/>
              <w:left w:val="nil"/>
              <w:bottom w:val="nil"/>
              <w:right w:val="nil"/>
            </w:tcBorders>
          </w:tcPr>
          <w:p w14:paraId="2D432A1C" w14:textId="77777777" w:rsidR="00C24F6F" w:rsidRPr="000C2D79" w:rsidRDefault="00C24F6F" w:rsidP="002B1847">
            <w:pPr>
              <w:spacing w:after="0" w:line="240" w:lineRule="auto"/>
              <w:jc w:val="right"/>
              <w:rPr>
                <w:rFonts w:ascii="Arial Narrow" w:eastAsia="Times New Roman" w:hAnsi="Arial Narrow" w:cs="Calibri"/>
                <w:kern w:val="0"/>
                <w:sz w:val="16"/>
                <w:szCs w:val="16"/>
                <w:lang w:eastAsia="sk-SK"/>
                <w14:ligatures w14:val="none"/>
              </w:rPr>
            </w:pPr>
            <w:r w:rsidRPr="000C2D79">
              <w:rPr>
                <w:rFonts w:ascii="Arial Narrow" w:eastAsia="Times New Roman" w:hAnsi="Arial Narrow" w:cs="Calibri"/>
                <w:i/>
                <w:iCs/>
                <w:color w:val="000000"/>
                <w:kern w:val="0"/>
                <w:sz w:val="16"/>
                <w:szCs w:val="16"/>
                <w:lang w:eastAsia="sk-SK"/>
                <w14:ligatures w14:val="none"/>
              </w:rPr>
              <w:t>Zdroj: MF SR</w:t>
            </w:r>
          </w:p>
        </w:tc>
      </w:tr>
    </w:tbl>
    <w:p w14:paraId="6B66160C" w14:textId="77777777" w:rsidR="00C24F6F" w:rsidRPr="008E7F52" w:rsidRDefault="00C24F6F" w:rsidP="00C24F6F">
      <w:pPr>
        <w:pStyle w:val="ifptext"/>
        <w:rPr>
          <w:highlight w:val="yellow"/>
        </w:rPr>
      </w:pPr>
    </w:p>
    <w:tbl>
      <w:tblPr>
        <w:tblW w:w="5000" w:type="pct"/>
        <w:tblCellMar>
          <w:left w:w="70" w:type="dxa"/>
          <w:right w:w="70" w:type="dxa"/>
        </w:tblCellMar>
        <w:tblLook w:val="04A0" w:firstRow="1" w:lastRow="0" w:firstColumn="1" w:lastColumn="0" w:noHBand="0" w:noVBand="1"/>
      </w:tblPr>
      <w:tblGrid>
        <w:gridCol w:w="382"/>
        <w:gridCol w:w="1565"/>
        <w:gridCol w:w="296"/>
        <w:gridCol w:w="296"/>
        <w:gridCol w:w="2038"/>
        <w:gridCol w:w="890"/>
        <w:gridCol w:w="890"/>
        <w:gridCol w:w="890"/>
        <w:gridCol w:w="890"/>
        <w:gridCol w:w="888"/>
      </w:tblGrid>
      <w:tr w:rsidR="00C24F6F" w:rsidRPr="000C2D79" w14:paraId="5F5E2C23" w14:textId="77777777" w:rsidTr="002B1847">
        <w:trPr>
          <w:trHeight w:val="289"/>
        </w:trPr>
        <w:tc>
          <w:tcPr>
            <w:tcW w:w="2536" w:type="pct"/>
            <w:gridSpan w:val="5"/>
            <w:vMerge w:val="restart"/>
            <w:tcBorders>
              <w:top w:val="nil"/>
              <w:left w:val="nil"/>
              <w:right w:val="nil"/>
            </w:tcBorders>
            <w:shd w:val="clear" w:color="000000" w:fill="FFFFFF"/>
            <w:vAlign w:val="center"/>
            <w:hideMark/>
          </w:tcPr>
          <w:p w14:paraId="4668BD4D" w14:textId="77777777" w:rsidR="00C24F6F" w:rsidRPr="000C2D79" w:rsidRDefault="00C24F6F" w:rsidP="002B1847">
            <w:pPr>
              <w:spacing w:after="0" w:line="240" w:lineRule="auto"/>
              <w:rPr>
                <w:rFonts w:ascii="Arial Narrow" w:eastAsia="Times New Roman" w:hAnsi="Arial Narrow" w:cs="Calibri"/>
                <w:b/>
                <w:bCs/>
                <w:color w:val="2C9ADC"/>
                <w:kern w:val="0"/>
                <w:sz w:val="18"/>
                <w:szCs w:val="18"/>
                <w:lang w:eastAsia="sk-SK"/>
                <w14:ligatures w14:val="none"/>
              </w:rPr>
            </w:pPr>
            <w:r w:rsidRPr="000C2D79">
              <w:rPr>
                <w:rFonts w:ascii="Arial Narrow" w:eastAsia="Times New Roman" w:hAnsi="Arial Narrow" w:cs="Calibri"/>
                <w:b/>
                <w:bCs/>
                <w:color w:val="2C9ADC"/>
                <w:kern w:val="0"/>
                <w:sz w:val="18"/>
                <w:szCs w:val="18"/>
                <w:lang w:eastAsia="sk-SK"/>
                <w14:ligatures w14:val="none"/>
              </w:rPr>
              <w:t>TABUĽKA 3 – Externé predpoklady</w:t>
            </w:r>
          </w:p>
          <w:p w14:paraId="3B32FF07" w14:textId="77777777" w:rsidR="00C24F6F" w:rsidRPr="000C2D79" w:rsidRDefault="00C24F6F" w:rsidP="002B1847">
            <w:pPr>
              <w:spacing w:after="0" w:line="240" w:lineRule="auto"/>
              <w:rPr>
                <w:rFonts w:ascii="Arial Narrow" w:eastAsia="Times New Roman" w:hAnsi="Arial Narrow" w:cs="Calibri"/>
                <w:b/>
                <w:bCs/>
                <w:color w:val="2C9ADC"/>
                <w:kern w:val="0"/>
                <w:sz w:val="18"/>
                <w:szCs w:val="18"/>
                <w:lang w:eastAsia="sk-SK"/>
                <w14:ligatures w14:val="none"/>
              </w:rPr>
            </w:pPr>
            <w:r w:rsidRPr="000C2D79">
              <w:rPr>
                <w:rFonts w:ascii="Calibri" w:eastAsia="Times New Roman" w:hAnsi="Calibri" w:cs="Calibri"/>
                <w:color w:val="000000"/>
                <w:kern w:val="0"/>
                <w:lang w:eastAsia="sk-SK"/>
                <w14:ligatures w14:val="none"/>
              </w:rPr>
              <w:t>  </w:t>
            </w:r>
          </w:p>
        </w:tc>
        <w:tc>
          <w:tcPr>
            <w:tcW w:w="493" w:type="pct"/>
            <w:tcBorders>
              <w:top w:val="nil"/>
              <w:left w:val="nil"/>
              <w:bottom w:val="nil"/>
              <w:right w:val="nil"/>
            </w:tcBorders>
            <w:shd w:val="clear" w:color="000000" w:fill="FFFFFF"/>
            <w:vAlign w:val="center"/>
            <w:hideMark/>
          </w:tcPr>
          <w:p w14:paraId="2E6E7108"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8"/>
                <w:szCs w:val="18"/>
                <w:lang w:eastAsia="sk-SK"/>
                <w14:ligatures w14:val="none"/>
              </w:rPr>
            </w:pPr>
            <w:r w:rsidRPr="000C2D79">
              <w:rPr>
                <w:rFonts w:ascii="Arial Narrow" w:hAnsi="Arial Narrow" w:cs="Calibri"/>
                <w:b/>
                <w:bCs/>
                <w:color w:val="000000"/>
                <w:sz w:val="18"/>
                <w:szCs w:val="18"/>
              </w:rPr>
              <w:t>2023</w:t>
            </w:r>
          </w:p>
        </w:tc>
        <w:tc>
          <w:tcPr>
            <w:tcW w:w="493" w:type="pct"/>
            <w:tcBorders>
              <w:top w:val="nil"/>
              <w:left w:val="nil"/>
              <w:bottom w:val="nil"/>
              <w:right w:val="nil"/>
            </w:tcBorders>
            <w:shd w:val="clear" w:color="000000" w:fill="FFFFFF"/>
            <w:vAlign w:val="center"/>
            <w:hideMark/>
          </w:tcPr>
          <w:p w14:paraId="5DF3104E"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8"/>
                <w:szCs w:val="18"/>
                <w:lang w:eastAsia="sk-SK"/>
                <w14:ligatures w14:val="none"/>
              </w:rPr>
            </w:pPr>
            <w:r w:rsidRPr="000C2D79">
              <w:rPr>
                <w:rFonts w:ascii="Arial Narrow" w:hAnsi="Arial Narrow" w:cs="Calibri"/>
                <w:b/>
                <w:bCs/>
                <w:color w:val="000000"/>
                <w:sz w:val="18"/>
                <w:szCs w:val="18"/>
              </w:rPr>
              <w:t>2024</w:t>
            </w:r>
          </w:p>
        </w:tc>
        <w:tc>
          <w:tcPr>
            <w:tcW w:w="493" w:type="pct"/>
            <w:tcBorders>
              <w:top w:val="nil"/>
              <w:left w:val="nil"/>
              <w:bottom w:val="nil"/>
              <w:right w:val="nil"/>
            </w:tcBorders>
            <w:shd w:val="clear" w:color="000000" w:fill="FFFFFF"/>
            <w:vAlign w:val="center"/>
            <w:hideMark/>
          </w:tcPr>
          <w:p w14:paraId="50C5565A"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8"/>
                <w:szCs w:val="18"/>
                <w:lang w:eastAsia="sk-SK"/>
                <w14:ligatures w14:val="none"/>
              </w:rPr>
            </w:pPr>
            <w:r w:rsidRPr="000C2D79">
              <w:rPr>
                <w:rFonts w:ascii="Arial Narrow" w:hAnsi="Arial Narrow" w:cs="Calibri"/>
                <w:b/>
                <w:bCs/>
                <w:color w:val="000000"/>
                <w:sz w:val="18"/>
                <w:szCs w:val="18"/>
              </w:rPr>
              <w:t>2025</w:t>
            </w:r>
          </w:p>
        </w:tc>
        <w:tc>
          <w:tcPr>
            <w:tcW w:w="493" w:type="pct"/>
            <w:tcBorders>
              <w:top w:val="nil"/>
              <w:left w:val="nil"/>
              <w:bottom w:val="nil"/>
              <w:right w:val="nil"/>
            </w:tcBorders>
            <w:shd w:val="clear" w:color="000000" w:fill="FFFFFF"/>
            <w:vAlign w:val="center"/>
            <w:hideMark/>
          </w:tcPr>
          <w:p w14:paraId="3D8EA89E"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8"/>
                <w:szCs w:val="18"/>
                <w:lang w:eastAsia="sk-SK"/>
                <w14:ligatures w14:val="none"/>
              </w:rPr>
            </w:pPr>
            <w:r w:rsidRPr="000C2D79">
              <w:rPr>
                <w:rFonts w:ascii="Arial Narrow" w:hAnsi="Arial Narrow" w:cs="Calibri"/>
                <w:b/>
                <w:bCs/>
                <w:color w:val="000000"/>
                <w:sz w:val="18"/>
                <w:szCs w:val="18"/>
              </w:rPr>
              <w:t>2026</w:t>
            </w:r>
          </w:p>
        </w:tc>
        <w:tc>
          <w:tcPr>
            <w:tcW w:w="492" w:type="pct"/>
            <w:tcBorders>
              <w:top w:val="nil"/>
              <w:left w:val="nil"/>
              <w:bottom w:val="nil"/>
              <w:right w:val="nil"/>
            </w:tcBorders>
            <w:shd w:val="clear" w:color="000000" w:fill="FFFFFF"/>
            <w:vAlign w:val="center"/>
          </w:tcPr>
          <w:p w14:paraId="24E77AC9"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8"/>
                <w:szCs w:val="18"/>
                <w:lang w:eastAsia="sk-SK"/>
                <w14:ligatures w14:val="none"/>
              </w:rPr>
            </w:pPr>
            <w:r w:rsidRPr="000C2D79">
              <w:rPr>
                <w:rFonts w:ascii="Arial Narrow" w:hAnsi="Arial Narrow" w:cs="Calibri"/>
                <w:b/>
                <w:bCs/>
                <w:color w:val="000000"/>
                <w:sz w:val="18"/>
                <w:szCs w:val="18"/>
              </w:rPr>
              <w:t>2027</w:t>
            </w:r>
          </w:p>
        </w:tc>
      </w:tr>
      <w:tr w:rsidR="00C24F6F" w:rsidRPr="000C2D79" w14:paraId="38AB42FB" w14:textId="77777777" w:rsidTr="002B1847">
        <w:trPr>
          <w:trHeight w:val="289"/>
        </w:trPr>
        <w:tc>
          <w:tcPr>
            <w:tcW w:w="2536" w:type="pct"/>
            <w:gridSpan w:val="5"/>
            <w:vMerge/>
            <w:tcBorders>
              <w:left w:val="nil"/>
              <w:bottom w:val="single" w:sz="8" w:space="0" w:color="auto"/>
              <w:right w:val="nil"/>
            </w:tcBorders>
            <w:noWrap/>
            <w:vAlign w:val="bottom"/>
            <w:hideMark/>
          </w:tcPr>
          <w:p w14:paraId="3AD0209E" w14:textId="77777777" w:rsidR="00C24F6F" w:rsidRPr="000C2D79" w:rsidRDefault="00C24F6F" w:rsidP="002B1847">
            <w:pPr>
              <w:spacing w:after="0" w:line="240" w:lineRule="auto"/>
              <w:rPr>
                <w:rFonts w:ascii="Calibri" w:eastAsia="Times New Roman" w:hAnsi="Calibri" w:cs="Calibri"/>
                <w:color w:val="000000"/>
                <w:kern w:val="0"/>
                <w:lang w:eastAsia="sk-SK"/>
                <w14:ligatures w14:val="none"/>
              </w:rPr>
            </w:pPr>
          </w:p>
        </w:tc>
        <w:tc>
          <w:tcPr>
            <w:tcW w:w="493" w:type="pct"/>
            <w:tcBorders>
              <w:top w:val="nil"/>
              <w:left w:val="nil"/>
              <w:bottom w:val="single" w:sz="8" w:space="0" w:color="auto"/>
              <w:right w:val="nil"/>
            </w:tcBorders>
            <w:noWrap/>
            <w:vAlign w:val="bottom"/>
            <w:hideMark/>
          </w:tcPr>
          <w:p w14:paraId="5D80286F" w14:textId="77777777" w:rsidR="00C24F6F" w:rsidRPr="000C2D79" w:rsidRDefault="00C24F6F" w:rsidP="002B1847">
            <w:pPr>
              <w:spacing w:after="0" w:line="240" w:lineRule="auto"/>
              <w:rPr>
                <w:rFonts w:ascii="Calibri" w:eastAsia="Times New Roman" w:hAnsi="Calibri" w:cs="Calibri"/>
                <w:color w:val="000000"/>
                <w:kern w:val="0"/>
                <w:lang w:eastAsia="sk-SK"/>
                <w14:ligatures w14:val="none"/>
              </w:rPr>
            </w:pPr>
            <w:r w:rsidRPr="000C2D79">
              <w:rPr>
                <w:rFonts w:ascii="Calibri" w:eastAsia="Times New Roman" w:hAnsi="Calibri" w:cs="Calibri"/>
                <w:color w:val="000000"/>
                <w:kern w:val="0"/>
                <w:lang w:eastAsia="sk-SK"/>
                <w14:ligatures w14:val="none"/>
              </w:rPr>
              <w:t> </w:t>
            </w:r>
          </w:p>
        </w:tc>
        <w:tc>
          <w:tcPr>
            <w:tcW w:w="493" w:type="pct"/>
            <w:tcBorders>
              <w:top w:val="nil"/>
              <w:left w:val="nil"/>
              <w:bottom w:val="single" w:sz="8" w:space="0" w:color="auto"/>
              <w:right w:val="nil"/>
            </w:tcBorders>
            <w:noWrap/>
            <w:vAlign w:val="bottom"/>
            <w:hideMark/>
          </w:tcPr>
          <w:p w14:paraId="189C1EC4" w14:textId="77777777" w:rsidR="00C24F6F" w:rsidRPr="000C2D79" w:rsidRDefault="00C24F6F" w:rsidP="002B1847">
            <w:pPr>
              <w:spacing w:after="0" w:line="240" w:lineRule="auto"/>
              <w:rPr>
                <w:rFonts w:ascii="Calibri" w:eastAsia="Times New Roman" w:hAnsi="Calibri" w:cs="Calibri"/>
                <w:color w:val="000000"/>
                <w:kern w:val="0"/>
                <w:lang w:eastAsia="sk-SK"/>
                <w14:ligatures w14:val="none"/>
              </w:rPr>
            </w:pPr>
            <w:r w:rsidRPr="000C2D79">
              <w:rPr>
                <w:rFonts w:ascii="Calibri" w:eastAsia="Times New Roman" w:hAnsi="Calibri" w:cs="Calibri"/>
                <w:color w:val="000000"/>
                <w:kern w:val="0"/>
                <w:lang w:eastAsia="sk-SK"/>
                <w14:ligatures w14:val="none"/>
              </w:rPr>
              <w:t> </w:t>
            </w:r>
          </w:p>
        </w:tc>
        <w:tc>
          <w:tcPr>
            <w:tcW w:w="493" w:type="pct"/>
            <w:tcBorders>
              <w:top w:val="nil"/>
              <w:left w:val="nil"/>
              <w:bottom w:val="single" w:sz="8" w:space="0" w:color="auto"/>
              <w:right w:val="nil"/>
            </w:tcBorders>
            <w:noWrap/>
            <w:vAlign w:val="bottom"/>
            <w:hideMark/>
          </w:tcPr>
          <w:p w14:paraId="38550305" w14:textId="77777777" w:rsidR="00C24F6F" w:rsidRPr="000C2D79" w:rsidRDefault="00C24F6F" w:rsidP="002B1847">
            <w:pPr>
              <w:spacing w:after="0" w:line="240" w:lineRule="auto"/>
              <w:rPr>
                <w:rFonts w:ascii="Calibri" w:eastAsia="Times New Roman" w:hAnsi="Calibri" w:cs="Calibri"/>
                <w:color w:val="000000"/>
                <w:kern w:val="0"/>
                <w:lang w:eastAsia="sk-SK"/>
                <w14:ligatures w14:val="none"/>
              </w:rPr>
            </w:pPr>
            <w:r w:rsidRPr="000C2D79">
              <w:rPr>
                <w:rFonts w:ascii="Calibri" w:eastAsia="Times New Roman" w:hAnsi="Calibri" w:cs="Calibri"/>
                <w:color w:val="000000"/>
                <w:kern w:val="0"/>
                <w:lang w:eastAsia="sk-SK"/>
                <w14:ligatures w14:val="none"/>
              </w:rPr>
              <w:t> </w:t>
            </w:r>
          </w:p>
        </w:tc>
        <w:tc>
          <w:tcPr>
            <w:tcW w:w="493" w:type="pct"/>
            <w:tcBorders>
              <w:top w:val="nil"/>
              <w:left w:val="nil"/>
              <w:bottom w:val="single" w:sz="8" w:space="0" w:color="auto"/>
              <w:right w:val="nil"/>
            </w:tcBorders>
            <w:noWrap/>
            <w:vAlign w:val="bottom"/>
            <w:hideMark/>
          </w:tcPr>
          <w:p w14:paraId="3061AB09" w14:textId="77777777" w:rsidR="00C24F6F" w:rsidRPr="000C2D79" w:rsidRDefault="00C24F6F" w:rsidP="002B1847">
            <w:pPr>
              <w:spacing w:after="0" w:line="240" w:lineRule="auto"/>
              <w:rPr>
                <w:rFonts w:ascii="Calibri" w:eastAsia="Times New Roman" w:hAnsi="Calibri" w:cs="Calibri"/>
                <w:color w:val="000000"/>
                <w:kern w:val="0"/>
                <w:lang w:eastAsia="sk-SK"/>
                <w14:ligatures w14:val="none"/>
              </w:rPr>
            </w:pPr>
            <w:r w:rsidRPr="000C2D79">
              <w:rPr>
                <w:rFonts w:ascii="Calibri" w:eastAsia="Times New Roman" w:hAnsi="Calibri" w:cs="Calibri"/>
                <w:color w:val="000000"/>
                <w:kern w:val="0"/>
                <w:lang w:eastAsia="sk-SK"/>
                <w14:ligatures w14:val="none"/>
              </w:rPr>
              <w:t> </w:t>
            </w:r>
          </w:p>
        </w:tc>
        <w:tc>
          <w:tcPr>
            <w:tcW w:w="492" w:type="pct"/>
            <w:tcBorders>
              <w:top w:val="nil"/>
              <w:left w:val="nil"/>
              <w:bottom w:val="single" w:sz="8" w:space="0" w:color="auto"/>
              <w:right w:val="nil"/>
            </w:tcBorders>
          </w:tcPr>
          <w:p w14:paraId="2DEB5867" w14:textId="77777777" w:rsidR="00C24F6F" w:rsidRPr="000C2D79" w:rsidRDefault="00C24F6F" w:rsidP="002B1847">
            <w:pPr>
              <w:spacing w:after="0" w:line="240" w:lineRule="auto"/>
              <w:rPr>
                <w:rFonts w:ascii="Calibri" w:eastAsia="Times New Roman" w:hAnsi="Calibri" w:cs="Calibri"/>
                <w:color w:val="000000"/>
                <w:kern w:val="0"/>
                <w:lang w:eastAsia="sk-SK"/>
                <w14:ligatures w14:val="none"/>
              </w:rPr>
            </w:pPr>
          </w:p>
        </w:tc>
      </w:tr>
      <w:tr w:rsidR="00C24F6F" w:rsidRPr="000C2D79" w14:paraId="6F192448" w14:textId="77777777" w:rsidTr="002B1847">
        <w:trPr>
          <w:trHeight w:val="289"/>
        </w:trPr>
        <w:tc>
          <w:tcPr>
            <w:tcW w:w="212" w:type="pct"/>
            <w:tcBorders>
              <w:top w:val="nil"/>
              <w:left w:val="nil"/>
              <w:bottom w:val="nil"/>
              <w:right w:val="nil"/>
            </w:tcBorders>
            <w:shd w:val="clear" w:color="000000" w:fill="DDEBF7"/>
            <w:vAlign w:val="center"/>
            <w:hideMark/>
          </w:tcPr>
          <w:p w14:paraId="1D356FAD"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1</w:t>
            </w:r>
          </w:p>
        </w:tc>
        <w:tc>
          <w:tcPr>
            <w:tcW w:w="2324" w:type="pct"/>
            <w:gridSpan w:val="4"/>
            <w:tcBorders>
              <w:top w:val="nil"/>
              <w:left w:val="nil"/>
              <w:bottom w:val="nil"/>
              <w:right w:val="nil"/>
            </w:tcBorders>
            <w:shd w:val="clear" w:color="000000" w:fill="DDEBF7"/>
            <w:vAlign w:val="center"/>
            <w:hideMark/>
          </w:tcPr>
          <w:p w14:paraId="260A072E"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Krátkodobá úroková miera (%, ročný priemer)</w:t>
            </w:r>
          </w:p>
        </w:tc>
        <w:tc>
          <w:tcPr>
            <w:tcW w:w="493" w:type="pct"/>
            <w:tcBorders>
              <w:top w:val="nil"/>
              <w:left w:val="nil"/>
              <w:bottom w:val="nil"/>
              <w:right w:val="nil"/>
            </w:tcBorders>
            <w:shd w:val="clear" w:color="000000" w:fill="DDEBF7"/>
            <w:vAlign w:val="center"/>
            <w:hideMark/>
          </w:tcPr>
          <w:p w14:paraId="69C2468D" w14:textId="5DEE1DBA"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900212">
              <w:rPr>
                <w:rFonts w:ascii="Arial Narrow" w:hAnsi="Arial Narrow" w:cs="Calibri"/>
                <w:sz w:val="16"/>
                <w:szCs w:val="16"/>
              </w:rPr>
              <w:t>,</w:t>
            </w:r>
            <w:r>
              <w:rPr>
                <w:rFonts w:ascii="Arial Narrow" w:hAnsi="Arial Narrow" w:cs="Calibri"/>
                <w:sz w:val="16"/>
                <w:szCs w:val="16"/>
              </w:rPr>
              <w:t>4</w:t>
            </w:r>
          </w:p>
        </w:tc>
        <w:tc>
          <w:tcPr>
            <w:tcW w:w="493" w:type="pct"/>
            <w:tcBorders>
              <w:top w:val="nil"/>
              <w:left w:val="nil"/>
              <w:bottom w:val="nil"/>
              <w:right w:val="nil"/>
            </w:tcBorders>
            <w:shd w:val="clear" w:color="000000" w:fill="DDEBF7"/>
            <w:vAlign w:val="center"/>
            <w:hideMark/>
          </w:tcPr>
          <w:p w14:paraId="5D197D11" w14:textId="4079CE0D"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900212">
              <w:rPr>
                <w:rFonts w:ascii="Arial Narrow" w:hAnsi="Arial Narrow" w:cs="Calibri"/>
                <w:sz w:val="16"/>
                <w:szCs w:val="16"/>
              </w:rPr>
              <w:t>,</w:t>
            </w:r>
            <w:r>
              <w:rPr>
                <w:rFonts w:ascii="Arial Narrow" w:hAnsi="Arial Narrow" w:cs="Calibri"/>
                <w:sz w:val="16"/>
                <w:szCs w:val="16"/>
              </w:rPr>
              <w:t>6</w:t>
            </w:r>
          </w:p>
        </w:tc>
        <w:tc>
          <w:tcPr>
            <w:tcW w:w="493" w:type="pct"/>
            <w:tcBorders>
              <w:top w:val="nil"/>
              <w:left w:val="nil"/>
              <w:bottom w:val="nil"/>
              <w:right w:val="nil"/>
            </w:tcBorders>
            <w:shd w:val="clear" w:color="000000" w:fill="DDEBF7"/>
            <w:vAlign w:val="center"/>
            <w:hideMark/>
          </w:tcPr>
          <w:p w14:paraId="35DFD9F5" w14:textId="3498D8A1"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2</w:t>
            </w:r>
            <w:r w:rsidR="00900212">
              <w:rPr>
                <w:rFonts w:ascii="Arial Narrow" w:hAnsi="Arial Narrow" w:cs="Calibri"/>
                <w:sz w:val="16"/>
                <w:szCs w:val="16"/>
              </w:rPr>
              <w:t>,</w:t>
            </w:r>
            <w:r>
              <w:rPr>
                <w:rFonts w:ascii="Arial Narrow" w:hAnsi="Arial Narrow" w:cs="Calibri"/>
                <w:sz w:val="16"/>
                <w:szCs w:val="16"/>
              </w:rPr>
              <w:t>3</w:t>
            </w:r>
          </w:p>
        </w:tc>
        <w:tc>
          <w:tcPr>
            <w:tcW w:w="493" w:type="pct"/>
            <w:tcBorders>
              <w:top w:val="nil"/>
              <w:left w:val="nil"/>
              <w:bottom w:val="nil"/>
              <w:right w:val="nil"/>
            </w:tcBorders>
            <w:shd w:val="clear" w:color="000000" w:fill="DDEBF7"/>
            <w:vAlign w:val="center"/>
            <w:hideMark/>
          </w:tcPr>
          <w:p w14:paraId="67B94B3E" w14:textId="318C8221"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8</w:t>
            </w:r>
          </w:p>
        </w:tc>
        <w:tc>
          <w:tcPr>
            <w:tcW w:w="492" w:type="pct"/>
            <w:tcBorders>
              <w:top w:val="nil"/>
              <w:left w:val="nil"/>
              <w:bottom w:val="nil"/>
              <w:right w:val="nil"/>
            </w:tcBorders>
            <w:shd w:val="clear" w:color="000000" w:fill="DDEBF7"/>
            <w:vAlign w:val="center"/>
          </w:tcPr>
          <w:p w14:paraId="4A886F0D" w14:textId="28FA1ACF"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8</w:t>
            </w:r>
          </w:p>
        </w:tc>
      </w:tr>
      <w:tr w:rsidR="00C24F6F" w:rsidRPr="000C2D79" w14:paraId="627A8268" w14:textId="77777777" w:rsidTr="002B1847">
        <w:trPr>
          <w:trHeight w:val="289"/>
        </w:trPr>
        <w:tc>
          <w:tcPr>
            <w:tcW w:w="212" w:type="pct"/>
            <w:tcBorders>
              <w:top w:val="nil"/>
              <w:left w:val="nil"/>
              <w:bottom w:val="nil"/>
              <w:right w:val="nil"/>
            </w:tcBorders>
            <w:shd w:val="clear" w:color="000000" w:fill="DDEBF7"/>
            <w:vAlign w:val="center"/>
            <w:hideMark/>
          </w:tcPr>
          <w:p w14:paraId="3291C0D7"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2</w:t>
            </w:r>
          </w:p>
        </w:tc>
        <w:tc>
          <w:tcPr>
            <w:tcW w:w="2324" w:type="pct"/>
            <w:gridSpan w:val="4"/>
            <w:tcBorders>
              <w:top w:val="nil"/>
              <w:left w:val="nil"/>
              <w:bottom w:val="nil"/>
              <w:right w:val="nil"/>
            </w:tcBorders>
            <w:shd w:val="clear" w:color="000000" w:fill="DDEBF7"/>
            <w:vAlign w:val="center"/>
            <w:hideMark/>
          </w:tcPr>
          <w:p w14:paraId="1C9FB420"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Dlhodobá úroková miera (%, ročný priemer)</w:t>
            </w:r>
          </w:p>
        </w:tc>
        <w:tc>
          <w:tcPr>
            <w:tcW w:w="493" w:type="pct"/>
            <w:tcBorders>
              <w:top w:val="nil"/>
              <w:left w:val="nil"/>
              <w:bottom w:val="nil"/>
              <w:right w:val="nil"/>
            </w:tcBorders>
            <w:shd w:val="clear" w:color="000000" w:fill="DDEBF7"/>
            <w:vAlign w:val="center"/>
            <w:hideMark/>
          </w:tcPr>
          <w:p w14:paraId="35CDF60F" w14:textId="36BAD9C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900212">
              <w:rPr>
                <w:rFonts w:ascii="Arial Narrow" w:hAnsi="Arial Narrow" w:cs="Calibri"/>
                <w:sz w:val="16"/>
                <w:szCs w:val="16"/>
              </w:rPr>
              <w:t>,</w:t>
            </w:r>
            <w:r>
              <w:rPr>
                <w:rFonts w:ascii="Arial Narrow" w:hAnsi="Arial Narrow" w:cs="Calibri"/>
                <w:sz w:val="16"/>
                <w:szCs w:val="16"/>
              </w:rPr>
              <w:t>7</w:t>
            </w:r>
          </w:p>
        </w:tc>
        <w:tc>
          <w:tcPr>
            <w:tcW w:w="493" w:type="pct"/>
            <w:tcBorders>
              <w:top w:val="nil"/>
              <w:left w:val="nil"/>
              <w:bottom w:val="nil"/>
              <w:right w:val="nil"/>
            </w:tcBorders>
            <w:shd w:val="clear" w:color="000000" w:fill="DDEBF7"/>
            <w:vAlign w:val="center"/>
            <w:hideMark/>
          </w:tcPr>
          <w:p w14:paraId="39656D66" w14:textId="7B9C96E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900212">
              <w:rPr>
                <w:rFonts w:ascii="Arial Narrow" w:hAnsi="Arial Narrow" w:cs="Calibri"/>
                <w:sz w:val="16"/>
                <w:szCs w:val="16"/>
              </w:rPr>
              <w:t>,</w:t>
            </w:r>
            <w:r>
              <w:rPr>
                <w:rFonts w:ascii="Arial Narrow" w:hAnsi="Arial Narrow" w:cs="Calibri"/>
                <w:sz w:val="16"/>
                <w:szCs w:val="16"/>
              </w:rPr>
              <w:t>5</w:t>
            </w:r>
          </w:p>
        </w:tc>
        <w:tc>
          <w:tcPr>
            <w:tcW w:w="493" w:type="pct"/>
            <w:tcBorders>
              <w:top w:val="nil"/>
              <w:left w:val="nil"/>
              <w:bottom w:val="nil"/>
              <w:right w:val="nil"/>
            </w:tcBorders>
            <w:shd w:val="clear" w:color="000000" w:fill="DDEBF7"/>
            <w:vAlign w:val="center"/>
            <w:hideMark/>
          </w:tcPr>
          <w:p w14:paraId="0322B4A1" w14:textId="1679DD16"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900212">
              <w:rPr>
                <w:rFonts w:ascii="Arial Narrow" w:hAnsi="Arial Narrow" w:cs="Calibri"/>
                <w:sz w:val="16"/>
                <w:szCs w:val="16"/>
              </w:rPr>
              <w:t>,</w:t>
            </w:r>
            <w:r>
              <w:rPr>
                <w:rFonts w:ascii="Arial Narrow" w:hAnsi="Arial Narrow" w:cs="Calibri"/>
                <w:sz w:val="16"/>
                <w:szCs w:val="16"/>
              </w:rPr>
              <w:t>4</w:t>
            </w:r>
          </w:p>
        </w:tc>
        <w:tc>
          <w:tcPr>
            <w:tcW w:w="493" w:type="pct"/>
            <w:tcBorders>
              <w:top w:val="nil"/>
              <w:left w:val="nil"/>
              <w:bottom w:val="nil"/>
              <w:right w:val="nil"/>
            </w:tcBorders>
            <w:shd w:val="clear" w:color="000000" w:fill="DDEBF7"/>
            <w:vAlign w:val="center"/>
            <w:hideMark/>
          </w:tcPr>
          <w:p w14:paraId="65783E68" w14:textId="69330C11"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900212">
              <w:rPr>
                <w:rFonts w:ascii="Arial Narrow" w:hAnsi="Arial Narrow" w:cs="Calibri"/>
                <w:sz w:val="16"/>
                <w:szCs w:val="16"/>
              </w:rPr>
              <w:t>,</w:t>
            </w:r>
            <w:r>
              <w:rPr>
                <w:rFonts w:ascii="Arial Narrow" w:hAnsi="Arial Narrow" w:cs="Calibri"/>
                <w:sz w:val="16"/>
                <w:szCs w:val="16"/>
              </w:rPr>
              <w:t>3</w:t>
            </w:r>
          </w:p>
        </w:tc>
        <w:tc>
          <w:tcPr>
            <w:tcW w:w="492" w:type="pct"/>
            <w:tcBorders>
              <w:top w:val="nil"/>
              <w:left w:val="nil"/>
              <w:bottom w:val="nil"/>
              <w:right w:val="nil"/>
            </w:tcBorders>
            <w:shd w:val="clear" w:color="000000" w:fill="DDEBF7"/>
            <w:vAlign w:val="center"/>
          </w:tcPr>
          <w:p w14:paraId="50FF0548" w14:textId="79DE956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3</w:t>
            </w:r>
            <w:r w:rsidR="00900212">
              <w:rPr>
                <w:rFonts w:ascii="Arial Narrow" w:hAnsi="Arial Narrow" w:cs="Calibri"/>
                <w:sz w:val="16"/>
                <w:szCs w:val="16"/>
              </w:rPr>
              <w:t>,</w:t>
            </w:r>
            <w:r>
              <w:rPr>
                <w:rFonts w:ascii="Arial Narrow" w:hAnsi="Arial Narrow" w:cs="Calibri"/>
                <w:sz w:val="16"/>
                <w:szCs w:val="16"/>
              </w:rPr>
              <w:t>3</w:t>
            </w:r>
          </w:p>
        </w:tc>
      </w:tr>
      <w:tr w:rsidR="00C24F6F" w:rsidRPr="000C2D79" w14:paraId="298ED9C2" w14:textId="77777777" w:rsidTr="002B1847">
        <w:trPr>
          <w:trHeight w:val="289"/>
        </w:trPr>
        <w:tc>
          <w:tcPr>
            <w:tcW w:w="212" w:type="pct"/>
            <w:tcBorders>
              <w:top w:val="nil"/>
              <w:left w:val="nil"/>
              <w:bottom w:val="nil"/>
              <w:right w:val="nil"/>
            </w:tcBorders>
            <w:shd w:val="clear" w:color="000000" w:fill="DDEBF7"/>
            <w:vAlign w:val="center"/>
            <w:hideMark/>
          </w:tcPr>
          <w:p w14:paraId="10E9B52A"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3</w:t>
            </w:r>
          </w:p>
        </w:tc>
        <w:tc>
          <w:tcPr>
            <w:tcW w:w="2324" w:type="pct"/>
            <w:gridSpan w:val="4"/>
            <w:tcBorders>
              <w:top w:val="nil"/>
              <w:left w:val="nil"/>
              <w:bottom w:val="nil"/>
              <w:right w:val="nil"/>
            </w:tcBorders>
            <w:shd w:val="clear" w:color="000000" w:fill="DDEBF7"/>
            <w:vAlign w:val="center"/>
            <w:hideMark/>
          </w:tcPr>
          <w:p w14:paraId="70D7B684"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Výmenný kurz USD/EUR (ročný priemer)</w:t>
            </w:r>
          </w:p>
        </w:tc>
        <w:tc>
          <w:tcPr>
            <w:tcW w:w="493" w:type="pct"/>
            <w:tcBorders>
              <w:top w:val="nil"/>
              <w:left w:val="nil"/>
              <w:bottom w:val="nil"/>
              <w:right w:val="nil"/>
            </w:tcBorders>
            <w:shd w:val="clear" w:color="000000" w:fill="DDEBF7"/>
            <w:vAlign w:val="center"/>
            <w:hideMark/>
          </w:tcPr>
          <w:p w14:paraId="1E81D0E1" w14:textId="1F8E17D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1</w:t>
            </w:r>
          </w:p>
        </w:tc>
        <w:tc>
          <w:tcPr>
            <w:tcW w:w="493" w:type="pct"/>
            <w:tcBorders>
              <w:top w:val="nil"/>
              <w:left w:val="nil"/>
              <w:bottom w:val="nil"/>
              <w:right w:val="nil"/>
            </w:tcBorders>
            <w:shd w:val="clear" w:color="000000" w:fill="DDEBF7"/>
            <w:vAlign w:val="center"/>
            <w:hideMark/>
          </w:tcPr>
          <w:p w14:paraId="75370301" w14:textId="1D037FB9"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0</w:t>
            </w:r>
          </w:p>
        </w:tc>
        <w:tc>
          <w:tcPr>
            <w:tcW w:w="493" w:type="pct"/>
            <w:tcBorders>
              <w:top w:val="nil"/>
              <w:left w:val="nil"/>
              <w:bottom w:val="nil"/>
              <w:right w:val="nil"/>
            </w:tcBorders>
            <w:shd w:val="clear" w:color="000000" w:fill="DDEBF7"/>
            <w:vAlign w:val="center"/>
            <w:hideMark/>
          </w:tcPr>
          <w:p w14:paraId="5A7B3133" w14:textId="50BF93D8"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1</w:t>
            </w:r>
          </w:p>
        </w:tc>
        <w:tc>
          <w:tcPr>
            <w:tcW w:w="493" w:type="pct"/>
            <w:tcBorders>
              <w:top w:val="nil"/>
              <w:left w:val="nil"/>
              <w:bottom w:val="nil"/>
              <w:right w:val="nil"/>
            </w:tcBorders>
            <w:shd w:val="clear" w:color="000000" w:fill="DDEBF7"/>
            <w:vAlign w:val="center"/>
            <w:hideMark/>
          </w:tcPr>
          <w:p w14:paraId="431B6AD6" w14:textId="32AAD82D"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1</w:t>
            </w:r>
          </w:p>
        </w:tc>
        <w:tc>
          <w:tcPr>
            <w:tcW w:w="492" w:type="pct"/>
            <w:tcBorders>
              <w:top w:val="nil"/>
              <w:left w:val="nil"/>
              <w:bottom w:val="nil"/>
              <w:right w:val="nil"/>
            </w:tcBorders>
            <w:shd w:val="clear" w:color="000000" w:fill="DDEBF7"/>
            <w:vAlign w:val="center"/>
          </w:tcPr>
          <w:p w14:paraId="0DDE7082" w14:textId="57F9C0A6"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1</w:t>
            </w:r>
            <w:r w:rsidR="00900212">
              <w:rPr>
                <w:rFonts w:ascii="Arial Narrow" w:hAnsi="Arial Narrow" w:cs="Calibri"/>
                <w:sz w:val="16"/>
                <w:szCs w:val="16"/>
              </w:rPr>
              <w:t>,</w:t>
            </w:r>
            <w:r>
              <w:rPr>
                <w:rFonts w:ascii="Arial Narrow" w:hAnsi="Arial Narrow" w:cs="Calibri"/>
                <w:sz w:val="16"/>
                <w:szCs w:val="16"/>
              </w:rPr>
              <w:t>1</w:t>
            </w:r>
          </w:p>
        </w:tc>
      </w:tr>
      <w:tr w:rsidR="00C24F6F" w:rsidRPr="000C2D79" w14:paraId="0D6D74F9" w14:textId="77777777" w:rsidTr="002B1847">
        <w:trPr>
          <w:trHeight w:val="289"/>
        </w:trPr>
        <w:tc>
          <w:tcPr>
            <w:tcW w:w="212" w:type="pct"/>
            <w:tcBorders>
              <w:top w:val="nil"/>
              <w:left w:val="nil"/>
              <w:bottom w:val="nil"/>
              <w:right w:val="nil"/>
            </w:tcBorders>
            <w:shd w:val="clear" w:color="000000" w:fill="DDEBF7"/>
            <w:vAlign w:val="center"/>
            <w:hideMark/>
          </w:tcPr>
          <w:p w14:paraId="6844B999"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4</w:t>
            </w:r>
          </w:p>
        </w:tc>
        <w:tc>
          <w:tcPr>
            <w:tcW w:w="2324" w:type="pct"/>
            <w:gridSpan w:val="4"/>
            <w:tcBorders>
              <w:top w:val="nil"/>
              <w:left w:val="nil"/>
              <w:bottom w:val="nil"/>
              <w:right w:val="nil"/>
            </w:tcBorders>
            <w:shd w:val="clear" w:color="000000" w:fill="DDEBF7"/>
            <w:vAlign w:val="center"/>
            <w:hideMark/>
          </w:tcPr>
          <w:p w14:paraId="2F90FF6B"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Výmenný kurz NAC/EUR (iba nečlenovia eurozóny)</w:t>
            </w:r>
          </w:p>
        </w:tc>
        <w:tc>
          <w:tcPr>
            <w:tcW w:w="493" w:type="pct"/>
            <w:tcBorders>
              <w:top w:val="nil"/>
              <w:left w:val="nil"/>
              <w:bottom w:val="nil"/>
              <w:right w:val="nil"/>
            </w:tcBorders>
            <w:shd w:val="clear" w:color="000000" w:fill="DDEBF7"/>
            <w:vAlign w:val="center"/>
            <w:hideMark/>
          </w:tcPr>
          <w:p w14:paraId="68A387BB" w14:textId="77777777" w:rsidR="00C24F6F" w:rsidRPr="000C2D79" w:rsidRDefault="00C24F6F" w:rsidP="002B1847">
            <w:pPr>
              <w:spacing w:after="0" w:line="240" w:lineRule="auto"/>
              <w:jc w:val="center"/>
              <w:rPr>
                <w:rFonts w:ascii="Arial Narrow" w:eastAsia="Times New Roman" w:hAnsi="Arial Narrow" w:cs="Calibri"/>
                <w:kern w:val="0"/>
                <w:lang w:eastAsia="sk-SK"/>
                <w14:ligatures w14:val="none"/>
              </w:rPr>
            </w:pPr>
            <w:r>
              <w:rPr>
                <w:rFonts w:ascii="Arial Narrow" w:hAnsi="Arial Narrow" w:cs="Calibri"/>
                <w:sz w:val="16"/>
                <w:szCs w:val="16"/>
              </w:rPr>
              <w:t>n.a.</w:t>
            </w:r>
          </w:p>
        </w:tc>
        <w:tc>
          <w:tcPr>
            <w:tcW w:w="493" w:type="pct"/>
            <w:tcBorders>
              <w:top w:val="nil"/>
              <w:left w:val="nil"/>
              <w:bottom w:val="nil"/>
              <w:right w:val="nil"/>
            </w:tcBorders>
            <w:shd w:val="clear" w:color="000000" w:fill="DDEBF7"/>
            <w:vAlign w:val="center"/>
            <w:hideMark/>
          </w:tcPr>
          <w:p w14:paraId="649B054C" w14:textId="77777777" w:rsidR="00C24F6F" w:rsidRPr="000C2D79" w:rsidRDefault="00C24F6F" w:rsidP="002B1847">
            <w:pPr>
              <w:spacing w:after="0" w:line="240" w:lineRule="auto"/>
              <w:jc w:val="center"/>
              <w:rPr>
                <w:rFonts w:ascii="Arial Narrow" w:eastAsia="Times New Roman" w:hAnsi="Arial Narrow" w:cs="Calibri"/>
                <w:kern w:val="0"/>
                <w:lang w:eastAsia="sk-SK"/>
                <w14:ligatures w14:val="none"/>
              </w:rPr>
            </w:pPr>
            <w:r>
              <w:rPr>
                <w:rFonts w:ascii="Arial Narrow" w:hAnsi="Arial Narrow" w:cs="Calibri"/>
                <w:sz w:val="16"/>
                <w:szCs w:val="16"/>
              </w:rPr>
              <w:t>n.a.</w:t>
            </w:r>
          </w:p>
        </w:tc>
        <w:tc>
          <w:tcPr>
            <w:tcW w:w="493" w:type="pct"/>
            <w:tcBorders>
              <w:top w:val="nil"/>
              <w:left w:val="nil"/>
              <w:bottom w:val="nil"/>
              <w:right w:val="nil"/>
            </w:tcBorders>
            <w:shd w:val="clear" w:color="000000" w:fill="DDEBF7"/>
            <w:vAlign w:val="center"/>
            <w:hideMark/>
          </w:tcPr>
          <w:p w14:paraId="2A2711D2" w14:textId="77777777" w:rsidR="00C24F6F" w:rsidRPr="000C2D79" w:rsidRDefault="00C24F6F" w:rsidP="002B1847">
            <w:pPr>
              <w:spacing w:after="0" w:line="240" w:lineRule="auto"/>
              <w:jc w:val="center"/>
              <w:rPr>
                <w:rFonts w:ascii="Arial Narrow" w:eastAsia="Times New Roman" w:hAnsi="Arial Narrow" w:cs="Calibri"/>
                <w:kern w:val="0"/>
                <w:lang w:eastAsia="sk-SK"/>
                <w14:ligatures w14:val="none"/>
              </w:rPr>
            </w:pPr>
            <w:r>
              <w:rPr>
                <w:rFonts w:ascii="Arial Narrow" w:hAnsi="Arial Narrow" w:cs="Calibri"/>
                <w:sz w:val="16"/>
                <w:szCs w:val="16"/>
              </w:rPr>
              <w:t>n.a.</w:t>
            </w:r>
          </w:p>
        </w:tc>
        <w:tc>
          <w:tcPr>
            <w:tcW w:w="493" w:type="pct"/>
            <w:tcBorders>
              <w:top w:val="nil"/>
              <w:left w:val="nil"/>
              <w:bottom w:val="nil"/>
              <w:right w:val="nil"/>
            </w:tcBorders>
            <w:shd w:val="clear" w:color="000000" w:fill="DDEBF7"/>
            <w:vAlign w:val="center"/>
            <w:hideMark/>
          </w:tcPr>
          <w:p w14:paraId="37E37DA1" w14:textId="77777777" w:rsidR="00C24F6F" w:rsidRPr="000C2D79" w:rsidRDefault="00C24F6F" w:rsidP="002B1847">
            <w:pPr>
              <w:spacing w:after="0" w:line="240" w:lineRule="auto"/>
              <w:jc w:val="center"/>
              <w:rPr>
                <w:rFonts w:ascii="Arial Narrow" w:eastAsia="Times New Roman" w:hAnsi="Arial Narrow" w:cs="Calibri"/>
                <w:kern w:val="0"/>
                <w:lang w:eastAsia="sk-SK"/>
                <w14:ligatures w14:val="none"/>
              </w:rPr>
            </w:pPr>
            <w:r>
              <w:rPr>
                <w:rFonts w:ascii="Arial Narrow" w:hAnsi="Arial Narrow" w:cs="Calibri"/>
                <w:sz w:val="16"/>
                <w:szCs w:val="16"/>
              </w:rPr>
              <w:t>n.a.</w:t>
            </w:r>
          </w:p>
        </w:tc>
        <w:tc>
          <w:tcPr>
            <w:tcW w:w="492" w:type="pct"/>
            <w:tcBorders>
              <w:top w:val="nil"/>
              <w:left w:val="nil"/>
              <w:bottom w:val="nil"/>
              <w:right w:val="nil"/>
            </w:tcBorders>
            <w:shd w:val="clear" w:color="000000" w:fill="DDEBF7"/>
            <w:vAlign w:val="center"/>
          </w:tcPr>
          <w:p w14:paraId="2D576940" w14:textId="77777777" w:rsidR="00C24F6F" w:rsidRPr="000C2D79" w:rsidRDefault="00C24F6F" w:rsidP="002B1847">
            <w:pPr>
              <w:spacing w:after="0" w:line="240" w:lineRule="auto"/>
              <w:jc w:val="center"/>
              <w:rPr>
                <w:rFonts w:ascii="Arial Narrow" w:eastAsia="Times New Roman" w:hAnsi="Arial Narrow" w:cs="Calibri"/>
                <w:kern w:val="0"/>
                <w:lang w:eastAsia="sk-SK"/>
                <w14:ligatures w14:val="none"/>
              </w:rPr>
            </w:pPr>
            <w:r>
              <w:rPr>
                <w:rFonts w:ascii="Arial Narrow" w:hAnsi="Arial Narrow" w:cs="Calibri"/>
                <w:sz w:val="16"/>
                <w:szCs w:val="16"/>
              </w:rPr>
              <w:t>n.a.</w:t>
            </w:r>
          </w:p>
        </w:tc>
      </w:tr>
      <w:tr w:rsidR="00C24F6F" w:rsidRPr="000C2D79" w14:paraId="3D33CE40" w14:textId="77777777" w:rsidTr="002B1847">
        <w:trPr>
          <w:trHeight w:val="289"/>
        </w:trPr>
        <w:tc>
          <w:tcPr>
            <w:tcW w:w="212" w:type="pct"/>
            <w:tcBorders>
              <w:top w:val="nil"/>
              <w:left w:val="nil"/>
              <w:bottom w:val="nil"/>
              <w:right w:val="nil"/>
            </w:tcBorders>
            <w:shd w:val="clear" w:color="000000" w:fill="DDEBF7"/>
            <w:vAlign w:val="center"/>
            <w:hideMark/>
          </w:tcPr>
          <w:p w14:paraId="3B2D3B31"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5</w:t>
            </w:r>
          </w:p>
        </w:tc>
        <w:tc>
          <w:tcPr>
            <w:tcW w:w="2324" w:type="pct"/>
            <w:gridSpan w:val="4"/>
            <w:tcBorders>
              <w:top w:val="nil"/>
              <w:left w:val="nil"/>
              <w:bottom w:val="nil"/>
              <w:right w:val="nil"/>
            </w:tcBorders>
            <w:shd w:val="clear" w:color="000000" w:fill="DDEBF7"/>
            <w:vAlign w:val="center"/>
            <w:hideMark/>
          </w:tcPr>
          <w:p w14:paraId="51448C42"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Reálny rast svetovej ekonomiky, mimo EÚ (rast)</w:t>
            </w:r>
          </w:p>
        </w:tc>
        <w:tc>
          <w:tcPr>
            <w:tcW w:w="493" w:type="pct"/>
            <w:tcBorders>
              <w:top w:val="nil"/>
              <w:left w:val="nil"/>
              <w:bottom w:val="nil"/>
              <w:right w:val="nil"/>
            </w:tcBorders>
            <w:shd w:val="clear" w:color="000000" w:fill="DDEBF7"/>
            <w:vAlign w:val="center"/>
            <w:hideMark/>
          </w:tcPr>
          <w:p w14:paraId="4DC5A86D"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n.a.</w:t>
            </w:r>
          </w:p>
        </w:tc>
        <w:tc>
          <w:tcPr>
            <w:tcW w:w="493" w:type="pct"/>
            <w:tcBorders>
              <w:top w:val="nil"/>
              <w:left w:val="nil"/>
              <w:bottom w:val="nil"/>
              <w:right w:val="nil"/>
            </w:tcBorders>
            <w:shd w:val="clear" w:color="000000" w:fill="DDEBF7"/>
            <w:vAlign w:val="center"/>
            <w:hideMark/>
          </w:tcPr>
          <w:p w14:paraId="32DB3F61"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n.a.</w:t>
            </w:r>
          </w:p>
        </w:tc>
        <w:tc>
          <w:tcPr>
            <w:tcW w:w="493" w:type="pct"/>
            <w:tcBorders>
              <w:top w:val="nil"/>
              <w:left w:val="nil"/>
              <w:bottom w:val="nil"/>
              <w:right w:val="nil"/>
            </w:tcBorders>
            <w:shd w:val="clear" w:color="000000" w:fill="DDEBF7"/>
            <w:vAlign w:val="center"/>
            <w:hideMark/>
          </w:tcPr>
          <w:p w14:paraId="201B47A7"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n.a.</w:t>
            </w:r>
          </w:p>
        </w:tc>
        <w:tc>
          <w:tcPr>
            <w:tcW w:w="493" w:type="pct"/>
            <w:tcBorders>
              <w:top w:val="nil"/>
              <w:left w:val="nil"/>
              <w:bottom w:val="nil"/>
              <w:right w:val="nil"/>
            </w:tcBorders>
            <w:shd w:val="clear" w:color="000000" w:fill="DDEBF7"/>
            <w:vAlign w:val="center"/>
            <w:hideMark/>
          </w:tcPr>
          <w:p w14:paraId="51989C39"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n.a.</w:t>
            </w:r>
          </w:p>
        </w:tc>
        <w:tc>
          <w:tcPr>
            <w:tcW w:w="492" w:type="pct"/>
            <w:tcBorders>
              <w:top w:val="nil"/>
              <w:left w:val="nil"/>
              <w:bottom w:val="nil"/>
              <w:right w:val="nil"/>
            </w:tcBorders>
            <w:shd w:val="clear" w:color="000000" w:fill="DDEBF7"/>
            <w:vAlign w:val="center"/>
          </w:tcPr>
          <w:p w14:paraId="66AE0647"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n.a.</w:t>
            </w:r>
          </w:p>
        </w:tc>
      </w:tr>
      <w:tr w:rsidR="00C24F6F" w:rsidRPr="000C2D79" w14:paraId="4555FBC6" w14:textId="77777777" w:rsidTr="002B1847">
        <w:trPr>
          <w:trHeight w:val="289"/>
        </w:trPr>
        <w:tc>
          <w:tcPr>
            <w:tcW w:w="212" w:type="pct"/>
            <w:tcBorders>
              <w:top w:val="nil"/>
              <w:left w:val="nil"/>
              <w:bottom w:val="nil"/>
              <w:right w:val="nil"/>
            </w:tcBorders>
            <w:shd w:val="clear" w:color="000000" w:fill="DDEBF7"/>
            <w:vAlign w:val="center"/>
            <w:hideMark/>
          </w:tcPr>
          <w:p w14:paraId="077C3BC7"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6</w:t>
            </w:r>
          </w:p>
        </w:tc>
        <w:tc>
          <w:tcPr>
            <w:tcW w:w="2324" w:type="pct"/>
            <w:gridSpan w:val="4"/>
            <w:tcBorders>
              <w:top w:val="nil"/>
              <w:left w:val="nil"/>
              <w:bottom w:val="nil"/>
              <w:right w:val="nil"/>
            </w:tcBorders>
            <w:shd w:val="clear" w:color="000000" w:fill="DDEBF7"/>
            <w:vAlign w:val="center"/>
            <w:hideMark/>
          </w:tcPr>
          <w:p w14:paraId="440E028E"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Reálny HDP EÚ (rast)</w:t>
            </w:r>
          </w:p>
        </w:tc>
        <w:tc>
          <w:tcPr>
            <w:tcW w:w="493" w:type="pct"/>
            <w:tcBorders>
              <w:top w:val="nil"/>
              <w:left w:val="nil"/>
              <w:bottom w:val="nil"/>
              <w:right w:val="nil"/>
            </w:tcBorders>
            <w:shd w:val="clear" w:color="000000" w:fill="DDEBF7"/>
            <w:vAlign w:val="center"/>
            <w:hideMark/>
          </w:tcPr>
          <w:p w14:paraId="6884E371"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n.a.</w:t>
            </w:r>
          </w:p>
        </w:tc>
        <w:tc>
          <w:tcPr>
            <w:tcW w:w="493" w:type="pct"/>
            <w:tcBorders>
              <w:top w:val="nil"/>
              <w:left w:val="nil"/>
              <w:bottom w:val="nil"/>
              <w:right w:val="nil"/>
            </w:tcBorders>
            <w:shd w:val="clear" w:color="000000" w:fill="DDEBF7"/>
            <w:vAlign w:val="center"/>
            <w:hideMark/>
          </w:tcPr>
          <w:p w14:paraId="4D16486E"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n.a.</w:t>
            </w:r>
          </w:p>
        </w:tc>
        <w:tc>
          <w:tcPr>
            <w:tcW w:w="493" w:type="pct"/>
            <w:tcBorders>
              <w:top w:val="nil"/>
              <w:left w:val="nil"/>
              <w:bottom w:val="nil"/>
              <w:right w:val="nil"/>
            </w:tcBorders>
            <w:shd w:val="clear" w:color="000000" w:fill="DDEBF7"/>
            <w:vAlign w:val="center"/>
            <w:hideMark/>
          </w:tcPr>
          <w:p w14:paraId="6AE590C1"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n.a.</w:t>
            </w:r>
          </w:p>
        </w:tc>
        <w:tc>
          <w:tcPr>
            <w:tcW w:w="493" w:type="pct"/>
            <w:tcBorders>
              <w:top w:val="nil"/>
              <w:left w:val="nil"/>
              <w:bottom w:val="nil"/>
              <w:right w:val="nil"/>
            </w:tcBorders>
            <w:shd w:val="clear" w:color="000000" w:fill="DDEBF7"/>
            <w:vAlign w:val="center"/>
            <w:hideMark/>
          </w:tcPr>
          <w:p w14:paraId="03EF326E"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n.a.</w:t>
            </w:r>
          </w:p>
        </w:tc>
        <w:tc>
          <w:tcPr>
            <w:tcW w:w="492" w:type="pct"/>
            <w:tcBorders>
              <w:top w:val="nil"/>
              <w:left w:val="nil"/>
              <w:bottom w:val="nil"/>
              <w:right w:val="nil"/>
            </w:tcBorders>
            <w:shd w:val="clear" w:color="000000" w:fill="DDEBF7"/>
            <w:vAlign w:val="center"/>
          </w:tcPr>
          <w:p w14:paraId="0A6E523F"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n.a.</w:t>
            </w:r>
          </w:p>
        </w:tc>
      </w:tr>
      <w:tr w:rsidR="00C24F6F" w:rsidRPr="000C2D79" w14:paraId="3E6AFA4C" w14:textId="77777777" w:rsidTr="002B1847">
        <w:trPr>
          <w:trHeight w:val="289"/>
        </w:trPr>
        <w:tc>
          <w:tcPr>
            <w:tcW w:w="212" w:type="pct"/>
            <w:tcBorders>
              <w:top w:val="nil"/>
              <w:left w:val="nil"/>
              <w:bottom w:val="nil"/>
              <w:right w:val="nil"/>
            </w:tcBorders>
            <w:shd w:val="clear" w:color="000000" w:fill="DDEBF7"/>
            <w:vAlign w:val="center"/>
            <w:hideMark/>
          </w:tcPr>
          <w:p w14:paraId="0EA8C050"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7</w:t>
            </w:r>
          </w:p>
        </w:tc>
        <w:tc>
          <w:tcPr>
            <w:tcW w:w="2324" w:type="pct"/>
            <w:gridSpan w:val="4"/>
            <w:tcBorders>
              <w:top w:val="nil"/>
              <w:left w:val="nil"/>
              <w:bottom w:val="nil"/>
              <w:right w:val="nil"/>
            </w:tcBorders>
            <w:shd w:val="clear" w:color="000000" w:fill="DDEBF7"/>
            <w:vAlign w:val="center"/>
            <w:hideMark/>
          </w:tcPr>
          <w:p w14:paraId="7AE66752"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Svetový objem importu, mimo EÚ (rast)</w:t>
            </w:r>
          </w:p>
        </w:tc>
        <w:tc>
          <w:tcPr>
            <w:tcW w:w="493" w:type="pct"/>
            <w:tcBorders>
              <w:top w:val="nil"/>
              <w:left w:val="nil"/>
              <w:bottom w:val="nil"/>
              <w:right w:val="nil"/>
            </w:tcBorders>
            <w:shd w:val="clear" w:color="000000" w:fill="DDEBF7"/>
            <w:vAlign w:val="center"/>
            <w:hideMark/>
          </w:tcPr>
          <w:p w14:paraId="74169FB5"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n.a.</w:t>
            </w:r>
          </w:p>
        </w:tc>
        <w:tc>
          <w:tcPr>
            <w:tcW w:w="493" w:type="pct"/>
            <w:tcBorders>
              <w:top w:val="nil"/>
              <w:left w:val="nil"/>
              <w:bottom w:val="nil"/>
              <w:right w:val="nil"/>
            </w:tcBorders>
            <w:shd w:val="clear" w:color="000000" w:fill="DDEBF7"/>
            <w:vAlign w:val="center"/>
            <w:hideMark/>
          </w:tcPr>
          <w:p w14:paraId="22F9EAC0"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n.a.</w:t>
            </w:r>
          </w:p>
        </w:tc>
        <w:tc>
          <w:tcPr>
            <w:tcW w:w="493" w:type="pct"/>
            <w:tcBorders>
              <w:top w:val="nil"/>
              <w:left w:val="nil"/>
              <w:bottom w:val="nil"/>
              <w:right w:val="nil"/>
            </w:tcBorders>
            <w:shd w:val="clear" w:color="000000" w:fill="DDEBF7"/>
            <w:vAlign w:val="center"/>
            <w:hideMark/>
          </w:tcPr>
          <w:p w14:paraId="68AF954C"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n.a.</w:t>
            </w:r>
          </w:p>
        </w:tc>
        <w:tc>
          <w:tcPr>
            <w:tcW w:w="493" w:type="pct"/>
            <w:tcBorders>
              <w:top w:val="nil"/>
              <w:left w:val="nil"/>
              <w:bottom w:val="nil"/>
              <w:right w:val="nil"/>
            </w:tcBorders>
            <w:shd w:val="clear" w:color="000000" w:fill="DDEBF7"/>
            <w:vAlign w:val="center"/>
            <w:hideMark/>
          </w:tcPr>
          <w:p w14:paraId="32FF84BD"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n.a.</w:t>
            </w:r>
          </w:p>
        </w:tc>
        <w:tc>
          <w:tcPr>
            <w:tcW w:w="492" w:type="pct"/>
            <w:tcBorders>
              <w:top w:val="nil"/>
              <w:left w:val="nil"/>
              <w:bottom w:val="nil"/>
              <w:right w:val="nil"/>
            </w:tcBorders>
            <w:shd w:val="clear" w:color="000000" w:fill="DDEBF7"/>
            <w:vAlign w:val="center"/>
          </w:tcPr>
          <w:p w14:paraId="0F94115E"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n.a.</w:t>
            </w:r>
          </w:p>
        </w:tc>
      </w:tr>
      <w:tr w:rsidR="00C24F6F" w:rsidRPr="000C2D79" w14:paraId="36CEDB25" w14:textId="77777777" w:rsidTr="002B1847">
        <w:trPr>
          <w:trHeight w:val="289"/>
        </w:trPr>
        <w:tc>
          <w:tcPr>
            <w:tcW w:w="212" w:type="pct"/>
            <w:tcBorders>
              <w:top w:val="nil"/>
              <w:left w:val="nil"/>
              <w:bottom w:val="nil"/>
              <w:right w:val="nil"/>
            </w:tcBorders>
            <w:shd w:val="clear" w:color="000000" w:fill="DDEBF7"/>
            <w:vAlign w:val="center"/>
            <w:hideMark/>
          </w:tcPr>
          <w:p w14:paraId="29110376" w14:textId="77777777" w:rsidR="00C24F6F" w:rsidRPr="000C2D79"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8</w:t>
            </w:r>
          </w:p>
        </w:tc>
        <w:tc>
          <w:tcPr>
            <w:tcW w:w="2324" w:type="pct"/>
            <w:gridSpan w:val="4"/>
            <w:tcBorders>
              <w:top w:val="nil"/>
              <w:left w:val="nil"/>
              <w:bottom w:val="nil"/>
              <w:right w:val="nil"/>
            </w:tcBorders>
            <w:shd w:val="clear" w:color="000000" w:fill="DDEBF7"/>
            <w:vAlign w:val="center"/>
            <w:hideMark/>
          </w:tcPr>
          <w:p w14:paraId="0CBE9525" w14:textId="77777777" w:rsidR="00C24F6F" w:rsidRPr="000C2D79" w:rsidRDefault="00C24F6F" w:rsidP="002B1847">
            <w:pPr>
              <w:spacing w:after="0" w:line="240" w:lineRule="auto"/>
              <w:rPr>
                <w:rFonts w:ascii="Arial Narrow" w:eastAsia="Times New Roman" w:hAnsi="Arial Narrow" w:cs="Calibri"/>
                <w:b/>
                <w:bCs/>
                <w:color w:val="000000"/>
                <w:kern w:val="0"/>
                <w:sz w:val="16"/>
                <w:szCs w:val="16"/>
                <w:lang w:eastAsia="sk-SK"/>
                <w14:ligatures w14:val="none"/>
              </w:rPr>
            </w:pPr>
            <w:r w:rsidRPr="000C2D79">
              <w:rPr>
                <w:rFonts w:ascii="Arial Narrow" w:eastAsia="Times New Roman" w:hAnsi="Arial Narrow" w:cs="Calibri"/>
                <w:b/>
                <w:bCs/>
                <w:color w:val="000000"/>
                <w:kern w:val="0"/>
                <w:sz w:val="16"/>
                <w:szCs w:val="16"/>
                <w:lang w:eastAsia="sk-SK"/>
                <w14:ligatures w14:val="none"/>
              </w:rPr>
              <w:t>Cena ropy (Brent, USD/barel)</w:t>
            </w:r>
          </w:p>
        </w:tc>
        <w:tc>
          <w:tcPr>
            <w:tcW w:w="493" w:type="pct"/>
            <w:tcBorders>
              <w:top w:val="nil"/>
              <w:left w:val="nil"/>
              <w:bottom w:val="nil"/>
              <w:right w:val="nil"/>
            </w:tcBorders>
            <w:shd w:val="clear" w:color="000000" w:fill="DDEBF7"/>
            <w:vAlign w:val="center"/>
            <w:hideMark/>
          </w:tcPr>
          <w:p w14:paraId="066C66AA" w14:textId="3A50790F"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88</w:t>
            </w:r>
            <w:r w:rsidR="00900212">
              <w:rPr>
                <w:rFonts w:ascii="Arial Narrow" w:hAnsi="Arial Narrow" w:cs="Calibri"/>
                <w:sz w:val="16"/>
                <w:szCs w:val="16"/>
              </w:rPr>
              <w:t>,</w:t>
            </w:r>
            <w:r>
              <w:rPr>
                <w:rFonts w:ascii="Arial Narrow" w:hAnsi="Arial Narrow" w:cs="Calibri"/>
                <w:sz w:val="16"/>
                <w:szCs w:val="16"/>
              </w:rPr>
              <w:t>9</w:t>
            </w:r>
          </w:p>
        </w:tc>
        <w:tc>
          <w:tcPr>
            <w:tcW w:w="493" w:type="pct"/>
            <w:tcBorders>
              <w:top w:val="nil"/>
              <w:left w:val="nil"/>
              <w:bottom w:val="nil"/>
              <w:right w:val="nil"/>
            </w:tcBorders>
            <w:shd w:val="clear" w:color="000000" w:fill="DDEBF7"/>
            <w:vAlign w:val="center"/>
            <w:hideMark/>
          </w:tcPr>
          <w:p w14:paraId="07AB4068" w14:textId="49F6D898"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86</w:t>
            </w:r>
            <w:r w:rsidR="00900212">
              <w:rPr>
                <w:rFonts w:ascii="Arial Narrow" w:hAnsi="Arial Narrow" w:cs="Calibri"/>
                <w:sz w:val="16"/>
                <w:szCs w:val="16"/>
              </w:rPr>
              <w:t>,</w:t>
            </w:r>
            <w:r>
              <w:rPr>
                <w:rFonts w:ascii="Arial Narrow" w:hAnsi="Arial Narrow" w:cs="Calibri"/>
                <w:sz w:val="16"/>
                <w:szCs w:val="16"/>
              </w:rPr>
              <w:t>4</w:t>
            </w:r>
          </w:p>
        </w:tc>
        <w:tc>
          <w:tcPr>
            <w:tcW w:w="493" w:type="pct"/>
            <w:tcBorders>
              <w:top w:val="nil"/>
              <w:left w:val="nil"/>
              <w:bottom w:val="nil"/>
              <w:right w:val="nil"/>
            </w:tcBorders>
            <w:shd w:val="clear" w:color="000000" w:fill="DDEBF7"/>
            <w:vAlign w:val="center"/>
            <w:hideMark/>
          </w:tcPr>
          <w:p w14:paraId="4FD2958B" w14:textId="7B16EF44"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76</w:t>
            </w:r>
            <w:r w:rsidR="00900212">
              <w:rPr>
                <w:rFonts w:ascii="Arial Narrow" w:hAnsi="Arial Narrow" w:cs="Calibri"/>
                <w:sz w:val="16"/>
                <w:szCs w:val="16"/>
              </w:rPr>
              <w:t>,</w:t>
            </w:r>
            <w:r>
              <w:rPr>
                <w:rFonts w:ascii="Arial Narrow" w:hAnsi="Arial Narrow" w:cs="Calibri"/>
                <w:sz w:val="16"/>
                <w:szCs w:val="16"/>
              </w:rPr>
              <w:t>4</w:t>
            </w:r>
          </w:p>
        </w:tc>
        <w:tc>
          <w:tcPr>
            <w:tcW w:w="493" w:type="pct"/>
            <w:tcBorders>
              <w:top w:val="nil"/>
              <w:left w:val="nil"/>
              <w:bottom w:val="nil"/>
              <w:right w:val="nil"/>
            </w:tcBorders>
            <w:shd w:val="clear" w:color="000000" w:fill="DDEBF7"/>
            <w:vAlign w:val="center"/>
            <w:hideMark/>
          </w:tcPr>
          <w:p w14:paraId="5CBFE570" w14:textId="220F934D"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74</w:t>
            </w:r>
            <w:r w:rsidR="00900212">
              <w:rPr>
                <w:rFonts w:ascii="Arial Narrow" w:hAnsi="Arial Narrow" w:cs="Calibri"/>
                <w:sz w:val="16"/>
                <w:szCs w:val="16"/>
              </w:rPr>
              <w:t>,</w:t>
            </w:r>
            <w:r>
              <w:rPr>
                <w:rFonts w:ascii="Arial Narrow" w:hAnsi="Arial Narrow" w:cs="Calibri"/>
                <w:sz w:val="16"/>
                <w:szCs w:val="16"/>
              </w:rPr>
              <w:t>9</w:t>
            </w:r>
          </w:p>
        </w:tc>
        <w:tc>
          <w:tcPr>
            <w:tcW w:w="492" w:type="pct"/>
            <w:tcBorders>
              <w:top w:val="nil"/>
              <w:left w:val="nil"/>
              <w:bottom w:val="nil"/>
              <w:right w:val="nil"/>
            </w:tcBorders>
            <w:shd w:val="clear" w:color="000000" w:fill="DDEBF7"/>
            <w:vAlign w:val="center"/>
          </w:tcPr>
          <w:p w14:paraId="48D1E1C3" w14:textId="47F2A6D6"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r>
              <w:rPr>
                <w:rFonts w:ascii="Arial Narrow" w:hAnsi="Arial Narrow" w:cs="Calibri"/>
                <w:sz w:val="16"/>
                <w:szCs w:val="16"/>
              </w:rPr>
              <w:t>75</w:t>
            </w:r>
            <w:r w:rsidR="00900212">
              <w:rPr>
                <w:rFonts w:ascii="Arial Narrow" w:hAnsi="Arial Narrow" w:cs="Calibri"/>
                <w:sz w:val="16"/>
                <w:szCs w:val="16"/>
              </w:rPr>
              <w:t>,</w:t>
            </w:r>
            <w:r>
              <w:rPr>
                <w:rFonts w:ascii="Arial Narrow" w:hAnsi="Arial Narrow" w:cs="Calibri"/>
                <w:sz w:val="16"/>
                <w:szCs w:val="16"/>
              </w:rPr>
              <w:t>4</w:t>
            </w:r>
          </w:p>
        </w:tc>
      </w:tr>
      <w:tr w:rsidR="00C24F6F" w:rsidRPr="008E7F52" w14:paraId="4598D525" w14:textId="77777777" w:rsidTr="002B1847">
        <w:trPr>
          <w:trHeight w:val="289"/>
        </w:trPr>
        <w:tc>
          <w:tcPr>
            <w:tcW w:w="212" w:type="pct"/>
            <w:tcBorders>
              <w:top w:val="nil"/>
              <w:left w:val="nil"/>
              <w:bottom w:val="nil"/>
              <w:right w:val="nil"/>
            </w:tcBorders>
            <w:noWrap/>
            <w:vAlign w:val="bottom"/>
            <w:hideMark/>
          </w:tcPr>
          <w:p w14:paraId="38B9E419" w14:textId="77777777" w:rsidR="00C24F6F" w:rsidRPr="000C2D79" w:rsidRDefault="00C24F6F" w:rsidP="002B1847">
            <w:pPr>
              <w:spacing w:after="0" w:line="240" w:lineRule="auto"/>
              <w:jc w:val="center"/>
              <w:rPr>
                <w:rFonts w:ascii="Arial Narrow" w:eastAsia="Times New Roman" w:hAnsi="Arial Narrow" w:cs="Calibri"/>
                <w:kern w:val="0"/>
                <w:sz w:val="16"/>
                <w:szCs w:val="16"/>
                <w:lang w:eastAsia="sk-SK"/>
                <w14:ligatures w14:val="none"/>
              </w:rPr>
            </w:pPr>
          </w:p>
        </w:tc>
        <w:tc>
          <w:tcPr>
            <w:tcW w:w="867" w:type="pct"/>
            <w:tcBorders>
              <w:top w:val="nil"/>
              <w:left w:val="nil"/>
              <w:bottom w:val="nil"/>
              <w:right w:val="nil"/>
            </w:tcBorders>
            <w:noWrap/>
            <w:vAlign w:val="bottom"/>
            <w:hideMark/>
          </w:tcPr>
          <w:p w14:paraId="4E705BC3" w14:textId="77777777" w:rsidR="00C24F6F" w:rsidRPr="000C2D79" w:rsidRDefault="00C24F6F" w:rsidP="002B1847">
            <w:pPr>
              <w:spacing w:after="0" w:line="240" w:lineRule="auto"/>
              <w:rPr>
                <w:rFonts w:ascii="Times New Roman" w:eastAsia="Times New Roman" w:hAnsi="Times New Roman" w:cs="Times New Roman"/>
                <w:kern w:val="0"/>
                <w:sz w:val="20"/>
                <w:szCs w:val="20"/>
                <w:lang w:eastAsia="sk-SK"/>
                <w14:ligatures w14:val="none"/>
              </w:rPr>
            </w:pPr>
          </w:p>
        </w:tc>
        <w:tc>
          <w:tcPr>
            <w:tcW w:w="164" w:type="pct"/>
            <w:tcBorders>
              <w:top w:val="nil"/>
              <w:left w:val="nil"/>
              <w:bottom w:val="nil"/>
              <w:right w:val="nil"/>
            </w:tcBorders>
            <w:noWrap/>
            <w:vAlign w:val="bottom"/>
            <w:hideMark/>
          </w:tcPr>
          <w:p w14:paraId="477D2906" w14:textId="77777777" w:rsidR="00C24F6F" w:rsidRPr="000C2D79" w:rsidRDefault="00C24F6F" w:rsidP="002B1847">
            <w:pPr>
              <w:spacing w:after="0" w:line="240" w:lineRule="auto"/>
              <w:rPr>
                <w:rFonts w:ascii="Times New Roman" w:eastAsia="Times New Roman" w:hAnsi="Times New Roman" w:cs="Times New Roman"/>
                <w:kern w:val="0"/>
                <w:sz w:val="20"/>
                <w:szCs w:val="20"/>
                <w:lang w:eastAsia="sk-SK"/>
                <w14:ligatures w14:val="none"/>
              </w:rPr>
            </w:pPr>
          </w:p>
        </w:tc>
        <w:tc>
          <w:tcPr>
            <w:tcW w:w="164" w:type="pct"/>
            <w:tcBorders>
              <w:top w:val="nil"/>
              <w:left w:val="nil"/>
              <w:bottom w:val="nil"/>
              <w:right w:val="nil"/>
            </w:tcBorders>
            <w:noWrap/>
            <w:vAlign w:val="bottom"/>
            <w:hideMark/>
          </w:tcPr>
          <w:p w14:paraId="279B9536" w14:textId="77777777" w:rsidR="00C24F6F" w:rsidRPr="000C2D79" w:rsidRDefault="00C24F6F" w:rsidP="002B1847">
            <w:pPr>
              <w:spacing w:after="0" w:line="240" w:lineRule="auto"/>
              <w:rPr>
                <w:rFonts w:ascii="Times New Roman" w:eastAsia="Times New Roman" w:hAnsi="Times New Roman" w:cs="Times New Roman"/>
                <w:kern w:val="0"/>
                <w:sz w:val="20"/>
                <w:szCs w:val="20"/>
                <w:lang w:eastAsia="sk-SK"/>
                <w14:ligatures w14:val="none"/>
              </w:rPr>
            </w:pPr>
          </w:p>
        </w:tc>
        <w:tc>
          <w:tcPr>
            <w:tcW w:w="1129" w:type="pct"/>
            <w:tcBorders>
              <w:top w:val="nil"/>
              <w:left w:val="nil"/>
              <w:bottom w:val="nil"/>
              <w:right w:val="nil"/>
            </w:tcBorders>
            <w:noWrap/>
            <w:vAlign w:val="bottom"/>
            <w:hideMark/>
          </w:tcPr>
          <w:p w14:paraId="16B7FDC7" w14:textId="77777777" w:rsidR="00C24F6F" w:rsidRPr="000C2D79" w:rsidRDefault="00C24F6F" w:rsidP="002B1847">
            <w:pPr>
              <w:spacing w:after="0" w:line="240" w:lineRule="auto"/>
              <w:rPr>
                <w:rFonts w:ascii="Times New Roman" w:eastAsia="Times New Roman" w:hAnsi="Times New Roman" w:cs="Times New Roman"/>
                <w:kern w:val="0"/>
                <w:sz w:val="20"/>
                <w:szCs w:val="20"/>
                <w:lang w:eastAsia="sk-SK"/>
                <w14:ligatures w14:val="none"/>
              </w:rPr>
            </w:pPr>
          </w:p>
        </w:tc>
        <w:tc>
          <w:tcPr>
            <w:tcW w:w="493" w:type="pct"/>
            <w:tcBorders>
              <w:top w:val="nil"/>
              <w:left w:val="nil"/>
              <w:bottom w:val="nil"/>
              <w:right w:val="nil"/>
            </w:tcBorders>
            <w:noWrap/>
            <w:vAlign w:val="bottom"/>
            <w:hideMark/>
          </w:tcPr>
          <w:p w14:paraId="2B8F87DF" w14:textId="77777777" w:rsidR="00C24F6F" w:rsidRPr="000C2D79" w:rsidRDefault="00C24F6F" w:rsidP="002B1847">
            <w:pPr>
              <w:spacing w:after="0" w:line="240" w:lineRule="auto"/>
              <w:rPr>
                <w:rFonts w:ascii="Times New Roman" w:eastAsia="Times New Roman" w:hAnsi="Times New Roman" w:cs="Times New Roman"/>
                <w:kern w:val="0"/>
                <w:sz w:val="20"/>
                <w:szCs w:val="20"/>
                <w:lang w:eastAsia="sk-SK"/>
                <w14:ligatures w14:val="none"/>
              </w:rPr>
            </w:pPr>
          </w:p>
        </w:tc>
        <w:tc>
          <w:tcPr>
            <w:tcW w:w="493" w:type="pct"/>
            <w:tcBorders>
              <w:top w:val="nil"/>
              <w:left w:val="nil"/>
              <w:bottom w:val="nil"/>
              <w:right w:val="nil"/>
            </w:tcBorders>
            <w:noWrap/>
            <w:vAlign w:val="bottom"/>
            <w:hideMark/>
          </w:tcPr>
          <w:p w14:paraId="3C5C41EA" w14:textId="77777777" w:rsidR="00C24F6F" w:rsidRPr="000C2D79" w:rsidRDefault="00C24F6F" w:rsidP="002B1847">
            <w:pPr>
              <w:spacing w:after="0" w:line="240" w:lineRule="auto"/>
              <w:rPr>
                <w:rFonts w:ascii="Times New Roman" w:eastAsia="Times New Roman" w:hAnsi="Times New Roman" w:cs="Times New Roman"/>
                <w:kern w:val="0"/>
                <w:sz w:val="20"/>
                <w:szCs w:val="20"/>
                <w:lang w:eastAsia="sk-SK"/>
                <w14:ligatures w14:val="none"/>
              </w:rPr>
            </w:pPr>
          </w:p>
        </w:tc>
        <w:tc>
          <w:tcPr>
            <w:tcW w:w="493" w:type="pct"/>
            <w:tcBorders>
              <w:top w:val="nil"/>
              <w:left w:val="nil"/>
              <w:bottom w:val="nil"/>
              <w:right w:val="nil"/>
            </w:tcBorders>
            <w:noWrap/>
            <w:vAlign w:val="bottom"/>
            <w:hideMark/>
          </w:tcPr>
          <w:p w14:paraId="3A5987EC" w14:textId="77777777" w:rsidR="00C24F6F" w:rsidRPr="000C2D79" w:rsidRDefault="00C24F6F" w:rsidP="002B1847">
            <w:pPr>
              <w:spacing w:after="0" w:line="240" w:lineRule="auto"/>
              <w:rPr>
                <w:rFonts w:ascii="Times New Roman" w:eastAsia="Times New Roman" w:hAnsi="Times New Roman" w:cs="Times New Roman"/>
                <w:kern w:val="0"/>
                <w:sz w:val="20"/>
                <w:szCs w:val="20"/>
                <w:lang w:eastAsia="sk-SK"/>
                <w14:ligatures w14:val="none"/>
              </w:rPr>
            </w:pPr>
          </w:p>
        </w:tc>
        <w:tc>
          <w:tcPr>
            <w:tcW w:w="985" w:type="pct"/>
            <w:gridSpan w:val="2"/>
            <w:tcBorders>
              <w:top w:val="nil"/>
              <w:left w:val="nil"/>
              <w:bottom w:val="nil"/>
              <w:right w:val="nil"/>
            </w:tcBorders>
            <w:noWrap/>
            <w:vAlign w:val="center"/>
            <w:hideMark/>
          </w:tcPr>
          <w:p w14:paraId="17C04161" w14:textId="77777777" w:rsidR="00C24F6F" w:rsidRPr="000C2D79" w:rsidRDefault="00C24F6F" w:rsidP="002B1847">
            <w:pPr>
              <w:spacing w:after="0" w:line="240" w:lineRule="auto"/>
              <w:jc w:val="right"/>
              <w:rPr>
                <w:rFonts w:ascii="Arial Narrow" w:eastAsia="Times New Roman" w:hAnsi="Arial Narrow" w:cs="Calibri"/>
                <w:i/>
                <w:iCs/>
                <w:color w:val="000000"/>
                <w:kern w:val="0"/>
                <w:sz w:val="16"/>
                <w:szCs w:val="16"/>
                <w:lang w:eastAsia="sk-SK"/>
                <w14:ligatures w14:val="none"/>
              </w:rPr>
            </w:pPr>
            <w:r w:rsidRPr="000C2D79">
              <w:rPr>
                <w:rFonts w:ascii="Arial Narrow" w:eastAsia="Times New Roman" w:hAnsi="Arial Narrow" w:cs="Calibri"/>
                <w:i/>
                <w:iCs/>
                <w:color w:val="000000"/>
                <w:kern w:val="0"/>
                <w:sz w:val="16"/>
                <w:szCs w:val="16"/>
                <w:lang w:eastAsia="sk-SK"/>
                <w14:ligatures w14:val="none"/>
              </w:rPr>
              <w:t>Zdroj: MF SR</w:t>
            </w:r>
          </w:p>
        </w:tc>
      </w:tr>
    </w:tbl>
    <w:p w14:paraId="1335BB0B" w14:textId="77777777" w:rsidR="00C24F6F" w:rsidRPr="008E7F52" w:rsidRDefault="00C24F6F" w:rsidP="00C24F6F">
      <w:pPr>
        <w:pStyle w:val="ifptext"/>
        <w:rPr>
          <w:highlight w:val="yellow"/>
        </w:rPr>
      </w:pPr>
    </w:p>
    <w:tbl>
      <w:tblPr>
        <w:tblW w:w="8931" w:type="dxa"/>
        <w:tblLayout w:type="fixed"/>
        <w:tblCellMar>
          <w:left w:w="70" w:type="dxa"/>
          <w:right w:w="70" w:type="dxa"/>
        </w:tblCellMar>
        <w:tblLook w:val="04A0" w:firstRow="1" w:lastRow="0" w:firstColumn="1" w:lastColumn="0" w:noHBand="0" w:noVBand="1"/>
      </w:tblPr>
      <w:tblGrid>
        <w:gridCol w:w="450"/>
        <w:gridCol w:w="2173"/>
        <w:gridCol w:w="1056"/>
        <w:gridCol w:w="432"/>
        <w:gridCol w:w="1276"/>
        <w:gridCol w:w="709"/>
        <w:gridCol w:w="708"/>
        <w:gridCol w:w="709"/>
        <w:gridCol w:w="709"/>
        <w:gridCol w:w="433"/>
        <w:gridCol w:w="276"/>
      </w:tblGrid>
      <w:tr w:rsidR="00057132" w:rsidRPr="00046B73" w14:paraId="365A56D9" w14:textId="77777777" w:rsidTr="003A0B2F">
        <w:trPr>
          <w:trHeight w:val="289"/>
        </w:trPr>
        <w:tc>
          <w:tcPr>
            <w:tcW w:w="4111" w:type="dxa"/>
            <w:gridSpan w:val="4"/>
            <w:tcBorders>
              <w:top w:val="nil"/>
              <w:left w:val="nil"/>
              <w:bottom w:val="nil"/>
              <w:right w:val="nil"/>
            </w:tcBorders>
            <w:shd w:val="clear" w:color="000000" w:fill="FFFFFF"/>
            <w:vAlign w:val="center"/>
            <w:hideMark/>
          </w:tcPr>
          <w:p w14:paraId="0F555D3B" w14:textId="77777777" w:rsidR="00057132" w:rsidRPr="00046B73" w:rsidRDefault="00057132" w:rsidP="002B1847">
            <w:pPr>
              <w:spacing w:after="0" w:line="240" w:lineRule="auto"/>
              <w:rPr>
                <w:rFonts w:ascii="Arial Narrow" w:eastAsia="Times New Roman" w:hAnsi="Arial Narrow" w:cs="Calibri"/>
                <w:b/>
                <w:bCs/>
                <w:color w:val="2C9ADC"/>
                <w:kern w:val="0"/>
                <w:sz w:val="18"/>
                <w:szCs w:val="18"/>
                <w:lang w:eastAsia="sk-SK"/>
                <w14:ligatures w14:val="none"/>
              </w:rPr>
            </w:pPr>
            <w:r w:rsidRPr="00046B73">
              <w:rPr>
                <w:rFonts w:ascii="Arial Narrow" w:eastAsia="Times New Roman" w:hAnsi="Arial Narrow" w:cs="Calibri"/>
                <w:b/>
                <w:bCs/>
                <w:color w:val="2C9ADC"/>
                <w:kern w:val="0"/>
                <w:sz w:val="18"/>
                <w:szCs w:val="18"/>
                <w:lang w:eastAsia="sk-SK"/>
                <w14:ligatures w14:val="none"/>
              </w:rPr>
              <w:t>TABUĽKA 4 – Rozpočtový výhľad</w:t>
            </w:r>
          </w:p>
        </w:tc>
        <w:tc>
          <w:tcPr>
            <w:tcW w:w="1276" w:type="dxa"/>
            <w:tcBorders>
              <w:top w:val="nil"/>
              <w:left w:val="nil"/>
              <w:bottom w:val="nil"/>
              <w:right w:val="nil"/>
            </w:tcBorders>
            <w:noWrap/>
            <w:vAlign w:val="bottom"/>
            <w:hideMark/>
          </w:tcPr>
          <w:p w14:paraId="58E657CE" w14:textId="77777777" w:rsidR="00057132" w:rsidRPr="00046B73" w:rsidRDefault="00057132" w:rsidP="002B1847">
            <w:pPr>
              <w:spacing w:after="0" w:line="240" w:lineRule="auto"/>
              <w:rPr>
                <w:rFonts w:ascii="Arial Narrow" w:eastAsia="Times New Roman" w:hAnsi="Arial Narrow" w:cs="Calibri"/>
                <w:b/>
                <w:bCs/>
                <w:color w:val="2C9ADC"/>
                <w:kern w:val="0"/>
                <w:sz w:val="18"/>
                <w:szCs w:val="18"/>
                <w:lang w:eastAsia="sk-SK"/>
                <w14:ligatures w14:val="none"/>
              </w:rPr>
            </w:pPr>
          </w:p>
        </w:tc>
        <w:tc>
          <w:tcPr>
            <w:tcW w:w="709" w:type="dxa"/>
            <w:tcBorders>
              <w:top w:val="nil"/>
              <w:left w:val="nil"/>
              <w:bottom w:val="nil"/>
              <w:right w:val="nil"/>
            </w:tcBorders>
            <w:shd w:val="clear" w:color="000000" w:fill="FFFFFF"/>
            <w:vAlign w:val="center"/>
            <w:hideMark/>
          </w:tcPr>
          <w:p w14:paraId="17C35C98" w14:textId="55EA38C0" w:rsidR="00057132" w:rsidRPr="00046B73" w:rsidRDefault="00057132" w:rsidP="002B1847">
            <w:pPr>
              <w:spacing w:after="0" w:line="240" w:lineRule="auto"/>
              <w:jc w:val="center"/>
              <w:rPr>
                <w:rFonts w:ascii="Arial Narrow" w:eastAsia="Times New Roman" w:hAnsi="Arial Narrow" w:cs="Calibri"/>
                <w:b/>
                <w:bCs/>
                <w:color w:val="000000"/>
                <w:kern w:val="0"/>
                <w:sz w:val="18"/>
                <w:szCs w:val="18"/>
                <w:lang w:eastAsia="sk-SK"/>
                <w14:ligatures w14:val="none"/>
              </w:rPr>
            </w:pPr>
            <w:r w:rsidRPr="00046B73">
              <w:rPr>
                <w:rFonts w:ascii="Arial Narrow" w:eastAsia="Times New Roman" w:hAnsi="Arial Narrow" w:cs="Calibri"/>
                <w:b/>
                <w:bCs/>
                <w:color w:val="000000"/>
                <w:kern w:val="0"/>
                <w:sz w:val="18"/>
                <w:szCs w:val="18"/>
                <w:lang w:eastAsia="sk-SK"/>
                <w14:ligatures w14:val="none"/>
              </w:rPr>
              <w:t>202</w:t>
            </w:r>
            <w:r w:rsidR="009B57B3">
              <w:rPr>
                <w:rFonts w:ascii="Arial Narrow" w:eastAsia="Times New Roman" w:hAnsi="Arial Narrow" w:cs="Calibri"/>
                <w:b/>
                <w:bCs/>
                <w:color w:val="000000"/>
                <w:kern w:val="0"/>
                <w:sz w:val="18"/>
                <w:szCs w:val="18"/>
                <w:lang w:eastAsia="sk-SK"/>
                <w14:ligatures w14:val="none"/>
              </w:rPr>
              <w:t>3</w:t>
            </w:r>
          </w:p>
        </w:tc>
        <w:tc>
          <w:tcPr>
            <w:tcW w:w="708" w:type="dxa"/>
            <w:tcBorders>
              <w:top w:val="nil"/>
              <w:left w:val="nil"/>
              <w:bottom w:val="nil"/>
              <w:right w:val="nil"/>
            </w:tcBorders>
            <w:shd w:val="clear" w:color="000000" w:fill="FFFFFF"/>
            <w:vAlign w:val="center"/>
          </w:tcPr>
          <w:p w14:paraId="0E67EDAC" w14:textId="5D35ED06" w:rsidR="00057132" w:rsidRPr="00046B73" w:rsidRDefault="00057132" w:rsidP="00057132">
            <w:pPr>
              <w:spacing w:after="0" w:line="240" w:lineRule="auto"/>
              <w:jc w:val="center"/>
              <w:rPr>
                <w:rFonts w:ascii="Arial Narrow" w:eastAsia="Times New Roman" w:hAnsi="Arial Narrow" w:cs="Calibri"/>
                <w:b/>
                <w:bCs/>
                <w:color w:val="000000"/>
                <w:kern w:val="0"/>
                <w:sz w:val="18"/>
                <w:szCs w:val="18"/>
                <w:lang w:eastAsia="sk-SK"/>
                <w14:ligatures w14:val="none"/>
              </w:rPr>
            </w:pPr>
            <w:r>
              <w:rPr>
                <w:rFonts w:ascii="Arial Narrow" w:eastAsia="Times New Roman" w:hAnsi="Arial Narrow" w:cs="Calibri"/>
                <w:b/>
                <w:bCs/>
                <w:color w:val="000000"/>
                <w:kern w:val="0"/>
                <w:sz w:val="18"/>
                <w:szCs w:val="18"/>
                <w:lang w:eastAsia="sk-SK"/>
                <w14:ligatures w14:val="none"/>
              </w:rPr>
              <w:t>2023</w:t>
            </w:r>
          </w:p>
        </w:tc>
        <w:tc>
          <w:tcPr>
            <w:tcW w:w="709" w:type="dxa"/>
            <w:tcBorders>
              <w:top w:val="nil"/>
              <w:left w:val="nil"/>
              <w:bottom w:val="nil"/>
              <w:right w:val="nil"/>
            </w:tcBorders>
            <w:shd w:val="clear" w:color="000000" w:fill="FFFFFF"/>
            <w:vAlign w:val="center"/>
            <w:hideMark/>
          </w:tcPr>
          <w:p w14:paraId="3CC3F621" w14:textId="0C14A0C2" w:rsidR="00057132" w:rsidRPr="00046B73" w:rsidRDefault="00057132" w:rsidP="002B1847">
            <w:pPr>
              <w:spacing w:after="0" w:line="240" w:lineRule="auto"/>
              <w:jc w:val="center"/>
              <w:rPr>
                <w:rFonts w:ascii="Arial Narrow" w:eastAsia="Times New Roman" w:hAnsi="Arial Narrow" w:cs="Calibri"/>
                <w:b/>
                <w:bCs/>
                <w:color w:val="000000"/>
                <w:kern w:val="0"/>
                <w:sz w:val="18"/>
                <w:szCs w:val="18"/>
                <w:lang w:eastAsia="sk-SK"/>
                <w14:ligatures w14:val="none"/>
              </w:rPr>
            </w:pPr>
            <w:r w:rsidRPr="00046B73">
              <w:rPr>
                <w:rFonts w:ascii="Arial Narrow" w:eastAsia="Times New Roman" w:hAnsi="Arial Narrow" w:cs="Calibri"/>
                <w:b/>
                <w:bCs/>
                <w:color w:val="000000"/>
                <w:kern w:val="0"/>
                <w:sz w:val="18"/>
                <w:szCs w:val="18"/>
                <w:lang w:eastAsia="sk-SK"/>
                <w14:ligatures w14:val="none"/>
              </w:rPr>
              <w:t>2024</w:t>
            </w:r>
          </w:p>
        </w:tc>
        <w:tc>
          <w:tcPr>
            <w:tcW w:w="709" w:type="dxa"/>
            <w:tcBorders>
              <w:top w:val="nil"/>
              <w:left w:val="nil"/>
              <w:bottom w:val="nil"/>
              <w:right w:val="nil"/>
            </w:tcBorders>
            <w:shd w:val="clear" w:color="000000" w:fill="FFFFFF"/>
            <w:vAlign w:val="center"/>
            <w:hideMark/>
          </w:tcPr>
          <w:p w14:paraId="44C631B2" w14:textId="77777777" w:rsidR="00057132" w:rsidRPr="00046B73" w:rsidRDefault="00057132" w:rsidP="002B1847">
            <w:pPr>
              <w:spacing w:after="0" w:line="240" w:lineRule="auto"/>
              <w:jc w:val="center"/>
              <w:rPr>
                <w:rFonts w:ascii="Arial Narrow" w:eastAsia="Times New Roman" w:hAnsi="Arial Narrow" w:cs="Calibri"/>
                <w:b/>
                <w:bCs/>
                <w:color w:val="000000"/>
                <w:kern w:val="0"/>
                <w:sz w:val="18"/>
                <w:szCs w:val="18"/>
                <w:lang w:eastAsia="sk-SK"/>
                <w14:ligatures w14:val="none"/>
              </w:rPr>
            </w:pPr>
            <w:r w:rsidRPr="00046B73">
              <w:rPr>
                <w:rFonts w:ascii="Arial Narrow" w:eastAsia="Times New Roman" w:hAnsi="Arial Narrow" w:cs="Calibri"/>
                <w:b/>
                <w:bCs/>
                <w:color w:val="000000"/>
                <w:kern w:val="0"/>
                <w:sz w:val="18"/>
                <w:szCs w:val="18"/>
                <w:lang w:eastAsia="sk-SK"/>
                <w14:ligatures w14:val="none"/>
              </w:rPr>
              <w:t>2025</w:t>
            </w:r>
          </w:p>
        </w:tc>
        <w:tc>
          <w:tcPr>
            <w:tcW w:w="709" w:type="dxa"/>
            <w:gridSpan w:val="2"/>
            <w:tcBorders>
              <w:top w:val="nil"/>
              <w:left w:val="nil"/>
              <w:bottom w:val="nil"/>
              <w:right w:val="nil"/>
            </w:tcBorders>
            <w:shd w:val="clear" w:color="000000" w:fill="FFFFFF"/>
            <w:vAlign w:val="center"/>
            <w:hideMark/>
          </w:tcPr>
          <w:p w14:paraId="026D4E1D" w14:textId="77777777" w:rsidR="00057132" w:rsidRPr="00046B73" w:rsidRDefault="00057132" w:rsidP="002B1847">
            <w:pPr>
              <w:spacing w:after="0" w:line="240" w:lineRule="auto"/>
              <w:jc w:val="center"/>
              <w:rPr>
                <w:rFonts w:ascii="Arial Narrow" w:eastAsia="Times New Roman" w:hAnsi="Arial Narrow" w:cs="Calibri"/>
                <w:b/>
                <w:bCs/>
                <w:color w:val="000000"/>
                <w:kern w:val="0"/>
                <w:sz w:val="18"/>
                <w:szCs w:val="18"/>
                <w:lang w:eastAsia="sk-SK"/>
                <w14:ligatures w14:val="none"/>
              </w:rPr>
            </w:pPr>
            <w:r w:rsidRPr="00046B73">
              <w:rPr>
                <w:rFonts w:ascii="Arial Narrow" w:eastAsia="Times New Roman" w:hAnsi="Arial Narrow" w:cs="Calibri"/>
                <w:b/>
                <w:bCs/>
                <w:color w:val="000000"/>
                <w:kern w:val="0"/>
                <w:sz w:val="18"/>
                <w:szCs w:val="18"/>
                <w:lang w:eastAsia="sk-SK"/>
                <w14:ligatures w14:val="none"/>
              </w:rPr>
              <w:t>2026</w:t>
            </w:r>
          </w:p>
        </w:tc>
      </w:tr>
      <w:tr w:rsidR="00057132" w:rsidRPr="00046B73" w14:paraId="6AB154B2" w14:textId="77777777" w:rsidTr="003A0B2F">
        <w:trPr>
          <w:trHeight w:val="289"/>
        </w:trPr>
        <w:tc>
          <w:tcPr>
            <w:tcW w:w="2623" w:type="dxa"/>
            <w:gridSpan w:val="2"/>
            <w:tcBorders>
              <w:top w:val="nil"/>
              <w:left w:val="nil"/>
              <w:bottom w:val="single" w:sz="8" w:space="0" w:color="auto"/>
              <w:right w:val="nil"/>
            </w:tcBorders>
            <w:vAlign w:val="center"/>
            <w:hideMark/>
          </w:tcPr>
          <w:p w14:paraId="42C29209" w14:textId="77777777" w:rsidR="00057132" w:rsidRPr="00046B73" w:rsidRDefault="00057132" w:rsidP="002B1847">
            <w:pPr>
              <w:spacing w:after="0" w:line="240" w:lineRule="auto"/>
              <w:jc w:val="center"/>
              <w:rPr>
                <w:rFonts w:ascii="Arial Narrow" w:eastAsia="Times New Roman" w:hAnsi="Arial Narrow" w:cs="Calibri"/>
                <w:b/>
                <w:bCs/>
                <w:color w:val="2F5496"/>
                <w:kern w:val="0"/>
                <w:sz w:val="18"/>
                <w:szCs w:val="18"/>
                <w:lang w:eastAsia="sk-SK"/>
                <w14:ligatures w14:val="none"/>
              </w:rPr>
            </w:pPr>
            <w:r w:rsidRPr="00046B73">
              <w:rPr>
                <w:rFonts w:ascii="Arial Narrow" w:eastAsia="Times New Roman" w:hAnsi="Arial Narrow" w:cs="Calibri"/>
                <w:b/>
                <w:bCs/>
                <w:color w:val="2F5496"/>
                <w:kern w:val="0"/>
                <w:sz w:val="18"/>
                <w:szCs w:val="18"/>
                <w:lang w:eastAsia="sk-SK"/>
                <w14:ligatures w14:val="none"/>
              </w:rPr>
              <w:t> </w:t>
            </w:r>
          </w:p>
        </w:tc>
        <w:tc>
          <w:tcPr>
            <w:tcW w:w="1056" w:type="dxa"/>
            <w:tcBorders>
              <w:top w:val="nil"/>
              <w:left w:val="nil"/>
              <w:bottom w:val="single" w:sz="8" w:space="0" w:color="auto"/>
              <w:right w:val="nil"/>
            </w:tcBorders>
            <w:vAlign w:val="center"/>
            <w:hideMark/>
          </w:tcPr>
          <w:p w14:paraId="3D692D86" w14:textId="77777777" w:rsidR="00057132" w:rsidRPr="00046B73" w:rsidRDefault="00057132" w:rsidP="002B1847">
            <w:pPr>
              <w:spacing w:after="0" w:line="240" w:lineRule="auto"/>
              <w:jc w:val="center"/>
              <w:rPr>
                <w:rFonts w:ascii="Arial Narrow" w:eastAsia="Times New Roman" w:hAnsi="Arial Narrow" w:cs="Calibri"/>
                <w:b/>
                <w:bCs/>
                <w:i/>
                <w:iCs/>
                <w:color w:val="2F5496"/>
                <w:kern w:val="0"/>
                <w:sz w:val="18"/>
                <w:szCs w:val="18"/>
                <w:lang w:eastAsia="sk-SK"/>
                <w14:ligatures w14:val="none"/>
              </w:rPr>
            </w:pPr>
            <w:r w:rsidRPr="00046B73">
              <w:rPr>
                <w:rFonts w:ascii="Arial Narrow" w:eastAsia="Times New Roman" w:hAnsi="Arial Narrow" w:cs="Calibri"/>
                <w:b/>
                <w:bCs/>
                <w:i/>
                <w:iCs/>
                <w:color w:val="2F5496"/>
                <w:kern w:val="0"/>
                <w:sz w:val="18"/>
                <w:szCs w:val="18"/>
                <w:lang w:eastAsia="sk-SK"/>
                <w14:ligatures w14:val="none"/>
              </w:rPr>
              <w:t> </w:t>
            </w:r>
          </w:p>
        </w:tc>
        <w:tc>
          <w:tcPr>
            <w:tcW w:w="1708" w:type="dxa"/>
            <w:gridSpan w:val="2"/>
            <w:tcBorders>
              <w:top w:val="nil"/>
              <w:left w:val="nil"/>
              <w:bottom w:val="single" w:sz="8" w:space="0" w:color="auto"/>
              <w:right w:val="nil"/>
            </w:tcBorders>
            <w:vAlign w:val="center"/>
            <w:hideMark/>
          </w:tcPr>
          <w:p w14:paraId="070447BF" w14:textId="77777777" w:rsidR="00057132" w:rsidRPr="00046B73" w:rsidRDefault="00057132" w:rsidP="002B1847">
            <w:pPr>
              <w:spacing w:after="0" w:line="240" w:lineRule="auto"/>
              <w:jc w:val="center"/>
              <w:rPr>
                <w:rFonts w:ascii="Arial Narrow" w:eastAsia="Times New Roman" w:hAnsi="Arial Narrow" w:cs="Calibri"/>
                <w:b/>
                <w:bCs/>
                <w:i/>
                <w:iCs/>
                <w:color w:val="2F5496"/>
                <w:kern w:val="0"/>
                <w:sz w:val="18"/>
                <w:szCs w:val="18"/>
                <w:lang w:eastAsia="sk-SK"/>
                <w14:ligatures w14:val="none"/>
              </w:rPr>
            </w:pPr>
            <w:r w:rsidRPr="00046B73">
              <w:rPr>
                <w:rFonts w:ascii="Arial Narrow" w:eastAsia="Times New Roman" w:hAnsi="Arial Narrow" w:cs="Calibri"/>
                <w:b/>
                <w:bCs/>
                <w:i/>
                <w:iCs/>
                <w:color w:val="2F5496"/>
                <w:kern w:val="0"/>
                <w:sz w:val="18"/>
                <w:szCs w:val="18"/>
                <w:lang w:eastAsia="sk-SK"/>
                <w14:ligatures w14:val="none"/>
              </w:rPr>
              <w:t> </w:t>
            </w:r>
          </w:p>
        </w:tc>
        <w:tc>
          <w:tcPr>
            <w:tcW w:w="709" w:type="dxa"/>
            <w:tcBorders>
              <w:top w:val="nil"/>
              <w:left w:val="nil"/>
              <w:bottom w:val="single" w:sz="8" w:space="0" w:color="auto"/>
              <w:right w:val="nil"/>
            </w:tcBorders>
            <w:vAlign w:val="center"/>
            <w:hideMark/>
          </w:tcPr>
          <w:p w14:paraId="4A412A9A" w14:textId="77777777" w:rsidR="00057132" w:rsidRPr="00046B73" w:rsidRDefault="00057132" w:rsidP="002B1847">
            <w:pPr>
              <w:spacing w:after="0" w:line="240" w:lineRule="auto"/>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 </w:t>
            </w:r>
          </w:p>
        </w:tc>
        <w:tc>
          <w:tcPr>
            <w:tcW w:w="708" w:type="dxa"/>
            <w:tcBorders>
              <w:top w:val="nil"/>
              <w:left w:val="nil"/>
              <w:bottom w:val="single" w:sz="8" w:space="0" w:color="auto"/>
              <w:right w:val="nil"/>
            </w:tcBorders>
            <w:vAlign w:val="center"/>
          </w:tcPr>
          <w:p w14:paraId="0D8DD832" w14:textId="77777777"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p>
        </w:tc>
        <w:tc>
          <w:tcPr>
            <w:tcW w:w="709" w:type="dxa"/>
            <w:tcBorders>
              <w:top w:val="nil"/>
              <w:left w:val="nil"/>
              <w:bottom w:val="single" w:sz="8" w:space="0" w:color="auto"/>
              <w:right w:val="nil"/>
            </w:tcBorders>
            <w:vAlign w:val="center"/>
            <w:hideMark/>
          </w:tcPr>
          <w:p w14:paraId="410C22F9" w14:textId="4415A5FE" w:rsidR="00057132" w:rsidRPr="00046B73" w:rsidRDefault="00057132" w:rsidP="002B1847">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 </w:t>
            </w:r>
          </w:p>
        </w:tc>
        <w:tc>
          <w:tcPr>
            <w:tcW w:w="709" w:type="dxa"/>
            <w:tcBorders>
              <w:top w:val="nil"/>
              <w:left w:val="nil"/>
              <w:bottom w:val="single" w:sz="8" w:space="0" w:color="auto"/>
              <w:right w:val="nil"/>
            </w:tcBorders>
            <w:vAlign w:val="center"/>
            <w:hideMark/>
          </w:tcPr>
          <w:p w14:paraId="09A679CF" w14:textId="77777777" w:rsidR="00057132" w:rsidRPr="00046B73" w:rsidRDefault="00057132" w:rsidP="002B1847">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 </w:t>
            </w:r>
          </w:p>
        </w:tc>
        <w:tc>
          <w:tcPr>
            <w:tcW w:w="433" w:type="dxa"/>
            <w:tcBorders>
              <w:top w:val="nil"/>
              <w:left w:val="nil"/>
              <w:bottom w:val="single" w:sz="8" w:space="0" w:color="auto"/>
              <w:right w:val="nil"/>
            </w:tcBorders>
            <w:vAlign w:val="center"/>
            <w:hideMark/>
          </w:tcPr>
          <w:p w14:paraId="529BBB63" w14:textId="77777777" w:rsidR="00057132" w:rsidRPr="00046B73" w:rsidRDefault="00057132" w:rsidP="002B1847">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 </w:t>
            </w:r>
          </w:p>
        </w:tc>
        <w:tc>
          <w:tcPr>
            <w:tcW w:w="276" w:type="dxa"/>
            <w:tcBorders>
              <w:top w:val="nil"/>
              <w:left w:val="nil"/>
              <w:bottom w:val="single" w:sz="8" w:space="0" w:color="auto"/>
              <w:right w:val="nil"/>
            </w:tcBorders>
            <w:vAlign w:val="center"/>
            <w:hideMark/>
          </w:tcPr>
          <w:p w14:paraId="3B709FDA" w14:textId="77777777" w:rsidR="00057132" w:rsidRPr="00046B73" w:rsidRDefault="00057132" w:rsidP="002B1847">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 </w:t>
            </w:r>
          </w:p>
        </w:tc>
      </w:tr>
      <w:tr w:rsidR="00057132" w:rsidRPr="00046B73" w14:paraId="528F0526" w14:textId="77777777" w:rsidTr="003A0B2F">
        <w:trPr>
          <w:trHeight w:val="289"/>
        </w:trPr>
        <w:tc>
          <w:tcPr>
            <w:tcW w:w="4111" w:type="dxa"/>
            <w:gridSpan w:val="4"/>
            <w:tcBorders>
              <w:top w:val="single" w:sz="8" w:space="0" w:color="auto"/>
              <w:left w:val="nil"/>
              <w:bottom w:val="nil"/>
              <w:right w:val="nil"/>
            </w:tcBorders>
            <w:vAlign w:val="center"/>
            <w:hideMark/>
          </w:tcPr>
          <w:p w14:paraId="300B1D16" w14:textId="77777777" w:rsidR="00057132" w:rsidRPr="00046B73" w:rsidRDefault="00057132" w:rsidP="002B1847">
            <w:pPr>
              <w:spacing w:after="0" w:line="240" w:lineRule="auto"/>
              <w:rPr>
                <w:rFonts w:ascii="Arial Narrow" w:eastAsia="Times New Roman" w:hAnsi="Arial Narrow" w:cs="Calibri"/>
                <w:i/>
                <w:iCs/>
                <w:color w:val="2C9ADC"/>
                <w:kern w:val="0"/>
                <w:sz w:val="16"/>
                <w:szCs w:val="16"/>
                <w:lang w:eastAsia="sk-SK"/>
                <w14:ligatures w14:val="none"/>
              </w:rPr>
            </w:pPr>
            <w:r w:rsidRPr="00046B73">
              <w:rPr>
                <w:rFonts w:ascii="Arial Narrow" w:eastAsia="Times New Roman" w:hAnsi="Arial Narrow" w:cs="Calibri"/>
                <w:i/>
                <w:iCs/>
                <w:color w:val="2C9ADC"/>
                <w:kern w:val="0"/>
                <w:sz w:val="16"/>
                <w:szCs w:val="16"/>
                <w:lang w:eastAsia="sk-SK"/>
                <w14:ligatures w14:val="none"/>
              </w:rPr>
              <w:t>Príjmy</w:t>
            </w:r>
          </w:p>
        </w:tc>
        <w:tc>
          <w:tcPr>
            <w:tcW w:w="1276" w:type="dxa"/>
            <w:tcBorders>
              <w:top w:val="nil"/>
              <w:left w:val="nil"/>
              <w:bottom w:val="nil"/>
              <w:right w:val="nil"/>
            </w:tcBorders>
            <w:vAlign w:val="center"/>
            <w:hideMark/>
          </w:tcPr>
          <w:p w14:paraId="3567A877" w14:textId="77777777" w:rsidR="00057132" w:rsidRPr="00046B73" w:rsidRDefault="00057132" w:rsidP="002B1847">
            <w:pPr>
              <w:spacing w:after="0" w:line="240" w:lineRule="auto"/>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ESA kód</w:t>
            </w:r>
          </w:p>
        </w:tc>
        <w:tc>
          <w:tcPr>
            <w:tcW w:w="709" w:type="dxa"/>
            <w:tcBorders>
              <w:top w:val="nil"/>
              <w:left w:val="nil"/>
              <w:bottom w:val="nil"/>
              <w:right w:val="nil"/>
            </w:tcBorders>
            <w:vAlign w:val="center"/>
            <w:hideMark/>
          </w:tcPr>
          <w:p w14:paraId="64B69E0B" w14:textId="77777777" w:rsidR="00057132" w:rsidRPr="00046B73" w:rsidRDefault="00057132" w:rsidP="002B1847">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mld. eur</w:t>
            </w:r>
          </w:p>
        </w:tc>
        <w:tc>
          <w:tcPr>
            <w:tcW w:w="708" w:type="dxa"/>
            <w:tcBorders>
              <w:top w:val="nil"/>
              <w:left w:val="nil"/>
              <w:bottom w:val="nil"/>
              <w:right w:val="nil"/>
            </w:tcBorders>
            <w:vAlign w:val="center"/>
          </w:tcPr>
          <w:p w14:paraId="73E2DDE8" w14:textId="152F9827"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Pr>
                <w:rFonts w:ascii="Arial Narrow" w:eastAsia="Times New Roman" w:hAnsi="Arial Narrow" w:cs="Calibri"/>
                <w:color w:val="2C9ADC"/>
                <w:kern w:val="0"/>
                <w:sz w:val="16"/>
                <w:szCs w:val="16"/>
                <w:lang w:eastAsia="sk-SK"/>
                <w14:ligatures w14:val="none"/>
              </w:rPr>
              <w:t>% HDP</w:t>
            </w:r>
          </w:p>
        </w:tc>
        <w:tc>
          <w:tcPr>
            <w:tcW w:w="709" w:type="dxa"/>
            <w:tcBorders>
              <w:top w:val="nil"/>
              <w:left w:val="nil"/>
              <w:bottom w:val="nil"/>
              <w:right w:val="nil"/>
            </w:tcBorders>
            <w:vAlign w:val="center"/>
            <w:hideMark/>
          </w:tcPr>
          <w:p w14:paraId="4CD9EA68" w14:textId="15AB9E41" w:rsidR="00057132" w:rsidRPr="00046B73" w:rsidRDefault="00057132" w:rsidP="002B1847">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 HDP</w:t>
            </w:r>
          </w:p>
        </w:tc>
        <w:tc>
          <w:tcPr>
            <w:tcW w:w="709" w:type="dxa"/>
            <w:tcBorders>
              <w:top w:val="nil"/>
              <w:left w:val="nil"/>
              <w:bottom w:val="nil"/>
              <w:right w:val="nil"/>
            </w:tcBorders>
            <w:vAlign w:val="center"/>
            <w:hideMark/>
          </w:tcPr>
          <w:p w14:paraId="5F026C86" w14:textId="77777777" w:rsidR="00057132" w:rsidRPr="00046B73" w:rsidRDefault="00057132" w:rsidP="002B1847">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 HDP</w:t>
            </w:r>
          </w:p>
        </w:tc>
        <w:tc>
          <w:tcPr>
            <w:tcW w:w="709" w:type="dxa"/>
            <w:gridSpan w:val="2"/>
            <w:tcBorders>
              <w:top w:val="nil"/>
              <w:left w:val="nil"/>
              <w:bottom w:val="nil"/>
              <w:right w:val="nil"/>
            </w:tcBorders>
            <w:vAlign w:val="center"/>
            <w:hideMark/>
          </w:tcPr>
          <w:p w14:paraId="7B0A3B39" w14:textId="77777777" w:rsidR="00057132" w:rsidRPr="00046B73" w:rsidRDefault="00057132" w:rsidP="002B1847">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 HDP</w:t>
            </w:r>
          </w:p>
        </w:tc>
      </w:tr>
      <w:tr w:rsidR="00057132" w:rsidRPr="00046B73" w14:paraId="15984473" w14:textId="77777777" w:rsidTr="003A0B2F">
        <w:trPr>
          <w:trHeight w:val="289"/>
        </w:trPr>
        <w:tc>
          <w:tcPr>
            <w:tcW w:w="450" w:type="dxa"/>
            <w:tcBorders>
              <w:top w:val="nil"/>
              <w:left w:val="nil"/>
              <w:bottom w:val="nil"/>
              <w:right w:val="nil"/>
            </w:tcBorders>
            <w:shd w:val="clear" w:color="000000" w:fill="DDEBF7"/>
            <w:vAlign w:val="center"/>
            <w:hideMark/>
          </w:tcPr>
          <w:p w14:paraId="53C55DFE"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1</w:t>
            </w:r>
          </w:p>
        </w:tc>
        <w:tc>
          <w:tcPr>
            <w:tcW w:w="3661" w:type="dxa"/>
            <w:gridSpan w:val="3"/>
            <w:tcBorders>
              <w:top w:val="nil"/>
              <w:left w:val="nil"/>
              <w:bottom w:val="nil"/>
              <w:right w:val="nil"/>
            </w:tcBorders>
            <w:shd w:val="clear" w:color="000000" w:fill="DDEBF7"/>
            <w:vAlign w:val="center"/>
            <w:hideMark/>
          </w:tcPr>
          <w:p w14:paraId="55B3B549"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Dane na produkciu a import</w:t>
            </w:r>
          </w:p>
        </w:tc>
        <w:tc>
          <w:tcPr>
            <w:tcW w:w="1276" w:type="dxa"/>
            <w:tcBorders>
              <w:top w:val="nil"/>
              <w:left w:val="nil"/>
              <w:bottom w:val="nil"/>
              <w:right w:val="nil"/>
            </w:tcBorders>
            <w:shd w:val="clear" w:color="000000" w:fill="DDEBF7"/>
            <w:vAlign w:val="center"/>
            <w:hideMark/>
          </w:tcPr>
          <w:p w14:paraId="6A3E8D74"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D.2</w:t>
            </w:r>
          </w:p>
        </w:tc>
        <w:tc>
          <w:tcPr>
            <w:tcW w:w="709" w:type="dxa"/>
            <w:tcBorders>
              <w:top w:val="nil"/>
              <w:left w:val="nil"/>
              <w:bottom w:val="nil"/>
              <w:right w:val="nil"/>
            </w:tcBorders>
            <w:shd w:val="clear" w:color="000000" w:fill="DDEBF7"/>
            <w:vAlign w:val="center"/>
            <w:hideMark/>
          </w:tcPr>
          <w:p w14:paraId="7CC59678" w14:textId="4031C27B"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14,9</w:t>
            </w:r>
          </w:p>
        </w:tc>
        <w:tc>
          <w:tcPr>
            <w:tcW w:w="708" w:type="dxa"/>
            <w:tcBorders>
              <w:top w:val="nil"/>
              <w:left w:val="nil"/>
              <w:bottom w:val="nil"/>
              <w:right w:val="nil"/>
            </w:tcBorders>
            <w:shd w:val="clear" w:color="000000" w:fill="DDEBF7"/>
            <w:vAlign w:val="center"/>
          </w:tcPr>
          <w:p w14:paraId="6BEC0D0E" w14:textId="3B6A336D" w:rsidR="00057132" w:rsidRPr="00046B73" w:rsidRDefault="00057132"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12,0</w:t>
            </w:r>
          </w:p>
        </w:tc>
        <w:tc>
          <w:tcPr>
            <w:tcW w:w="709" w:type="dxa"/>
            <w:tcBorders>
              <w:top w:val="nil"/>
              <w:left w:val="nil"/>
              <w:bottom w:val="nil"/>
              <w:right w:val="nil"/>
            </w:tcBorders>
            <w:shd w:val="clear" w:color="000000" w:fill="DDEBF7"/>
            <w:vAlign w:val="center"/>
            <w:hideMark/>
          </w:tcPr>
          <w:p w14:paraId="432A790C" w14:textId="6167F342"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11,6</w:t>
            </w:r>
          </w:p>
        </w:tc>
        <w:tc>
          <w:tcPr>
            <w:tcW w:w="709" w:type="dxa"/>
            <w:tcBorders>
              <w:top w:val="nil"/>
              <w:left w:val="nil"/>
              <w:bottom w:val="nil"/>
              <w:right w:val="nil"/>
            </w:tcBorders>
            <w:shd w:val="clear" w:color="000000" w:fill="DDEBF7"/>
            <w:vAlign w:val="center"/>
            <w:hideMark/>
          </w:tcPr>
          <w:p w14:paraId="4F729A26" w14:textId="7CADC627"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12,0</w:t>
            </w:r>
          </w:p>
        </w:tc>
        <w:tc>
          <w:tcPr>
            <w:tcW w:w="709" w:type="dxa"/>
            <w:gridSpan w:val="2"/>
            <w:tcBorders>
              <w:top w:val="nil"/>
              <w:left w:val="nil"/>
              <w:bottom w:val="nil"/>
              <w:right w:val="nil"/>
            </w:tcBorders>
            <w:shd w:val="clear" w:color="000000" w:fill="DDEBF7"/>
            <w:vAlign w:val="center"/>
            <w:hideMark/>
          </w:tcPr>
          <w:p w14:paraId="7A908702" w14:textId="26460066"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12,1</w:t>
            </w:r>
          </w:p>
        </w:tc>
      </w:tr>
      <w:tr w:rsidR="00057132" w:rsidRPr="00046B73" w14:paraId="7D84EA54" w14:textId="77777777" w:rsidTr="003A0B2F">
        <w:trPr>
          <w:trHeight w:val="289"/>
        </w:trPr>
        <w:tc>
          <w:tcPr>
            <w:tcW w:w="450" w:type="dxa"/>
            <w:tcBorders>
              <w:top w:val="nil"/>
              <w:left w:val="nil"/>
              <w:bottom w:val="nil"/>
              <w:right w:val="nil"/>
            </w:tcBorders>
            <w:shd w:val="clear" w:color="000000" w:fill="DDEBF7"/>
            <w:vAlign w:val="center"/>
            <w:hideMark/>
          </w:tcPr>
          <w:p w14:paraId="0D86B8D6"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2</w:t>
            </w:r>
          </w:p>
        </w:tc>
        <w:tc>
          <w:tcPr>
            <w:tcW w:w="3661" w:type="dxa"/>
            <w:gridSpan w:val="3"/>
            <w:tcBorders>
              <w:top w:val="nil"/>
              <w:left w:val="nil"/>
              <w:bottom w:val="nil"/>
              <w:right w:val="nil"/>
            </w:tcBorders>
            <w:shd w:val="clear" w:color="000000" w:fill="DDEBF7"/>
            <w:vAlign w:val="center"/>
            <w:hideMark/>
          </w:tcPr>
          <w:p w14:paraId="046DA10B"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Bežné dane z príjmu a bohatstva</w:t>
            </w:r>
          </w:p>
        </w:tc>
        <w:tc>
          <w:tcPr>
            <w:tcW w:w="1276" w:type="dxa"/>
            <w:tcBorders>
              <w:top w:val="nil"/>
              <w:left w:val="nil"/>
              <w:bottom w:val="nil"/>
              <w:right w:val="nil"/>
            </w:tcBorders>
            <w:shd w:val="clear" w:color="000000" w:fill="DDEBF7"/>
            <w:vAlign w:val="center"/>
            <w:hideMark/>
          </w:tcPr>
          <w:p w14:paraId="7CC7D86B"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D.5</w:t>
            </w:r>
          </w:p>
        </w:tc>
        <w:tc>
          <w:tcPr>
            <w:tcW w:w="709" w:type="dxa"/>
            <w:tcBorders>
              <w:top w:val="nil"/>
              <w:left w:val="nil"/>
              <w:bottom w:val="nil"/>
              <w:right w:val="nil"/>
            </w:tcBorders>
            <w:shd w:val="clear" w:color="000000" w:fill="DDEBF7"/>
            <w:vAlign w:val="center"/>
            <w:hideMark/>
          </w:tcPr>
          <w:p w14:paraId="19C66E45" w14:textId="3E08FD7C"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9,7</w:t>
            </w:r>
          </w:p>
        </w:tc>
        <w:tc>
          <w:tcPr>
            <w:tcW w:w="708" w:type="dxa"/>
            <w:tcBorders>
              <w:top w:val="nil"/>
              <w:left w:val="nil"/>
              <w:bottom w:val="nil"/>
              <w:right w:val="nil"/>
            </w:tcBorders>
            <w:shd w:val="clear" w:color="000000" w:fill="DDEBF7"/>
            <w:vAlign w:val="center"/>
          </w:tcPr>
          <w:p w14:paraId="60E321F1" w14:textId="6D3671F1" w:rsidR="00057132" w:rsidRPr="00046B73" w:rsidRDefault="00057132"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7,9</w:t>
            </w:r>
          </w:p>
        </w:tc>
        <w:tc>
          <w:tcPr>
            <w:tcW w:w="709" w:type="dxa"/>
            <w:tcBorders>
              <w:top w:val="nil"/>
              <w:left w:val="nil"/>
              <w:bottom w:val="nil"/>
              <w:right w:val="nil"/>
            </w:tcBorders>
            <w:shd w:val="clear" w:color="000000" w:fill="DDEBF7"/>
            <w:vAlign w:val="center"/>
            <w:hideMark/>
          </w:tcPr>
          <w:p w14:paraId="6C810808" w14:textId="59BDC95F"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8,2</w:t>
            </w:r>
          </w:p>
        </w:tc>
        <w:tc>
          <w:tcPr>
            <w:tcW w:w="709" w:type="dxa"/>
            <w:tcBorders>
              <w:top w:val="nil"/>
              <w:left w:val="nil"/>
              <w:bottom w:val="nil"/>
              <w:right w:val="nil"/>
            </w:tcBorders>
            <w:shd w:val="clear" w:color="000000" w:fill="DDEBF7"/>
            <w:vAlign w:val="center"/>
            <w:hideMark/>
          </w:tcPr>
          <w:p w14:paraId="2D1E193D" w14:textId="4139E6D0"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8,2</w:t>
            </w:r>
          </w:p>
        </w:tc>
        <w:tc>
          <w:tcPr>
            <w:tcW w:w="709" w:type="dxa"/>
            <w:gridSpan w:val="2"/>
            <w:tcBorders>
              <w:top w:val="nil"/>
              <w:left w:val="nil"/>
              <w:bottom w:val="nil"/>
              <w:right w:val="nil"/>
            </w:tcBorders>
            <w:shd w:val="clear" w:color="000000" w:fill="DDEBF7"/>
            <w:vAlign w:val="center"/>
            <w:hideMark/>
          </w:tcPr>
          <w:p w14:paraId="76BAF639" w14:textId="143DCF85"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8,2</w:t>
            </w:r>
          </w:p>
        </w:tc>
      </w:tr>
      <w:tr w:rsidR="00057132" w:rsidRPr="00046B73" w14:paraId="49ECC2EB" w14:textId="77777777" w:rsidTr="003A0B2F">
        <w:trPr>
          <w:trHeight w:val="289"/>
        </w:trPr>
        <w:tc>
          <w:tcPr>
            <w:tcW w:w="450" w:type="dxa"/>
            <w:tcBorders>
              <w:top w:val="nil"/>
              <w:left w:val="nil"/>
              <w:bottom w:val="nil"/>
              <w:right w:val="nil"/>
            </w:tcBorders>
            <w:shd w:val="clear" w:color="000000" w:fill="DDEBF7"/>
            <w:vAlign w:val="center"/>
            <w:hideMark/>
          </w:tcPr>
          <w:p w14:paraId="6F1EA202"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3</w:t>
            </w:r>
          </w:p>
        </w:tc>
        <w:tc>
          <w:tcPr>
            <w:tcW w:w="3661" w:type="dxa"/>
            <w:gridSpan w:val="3"/>
            <w:tcBorders>
              <w:top w:val="nil"/>
              <w:left w:val="nil"/>
              <w:bottom w:val="nil"/>
              <w:right w:val="nil"/>
            </w:tcBorders>
            <w:shd w:val="clear" w:color="000000" w:fill="DDEBF7"/>
            <w:vAlign w:val="center"/>
            <w:hideMark/>
          </w:tcPr>
          <w:p w14:paraId="053A0C8F"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Sociálne odvody</w:t>
            </w:r>
          </w:p>
        </w:tc>
        <w:tc>
          <w:tcPr>
            <w:tcW w:w="1276" w:type="dxa"/>
            <w:tcBorders>
              <w:top w:val="nil"/>
              <w:left w:val="nil"/>
              <w:bottom w:val="nil"/>
              <w:right w:val="nil"/>
            </w:tcBorders>
            <w:shd w:val="clear" w:color="000000" w:fill="DDEBF7"/>
            <w:vAlign w:val="center"/>
            <w:hideMark/>
          </w:tcPr>
          <w:p w14:paraId="1F0077BC"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D.61</w:t>
            </w:r>
          </w:p>
        </w:tc>
        <w:tc>
          <w:tcPr>
            <w:tcW w:w="709" w:type="dxa"/>
            <w:tcBorders>
              <w:top w:val="nil"/>
              <w:left w:val="nil"/>
              <w:bottom w:val="nil"/>
              <w:right w:val="nil"/>
            </w:tcBorders>
            <w:shd w:val="clear" w:color="000000" w:fill="DDEBF7"/>
            <w:vAlign w:val="center"/>
            <w:hideMark/>
          </w:tcPr>
          <w:p w14:paraId="6FFE1A18" w14:textId="00862148"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18,9</w:t>
            </w:r>
          </w:p>
        </w:tc>
        <w:tc>
          <w:tcPr>
            <w:tcW w:w="708" w:type="dxa"/>
            <w:tcBorders>
              <w:top w:val="nil"/>
              <w:left w:val="nil"/>
              <w:bottom w:val="nil"/>
              <w:right w:val="nil"/>
            </w:tcBorders>
            <w:shd w:val="clear" w:color="000000" w:fill="DDEBF7"/>
            <w:vAlign w:val="center"/>
          </w:tcPr>
          <w:p w14:paraId="25B0DEEB" w14:textId="2EABA19D" w:rsidR="00057132" w:rsidRPr="00046B73" w:rsidRDefault="00057132"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15,3</w:t>
            </w:r>
          </w:p>
        </w:tc>
        <w:tc>
          <w:tcPr>
            <w:tcW w:w="709" w:type="dxa"/>
            <w:tcBorders>
              <w:top w:val="nil"/>
              <w:left w:val="nil"/>
              <w:bottom w:val="nil"/>
              <w:right w:val="nil"/>
            </w:tcBorders>
            <w:shd w:val="clear" w:color="000000" w:fill="DDEBF7"/>
            <w:vAlign w:val="center"/>
            <w:hideMark/>
          </w:tcPr>
          <w:p w14:paraId="023C10C5" w14:textId="049A11FE"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16,1</w:t>
            </w:r>
          </w:p>
        </w:tc>
        <w:tc>
          <w:tcPr>
            <w:tcW w:w="709" w:type="dxa"/>
            <w:tcBorders>
              <w:top w:val="nil"/>
              <w:left w:val="nil"/>
              <w:bottom w:val="nil"/>
              <w:right w:val="nil"/>
            </w:tcBorders>
            <w:shd w:val="clear" w:color="000000" w:fill="DDEBF7"/>
            <w:vAlign w:val="center"/>
            <w:hideMark/>
          </w:tcPr>
          <w:p w14:paraId="555C0765" w14:textId="67D3653E"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16,4</w:t>
            </w:r>
          </w:p>
        </w:tc>
        <w:tc>
          <w:tcPr>
            <w:tcW w:w="709" w:type="dxa"/>
            <w:gridSpan w:val="2"/>
            <w:tcBorders>
              <w:top w:val="nil"/>
              <w:left w:val="nil"/>
              <w:bottom w:val="nil"/>
              <w:right w:val="nil"/>
            </w:tcBorders>
            <w:shd w:val="clear" w:color="000000" w:fill="DDEBF7"/>
            <w:vAlign w:val="center"/>
            <w:hideMark/>
          </w:tcPr>
          <w:p w14:paraId="46947F84" w14:textId="30B2384C"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16,0</w:t>
            </w:r>
          </w:p>
        </w:tc>
      </w:tr>
      <w:tr w:rsidR="00057132" w:rsidRPr="00046B73" w14:paraId="1B14FBEA" w14:textId="77777777" w:rsidTr="003A0B2F">
        <w:trPr>
          <w:trHeight w:val="510"/>
        </w:trPr>
        <w:tc>
          <w:tcPr>
            <w:tcW w:w="450" w:type="dxa"/>
            <w:tcBorders>
              <w:top w:val="nil"/>
              <w:left w:val="nil"/>
              <w:bottom w:val="nil"/>
              <w:right w:val="nil"/>
            </w:tcBorders>
            <w:shd w:val="clear" w:color="000000" w:fill="DDEBF7"/>
            <w:vAlign w:val="center"/>
            <w:hideMark/>
          </w:tcPr>
          <w:p w14:paraId="1AFE94A7"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4</w:t>
            </w:r>
          </w:p>
        </w:tc>
        <w:tc>
          <w:tcPr>
            <w:tcW w:w="3661" w:type="dxa"/>
            <w:gridSpan w:val="3"/>
            <w:tcBorders>
              <w:top w:val="nil"/>
              <w:left w:val="nil"/>
              <w:bottom w:val="nil"/>
              <w:right w:val="nil"/>
            </w:tcBorders>
            <w:shd w:val="clear" w:color="000000" w:fill="DDEBF7"/>
            <w:vAlign w:val="center"/>
            <w:hideMark/>
          </w:tcPr>
          <w:p w14:paraId="339997FF"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Ostatné bežné príjmy</w:t>
            </w:r>
          </w:p>
        </w:tc>
        <w:tc>
          <w:tcPr>
            <w:tcW w:w="1276" w:type="dxa"/>
            <w:tcBorders>
              <w:top w:val="nil"/>
              <w:left w:val="nil"/>
              <w:bottom w:val="nil"/>
              <w:right w:val="nil"/>
            </w:tcBorders>
            <w:shd w:val="clear" w:color="000000" w:fill="DDEBF7"/>
            <w:vAlign w:val="center"/>
            <w:hideMark/>
          </w:tcPr>
          <w:p w14:paraId="2668D67F"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P.11+P.12+P.131</w:t>
            </w:r>
          </w:p>
          <w:p w14:paraId="1EF99D35"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+D.39+D.4+D.7</w:t>
            </w:r>
          </w:p>
        </w:tc>
        <w:tc>
          <w:tcPr>
            <w:tcW w:w="709" w:type="dxa"/>
            <w:tcBorders>
              <w:top w:val="nil"/>
              <w:left w:val="nil"/>
              <w:bottom w:val="nil"/>
              <w:right w:val="nil"/>
            </w:tcBorders>
            <w:shd w:val="clear" w:color="000000" w:fill="DDEBF7"/>
            <w:vAlign w:val="center"/>
            <w:hideMark/>
          </w:tcPr>
          <w:p w14:paraId="6910B046" w14:textId="39DF4DC0"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7,1</w:t>
            </w:r>
          </w:p>
        </w:tc>
        <w:tc>
          <w:tcPr>
            <w:tcW w:w="708" w:type="dxa"/>
            <w:tcBorders>
              <w:top w:val="nil"/>
              <w:left w:val="nil"/>
              <w:bottom w:val="nil"/>
              <w:right w:val="nil"/>
            </w:tcBorders>
            <w:shd w:val="clear" w:color="000000" w:fill="DDEBF7"/>
            <w:vAlign w:val="center"/>
          </w:tcPr>
          <w:p w14:paraId="6948E1A5" w14:textId="389B66BE" w:rsidR="00057132" w:rsidRPr="00046B73" w:rsidRDefault="00057132"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5,8</w:t>
            </w:r>
          </w:p>
        </w:tc>
        <w:tc>
          <w:tcPr>
            <w:tcW w:w="709" w:type="dxa"/>
            <w:tcBorders>
              <w:top w:val="nil"/>
              <w:left w:val="nil"/>
              <w:bottom w:val="nil"/>
              <w:right w:val="nil"/>
            </w:tcBorders>
            <w:shd w:val="clear" w:color="000000" w:fill="DDEBF7"/>
            <w:vAlign w:val="center"/>
            <w:hideMark/>
          </w:tcPr>
          <w:p w14:paraId="40476C35" w14:textId="0D64A634"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5,5</w:t>
            </w:r>
          </w:p>
        </w:tc>
        <w:tc>
          <w:tcPr>
            <w:tcW w:w="709" w:type="dxa"/>
            <w:tcBorders>
              <w:top w:val="nil"/>
              <w:left w:val="nil"/>
              <w:bottom w:val="nil"/>
              <w:right w:val="nil"/>
            </w:tcBorders>
            <w:shd w:val="clear" w:color="000000" w:fill="DDEBF7"/>
            <w:vAlign w:val="center"/>
            <w:hideMark/>
          </w:tcPr>
          <w:p w14:paraId="0F0F13FC" w14:textId="579A95F7"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5,5</w:t>
            </w:r>
          </w:p>
        </w:tc>
        <w:tc>
          <w:tcPr>
            <w:tcW w:w="709" w:type="dxa"/>
            <w:gridSpan w:val="2"/>
            <w:tcBorders>
              <w:top w:val="nil"/>
              <w:left w:val="nil"/>
              <w:bottom w:val="nil"/>
              <w:right w:val="nil"/>
            </w:tcBorders>
            <w:shd w:val="clear" w:color="000000" w:fill="DDEBF7"/>
            <w:vAlign w:val="center"/>
            <w:hideMark/>
          </w:tcPr>
          <w:p w14:paraId="507E5F25" w14:textId="78BE1E11"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7,0</w:t>
            </w:r>
          </w:p>
        </w:tc>
      </w:tr>
      <w:tr w:rsidR="00057132" w:rsidRPr="00046B73" w14:paraId="0248C8BE" w14:textId="77777777" w:rsidTr="003A0B2F">
        <w:trPr>
          <w:trHeight w:val="289"/>
        </w:trPr>
        <w:tc>
          <w:tcPr>
            <w:tcW w:w="450" w:type="dxa"/>
            <w:tcBorders>
              <w:top w:val="nil"/>
              <w:left w:val="nil"/>
              <w:bottom w:val="nil"/>
              <w:right w:val="nil"/>
            </w:tcBorders>
            <w:shd w:val="clear" w:color="000000" w:fill="DDEBF7"/>
            <w:vAlign w:val="center"/>
            <w:hideMark/>
          </w:tcPr>
          <w:p w14:paraId="0F1101F3"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5</w:t>
            </w:r>
          </w:p>
        </w:tc>
        <w:tc>
          <w:tcPr>
            <w:tcW w:w="3661" w:type="dxa"/>
            <w:gridSpan w:val="3"/>
            <w:tcBorders>
              <w:top w:val="nil"/>
              <w:left w:val="nil"/>
              <w:bottom w:val="nil"/>
              <w:right w:val="nil"/>
            </w:tcBorders>
            <w:shd w:val="clear" w:color="000000" w:fill="DDEBF7"/>
            <w:vAlign w:val="center"/>
            <w:hideMark/>
          </w:tcPr>
          <w:p w14:paraId="1A8474C3"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Kapitálové dane</w:t>
            </w:r>
          </w:p>
        </w:tc>
        <w:tc>
          <w:tcPr>
            <w:tcW w:w="1276" w:type="dxa"/>
            <w:tcBorders>
              <w:top w:val="nil"/>
              <w:left w:val="nil"/>
              <w:bottom w:val="nil"/>
              <w:right w:val="nil"/>
            </w:tcBorders>
            <w:shd w:val="clear" w:color="000000" w:fill="DDEBF7"/>
            <w:vAlign w:val="center"/>
            <w:hideMark/>
          </w:tcPr>
          <w:p w14:paraId="66801A21"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D.91</w:t>
            </w:r>
          </w:p>
        </w:tc>
        <w:tc>
          <w:tcPr>
            <w:tcW w:w="709" w:type="dxa"/>
            <w:tcBorders>
              <w:top w:val="nil"/>
              <w:left w:val="nil"/>
              <w:bottom w:val="nil"/>
              <w:right w:val="nil"/>
            </w:tcBorders>
            <w:shd w:val="clear" w:color="000000" w:fill="DDEBF7"/>
            <w:vAlign w:val="center"/>
            <w:hideMark/>
          </w:tcPr>
          <w:p w14:paraId="5B775428" w14:textId="4925CE4C"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0,0</w:t>
            </w:r>
          </w:p>
        </w:tc>
        <w:tc>
          <w:tcPr>
            <w:tcW w:w="708" w:type="dxa"/>
            <w:tcBorders>
              <w:top w:val="nil"/>
              <w:left w:val="nil"/>
              <w:bottom w:val="nil"/>
              <w:right w:val="nil"/>
            </w:tcBorders>
            <w:shd w:val="clear" w:color="000000" w:fill="DDEBF7"/>
            <w:vAlign w:val="center"/>
          </w:tcPr>
          <w:p w14:paraId="651DE1A0" w14:textId="7BBC3FE8" w:rsidR="00057132" w:rsidRPr="00046B73" w:rsidRDefault="00057132"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0,0</w:t>
            </w:r>
          </w:p>
        </w:tc>
        <w:tc>
          <w:tcPr>
            <w:tcW w:w="709" w:type="dxa"/>
            <w:tcBorders>
              <w:top w:val="nil"/>
              <w:left w:val="nil"/>
              <w:bottom w:val="nil"/>
              <w:right w:val="nil"/>
            </w:tcBorders>
            <w:shd w:val="clear" w:color="000000" w:fill="DDEBF7"/>
            <w:vAlign w:val="center"/>
            <w:hideMark/>
          </w:tcPr>
          <w:p w14:paraId="0BE45927" w14:textId="2C055F18"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0,0</w:t>
            </w:r>
          </w:p>
        </w:tc>
        <w:tc>
          <w:tcPr>
            <w:tcW w:w="709" w:type="dxa"/>
            <w:tcBorders>
              <w:top w:val="nil"/>
              <w:left w:val="nil"/>
              <w:bottom w:val="nil"/>
              <w:right w:val="nil"/>
            </w:tcBorders>
            <w:shd w:val="clear" w:color="000000" w:fill="DDEBF7"/>
            <w:vAlign w:val="center"/>
            <w:hideMark/>
          </w:tcPr>
          <w:p w14:paraId="523CDFBE" w14:textId="63951AE9"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0,0</w:t>
            </w:r>
          </w:p>
        </w:tc>
        <w:tc>
          <w:tcPr>
            <w:tcW w:w="709" w:type="dxa"/>
            <w:gridSpan w:val="2"/>
            <w:tcBorders>
              <w:top w:val="nil"/>
              <w:left w:val="nil"/>
              <w:bottom w:val="nil"/>
              <w:right w:val="nil"/>
            </w:tcBorders>
            <w:shd w:val="clear" w:color="000000" w:fill="DDEBF7"/>
            <w:vAlign w:val="center"/>
            <w:hideMark/>
          </w:tcPr>
          <w:p w14:paraId="04606D2B" w14:textId="3D959C0E"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0,0</w:t>
            </w:r>
          </w:p>
        </w:tc>
      </w:tr>
      <w:tr w:rsidR="00057132" w:rsidRPr="00046B73" w14:paraId="320A1DB8" w14:textId="77777777" w:rsidTr="003A0B2F">
        <w:trPr>
          <w:trHeight w:val="289"/>
        </w:trPr>
        <w:tc>
          <w:tcPr>
            <w:tcW w:w="450" w:type="dxa"/>
            <w:tcBorders>
              <w:top w:val="nil"/>
              <w:left w:val="nil"/>
              <w:bottom w:val="nil"/>
              <w:right w:val="nil"/>
            </w:tcBorders>
            <w:shd w:val="clear" w:color="000000" w:fill="DDEBF7"/>
            <w:vAlign w:val="center"/>
            <w:hideMark/>
          </w:tcPr>
          <w:p w14:paraId="3D49C464"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6</w:t>
            </w:r>
          </w:p>
        </w:tc>
        <w:tc>
          <w:tcPr>
            <w:tcW w:w="3661" w:type="dxa"/>
            <w:gridSpan w:val="3"/>
            <w:tcBorders>
              <w:top w:val="nil"/>
              <w:left w:val="nil"/>
              <w:bottom w:val="nil"/>
              <w:right w:val="nil"/>
            </w:tcBorders>
            <w:shd w:val="clear" w:color="000000" w:fill="DDEBF7"/>
            <w:vAlign w:val="center"/>
            <w:hideMark/>
          </w:tcPr>
          <w:p w14:paraId="51FFFFFA"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Ostatné kapitálové príjmy</w:t>
            </w:r>
          </w:p>
        </w:tc>
        <w:tc>
          <w:tcPr>
            <w:tcW w:w="1276" w:type="dxa"/>
            <w:tcBorders>
              <w:top w:val="nil"/>
              <w:left w:val="nil"/>
              <w:bottom w:val="nil"/>
              <w:right w:val="nil"/>
            </w:tcBorders>
            <w:shd w:val="clear" w:color="000000" w:fill="DDEBF7"/>
            <w:vAlign w:val="center"/>
            <w:hideMark/>
          </w:tcPr>
          <w:p w14:paraId="650C0DE2"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D.92+D..99</w:t>
            </w:r>
          </w:p>
        </w:tc>
        <w:tc>
          <w:tcPr>
            <w:tcW w:w="709" w:type="dxa"/>
            <w:tcBorders>
              <w:top w:val="nil"/>
              <w:left w:val="nil"/>
              <w:bottom w:val="nil"/>
              <w:right w:val="nil"/>
            </w:tcBorders>
            <w:shd w:val="clear" w:color="000000" w:fill="DDEBF7"/>
            <w:vAlign w:val="center"/>
            <w:hideMark/>
          </w:tcPr>
          <w:p w14:paraId="1A7D7ECE" w14:textId="790954F1" w:rsidR="00057132" w:rsidRPr="00046B73" w:rsidRDefault="009B57B3"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2,6</w:t>
            </w:r>
          </w:p>
        </w:tc>
        <w:tc>
          <w:tcPr>
            <w:tcW w:w="708" w:type="dxa"/>
            <w:tcBorders>
              <w:top w:val="nil"/>
              <w:left w:val="nil"/>
              <w:bottom w:val="nil"/>
              <w:right w:val="nil"/>
            </w:tcBorders>
            <w:shd w:val="clear" w:color="000000" w:fill="DDEBF7"/>
            <w:vAlign w:val="center"/>
          </w:tcPr>
          <w:p w14:paraId="442BE63C" w14:textId="59DAA692" w:rsidR="00057132" w:rsidRPr="00046B73" w:rsidRDefault="00057132"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2,</w:t>
            </w:r>
            <w:r w:rsidR="009B57B3">
              <w:rPr>
                <w:rFonts w:ascii="Arial Narrow" w:hAnsi="Arial Narrow" w:cs="Calibri"/>
                <w:color w:val="000000"/>
                <w:sz w:val="16"/>
                <w:szCs w:val="16"/>
              </w:rPr>
              <w:t>1</w:t>
            </w:r>
          </w:p>
        </w:tc>
        <w:tc>
          <w:tcPr>
            <w:tcW w:w="709" w:type="dxa"/>
            <w:tcBorders>
              <w:top w:val="nil"/>
              <w:left w:val="nil"/>
              <w:bottom w:val="nil"/>
              <w:right w:val="nil"/>
            </w:tcBorders>
            <w:shd w:val="clear" w:color="000000" w:fill="DDEBF7"/>
            <w:vAlign w:val="center"/>
            <w:hideMark/>
          </w:tcPr>
          <w:p w14:paraId="5B76674C" w14:textId="4665A306"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0,7</w:t>
            </w:r>
          </w:p>
        </w:tc>
        <w:tc>
          <w:tcPr>
            <w:tcW w:w="709" w:type="dxa"/>
            <w:tcBorders>
              <w:top w:val="nil"/>
              <w:left w:val="nil"/>
              <w:bottom w:val="nil"/>
              <w:right w:val="nil"/>
            </w:tcBorders>
            <w:shd w:val="clear" w:color="000000" w:fill="DDEBF7"/>
            <w:vAlign w:val="center"/>
            <w:hideMark/>
          </w:tcPr>
          <w:p w14:paraId="6865ACDE" w14:textId="0A4D2B6E"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1,5</w:t>
            </w:r>
          </w:p>
        </w:tc>
        <w:tc>
          <w:tcPr>
            <w:tcW w:w="709" w:type="dxa"/>
            <w:gridSpan w:val="2"/>
            <w:tcBorders>
              <w:top w:val="nil"/>
              <w:left w:val="nil"/>
              <w:bottom w:val="nil"/>
              <w:right w:val="nil"/>
            </w:tcBorders>
            <w:shd w:val="clear" w:color="000000" w:fill="DDEBF7"/>
            <w:vAlign w:val="center"/>
            <w:hideMark/>
          </w:tcPr>
          <w:p w14:paraId="1FA5ADD2" w14:textId="6DCDF2F2"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0,5</w:t>
            </w:r>
          </w:p>
        </w:tc>
      </w:tr>
      <w:tr w:rsidR="00057132" w:rsidRPr="00046B73" w14:paraId="5D9E7868" w14:textId="77777777" w:rsidTr="003A0B2F">
        <w:trPr>
          <w:trHeight w:val="289"/>
        </w:trPr>
        <w:tc>
          <w:tcPr>
            <w:tcW w:w="450" w:type="dxa"/>
            <w:tcBorders>
              <w:top w:val="nil"/>
              <w:left w:val="nil"/>
              <w:bottom w:val="nil"/>
              <w:right w:val="nil"/>
            </w:tcBorders>
            <w:shd w:val="clear" w:color="000000" w:fill="DDEBF7"/>
            <w:vAlign w:val="center"/>
            <w:hideMark/>
          </w:tcPr>
          <w:p w14:paraId="4922D9CF"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7</w:t>
            </w:r>
          </w:p>
        </w:tc>
        <w:tc>
          <w:tcPr>
            <w:tcW w:w="3661" w:type="dxa"/>
            <w:gridSpan w:val="3"/>
            <w:tcBorders>
              <w:top w:val="nil"/>
              <w:left w:val="nil"/>
              <w:bottom w:val="nil"/>
              <w:right w:val="nil"/>
            </w:tcBorders>
            <w:shd w:val="clear" w:color="000000" w:fill="DDEBF7"/>
            <w:vAlign w:val="center"/>
            <w:hideMark/>
          </w:tcPr>
          <w:p w14:paraId="590ABC5B"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Príjmy spolu (= 1+2+3+4+5+6)</w:t>
            </w:r>
          </w:p>
        </w:tc>
        <w:tc>
          <w:tcPr>
            <w:tcW w:w="1276" w:type="dxa"/>
            <w:tcBorders>
              <w:top w:val="nil"/>
              <w:left w:val="nil"/>
              <w:bottom w:val="nil"/>
              <w:right w:val="nil"/>
            </w:tcBorders>
            <w:shd w:val="clear" w:color="000000" w:fill="DDEBF7"/>
            <w:vAlign w:val="center"/>
            <w:hideMark/>
          </w:tcPr>
          <w:p w14:paraId="0BE8C6F4"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TR</w:t>
            </w:r>
          </w:p>
        </w:tc>
        <w:tc>
          <w:tcPr>
            <w:tcW w:w="709" w:type="dxa"/>
            <w:tcBorders>
              <w:top w:val="nil"/>
              <w:left w:val="nil"/>
              <w:bottom w:val="nil"/>
              <w:right w:val="nil"/>
            </w:tcBorders>
            <w:shd w:val="clear" w:color="000000" w:fill="DDEBF7"/>
            <w:vAlign w:val="center"/>
            <w:hideMark/>
          </w:tcPr>
          <w:p w14:paraId="7C253496" w14:textId="1964EA1C" w:rsidR="00057132" w:rsidRPr="00046B73" w:rsidRDefault="009B57B3"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53,2</w:t>
            </w:r>
          </w:p>
        </w:tc>
        <w:tc>
          <w:tcPr>
            <w:tcW w:w="708" w:type="dxa"/>
            <w:tcBorders>
              <w:top w:val="nil"/>
              <w:left w:val="nil"/>
              <w:bottom w:val="nil"/>
              <w:right w:val="nil"/>
            </w:tcBorders>
            <w:shd w:val="clear" w:color="000000" w:fill="DDEBF7"/>
            <w:vAlign w:val="center"/>
          </w:tcPr>
          <w:p w14:paraId="39D6894B" w14:textId="7CA0164E" w:rsidR="00057132" w:rsidRPr="00046B73" w:rsidRDefault="00057132"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43,</w:t>
            </w:r>
            <w:r w:rsidR="009B57B3">
              <w:rPr>
                <w:rFonts w:ascii="Arial Narrow" w:hAnsi="Arial Narrow" w:cs="Calibri"/>
                <w:color w:val="000000"/>
                <w:sz w:val="16"/>
                <w:szCs w:val="16"/>
              </w:rPr>
              <w:t>1</w:t>
            </w:r>
          </w:p>
        </w:tc>
        <w:tc>
          <w:tcPr>
            <w:tcW w:w="709" w:type="dxa"/>
            <w:tcBorders>
              <w:top w:val="nil"/>
              <w:left w:val="nil"/>
              <w:bottom w:val="nil"/>
              <w:right w:val="nil"/>
            </w:tcBorders>
            <w:shd w:val="clear" w:color="000000" w:fill="DDEBF7"/>
            <w:vAlign w:val="center"/>
            <w:hideMark/>
          </w:tcPr>
          <w:p w14:paraId="3A5F564E" w14:textId="632C6975"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42,1</w:t>
            </w:r>
          </w:p>
        </w:tc>
        <w:tc>
          <w:tcPr>
            <w:tcW w:w="709" w:type="dxa"/>
            <w:tcBorders>
              <w:top w:val="nil"/>
              <w:left w:val="nil"/>
              <w:bottom w:val="nil"/>
              <w:right w:val="nil"/>
            </w:tcBorders>
            <w:shd w:val="clear" w:color="000000" w:fill="DDEBF7"/>
            <w:vAlign w:val="center"/>
            <w:hideMark/>
          </w:tcPr>
          <w:p w14:paraId="767EB2E4" w14:textId="7030017F"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43,5</w:t>
            </w:r>
          </w:p>
        </w:tc>
        <w:tc>
          <w:tcPr>
            <w:tcW w:w="709" w:type="dxa"/>
            <w:gridSpan w:val="2"/>
            <w:tcBorders>
              <w:top w:val="nil"/>
              <w:left w:val="nil"/>
              <w:bottom w:val="nil"/>
              <w:right w:val="nil"/>
            </w:tcBorders>
            <w:shd w:val="clear" w:color="000000" w:fill="DDEBF7"/>
            <w:vAlign w:val="center"/>
            <w:hideMark/>
          </w:tcPr>
          <w:p w14:paraId="75A1DCBF" w14:textId="7CBC47F4"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43,8</w:t>
            </w:r>
          </w:p>
        </w:tc>
      </w:tr>
      <w:tr w:rsidR="00057132" w:rsidRPr="00046B73" w14:paraId="5330D711" w14:textId="77777777" w:rsidTr="003A0B2F">
        <w:trPr>
          <w:trHeight w:val="289"/>
        </w:trPr>
        <w:tc>
          <w:tcPr>
            <w:tcW w:w="450" w:type="dxa"/>
            <w:tcBorders>
              <w:top w:val="nil"/>
              <w:left w:val="nil"/>
              <w:bottom w:val="nil"/>
              <w:right w:val="nil"/>
            </w:tcBorders>
            <w:shd w:val="clear" w:color="000000" w:fill="DDEBF7"/>
            <w:vAlign w:val="center"/>
            <w:hideMark/>
          </w:tcPr>
          <w:p w14:paraId="237E12B6"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8</w:t>
            </w:r>
          </w:p>
        </w:tc>
        <w:tc>
          <w:tcPr>
            <w:tcW w:w="3661" w:type="dxa"/>
            <w:gridSpan w:val="3"/>
            <w:tcBorders>
              <w:top w:val="nil"/>
              <w:left w:val="nil"/>
              <w:bottom w:val="nil"/>
              <w:right w:val="nil"/>
            </w:tcBorders>
            <w:shd w:val="clear" w:color="000000" w:fill="DDEBF7"/>
            <w:vAlign w:val="center"/>
            <w:hideMark/>
          </w:tcPr>
          <w:p w14:paraId="36A09D4B"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Z toho: Transfery z EÚ (akruálne)</w:t>
            </w:r>
          </w:p>
        </w:tc>
        <w:tc>
          <w:tcPr>
            <w:tcW w:w="1276" w:type="dxa"/>
            <w:tcBorders>
              <w:top w:val="nil"/>
              <w:left w:val="nil"/>
              <w:bottom w:val="nil"/>
              <w:right w:val="nil"/>
            </w:tcBorders>
            <w:shd w:val="clear" w:color="000000" w:fill="DDEBF7"/>
            <w:vAlign w:val="center"/>
            <w:hideMark/>
          </w:tcPr>
          <w:p w14:paraId="4ABF2388"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D.7EU+D.9EU</w:t>
            </w:r>
          </w:p>
        </w:tc>
        <w:tc>
          <w:tcPr>
            <w:tcW w:w="709" w:type="dxa"/>
            <w:tcBorders>
              <w:top w:val="nil"/>
              <w:left w:val="nil"/>
              <w:bottom w:val="nil"/>
              <w:right w:val="nil"/>
            </w:tcBorders>
            <w:shd w:val="clear" w:color="000000" w:fill="DDEBF7"/>
            <w:vAlign w:val="center"/>
            <w:hideMark/>
          </w:tcPr>
          <w:p w14:paraId="21C2F7B8" w14:textId="763D0362"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3,5</w:t>
            </w:r>
          </w:p>
        </w:tc>
        <w:tc>
          <w:tcPr>
            <w:tcW w:w="708" w:type="dxa"/>
            <w:tcBorders>
              <w:top w:val="nil"/>
              <w:left w:val="nil"/>
              <w:bottom w:val="nil"/>
              <w:right w:val="nil"/>
            </w:tcBorders>
            <w:shd w:val="clear" w:color="000000" w:fill="DDEBF7"/>
            <w:vAlign w:val="center"/>
          </w:tcPr>
          <w:p w14:paraId="06FF8A21" w14:textId="2D242883" w:rsidR="00057132" w:rsidRPr="00046B73" w:rsidRDefault="00057132"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2,9</w:t>
            </w:r>
          </w:p>
        </w:tc>
        <w:tc>
          <w:tcPr>
            <w:tcW w:w="709" w:type="dxa"/>
            <w:tcBorders>
              <w:top w:val="nil"/>
              <w:left w:val="nil"/>
              <w:bottom w:val="nil"/>
              <w:right w:val="nil"/>
            </w:tcBorders>
            <w:shd w:val="clear" w:color="000000" w:fill="DDEBF7"/>
            <w:vAlign w:val="center"/>
            <w:hideMark/>
          </w:tcPr>
          <w:p w14:paraId="4FA6031E" w14:textId="765DC946"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1,5</w:t>
            </w:r>
          </w:p>
        </w:tc>
        <w:tc>
          <w:tcPr>
            <w:tcW w:w="709" w:type="dxa"/>
            <w:tcBorders>
              <w:top w:val="nil"/>
              <w:left w:val="nil"/>
              <w:bottom w:val="nil"/>
              <w:right w:val="nil"/>
            </w:tcBorders>
            <w:shd w:val="clear" w:color="000000" w:fill="DDEBF7"/>
            <w:vAlign w:val="center"/>
            <w:hideMark/>
          </w:tcPr>
          <w:p w14:paraId="2ED2755C" w14:textId="3ADD285C"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2,3</w:t>
            </w:r>
          </w:p>
        </w:tc>
        <w:tc>
          <w:tcPr>
            <w:tcW w:w="709" w:type="dxa"/>
            <w:gridSpan w:val="2"/>
            <w:tcBorders>
              <w:top w:val="nil"/>
              <w:left w:val="nil"/>
              <w:bottom w:val="nil"/>
              <w:right w:val="nil"/>
            </w:tcBorders>
            <w:shd w:val="clear" w:color="000000" w:fill="DDEBF7"/>
            <w:vAlign w:val="center"/>
            <w:hideMark/>
          </w:tcPr>
          <w:p w14:paraId="5AED0DA2" w14:textId="3C08F332"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3,3</w:t>
            </w:r>
          </w:p>
        </w:tc>
      </w:tr>
      <w:tr w:rsidR="00057132" w:rsidRPr="00046B73" w14:paraId="2E8D03B5" w14:textId="77777777" w:rsidTr="003A0B2F">
        <w:trPr>
          <w:trHeight w:val="289"/>
        </w:trPr>
        <w:tc>
          <w:tcPr>
            <w:tcW w:w="450" w:type="dxa"/>
            <w:tcBorders>
              <w:top w:val="nil"/>
              <w:left w:val="nil"/>
              <w:bottom w:val="nil"/>
              <w:right w:val="nil"/>
            </w:tcBorders>
            <w:shd w:val="clear" w:color="000000" w:fill="DDEBF7"/>
            <w:vAlign w:val="center"/>
            <w:hideMark/>
          </w:tcPr>
          <w:p w14:paraId="13B79181"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9</w:t>
            </w:r>
          </w:p>
        </w:tc>
        <w:tc>
          <w:tcPr>
            <w:tcW w:w="3661" w:type="dxa"/>
            <w:gridSpan w:val="3"/>
            <w:tcBorders>
              <w:top w:val="nil"/>
              <w:left w:val="nil"/>
              <w:bottom w:val="nil"/>
              <w:right w:val="nil"/>
            </w:tcBorders>
            <w:shd w:val="clear" w:color="000000" w:fill="DDEBF7"/>
            <w:vAlign w:val="center"/>
            <w:hideMark/>
          </w:tcPr>
          <w:p w14:paraId="0455ABAD"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Celkové príjmy bez transferov z EÚ (= 7-8)</w:t>
            </w:r>
          </w:p>
        </w:tc>
        <w:tc>
          <w:tcPr>
            <w:tcW w:w="1276" w:type="dxa"/>
            <w:tcBorders>
              <w:top w:val="nil"/>
              <w:left w:val="nil"/>
              <w:bottom w:val="nil"/>
              <w:right w:val="nil"/>
            </w:tcBorders>
            <w:shd w:val="clear" w:color="000000" w:fill="DDEBF7"/>
            <w:vAlign w:val="center"/>
            <w:hideMark/>
          </w:tcPr>
          <w:p w14:paraId="65A7CCF5"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w:t>
            </w:r>
          </w:p>
        </w:tc>
        <w:tc>
          <w:tcPr>
            <w:tcW w:w="709" w:type="dxa"/>
            <w:tcBorders>
              <w:top w:val="nil"/>
              <w:left w:val="nil"/>
              <w:bottom w:val="nil"/>
              <w:right w:val="nil"/>
            </w:tcBorders>
            <w:shd w:val="clear" w:color="000000" w:fill="DDEBF7"/>
            <w:vAlign w:val="center"/>
            <w:hideMark/>
          </w:tcPr>
          <w:p w14:paraId="716ECD49" w14:textId="1D07F5A4" w:rsidR="00057132" w:rsidRPr="00046B73" w:rsidRDefault="009B57B3"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49,7</w:t>
            </w:r>
          </w:p>
        </w:tc>
        <w:tc>
          <w:tcPr>
            <w:tcW w:w="708" w:type="dxa"/>
            <w:tcBorders>
              <w:top w:val="nil"/>
              <w:left w:val="nil"/>
              <w:bottom w:val="nil"/>
              <w:right w:val="nil"/>
            </w:tcBorders>
            <w:shd w:val="clear" w:color="000000" w:fill="DDEBF7"/>
            <w:vAlign w:val="center"/>
          </w:tcPr>
          <w:p w14:paraId="2C45F502" w14:textId="0973DA15" w:rsidR="00057132" w:rsidRPr="00046B73" w:rsidRDefault="009B57B3"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40,2</w:t>
            </w:r>
          </w:p>
        </w:tc>
        <w:tc>
          <w:tcPr>
            <w:tcW w:w="709" w:type="dxa"/>
            <w:tcBorders>
              <w:top w:val="nil"/>
              <w:left w:val="nil"/>
              <w:bottom w:val="nil"/>
              <w:right w:val="nil"/>
            </w:tcBorders>
            <w:shd w:val="clear" w:color="000000" w:fill="DDEBF7"/>
            <w:vAlign w:val="center"/>
            <w:hideMark/>
          </w:tcPr>
          <w:p w14:paraId="42C65425" w14:textId="1462C5AB"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40,6</w:t>
            </w:r>
          </w:p>
        </w:tc>
        <w:tc>
          <w:tcPr>
            <w:tcW w:w="709" w:type="dxa"/>
            <w:tcBorders>
              <w:top w:val="nil"/>
              <w:left w:val="nil"/>
              <w:bottom w:val="nil"/>
              <w:right w:val="nil"/>
            </w:tcBorders>
            <w:shd w:val="clear" w:color="000000" w:fill="DDEBF7"/>
            <w:vAlign w:val="center"/>
            <w:hideMark/>
          </w:tcPr>
          <w:p w14:paraId="4D96D533" w14:textId="5DD63291"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41,2</w:t>
            </w:r>
          </w:p>
        </w:tc>
        <w:tc>
          <w:tcPr>
            <w:tcW w:w="709" w:type="dxa"/>
            <w:gridSpan w:val="2"/>
            <w:tcBorders>
              <w:top w:val="nil"/>
              <w:left w:val="nil"/>
              <w:bottom w:val="nil"/>
              <w:right w:val="nil"/>
            </w:tcBorders>
            <w:shd w:val="clear" w:color="000000" w:fill="DDEBF7"/>
            <w:vAlign w:val="center"/>
            <w:hideMark/>
          </w:tcPr>
          <w:p w14:paraId="2E7DE37D" w14:textId="37101C01"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40,5</w:t>
            </w:r>
          </w:p>
        </w:tc>
      </w:tr>
      <w:tr w:rsidR="00057132" w:rsidRPr="00046B73" w14:paraId="285D66A1" w14:textId="77777777" w:rsidTr="003A0B2F">
        <w:trPr>
          <w:trHeight w:val="289"/>
        </w:trPr>
        <w:tc>
          <w:tcPr>
            <w:tcW w:w="450" w:type="dxa"/>
            <w:tcBorders>
              <w:top w:val="nil"/>
              <w:left w:val="nil"/>
              <w:bottom w:val="nil"/>
              <w:right w:val="nil"/>
            </w:tcBorders>
            <w:shd w:val="clear" w:color="000000" w:fill="DDEBF7"/>
            <w:vAlign w:val="center"/>
            <w:hideMark/>
          </w:tcPr>
          <w:p w14:paraId="72D413AA"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10</w:t>
            </w:r>
          </w:p>
        </w:tc>
        <w:tc>
          <w:tcPr>
            <w:tcW w:w="3661" w:type="dxa"/>
            <w:gridSpan w:val="3"/>
            <w:tcBorders>
              <w:top w:val="nil"/>
              <w:left w:val="nil"/>
              <w:bottom w:val="nil"/>
              <w:right w:val="nil"/>
            </w:tcBorders>
            <w:shd w:val="clear" w:color="000000" w:fill="DDEBF7"/>
            <w:vAlign w:val="center"/>
            <w:hideMark/>
          </w:tcPr>
          <w:p w14:paraId="4D034396"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p.m. Príjmové opatrenia (inkrement, bez financovania zo zdrojov EÚ)</w:t>
            </w:r>
          </w:p>
        </w:tc>
        <w:tc>
          <w:tcPr>
            <w:tcW w:w="1276" w:type="dxa"/>
            <w:tcBorders>
              <w:top w:val="nil"/>
              <w:left w:val="nil"/>
              <w:bottom w:val="nil"/>
              <w:right w:val="nil"/>
            </w:tcBorders>
            <w:shd w:val="clear" w:color="000000" w:fill="DDEBF7"/>
            <w:vAlign w:val="center"/>
            <w:hideMark/>
          </w:tcPr>
          <w:p w14:paraId="1144C1D0"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w:t>
            </w:r>
          </w:p>
        </w:tc>
        <w:tc>
          <w:tcPr>
            <w:tcW w:w="709" w:type="dxa"/>
            <w:tcBorders>
              <w:top w:val="nil"/>
              <w:left w:val="nil"/>
              <w:bottom w:val="nil"/>
              <w:right w:val="nil"/>
            </w:tcBorders>
            <w:shd w:val="clear" w:color="000000" w:fill="DDEBF7"/>
            <w:vAlign w:val="center"/>
            <w:hideMark/>
          </w:tcPr>
          <w:p w14:paraId="15CC06C2" w14:textId="7901A503"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-0,2</w:t>
            </w:r>
          </w:p>
        </w:tc>
        <w:tc>
          <w:tcPr>
            <w:tcW w:w="708" w:type="dxa"/>
            <w:tcBorders>
              <w:top w:val="nil"/>
              <w:left w:val="nil"/>
              <w:bottom w:val="nil"/>
              <w:right w:val="nil"/>
            </w:tcBorders>
            <w:shd w:val="clear" w:color="000000" w:fill="DDEBF7"/>
            <w:vAlign w:val="center"/>
          </w:tcPr>
          <w:p w14:paraId="13DD9410" w14:textId="6868AAD8" w:rsidR="00057132" w:rsidRPr="00046B73" w:rsidRDefault="00057132"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-0,2</w:t>
            </w:r>
          </w:p>
        </w:tc>
        <w:tc>
          <w:tcPr>
            <w:tcW w:w="709" w:type="dxa"/>
            <w:tcBorders>
              <w:top w:val="nil"/>
              <w:left w:val="nil"/>
              <w:bottom w:val="nil"/>
              <w:right w:val="nil"/>
            </w:tcBorders>
            <w:shd w:val="clear" w:color="000000" w:fill="DDEBF7"/>
            <w:vAlign w:val="center"/>
            <w:hideMark/>
          </w:tcPr>
          <w:p w14:paraId="4F2BEACF" w14:textId="12D516EF"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1,0</w:t>
            </w:r>
          </w:p>
        </w:tc>
        <w:tc>
          <w:tcPr>
            <w:tcW w:w="709" w:type="dxa"/>
            <w:tcBorders>
              <w:top w:val="nil"/>
              <w:left w:val="nil"/>
              <w:bottom w:val="nil"/>
              <w:right w:val="nil"/>
            </w:tcBorders>
            <w:shd w:val="clear" w:color="000000" w:fill="DDEBF7"/>
            <w:vAlign w:val="center"/>
            <w:hideMark/>
          </w:tcPr>
          <w:p w14:paraId="62DBF917" w14:textId="72134211"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1,1</w:t>
            </w:r>
          </w:p>
        </w:tc>
        <w:tc>
          <w:tcPr>
            <w:tcW w:w="709" w:type="dxa"/>
            <w:gridSpan w:val="2"/>
            <w:tcBorders>
              <w:top w:val="nil"/>
              <w:left w:val="nil"/>
              <w:bottom w:val="nil"/>
              <w:right w:val="nil"/>
            </w:tcBorders>
            <w:shd w:val="clear" w:color="000000" w:fill="DDEBF7"/>
            <w:vAlign w:val="center"/>
            <w:hideMark/>
          </w:tcPr>
          <w:p w14:paraId="2BEFC4CB" w14:textId="43F4F956"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0,3</w:t>
            </w:r>
          </w:p>
        </w:tc>
      </w:tr>
      <w:tr w:rsidR="00057132" w:rsidRPr="00046B73" w14:paraId="0AC1B0EA" w14:textId="77777777" w:rsidTr="003A0B2F">
        <w:trPr>
          <w:trHeight w:val="289"/>
        </w:trPr>
        <w:tc>
          <w:tcPr>
            <w:tcW w:w="450" w:type="dxa"/>
            <w:tcBorders>
              <w:top w:val="nil"/>
              <w:left w:val="nil"/>
              <w:bottom w:val="nil"/>
              <w:right w:val="nil"/>
            </w:tcBorders>
            <w:shd w:val="clear" w:color="000000" w:fill="DDEBF7"/>
            <w:vAlign w:val="center"/>
            <w:hideMark/>
          </w:tcPr>
          <w:p w14:paraId="223701E3"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10b</w:t>
            </w:r>
          </w:p>
        </w:tc>
        <w:tc>
          <w:tcPr>
            <w:tcW w:w="3661" w:type="dxa"/>
            <w:gridSpan w:val="3"/>
            <w:tcBorders>
              <w:top w:val="nil"/>
              <w:left w:val="nil"/>
              <w:bottom w:val="nil"/>
              <w:right w:val="nil"/>
            </w:tcBorders>
            <w:shd w:val="clear" w:color="000000" w:fill="DDEBF7"/>
            <w:vAlign w:val="center"/>
            <w:hideMark/>
          </w:tcPr>
          <w:p w14:paraId="33501B50"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p.m. Zníženie príjmov financované transfermi z EÚ</w:t>
            </w:r>
          </w:p>
        </w:tc>
        <w:tc>
          <w:tcPr>
            <w:tcW w:w="1276" w:type="dxa"/>
            <w:tcBorders>
              <w:top w:val="nil"/>
              <w:left w:val="nil"/>
              <w:bottom w:val="nil"/>
              <w:right w:val="nil"/>
            </w:tcBorders>
            <w:shd w:val="clear" w:color="000000" w:fill="DDEBF7"/>
            <w:vAlign w:val="center"/>
            <w:hideMark/>
          </w:tcPr>
          <w:p w14:paraId="2334883B"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w:t>
            </w:r>
          </w:p>
        </w:tc>
        <w:tc>
          <w:tcPr>
            <w:tcW w:w="709" w:type="dxa"/>
            <w:tcBorders>
              <w:top w:val="nil"/>
              <w:left w:val="nil"/>
              <w:bottom w:val="nil"/>
              <w:right w:val="nil"/>
            </w:tcBorders>
            <w:shd w:val="clear" w:color="000000" w:fill="DDEBF7"/>
            <w:vAlign w:val="center"/>
            <w:hideMark/>
          </w:tcPr>
          <w:p w14:paraId="315B13CE" w14:textId="4184D9BE"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n.a.</w:t>
            </w:r>
          </w:p>
        </w:tc>
        <w:tc>
          <w:tcPr>
            <w:tcW w:w="708" w:type="dxa"/>
            <w:tcBorders>
              <w:top w:val="nil"/>
              <w:left w:val="nil"/>
              <w:bottom w:val="nil"/>
              <w:right w:val="nil"/>
            </w:tcBorders>
            <w:shd w:val="clear" w:color="000000" w:fill="DDEBF7"/>
            <w:vAlign w:val="center"/>
          </w:tcPr>
          <w:p w14:paraId="4795BC6B" w14:textId="7C0147C9" w:rsidR="00057132" w:rsidRPr="00046B73" w:rsidRDefault="00057132"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n.a.</w:t>
            </w:r>
          </w:p>
        </w:tc>
        <w:tc>
          <w:tcPr>
            <w:tcW w:w="709" w:type="dxa"/>
            <w:tcBorders>
              <w:top w:val="nil"/>
              <w:left w:val="nil"/>
              <w:bottom w:val="nil"/>
              <w:right w:val="nil"/>
            </w:tcBorders>
            <w:shd w:val="clear" w:color="000000" w:fill="DDEBF7"/>
            <w:vAlign w:val="center"/>
            <w:hideMark/>
          </w:tcPr>
          <w:p w14:paraId="0E138D8C" w14:textId="3685D6FF"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n.a.</w:t>
            </w:r>
          </w:p>
        </w:tc>
        <w:tc>
          <w:tcPr>
            <w:tcW w:w="709" w:type="dxa"/>
            <w:tcBorders>
              <w:top w:val="nil"/>
              <w:left w:val="nil"/>
              <w:bottom w:val="nil"/>
              <w:right w:val="nil"/>
            </w:tcBorders>
            <w:shd w:val="clear" w:color="000000" w:fill="DDEBF7"/>
            <w:vAlign w:val="center"/>
            <w:hideMark/>
          </w:tcPr>
          <w:p w14:paraId="1F29E0D2" w14:textId="4B0E5921"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n.a.</w:t>
            </w:r>
          </w:p>
        </w:tc>
        <w:tc>
          <w:tcPr>
            <w:tcW w:w="709" w:type="dxa"/>
            <w:gridSpan w:val="2"/>
            <w:tcBorders>
              <w:top w:val="nil"/>
              <w:left w:val="nil"/>
              <w:bottom w:val="nil"/>
              <w:right w:val="nil"/>
            </w:tcBorders>
            <w:shd w:val="clear" w:color="000000" w:fill="DDEBF7"/>
            <w:vAlign w:val="center"/>
            <w:hideMark/>
          </w:tcPr>
          <w:p w14:paraId="24A28B2B" w14:textId="017C19AB"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n.a.</w:t>
            </w:r>
          </w:p>
        </w:tc>
      </w:tr>
      <w:tr w:rsidR="00057132" w:rsidRPr="00046B73" w14:paraId="749F300E" w14:textId="77777777" w:rsidTr="003A0B2F">
        <w:trPr>
          <w:trHeight w:val="289"/>
        </w:trPr>
        <w:tc>
          <w:tcPr>
            <w:tcW w:w="450" w:type="dxa"/>
            <w:tcBorders>
              <w:top w:val="nil"/>
              <w:left w:val="nil"/>
              <w:bottom w:val="nil"/>
              <w:right w:val="nil"/>
            </w:tcBorders>
            <w:shd w:val="clear" w:color="000000" w:fill="DDEBF7"/>
            <w:vAlign w:val="center"/>
            <w:hideMark/>
          </w:tcPr>
          <w:p w14:paraId="43ACAEA4"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11</w:t>
            </w:r>
          </w:p>
        </w:tc>
        <w:tc>
          <w:tcPr>
            <w:tcW w:w="3661" w:type="dxa"/>
            <w:gridSpan w:val="3"/>
            <w:tcBorders>
              <w:top w:val="nil"/>
              <w:left w:val="nil"/>
              <w:bottom w:val="nil"/>
              <w:right w:val="nil"/>
            </w:tcBorders>
            <w:shd w:val="clear" w:color="000000" w:fill="DDEBF7"/>
            <w:vAlign w:val="center"/>
            <w:hideMark/>
          </w:tcPr>
          <w:p w14:paraId="52B494CE"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p.m. Jednorazové príjmy zahrnuté v projekcii (level, bez financovania zo zdrojov EÚ)</w:t>
            </w:r>
          </w:p>
        </w:tc>
        <w:tc>
          <w:tcPr>
            <w:tcW w:w="1276" w:type="dxa"/>
            <w:tcBorders>
              <w:top w:val="nil"/>
              <w:left w:val="nil"/>
              <w:bottom w:val="nil"/>
              <w:right w:val="nil"/>
            </w:tcBorders>
            <w:shd w:val="clear" w:color="000000" w:fill="DDEBF7"/>
            <w:vAlign w:val="center"/>
            <w:hideMark/>
          </w:tcPr>
          <w:p w14:paraId="74BD8AC2"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w:t>
            </w:r>
          </w:p>
        </w:tc>
        <w:tc>
          <w:tcPr>
            <w:tcW w:w="709" w:type="dxa"/>
            <w:tcBorders>
              <w:top w:val="nil"/>
              <w:left w:val="nil"/>
              <w:bottom w:val="nil"/>
              <w:right w:val="nil"/>
            </w:tcBorders>
            <w:shd w:val="clear" w:color="000000" w:fill="DDEBF7"/>
            <w:vAlign w:val="center"/>
            <w:hideMark/>
          </w:tcPr>
          <w:p w14:paraId="26813235" w14:textId="152A5694"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0,0</w:t>
            </w:r>
          </w:p>
        </w:tc>
        <w:tc>
          <w:tcPr>
            <w:tcW w:w="708" w:type="dxa"/>
            <w:tcBorders>
              <w:top w:val="nil"/>
              <w:left w:val="nil"/>
              <w:bottom w:val="nil"/>
              <w:right w:val="nil"/>
            </w:tcBorders>
            <w:shd w:val="clear" w:color="000000" w:fill="DDEBF7"/>
            <w:vAlign w:val="center"/>
          </w:tcPr>
          <w:p w14:paraId="42A00D03" w14:textId="0B2182D5" w:rsidR="00057132" w:rsidRPr="00046B73" w:rsidRDefault="00057132"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0,0</w:t>
            </w:r>
          </w:p>
        </w:tc>
        <w:tc>
          <w:tcPr>
            <w:tcW w:w="709" w:type="dxa"/>
            <w:tcBorders>
              <w:top w:val="nil"/>
              <w:left w:val="nil"/>
              <w:bottom w:val="nil"/>
              <w:right w:val="nil"/>
            </w:tcBorders>
            <w:shd w:val="clear" w:color="000000" w:fill="DDEBF7"/>
            <w:vAlign w:val="center"/>
            <w:hideMark/>
          </w:tcPr>
          <w:p w14:paraId="456FED4D" w14:textId="566A2F29"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0,0</w:t>
            </w:r>
          </w:p>
        </w:tc>
        <w:tc>
          <w:tcPr>
            <w:tcW w:w="709" w:type="dxa"/>
            <w:tcBorders>
              <w:top w:val="nil"/>
              <w:left w:val="nil"/>
              <w:bottom w:val="nil"/>
              <w:right w:val="nil"/>
            </w:tcBorders>
            <w:shd w:val="clear" w:color="000000" w:fill="DDEBF7"/>
            <w:vAlign w:val="center"/>
            <w:hideMark/>
          </w:tcPr>
          <w:p w14:paraId="71EF78D6" w14:textId="74EEB674"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0,0</w:t>
            </w:r>
          </w:p>
        </w:tc>
        <w:tc>
          <w:tcPr>
            <w:tcW w:w="709" w:type="dxa"/>
            <w:gridSpan w:val="2"/>
            <w:tcBorders>
              <w:top w:val="nil"/>
              <w:left w:val="nil"/>
              <w:bottom w:val="nil"/>
              <w:right w:val="nil"/>
            </w:tcBorders>
            <w:shd w:val="clear" w:color="000000" w:fill="DDEBF7"/>
            <w:vAlign w:val="center"/>
            <w:hideMark/>
          </w:tcPr>
          <w:p w14:paraId="0AFBB018" w14:textId="4CDDD8CD"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0,1</w:t>
            </w:r>
          </w:p>
        </w:tc>
      </w:tr>
      <w:tr w:rsidR="00057132" w:rsidRPr="00046B73" w14:paraId="29A81DF7" w14:textId="77777777" w:rsidTr="003A0B2F">
        <w:trPr>
          <w:trHeight w:val="289"/>
        </w:trPr>
        <w:tc>
          <w:tcPr>
            <w:tcW w:w="4111" w:type="dxa"/>
            <w:gridSpan w:val="4"/>
            <w:tcBorders>
              <w:top w:val="nil"/>
              <w:left w:val="nil"/>
              <w:bottom w:val="nil"/>
              <w:right w:val="nil"/>
            </w:tcBorders>
            <w:vAlign w:val="center"/>
            <w:hideMark/>
          </w:tcPr>
          <w:p w14:paraId="1A0370CA" w14:textId="77777777" w:rsidR="00057132" w:rsidRPr="00046B73" w:rsidRDefault="00057132" w:rsidP="002B1847">
            <w:pPr>
              <w:spacing w:after="0" w:line="240" w:lineRule="auto"/>
              <w:rPr>
                <w:rFonts w:ascii="Arial Narrow" w:eastAsia="Times New Roman" w:hAnsi="Arial Narrow" w:cs="Calibri"/>
                <w:i/>
                <w:iCs/>
                <w:color w:val="2C9ADC"/>
                <w:kern w:val="0"/>
                <w:sz w:val="16"/>
                <w:szCs w:val="16"/>
                <w:lang w:eastAsia="sk-SK"/>
                <w14:ligatures w14:val="none"/>
              </w:rPr>
            </w:pPr>
            <w:r w:rsidRPr="00046B73">
              <w:rPr>
                <w:rFonts w:ascii="Arial Narrow" w:eastAsia="Times New Roman" w:hAnsi="Arial Narrow" w:cs="Calibri"/>
                <w:i/>
                <w:iCs/>
                <w:color w:val="2C9ADC"/>
                <w:kern w:val="0"/>
                <w:sz w:val="16"/>
                <w:szCs w:val="16"/>
                <w:lang w:eastAsia="sk-SK"/>
                <w14:ligatures w14:val="none"/>
              </w:rPr>
              <w:t>Výdavky</w:t>
            </w:r>
          </w:p>
        </w:tc>
        <w:tc>
          <w:tcPr>
            <w:tcW w:w="1276" w:type="dxa"/>
            <w:tcBorders>
              <w:top w:val="nil"/>
              <w:left w:val="nil"/>
              <w:bottom w:val="nil"/>
              <w:right w:val="nil"/>
            </w:tcBorders>
            <w:vAlign w:val="center"/>
            <w:hideMark/>
          </w:tcPr>
          <w:p w14:paraId="110AB7D9" w14:textId="77777777" w:rsidR="00057132" w:rsidRPr="00046B73" w:rsidRDefault="00057132" w:rsidP="002B1847">
            <w:pPr>
              <w:spacing w:after="0" w:line="240" w:lineRule="auto"/>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ESA kód</w:t>
            </w:r>
          </w:p>
        </w:tc>
        <w:tc>
          <w:tcPr>
            <w:tcW w:w="709" w:type="dxa"/>
            <w:tcBorders>
              <w:top w:val="nil"/>
              <w:left w:val="nil"/>
              <w:bottom w:val="nil"/>
              <w:right w:val="nil"/>
            </w:tcBorders>
            <w:vAlign w:val="center"/>
            <w:hideMark/>
          </w:tcPr>
          <w:p w14:paraId="633BB7BA" w14:textId="77777777" w:rsidR="00057132" w:rsidRPr="00046B73" w:rsidRDefault="00057132" w:rsidP="002B1847">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mld. eur</w:t>
            </w:r>
          </w:p>
        </w:tc>
        <w:tc>
          <w:tcPr>
            <w:tcW w:w="708" w:type="dxa"/>
            <w:tcBorders>
              <w:top w:val="nil"/>
              <w:left w:val="nil"/>
              <w:bottom w:val="nil"/>
              <w:right w:val="nil"/>
            </w:tcBorders>
            <w:vAlign w:val="center"/>
          </w:tcPr>
          <w:p w14:paraId="168A3660" w14:textId="2A170D4E"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Pr>
                <w:rFonts w:ascii="Arial Narrow" w:eastAsia="Times New Roman" w:hAnsi="Arial Narrow" w:cs="Calibri"/>
                <w:color w:val="2C9ADC"/>
                <w:kern w:val="0"/>
                <w:sz w:val="16"/>
                <w:szCs w:val="16"/>
                <w:lang w:eastAsia="sk-SK"/>
                <w14:ligatures w14:val="none"/>
              </w:rPr>
              <w:t>% HDP</w:t>
            </w:r>
          </w:p>
        </w:tc>
        <w:tc>
          <w:tcPr>
            <w:tcW w:w="709" w:type="dxa"/>
            <w:tcBorders>
              <w:top w:val="nil"/>
              <w:left w:val="nil"/>
              <w:bottom w:val="nil"/>
              <w:right w:val="nil"/>
            </w:tcBorders>
            <w:vAlign w:val="center"/>
            <w:hideMark/>
          </w:tcPr>
          <w:p w14:paraId="050447BF" w14:textId="1120131F"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 HDP</w:t>
            </w:r>
          </w:p>
        </w:tc>
        <w:tc>
          <w:tcPr>
            <w:tcW w:w="709" w:type="dxa"/>
            <w:tcBorders>
              <w:top w:val="nil"/>
              <w:left w:val="nil"/>
              <w:bottom w:val="nil"/>
              <w:right w:val="nil"/>
            </w:tcBorders>
            <w:vAlign w:val="center"/>
            <w:hideMark/>
          </w:tcPr>
          <w:p w14:paraId="10411074" w14:textId="77777777"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 HDP</w:t>
            </w:r>
          </w:p>
        </w:tc>
        <w:tc>
          <w:tcPr>
            <w:tcW w:w="709" w:type="dxa"/>
            <w:gridSpan w:val="2"/>
            <w:tcBorders>
              <w:top w:val="nil"/>
              <w:left w:val="nil"/>
              <w:bottom w:val="nil"/>
              <w:right w:val="nil"/>
            </w:tcBorders>
            <w:vAlign w:val="center"/>
            <w:hideMark/>
          </w:tcPr>
          <w:p w14:paraId="2B20F01C" w14:textId="77777777"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 HDP</w:t>
            </w:r>
          </w:p>
        </w:tc>
      </w:tr>
      <w:tr w:rsidR="00057132" w:rsidRPr="00046B73" w14:paraId="24021562" w14:textId="77777777" w:rsidTr="003A0B2F">
        <w:trPr>
          <w:trHeight w:val="289"/>
        </w:trPr>
        <w:tc>
          <w:tcPr>
            <w:tcW w:w="450" w:type="dxa"/>
            <w:tcBorders>
              <w:top w:val="nil"/>
              <w:left w:val="nil"/>
              <w:bottom w:val="nil"/>
              <w:right w:val="nil"/>
            </w:tcBorders>
            <w:shd w:val="clear" w:color="000000" w:fill="DDEBF7"/>
            <w:vAlign w:val="center"/>
            <w:hideMark/>
          </w:tcPr>
          <w:p w14:paraId="3192649F"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12</w:t>
            </w:r>
          </w:p>
        </w:tc>
        <w:tc>
          <w:tcPr>
            <w:tcW w:w="3661" w:type="dxa"/>
            <w:gridSpan w:val="3"/>
            <w:tcBorders>
              <w:top w:val="nil"/>
              <w:left w:val="nil"/>
              <w:bottom w:val="nil"/>
              <w:right w:val="nil"/>
            </w:tcBorders>
            <w:shd w:val="clear" w:color="000000" w:fill="DDEBF7"/>
            <w:vAlign w:val="center"/>
            <w:hideMark/>
          </w:tcPr>
          <w:p w14:paraId="582B0412"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Kompenzácie zamestnancov</w:t>
            </w:r>
          </w:p>
        </w:tc>
        <w:tc>
          <w:tcPr>
            <w:tcW w:w="1276" w:type="dxa"/>
            <w:tcBorders>
              <w:top w:val="nil"/>
              <w:left w:val="nil"/>
              <w:bottom w:val="nil"/>
              <w:right w:val="nil"/>
            </w:tcBorders>
            <w:shd w:val="clear" w:color="000000" w:fill="DDEBF7"/>
            <w:vAlign w:val="center"/>
            <w:hideMark/>
          </w:tcPr>
          <w:p w14:paraId="05481E5A"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D.1</w:t>
            </w:r>
          </w:p>
        </w:tc>
        <w:tc>
          <w:tcPr>
            <w:tcW w:w="709" w:type="dxa"/>
            <w:tcBorders>
              <w:top w:val="nil"/>
              <w:left w:val="nil"/>
              <w:bottom w:val="nil"/>
              <w:right w:val="nil"/>
            </w:tcBorders>
            <w:shd w:val="clear" w:color="000000" w:fill="DDEBF7"/>
            <w:vAlign w:val="center"/>
            <w:hideMark/>
          </w:tcPr>
          <w:p w14:paraId="3AC1272E" w14:textId="62BA51D9"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13,6</w:t>
            </w:r>
          </w:p>
        </w:tc>
        <w:tc>
          <w:tcPr>
            <w:tcW w:w="708" w:type="dxa"/>
            <w:tcBorders>
              <w:top w:val="nil"/>
              <w:left w:val="nil"/>
              <w:bottom w:val="nil"/>
              <w:right w:val="nil"/>
            </w:tcBorders>
            <w:shd w:val="clear" w:color="000000" w:fill="DDEBF7"/>
            <w:vAlign w:val="center"/>
          </w:tcPr>
          <w:p w14:paraId="00106CF1" w14:textId="10174940" w:rsidR="00057132" w:rsidRPr="00046B73" w:rsidRDefault="00057132"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11,0</w:t>
            </w:r>
          </w:p>
        </w:tc>
        <w:tc>
          <w:tcPr>
            <w:tcW w:w="709" w:type="dxa"/>
            <w:tcBorders>
              <w:top w:val="nil"/>
              <w:left w:val="nil"/>
              <w:bottom w:val="nil"/>
              <w:right w:val="nil"/>
            </w:tcBorders>
            <w:shd w:val="clear" w:color="000000" w:fill="DDEBF7"/>
            <w:vAlign w:val="center"/>
            <w:hideMark/>
          </w:tcPr>
          <w:p w14:paraId="1F08EA4D" w14:textId="4F54B77F"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11,4</w:t>
            </w:r>
          </w:p>
        </w:tc>
        <w:tc>
          <w:tcPr>
            <w:tcW w:w="709" w:type="dxa"/>
            <w:tcBorders>
              <w:top w:val="nil"/>
              <w:left w:val="nil"/>
              <w:bottom w:val="nil"/>
              <w:right w:val="nil"/>
            </w:tcBorders>
            <w:shd w:val="clear" w:color="000000" w:fill="DDEBF7"/>
            <w:vAlign w:val="center"/>
            <w:hideMark/>
          </w:tcPr>
          <w:p w14:paraId="3411569A" w14:textId="49C9B845"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11,7</w:t>
            </w:r>
          </w:p>
        </w:tc>
        <w:tc>
          <w:tcPr>
            <w:tcW w:w="709" w:type="dxa"/>
            <w:gridSpan w:val="2"/>
            <w:tcBorders>
              <w:top w:val="nil"/>
              <w:left w:val="nil"/>
              <w:bottom w:val="nil"/>
              <w:right w:val="nil"/>
            </w:tcBorders>
            <w:shd w:val="clear" w:color="000000" w:fill="DDEBF7"/>
            <w:vAlign w:val="center"/>
            <w:hideMark/>
          </w:tcPr>
          <w:p w14:paraId="1834287E" w14:textId="0917D0E5"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11,3</w:t>
            </w:r>
          </w:p>
        </w:tc>
      </w:tr>
      <w:tr w:rsidR="00057132" w:rsidRPr="00046B73" w14:paraId="2F49D13F" w14:textId="77777777" w:rsidTr="003A0B2F">
        <w:trPr>
          <w:trHeight w:val="289"/>
        </w:trPr>
        <w:tc>
          <w:tcPr>
            <w:tcW w:w="450" w:type="dxa"/>
            <w:tcBorders>
              <w:top w:val="nil"/>
              <w:left w:val="nil"/>
              <w:bottom w:val="nil"/>
              <w:right w:val="nil"/>
            </w:tcBorders>
            <w:shd w:val="clear" w:color="000000" w:fill="DDEBF7"/>
            <w:vAlign w:val="center"/>
            <w:hideMark/>
          </w:tcPr>
          <w:p w14:paraId="7EFB1F7F"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13</w:t>
            </w:r>
          </w:p>
        </w:tc>
        <w:tc>
          <w:tcPr>
            <w:tcW w:w="3661" w:type="dxa"/>
            <w:gridSpan w:val="3"/>
            <w:tcBorders>
              <w:top w:val="nil"/>
              <w:left w:val="nil"/>
              <w:bottom w:val="nil"/>
              <w:right w:val="nil"/>
            </w:tcBorders>
            <w:shd w:val="clear" w:color="000000" w:fill="DDEBF7"/>
            <w:vAlign w:val="center"/>
            <w:hideMark/>
          </w:tcPr>
          <w:p w14:paraId="02F4559C"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Medzispotreba</w:t>
            </w:r>
          </w:p>
        </w:tc>
        <w:tc>
          <w:tcPr>
            <w:tcW w:w="1276" w:type="dxa"/>
            <w:tcBorders>
              <w:top w:val="nil"/>
              <w:left w:val="nil"/>
              <w:bottom w:val="nil"/>
              <w:right w:val="nil"/>
            </w:tcBorders>
            <w:shd w:val="clear" w:color="000000" w:fill="DDEBF7"/>
            <w:vAlign w:val="center"/>
            <w:hideMark/>
          </w:tcPr>
          <w:p w14:paraId="7284E88F"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P.2</w:t>
            </w:r>
          </w:p>
        </w:tc>
        <w:tc>
          <w:tcPr>
            <w:tcW w:w="709" w:type="dxa"/>
            <w:tcBorders>
              <w:top w:val="nil"/>
              <w:left w:val="nil"/>
              <w:bottom w:val="nil"/>
              <w:right w:val="nil"/>
            </w:tcBorders>
            <w:shd w:val="clear" w:color="000000" w:fill="DDEBF7"/>
            <w:vAlign w:val="center"/>
            <w:hideMark/>
          </w:tcPr>
          <w:p w14:paraId="6FDA9A34" w14:textId="674EFC50"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6,7</w:t>
            </w:r>
          </w:p>
        </w:tc>
        <w:tc>
          <w:tcPr>
            <w:tcW w:w="708" w:type="dxa"/>
            <w:tcBorders>
              <w:top w:val="nil"/>
              <w:left w:val="nil"/>
              <w:bottom w:val="nil"/>
              <w:right w:val="nil"/>
            </w:tcBorders>
            <w:shd w:val="clear" w:color="000000" w:fill="DDEBF7"/>
            <w:vAlign w:val="center"/>
          </w:tcPr>
          <w:p w14:paraId="786E39DF" w14:textId="3ACED790" w:rsidR="00057132" w:rsidRPr="00046B73" w:rsidRDefault="00057132"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5,4</w:t>
            </w:r>
          </w:p>
        </w:tc>
        <w:tc>
          <w:tcPr>
            <w:tcW w:w="709" w:type="dxa"/>
            <w:tcBorders>
              <w:top w:val="nil"/>
              <w:left w:val="nil"/>
              <w:bottom w:val="nil"/>
              <w:right w:val="nil"/>
            </w:tcBorders>
            <w:shd w:val="clear" w:color="000000" w:fill="DDEBF7"/>
            <w:vAlign w:val="center"/>
            <w:hideMark/>
          </w:tcPr>
          <w:p w14:paraId="305AAF28" w14:textId="112FF8F3"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5,7</w:t>
            </w:r>
          </w:p>
        </w:tc>
        <w:tc>
          <w:tcPr>
            <w:tcW w:w="709" w:type="dxa"/>
            <w:tcBorders>
              <w:top w:val="nil"/>
              <w:left w:val="nil"/>
              <w:bottom w:val="nil"/>
              <w:right w:val="nil"/>
            </w:tcBorders>
            <w:shd w:val="clear" w:color="000000" w:fill="DDEBF7"/>
            <w:vAlign w:val="center"/>
            <w:hideMark/>
          </w:tcPr>
          <w:p w14:paraId="21FE6B86" w14:textId="0A8709E0"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5,7</w:t>
            </w:r>
          </w:p>
        </w:tc>
        <w:tc>
          <w:tcPr>
            <w:tcW w:w="709" w:type="dxa"/>
            <w:gridSpan w:val="2"/>
            <w:tcBorders>
              <w:top w:val="nil"/>
              <w:left w:val="nil"/>
              <w:bottom w:val="nil"/>
              <w:right w:val="nil"/>
            </w:tcBorders>
            <w:shd w:val="clear" w:color="000000" w:fill="DDEBF7"/>
            <w:vAlign w:val="center"/>
            <w:hideMark/>
          </w:tcPr>
          <w:p w14:paraId="386FACED" w14:textId="08F55CE2"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6,0</w:t>
            </w:r>
          </w:p>
        </w:tc>
      </w:tr>
      <w:tr w:rsidR="00057132" w:rsidRPr="00046B73" w14:paraId="45B733D0" w14:textId="77777777" w:rsidTr="003A0B2F">
        <w:trPr>
          <w:trHeight w:val="289"/>
        </w:trPr>
        <w:tc>
          <w:tcPr>
            <w:tcW w:w="450" w:type="dxa"/>
            <w:tcBorders>
              <w:top w:val="nil"/>
              <w:left w:val="nil"/>
              <w:bottom w:val="nil"/>
              <w:right w:val="nil"/>
            </w:tcBorders>
            <w:shd w:val="clear" w:color="000000" w:fill="DDEBF7"/>
            <w:vAlign w:val="center"/>
            <w:hideMark/>
          </w:tcPr>
          <w:p w14:paraId="3DED2CDD"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14</w:t>
            </w:r>
          </w:p>
        </w:tc>
        <w:tc>
          <w:tcPr>
            <w:tcW w:w="3661" w:type="dxa"/>
            <w:gridSpan w:val="3"/>
            <w:tcBorders>
              <w:top w:val="nil"/>
              <w:left w:val="nil"/>
              <w:bottom w:val="nil"/>
              <w:right w:val="nil"/>
            </w:tcBorders>
            <w:shd w:val="clear" w:color="000000" w:fill="DDEBF7"/>
            <w:vAlign w:val="center"/>
            <w:hideMark/>
          </w:tcPr>
          <w:p w14:paraId="4EDEDEFE"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Úrokové náklady</w:t>
            </w:r>
          </w:p>
        </w:tc>
        <w:tc>
          <w:tcPr>
            <w:tcW w:w="1276" w:type="dxa"/>
            <w:tcBorders>
              <w:top w:val="nil"/>
              <w:left w:val="nil"/>
              <w:bottom w:val="nil"/>
              <w:right w:val="nil"/>
            </w:tcBorders>
            <w:shd w:val="clear" w:color="000000" w:fill="DDEBF7"/>
            <w:vAlign w:val="center"/>
            <w:hideMark/>
          </w:tcPr>
          <w:p w14:paraId="571DA5C4"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D.41</w:t>
            </w:r>
          </w:p>
        </w:tc>
        <w:tc>
          <w:tcPr>
            <w:tcW w:w="709" w:type="dxa"/>
            <w:tcBorders>
              <w:top w:val="nil"/>
              <w:left w:val="nil"/>
              <w:bottom w:val="nil"/>
              <w:right w:val="nil"/>
            </w:tcBorders>
            <w:shd w:val="clear" w:color="000000" w:fill="DDEBF7"/>
            <w:vAlign w:val="center"/>
            <w:hideMark/>
          </w:tcPr>
          <w:p w14:paraId="276D34D5" w14:textId="23E9ECA5"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1,4</w:t>
            </w:r>
          </w:p>
        </w:tc>
        <w:tc>
          <w:tcPr>
            <w:tcW w:w="708" w:type="dxa"/>
            <w:tcBorders>
              <w:top w:val="nil"/>
              <w:left w:val="nil"/>
              <w:bottom w:val="nil"/>
              <w:right w:val="nil"/>
            </w:tcBorders>
            <w:shd w:val="clear" w:color="000000" w:fill="DDEBF7"/>
            <w:vAlign w:val="center"/>
          </w:tcPr>
          <w:p w14:paraId="5537DEF5" w14:textId="402FF4E5" w:rsidR="00057132" w:rsidRPr="00046B73" w:rsidRDefault="00057132"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1,2</w:t>
            </w:r>
          </w:p>
        </w:tc>
        <w:tc>
          <w:tcPr>
            <w:tcW w:w="709" w:type="dxa"/>
            <w:tcBorders>
              <w:top w:val="nil"/>
              <w:left w:val="nil"/>
              <w:bottom w:val="nil"/>
              <w:right w:val="nil"/>
            </w:tcBorders>
            <w:shd w:val="clear" w:color="000000" w:fill="DDEBF7"/>
            <w:vAlign w:val="center"/>
            <w:hideMark/>
          </w:tcPr>
          <w:p w14:paraId="2390A70C" w14:textId="37AF2554"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1,4</w:t>
            </w:r>
          </w:p>
        </w:tc>
        <w:tc>
          <w:tcPr>
            <w:tcW w:w="709" w:type="dxa"/>
            <w:tcBorders>
              <w:top w:val="nil"/>
              <w:left w:val="nil"/>
              <w:bottom w:val="nil"/>
              <w:right w:val="nil"/>
            </w:tcBorders>
            <w:shd w:val="clear" w:color="000000" w:fill="DDEBF7"/>
            <w:vAlign w:val="center"/>
            <w:hideMark/>
          </w:tcPr>
          <w:p w14:paraId="7F653EC3" w14:textId="3E02F25F"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1,5</w:t>
            </w:r>
          </w:p>
        </w:tc>
        <w:tc>
          <w:tcPr>
            <w:tcW w:w="709" w:type="dxa"/>
            <w:gridSpan w:val="2"/>
            <w:tcBorders>
              <w:top w:val="nil"/>
              <w:left w:val="nil"/>
              <w:bottom w:val="nil"/>
              <w:right w:val="nil"/>
            </w:tcBorders>
            <w:shd w:val="clear" w:color="000000" w:fill="DDEBF7"/>
            <w:vAlign w:val="center"/>
            <w:hideMark/>
          </w:tcPr>
          <w:p w14:paraId="6A25C303" w14:textId="643ACDD9"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1,7</w:t>
            </w:r>
          </w:p>
        </w:tc>
      </w:tr>
      <w:tr w:rsidR="00057132" w:rsidRPr="00046B73" w14:paraId="25C24E07" w14:textId="77777777" w:rsidTr="003A0B2F">
        <w:trPr>
          <w:trHeight w:val="289"/>
        </w:trPr>
        <w:tc>
          <w:tcPr>
            <w:tcW w:w="450" w:type="dxa"/>
            <w:tcBorders>
              <w:top w:val="nil"/>
              <w:left w:val="nil"/>
              <w:bottom w:val="nil"/>
              <w:right w:val="nil"/>
            </w:tcBorders>
            <w:shd w:val="clear" w:color="000000" w:fill="DDEBF7"/>
            <w:vAlign w:val="center"/>
            <w:hideMark/>
          </w:tcPr>
          <w:p w14:paraId="204B97B8"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15</w:t>
            </w:r>
          </w:p>
        </w:tc>
        <w:tc>
          <w:tcPr>
            <w:tcW w:w="3661" w:type="dxa"/>
            <w:gridSpan w:val="3"/>
            <w:tcBorders>
              <w:top w:val="nil"/>
              <w:left w:val="nil"/>
              <w:bottom w:val="nil"/>
              <w:right w:val="nil"/>
            </w:tcBorders>
            <w:shd w:val="clear" w:color="000000" w:fill="DDEBF7"/>
            <w:vAlign w:val="center"/>
            <w:hideMark/>
          </w:tcPr>
          <w:p w14:paraId="0F082991" w14:textId="77777777" w:rsidR="00057132" w:rsidRPr="00046B73" w:rsidRDefault="00057132" w:rsidP="00046B73">
            <w:pPr>
              <w:spacing w:after="0" w:line="240" w:lineRule="auto"/>
              <w:rPr>
                <w:rFonts w:ascii="Arial Narrow" w:eastAsia="Times New Roman" w:hAnsi="Arial Narrow" w:cs="Calibri"/>
                <w:b/>
                <w:bCs/>
                <w:kern w:val="0"/>
                <w:sz w:val="16"/>
                <w:szCs w:val="16"/>
                <w:lang w:eastAsia="sk-SK"/>
                <w14:ligatures w14:val="none"/>
              </w:rPr>
            </w:pPr>
            <w:r w:rsidRPr="00046B73">
              <w:rPr>
                <w:rFonts w:ascii="Arial Narrow" w:eastAsia="Times New Roman" w:hAnsi="Arial Narrow" w:cs="Calibri"/>
                <w:b/>
                <w:bCs/>
                <w:kern w:val="0"/>
                <w:sz w:val="16"/>
                <w:szCs w:val="16"/>
                <w:lang w:eastAsia="sk-SK"/>
                <w14:ligatures w14:val="none"/>
              </w:rPr>
              <w:t>Sociálne dávky okrem naturálnych sociálnych transferov</w:t>
            </w:r>
          </w:p>
        </w:tc>
        <w:tc>
          <w:tcPr>
            <w:tcW w:w="1276" w:type="dxa"/>
            <w:tcBorders>
              <w:top w:val="nil"/>
              <w:left w:val="nil"/>
              <w:bottom w:val="nil"/>
              <w:right w:val="nil"/>
            </w:tcBorders>
            <w:shd w:val="clear" w:color="000000" w:fill="DDEBF7"/>
            <w:vAlign w:val="center"/>
            <w:hideMark/>
          </w:tcPr>
          <w:p w14:paraId="472F4A3C"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D.62</w:t>
            </w:r>
          </w:p>
        </w:tc>
        <w:tc>
          <w:tcPr>
            <w:tcW w:w="709" w:type="dxa"/>
            <w:tcBorders>
              <w:top w:val="nil"/>
              <w:left w:val="nil"/>
              <w:bottom w:val="nil"/>
              <w:right w:val="nil"/>
            </w:tcBorders>
            <w:shd w:val="clear" w:color="000000" w:fill="DDEBF7"/>
            <w:vAlign w:val="center"/>
            <w:hideMark/>
          </w:tcPr>
          <w:p w14:paraId="7C3FC03A" w14:textId="5FA61714"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20,2</w:t>
            </w:r>
          </w:p>
        </w:tc>
        <w:tc>
          <w:tcPr>
            <w:tcW w:w="708" w:type="dxa"/>
            <w:tcBorders>
              <w:top w:val="nil"/>
              <w:left w:val="nil"/>
              <w:bottom w:val="nil"/>
              <w:right w:val="nil"/>
            </w:tcBorders>
            <w:shd w:val="clear" w:color="000000" w:fill="DDEBF7"/>
            <w:vAlign w:val="center"/>
          </w:tcPr>
          <w:p w14:paraId="212C6FD3" w14:textId="6B956165" w:rsidR="00057132" w:rsidRPr="00046B73" w:rsidRDefault="00057132"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16,3</w:t>
            </w:r>
          </w:p>
        </w:tc>
        <w:tc>
          <w:tcPr>
            <w:tcW w:w="709" w:type="dxa"/>
            <w:tcBorders>
              <w:top w:val="nil"/>
              <w:left w:val="nil"/>
              <w:bottom w:val="nil"/>
              <w:right w:val="nil"/>
            </w:tcBorders>
            <w:shd w:val="clear" w:color="000000" w:fill="DDEBF7"/>
            <w:vAlign w:val="center"/>
            <w:hideMark/>
          </w:tcPr>
          <w:p w14:paraId="34BE6882" w14:textId="5B7135DE"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17,2</w:t>
            </w:r>
          </w:p>
        </w:tc>
        <w:tc>
          <w:tcPr>
            <w:tcW w:w="709" w:type="dxa"/>
            <w:tcBorders>
              <w:top w:val="nil"/>
              <w:left w:val="nil"/>
              <w:bottom w:val="nil"/>
              <w:right w:val="nil"/>
            </w:tcBorders>
            <w:shd w:val="clear" w:color="000000" w:fill="DDEBF7"/>
            <w:vAlign w:val="center"/>
            <w:hideMark/>
          </w:tcPr>
          <w:p w14:paraId="07BC0B63" w14:textId="5057AE7B"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16,3</w:t>
            </w:r>
          </w:p>
        </w:tc>
        <w:tc>
          <w:tcPr>
            <w:tcW w:w="709" w:type="dxa"/>
            <w:gridSpan w:val="2"/>
            <w:tcBorders>
              <w:top w:val="nil"/>
              <w:left w:val="nil"/>
              <w:bottom w:val="nil"/>
              <w:right w:val="nil"/>
            </w:tcBorders>
            <w:shd w:val="clear" w:color="000000" w:fill="DDEBF7"/>
            <w:vAlign w:val="center"/>
            <w:hideMark/>
          </w:tcPr>
          <w:p w14:paraId="540D855E" w14:textId="3D562286"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15,4</w:t>
            </w:r>
          </w:p>
        </w:tc>
      </w:tr>
      <w:tr w:rsidR="00057132" w:rsidRPr="00046B73" w14:paraId="12F3B75F" w14:textId="77777777" w:rsidTr="003A0B2F">
        <w:trPr>
          <w:trHeight w:val="289"/>
        </w:trPr>
        <w:tc>
          <w:tcPr>
            <w:tcW w:w="450" w:type="dxa"/>
            <w:tcBorders>
              <w:top w:val="nil"/>
              <w:left w:val="nil"/>
              <w:bottom w:val="nil"/>
              <w:right w:val="nil"/>
            </w:tcBorders>
            <w:shd w:val="clear" w:color="000000" w:fill="DDEBF7"/>
            <w:vAlign w:val="center"/>
            <w:hideMark/>
          </w:tcPr>
          <w:p w14:paraId="2A382515"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lastRenderedPageBreak/>
              <w:t>16</w:t>
            </w:r>
          </w:p>
        </w:tc>
        <w:tc>
          <w:tcPr>
            <w:tcW w:w="3661" w:type="dxa"/>
            <w:gridSpan w:val="3"/>
            <w:tcBorders>
              <w:top w:val="nil"/>
              <w:left w:val="nil"/>
              <w:bottom w:val="nil"/>
              <w:right w:val="nil"/>
            </w:tcBorders>
            <w:shd w:val="clear" w:color="000000" w:fill="DDEBF7"/>
            <w:vAlign w:val="center"/>
            <w:hideMark/>
          </w:tcPr>
          <w:p w14:paraId="46F3557E" w14:textId="77777777" w:rsidR="00057132" w:rsidRPr="00046B73" w:rsidRDefault="00057132" w:rsidP="00046B73">
            <w:pPr>
              <w:spacing w:after="0" w:line="240" w:lineRule="auto"/>
              <w:rPr>
                <w:rFonts w:ascii="Arial Narrow" w:eastAsia="Times New Roman" w:hAnsi="Arial Narrow" w:cs="Calibri"/>
                <w:b/>
                <w:bCs/>
                <w:kern w:val="0"/>
                <w:sz w:val="16"/>
                <w:szCs w:val="16"/>
                <w:lang w:eastAsia="sk-SK"/>
                <w14:ligatures w14:val="none"/>
              </w:rPr>
            </w:pPr>
            <w:r w:rsidRPr="00046B73">
              <w:rPr>
                <w:rFonts w:ascii="Arial Narrow" w:eastAsia="Times New Roman" w:hAnsi="Arial Narrow" w:cs="Calibri"/>
                <w:b/>
                <w:bCs/>
                <w:kern w:val="0"/>
                <w:sz w:val="16"/>
                <w:szCs w:val="16"/>
                <w:lang w:eastAsia="sk-SK"/>
                <w14:ligatures w14:val="none"/>
              </w:rPr>
              <w:t>Naturálne sociálne transfery</w:t>
            </w:r>
          </w:p>
        </w:tc>
        <w:tc>
          <w:tcPr>
            <w:tcW w:w="1276" w:type="dxa"/>
            <w:tcBorders>
              <w:top w:val="nil"/>
              <w:left w:val="nil"/>
              <w:bottom w:val="nil"/>
              <w:right w:val="nil"/>
            </w:tcBorders>
            <w:shd w:val="clear" w:color="000000" w:fill="DDEBF7"/>
            <w:vAlign w:val="center"/>
            <w:hideMark/>
          </w:tcPr>
          <w:p w14:paraId="0023ABD4"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D.632</w:t>
            </w:r>
          </w:p>
        </w:tc>
        <w:tc>
          <w:tcPr>
            <w:tcW w:w="709" w:type="dxa"/>
            <w:tcBorders>
              <w:top w:val="nil"/>
              <w:left w:val="nil"/>
              <w:bottom w:val="nil"/>
              <w:right w:val="nil"/>
            </w:tcBorders>
            <w:shd w:val="clear" w:color="000000" w:fill="DDEBF7"/>
            <w:vAlign w:val="center"/>
            <w:hideMark/>
          </w:tcPr>
          <w:p w14:paraId="73838A73" w14:textId="0F1AA0CD"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4,3</w:t>
            </w:r>
          </w:p>
        </w:tc>
        <w:tc>
          <w:tcPr>
            <w:tcW w:w="708" w:type="dxa"/>
            <w:tcBorders>
              <w:top w:val="nil"/>
              <w:left w:val="nil"/>
              <w:bottom w:val="nil"/>
              <w:right w:val="nil"/>
            </w:tcBorders>
            <w:shd w:val="clear" w:color="000000" w:fill="DDEBF7"/>
            <w:vAlign w:val="center"/>
          </w:tcPr>
          <w:p w14:paraId="3B63FB2F" w14:textId="269EAF40" w:rsidR="00057132" w:rsidRPr="00046B73" w:rsidRDefault="00057132"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3,5</w:t>
            </w:r>
          </w:p>
        </w:tc>
        <w:tc>
          <w:tcPr>
            <w:tcW w:w="709" w:type="dxa"/>
            <w:tcBorders>
              <w:top w:val="nil"/>
              <w:left w:val="nil"/>
              <w:bottom w:val="nil"/>
              <w:right w:val="nil"/>
            </w:tcBorders>
            <w:shd w:val="clear" w:color="000000" w:fill="DDEBF7"/>
            <w:vAlign w:val="center"/>
            <w:hideMark/>
          </w:tcPr>
          <w:p w14:paraId="186364F4" w14:textId="40CAB3E4"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3,8</w:t>
            </w:r>
          </w:p>
        </w:tc>
        <w:tc>
          <w:tcPr>
            <w:tcW w:w="709" w:type="dxa"/>
            <w:tcBorders>
              <w:top w:val="nil"/>
              <w:left w:val="nil"/>
              <w:bottom w:val="nil"/>
              <w:right w:val="nil"/>
            </w:tcBorders>
            <w:shd w:val="clear" w:color="000000" w:fill="DDEBF7"/>
            <w:vAlign w:val="center"/>
            <w:hideMark/>
          </w:tcPr>
          <w:p w14:paraId="38249A37" w14:textId="2AC4A872"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3,8</w:t>
            </w:r>
          </w:p>
        </w:tc>
        <w:tc>
          <w:tcPr>
            <w:tcW w:w="709" w:type="dxa"/>
            <w:gridSpan w:val="2"/>
            <w:tcBorders>
              <w:top w:val="nil"/>
              <w:left w:val="nil"/>
              <w:bottom w:val="nil"/>
              <w:right w:val="nil"/>
            </w:tcBorders>
            <w:shd w:val="clear" w:color="000000" w:fill="DDEBF7"/>
            <w:vAlign w:val="center"/>
            <w:hideMark/>
          </w:tcPr>
          <w:p w14:paraId="6F3D04F2" w14:textId="01B8379C"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3,9</w:t>
            </w:r>
          </w:p>
        </w:tc>
      </w:tr>
      <w:tr w:rsidR="00057132" w:rsidRPr="00046B73" w14:paraId="7887923C" w14:textId="77777777" w:rsidTr="003A0B2F">
        <w:trPr>
          <w:trHeight w:val="289"/>
        </w:trPr>
        <w:tc>
          <w:tcPr>
            <w:tcW w:w="450" w:type="dxa"/>
            <w:tcBorders>
              <w:top w:val="nil"/>
              <w:left w:val="nil"/>
              <w:bottom w:val="nil"/>
              <w:right w:val="nil"/>
            </w:tcBorders>
            <w:shd w:val="clear" w:color="000000" w:fill="DDEBF7"/>
            <w:vAlign w:val="center"/>
            <w:hideMark/>
          </w:tcPr>
          <w:p w14:paraId="2ACE69F1"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17</w:t>
            </w:r>
          </w:p>
        </w:tc>
        <w:tc>
          <w:tcPr>
            <w:tcW w:w="3661" w:type="dxa"/>
            <w:gridSpan w:val="3"/>
            <w:tcBorders>
              <w:top w:val="nil"/>
              <w:left w:val="nil"/>
              <w:bottom w:val="nil"/>
              <w:right w:val="nil"/>
            </w:tcBorders>
            <w:shd w:val="clear" w:color="000000" w:fill="DDEBF7"/>
            <w:vAlign w:val="center"/>
            <w:hideMark/>
          </w:tcPr>
          <w:p w14:paraId="4BC2FF64"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Subvencie</w:t>
            </w:r>
          </w:p>
        </w:tc>
        <w:tc>
          <w:tcPr>
            <w:tcW w:w="1276" w:type="dxa"/>
            <w:tcBorders>
              <w:top w:val="nil"/>
              <w:left w:val="nil"/>
              <w:bottom w:val="nil"/>
              <w:right w:val="nil"/>
            </w:tcBorders>
            <w:shd w:val="clear" w:color="000000" w:fill="DDEBF7"/>
            <w:vAlign w:val="center"/>
            <w:hideMark/>
          </w:tcPr>
          <w:p w14:paraId="12CC8C0D"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D.3</w:t>
            </w:r>
          </w:p>
        </w:tc>
        <w:tc>
          <w:tcPr>
            <w:tcW w:w="709" w:type="dxa"/>
            <w:tcBorders>
              <w:top w:val="nil"/>
              <w:left w:val="nil"/>
              <w:bottom w:val="nil"/>
              <w:right w:val="nil"/>
            </w:tcBorders>
            <w:shd w:val="clear" w:color="000000" w:fill="DDEBF7"/>
            <w:vAlign w:val="center"/>
            <w:hideMark/>
          </w:tcPr>
          <w:p w14:paraId="4C2597B4" w14:textId="4DD1EEDE"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4,2</w:t>
            </w:r>
          </w:p>
        </w:tc>
        <w:tc>
          <w:tcPr>
            <w:tcW w:w="708" w:type="dxa"/>
            <w:tcBorders>
              <w:top w:val="nil"/>
              <w:left w:val="nil"/>
              <w:bottom w:val="nil"/>
              <w:right w:val="nil"/>
            </w:tcBorders>
            <w:shd w:val="clear" w:color="000000" w:fill="DDEBF7"/>
            <w:vAlign w:val="center"/>
          </w:tcPr>
          <w:p w14:paraId="1B10F531" w14:textId="0C9046B8" w:rsidR="00057132" w:rsidRPr="00046B73" w:rsidRDefault="00057132"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3,4</w:t>
            </w:r>
          </w:p>
        </w:tc>
        <w:tc>
          <w:tcPr>
            <w:tcW w:w="709" w:type="dxa"/>
            <w:tcBorders>
              <w:top w:val="nil"/>
              <w:left w:val="nil"/>
              <w:bottom w:val="nil"/>
              <w:right w:val="nil"/>
            </w:tcBorders>
            <w:shd w:val="clear" w:color="000000" w:fill="DDEBF7"/>
            <w:vAlign w:val="center"/>
            <w:hideMark/>
          </w:tcPr>
          <w:p w14:paraId="5939AB15" w14:textId="05A80D40"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1,7</w:t>
            </w:r>
          </w:p>
        </w:tc>
        <w:tc>
          <w:tcPr>
            <w:tcW w:w="709" w:type="dxa"/>
            <w:tcBorders>
              <w:top w:val="nil"/>
              <w:left w:val="nil"/>
              <w:bottom w:val="nil"/>
              <w:right w:val="nil"/>
            </w:tcBorders>
            <w:shd w:val="clear" w:color="000000" w:fill="DDEBF7"/>
            <w:vAlign w:val="center"/>
            <w:hideMark/>
          </w:tcPr>
          <w:p w14:paraId="1465248A" w14:textId="5662DFA6"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1,3</w:t>
            </w:r>
          </w:p>
        </w:tc>
        <w:tc>
          <w:tcPr>
            <w:tcW w:w="709" w:type="dxa"/>
            <w:gridSpan w:val="2"/>
            <w:tcBorders>
              <w:top w:val="nil"/>
              <w:left w:val="nil"/>
              <w:bottom w:val="nil"/>
              <w:right w:val="nil"/>
            </w:tcBorders>
            <w:shd w:val="clear" w:color="000000" w:fill="DDEBF7"/>
            <w:vAlign w:val="center"/>
            <w:hideMark/>
          </w:tcPr>
          <w:p w14:paraId="073788CB" w14:textId="45423F21"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1,0</w:t>
            </w:r>
          </w:p>
        </w:tc>
      </w:tr>
      <w:tr w:rsidR="00057132" w:rsidRPr="00046B73" w14:paraId="779F7BA6" w14:textId="77777777" w:rsidTr="003A0B2F">
        <w:trPr>
          <w:trHeight w:val="510"/>
        </w:trPr>
        <w:tc>
          <w:tcPr>
            <w:tcW w:w="450" w:type="dxa"/>
            <w:tcBorders>
              <w:top w:val="nil"/>
              <w:left w:val="nil"/>
              <w:bottom w:val="nil"/>
              <w:right w:val="nil"/>
            </w:tcBorders>
            <w:shd w:val="clear" w:color="000000" w:fill="DDEBF7"/>
            <w:vAlign w:val="center"/>
            <w:hideMark/>
          </w:tcPr>
          <w:p w14:paraId="0401F45F"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18</w:t>
            </w:r>
          </w:p>
        </w:tc>
        <w:tc>
          <w:tcPr>
            <w:tcW w:w="3661" w:type="dxa"/>
            <w:gridSpan w:val="3"/>
            <w:tcBorders>
              <w:top w:val="nil"/>
              <w:left w:val="nil"/>
              <w:bottom w:val="nil"/>
              <w:right w:val="nil"/>
            </w:tcBorders>
            <w:shd w:val="clear" w:color="000000" w:fill="DDEBF7"/>
            <w:vAlign w:val="center"/>
            <w:hideMark/>
          </w:tcPr>
          <w:p w14:paraId="5A089BA1"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Ostatné bežné transfery</w:t>
            </w:r>
          </w:p>
        </w:tc>
        <w:tc>
          <w:tcPr>
            <w:tcW w:w="1276" w:type="dxa"/>
            <w:tcBorders>
              <w:top w:val="nil"/>
              <w:left w:val="nil"/>
              <w:bottom w:val="nil"/>
              <w:right w:val="nil"/>
            </w:tcBorders>
            <w:shd w:val="clear" w:color="000000" w:fill="DDEBF7"/>
            <w:vAlign w:val="center"/>
            <w:hideMark/>
          </w:tcPr>
          <w:p w14:paraId="17475565"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D.29+(D.4-D.41)+D.5+D.7+D.8</w:t>
            </w:r>
          </w:p>
        </w:tc>
        <w:tc>
          <w:tcPr>
            <w:tcW w:w="709" w:type="dxa"/>
            <w:tcBorders>
              <w:top w:val="nil"/>
              <w:left w:val="nil"/>
              <w:bottom w:val="nil"/>
              <w:right w:val="nil"/>
            </w:tcBorders>
            <w:shd w:val="clear" w:color="000000" w:fill="DDEBF7"/>
            <w:vAlign w:val="center"/>
            <w:hideMark/>
          </w:tcPr>
          <w:p w14:paraId="26A3B85E" w14:textId="46BA920D"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2,8</w:t>
            </w:r>
          </w:p>
        </w:tc>
        <w:tc>
          <w:tcPr>
            <w:tcW w:w="708" w:type="dxa"/>
            <w:tcBorders>
              <w:top w:val="nil"/>
              <w:left w:val="nil"/>
              <w:bottom w:val="nil"/>
              <w:right w:val="nil"/>
            </w:tcBorders>
            <w:shd w:val="clear" w:color="000000" w:fill="DDEBF7"/>
            <w:vAlign w:val="center"/>
          </w:tcPr>
          <w:p w14:paraId="7E5A8D1F" w14:textId="5D0FDD46" w:rsidR="00057132" w:rsidRPr="00046B73" w:rsidRDefault="00057132"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2,2</w:t>
            </w:r>
          </w:p>
        </w:tc>
        <w:tc>
          <w:tcPr>
            <w:tcW w:w="709" w:type="dxa"/>
            <w:tcBorders>
              <w:top w:val="nil"/>
              <w:left w:val="nil"/>
              <w:bottom w:val="nil"/>
              <w:right w:val="nil"/>
            </w:tcBorders>
            <w:shd w:val="clear" w:color="000000" w:fill="DDEBF7"/>
            <w:vAlign w:val="center"/>
            <w:hideMark/>
          </w:tcPr>
          <w:p w14:paraId="71E4BC39" w14:textId="749B2154"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2,2</w:t>
            </w:r>
          </w:p>
        </w:tc>
        <w:tc>
          <w:tcPr>
            <w:tcW w:w="709" w:type="dxa"/>
            <w:tcBorders>
              <w:top w:val="nil"/>
              <w:left w:val="nil"/>
              <w:bottom w:val="nil"/>
              <w:right w:val="nil"/>
            </w:tcBorders>
            <w:shd w:val="clear" w:color="000000" w:fill="DDEBF7"/>
            <w:vAlign w:val="center"/>
            <w:hideMark/>
          </w:tcPr>
          <w:p w14:paraId="6F15BAE2" w14:textId="549E964A"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2,2</w:t>
            </w:r>
          </w:p>
        </w:tc>
        <w:tc>
          <w:tcPr>
            <w:tcW w:w="709" w:type="dxa"/>
            <w:gridSpan w:val="2"/>
            <w:tcBorders>
              <w:top w:val="nil"/>
              <w:left w:val="nil"/>
              <w:bottom w:val="nil"/>
              <w:right w:val="nil"/>
            </w:tcBorders>
            <w:shd w:val="clear" w:color="000000" w:fill="DDEBF7"/>
            <w:vAlign w:val="center"/>
            <w:hideMark/>
          </w:tcPr>
          <w:p w14:paraId="2FAF6AC3" w14:textId="6EFEC969"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2,9</w:t>
            </w:r>
          </w:p>
        </w:tc>
      </w:tr>
      <w:tr w:rsidR="00057132" w:rsidRPr="00046B73" w14:paraId="48244561" w14:textId="77777777" w:rsidTr="003A0B2F">
        <w:trPr>
          <w:trHeight w:val="289"/>
        </w:trPr>
        <w:tc>
          <w:tcPr>
            <w:tcW w:w="450" w:type="dxa"/>
            <w:tcBorders>
              <w:top w:val="nil"/>
              <w:left w:val="nil"/>
              <w:bottom w:val="nil"/>
              <w:right w:val="nil"/>
            </w:tcBorders>
            <w:shd w:val="clear" w:color="000000" w:fill="DDEBF7"/>
            <w:vAlign w:val="center"/>
            <w:hideMark/>
          </w:tcPr>
          <w:p w14:paraId="3C579414"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19</w:t>
            </w:r>
          </w:p>
        </w:tc>
        <w:tc>
          <w:tcPr>
            <w:tcW w:w="3661" w:type="dxa"/>
            <w:gridSpan w:val="3"/>
            <w:tcBorders>
              <w:top w:val="nil"/>
              <w:left w:val="nil"/>
              <w:bottom w:val="nil"/>
              <w:right w:val="nil"/>
            </w:tcBorders>
            <w:shd w:val="clear" w:color="000000" w:fill="DDEBF7"/>
            <w:vAlign w:val="center"/>
            <w:hideMark/>
          </w:tcPr>
          <w:p w14:paraId="06D89803"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Tvorba hrubého fixného kapitálu</w:t>
            </w:r>
          </w:p>
        </w:tc>
        <w:tc>
          <w:tcPr>
            <w:tcW w:w="1276" w:type="dxa"/>
            <w:tcBorders>
              <w:top w:val="nil"/>
              <w:left w:val="nil"/>
              <w:bottom w:val="nil"/>
              <w:right w:val="nil"/>
            </w:tcBorders>
            <w:shd w:val="clear" w:color="000000" w:fill="DDEBF7"/>
            <w:vAlign w:val="center"/>
            <w:hideMark/>
          </w:tcPr>
          <w:p w14:paraId="3E4C6F46"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P.51</w:t>
            </w:r>
          </w:p>
        </w:tc>
        <w:tc>
          <w:tcPr>
            <w:tcW w:w="709" w:type="dxa"/>
            <w:tcBorders>
              <w:top w:val="nil"/>
              <w:left w:val="nil"/>
              <w:bottom w:val="nil"/>
              <w:right w:val="nil"/>
            </w:tcBorders>
            <w:shd w:val="clear" w:color="000000" w:fill="DDEBF7"/>
            <w:vAlign w:val="center"/>
            <w:hideMark/>
          </w:tcPr>
          <w:p w14:paraId="1555B583" w14:textId="15C26978"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4,5</w:t>
            </w:r>
          </w:p>
        </w:tc>
        <w:tc>
          <w:tcPr>
            <w:tcW w:w="708" w:type="dxa"/>
            <w:tcBorders>
              <w:top w:val="nil"/>
              <w:left w:val="nil"/>
              <w:bottom w:val="nil"/>
              <w:right w:val="nil"/>
            </w:tcBorders>
            <w:shd w:val="clear" w:color="000000" w:fill="DDEBF7"/>
            <w:vAlign w:val="center"/>
          </w:tcPr>
          <w:p w14:paraId="5017D9E9" w14:textId="285A26FD" w:rsidR="00057132" w:rsidRPr="00046B73" w:rsidRDefault="00057132"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3,7</w:t>
            </w:r>
          </w:p>
        </w:tc>
        <w:tc>
          <w:tcPr>
            <w:tcW w:w="709" w:type="dxa"/>
            <w:tcBorders>
              <w:top w:val="nil"/>
              <w:left w:val="nil"/>
              <w:bottom w:val="nil"/>
              <w:right w:val="nil"/>
            </w:tcBorders>
            <w:shd w:val="clear" w:color="000000" w:fill="DDEBF7"/>
            <w:vAlign w:val="center"/>
            <w:hideMark/>
          </w:tcPr>
          <w:p w14:paraId="14211758" w14:textId="72E4D6F8"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3,6</w:t>
            </w:r>
          </w:p>
        </w:tc>
        <w:tc>
          <w:tcPr>
            <w:tcW w:w="709" w:type="dxa"/>
            <w:tcBorders>
              <w:top w:val="nil"/>
              <w:left w:val="nil"/>
              <w:bottom w:val="nil"/>
              <w:right w:val="nil"/>
            </w:tcBorders>
            <w:shd w:val="clear" w:color="000000" w:fill="DDEBF7"/>
            <w:vAlign w:val="center"/>
            <w:hideMark/>
          </w:tcPr>
          <w:p w14:paraId="548939A6" w14:textId="291F6FF5"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4,5</w:t>
            </w:r>
          </w:p>
        </w:tc>
        <w:tc>
          <w:tcPr>
            <w:tcW w:w="709" w:type="dxa"/>
            <w:gridSpan w:val="2"/>
            <w:tcBorders>
              <w:top w:val="nil"/>
              <w:left w:val="nil"/>
              <w:bottom w:val="nil"/>
              <w:right w:val="nil"/>
            </w:tcBorders>
            <w:shd w:val="clear" w:color="000000" w:fill="DDEBF7"/>
            <w:vAlign w:val="center"/>
            <w:hideMark/>
          </w:tcPr>
          <w:p w14:paraId="2F75755D" w14:textId="2715C84E"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4,8</w:t>
            </w:r>
          </w:p>
        </w:tc>
      </w:tr>
      <w:tr w:rsidR="00057132" w:rsidRPr="00046B73" w14:paraId="7DDC5FB8" w14:textId="77777777" w:rsidTr="003A0B2F">
        <w:trPr>
          <w:trHeight w:val="289"/>
        </w:trPr>
        <w:tc>
          <w:tcPr>
            <w:tcW w:w="450" w:type="dxa"/>
            <w:tcBorders>
              <w:top w:val="nil"/>
              <w:left w:val="nil"/>
              <w:bottom w:val="nil"/>
              <w:right w:val="nil"/>
            </w:tcBorders>
            <w:shd w:val="clear" w:color="000000" w:fill="DDEBF7"/>
            <w:vAlign w:val="center"/>
            <w:hideMark/>
          </w:tcPr>
          <w:p w14:paraId="328676DA"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20</w:t>
            </w:r>
          </w:p>
        </w:tc>
        <w:tc>
          <w:tcPr>
            <w:tcW w:w="3661" w:type="dxa"/>
            <w:gridSpan w:val="3"/>
            <w:tcBorders>
              <w:top w:val="nil"/>
              <w:left w:val="nil"/>
              <w:bottom w:val="nil"/>
              <w:right w:val="nil"/>
            </w:tcBorders>
            <w:shd w:val="clear" w:color="000000" w:fill="DDEBF7"/>
            <w:vAlign w:val="center"/>
            <w:hideMark/>
          </w:tcPr>
          <w:p w14:paraId="6B8A5026"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Z toho: Národne financované verejné investície</w:t>
            </w:r>
          </w:p>
        </w:tc>
        <w:tc>
          <w:tcPr>
            <w:tcW w:w="1276" w:type="dxa"/>
            <w:tcBorders>
              <w:top w:val="nil"/>
              <w:left w:val="nil"/>
              <w:bottom w:val="nil"/>
              <w:right w:val="nil"/>
            </w:tcBorders>
            <w:shd w:val="clear" w:color="000000" w:fill="DDEBF7"/>
            <w:vAlign w:val="center"/>
            <w:hideMark/>
          </w:tcPr>
          <w:p w14:paraId="3431C288"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w:t>
            </w:r>
          </w:p>
        </w:tc>
        <w:tc>
          <w:tcPr>
            <w:tcW w:w="709" w:type="dxa"/>
            <w:tcBorders>
              <w:top w:val="nil"/>
              <w:left w:val="nil"/>
              <w:bottom w:val="nil"/>
              <w:right w:val="nil"/>
            </w:tcBorders>
            <w:shd w:val="clear" w:color="000000" w:fill="DDEBF7"/>
            <w:vAlign w:val="center"/>
            <w:hideMark/>
          </w:tcPr>
          <w:p w14:paraId="7400B7A4" w14:textId="3AA1F14F" w:rsidR="00057132" w:rsidRPr="00046B73" w:rsidRDefault="00A23E2C"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2,3</w:t>
            </w:r>
          </w:p>
        </w:tc>
        <w:tc>
          <w:tcPr>
            <w:tcW w:w="708" w:type="dxa"/>
            <w:tcBorders>
              <w:top w:val="nil"/>
              <w:left w:val="nil"/>
              <w:bottom w:val="nil"/>
              <w:right w:val="nil"/>
            </w:tcBorders>
            <w:shd w:val="clear" w:color="000000" w:fill="DDEBF7"/>
            <w:vAlign w:val="center"/>
          </w:tcPr>
          <w:p w14:paraId="77018168" w14:textId="0A4C1661" w:rsidR="00057132" w:rsidRPr="00046B73" w:rsidRDefault="00A23E2C"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1,9</w:t>
            </w:r>
          </w:p>
        </w:tc>
        <w:tc>
          <w:tcPr>
            <w:tcW w:w="709" w:type="dxa"/>
            <w:tcBorders>
              <w:top w:val="nil"/>
              <w:left w:val="nil"/>
              <w:bottom w:val="nil"/>
              <w:right w:val="nil"/>
            </w:tcBorders>
            <w:shd w:val="clear" w:color="000000" w:fill="DDEBF7"/>
            <w:vAlign w:val="center"/>
            <w:hideMark/>
          </w:tcPr>
          <w:p w14:paraId="5A91FF6B" w14:textId="3E0F9630"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3,1</w:t>
            </w:r>
          </w:p>
        </w:tc>
        <w:tc>
          <w:tcPr>
            <w:tcW w:w="709" w:type="dxa"/>
            <w:tcBorders>
              <w:top w:val="nil"/>
              <w:left w:val="nil"/>
              <w:bottom w:val="nil"/>
              <w:right w:val="nil"/>
            </w:tcBorders>
            <w:shd w:val="clear" w:color="000000" w:fill="DDEBF7"/>
            <w:vAlign w:val="center"/>
            <w:hideMark/>
          </w:tcPr>
          <w:p w14:paraId="2E009AFE" w14:textId="3A9371D1"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3,3</w:t>
            </w:r>
          </w:p>
        </w:tc>
        <w:tc>
          <w:tcPr>
            <w:tcW w:w="709" w:type="dxa"/>
            <w:gridSpan w:val="2"/>
            <w:tcBorders>
              <w:top w:val="nil"/>
              <w:left w:val="nil"/>
              <w:bottom w:val="nil"/>
              <w:right w:val="nil"/>
            </w:tcBorders>
            <w:shd w:val="clear" w:color="000000" w:fill="DDEBF7"/>
            <w:vAlign w:val="center"/>
            <w:hideMark/>
          </w:tcPr>
          <w:p w14:paraId="6846C40F" w14:textId="3021A4DE"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3,1</w:t>
            </w:r>
          </w:p>
        </w:tc>
      </w:tr>
      <w:tr w:rsidR="00057132" w:rsidRPr="00046B73" w14:paraId="34CCA23B" w14:textId="77777777" w:rsidTr="003A0B2F">
        <w:trPr>
          <w:trHeight w:val="289"/>
        </w:trPr>
        <w:tc>
          <w:tcPr>
            <w:tcW w:w="450" w:type="dxa"/>
            <w:tcBorders>
              <w:top w:val="nil"/>
              <w:left w:val="nil"/>
              <w:bottom w:val="nil"/>
              <w:right w:val="nil"/>
            </w:tcBorders>
            <w:shd w:val="clear" w:color="000000" w:fill="DDEBF7"/>
            <w:vAlign w:val="center"/>
            <w:hideMark/>
          </w:tcPr>
          <w:p w14:paraId="0A5101BE"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21</w:t>
            </w:r>
          </w:p>
        </w:tc>
        <w:tc>
          <w:tcPr>
            <w:tcW w:w="3661" w:type="dxa"/>
            <w:gridSpan w:val="3"/>
            <w:tcBorders>
              <w:top w:val="nil"/>
              <w:left w:val="nil"/>
              <w:bottom w:val="nil"/>
              <w:right w:val="nil"/>
            </w:tcBorders>
            <w:shd w:val="clear" w:color="000000" w:fill="DDEBF7"/>
            <w:vAlign w:val="center"/>
            <w:hideMark/>
          </w:tcPr>
          <w:p w14:paraId="60BC9F14"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Kapitálové transfery</w:t>
            </w:r>
          </w:p>
        </w:tc>
        <w:tc>
          <w:tcPr>
            <w:tcW w:w="1276" w:type="dxa"/>
            <w:tcBorders>
              <w:top w:val="nil"/>
              <w:left w:val="nil"/>
              <w:bottom w:val="nil"/>
              <w:right w:val="nil"/>
            </w:tcBorders>
            <w:shd w:val="clear" w:color="000000" w:fill="DDEBF7"/>
            <w:vAlign w:val="center"/>
            <w:hideMark/>
          </w:tcPr>
          <w:p w14:paraId="3F2F9FED"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D.9</w:t>
            </w:r>
          </w:p>
        </w:tc>
        <w:tc>
          <w:tcPr>
            <w:tcW w:w="709" w:type="dxa"/>
            <w:tcBorders>
              <w:top w:val="nil"/>
              <w:left w:val="nil"/>
              <w:bottom w:val="nil"/>
              <w:right w:val="nil"/>
            </w:tcBorders>
            <w:shd w:val="clear" w:color="000000" w:fill="DDEBF7"/>
            <w:vAlign w:val="center"/>
            <w:hideMark/>
          </w:tcPr>
          <w:p w14:paraId="211722E3" w14:textId="25165C48" w:rsidR="00057132" w:rsidRPr="00046B73" w:rsidRDefault="00107199"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2,0</w:t>
            </w:r>
          </w:p>
        </w:tc>
        <w:tc>
          <w:tcPr>
            <w:tcW w:w="708" w:type="dxa"/>
            <w:tcBorders>
              <w:top w:val="nil"/>
              <w:left w:val="nil"/>
              <w:bottom w:val="nil"/>
              <w:right w:val="nil"/>
            </w:tcBorders>
            <w:shd w:val="clear" w:color="000000" w:fill="DDEBF7"/>
            <w:vAlign w:val="center"/>
          </w:tcPr>
          <w:p w14:paraId="7C7A522C" w14:textId="15483D77" w:rsidR="00057132" w:rsidRPr="00046B73" w:rsidRDefault="00107199"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1,6</w:t>
            </w:r>
          </w:p>
        </w:tc>
        <w:tc>
          <w:tcPr>
            <w:tcW w:w="709" w:type="dxa"/>
            <w:tcBorders>
              <w:top w:val="nil"/>
              <w:left w:val="nil"/>
              <w:bottom w:val="nil"/>
              <w:right w:val="nil"/>
            </w:tcBorders>
            <w:shd w:val="clear" w:color="000000" w:fill="DDEBF7"/>
            <w:vAlign w:val="center"/>
            <w:hideMark/>
          </w:tcPr>
          <w:p w14:paraId="0FA22580" w14:textId="0FCE680C"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0,4</w:t>
            </w:r>
          </w:p>
        </w:tc>
        <w:tc>
          <w:tcPr>
            <w:tcW w:w="709" w:type="dxa"/>
            <w:tcBorders>
              <w:top w:val="nil"/>
              <w:left w:val="nil"/>
              <w:bottom w:val="nil"/>
              <w:right w:val="nil"/>
            </w:tcBorders>
            <w:shd w:val="clear" w:color="000000" w:fill="DDEBF7"/>
            <w:vAlign w:val="center"/>
            <w:hideMark/>
          </w:tcPr>
          <w:p w14:paraId="5A855A78" w14:textId="1A0C220C"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0,7</w:t>
            </w:r>
          </w:p>
        </w:tc>
        <w:tc>
          <w:tcPr>
            <w:tcW w:w="709" w:type="dxa"/>
            <w:gridSpan w:val="2"/>
            <w:tcBorders>
              <w:top w:val="nil"/>
              <w:left w:val="nil"/>
              <w:bottom w:val="nil"/>
              <w:right w:val="nil"/>
            </w:tcBorders>
            <w:shd w:val="clear" w:color="000000" w:fill="DDEBF7"/>
            <w:vAlign w:val="center"/>
            <w:hideMark/>
          </w:tcPr>
          <w:p w14:paraId="48EC858F" w14:textId="6104E935"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1,2</w:t>
            </w:r>
          </w:p>
        </w:tc>
      </w:tr>
      <w:tr w:rsidR="00057132" w:rsidRPr="00046B73" w14:paraId="55946623" w14:textId="77777777" w:rsidTr="003A0B2F">
        <w:trPr>
          <w:trHeight w:val="289"/>
        </w:trPr>
        <w:tc>
          <w:tcPr>
            <w:tcW w:w="450" w:type="dxa"/>
            <w:tcBorders>
              <w:top w:val="nil"/>
              <w:left w:val="nil"/>
              <w:bottom w:val="nil"/>
              <w:right w:val="nil"/>
            </w:tcBorders>
            <w:shd w:val="clear" w:color="000000" w:fill="DDEBF7"/>
            <w:vAlign w:val="center"/>
            <w:hideMark/>
          </w:tcPr>
          <w:p w14:paraId="29787EC3"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22</w:t>
            </w:r>
          </w:p>
        </w:tc>
        <w:tc>
          <w:tcPr>
            <w:tcW w:w="3661" w:type="dxa"/>
            <w:gridSpan w:val="3"/>
            <w:tcBorders>
              <w:top w:val="nil"/>
              <w:left w:val="nil"/>
              <w:bottom w:val="nil"/>
              <w:right w:val="nil"/>
            </w:tcBorders>
            <w:shd w:val="clear" w:color="000000" w:fill="DDEBF7"/>
            <w:vAlign w:val="center"/>
            <w:hideMark/>
          </w:tcPr>
          <w:p w14:paraId="0EA3C3B4"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Ostatné kapitálové výdavky</w:t>
            </w:r>
          </w:p>
        </w:tc>
        <w:tc>
          <w:tcPr>
            <w:tcW w:w="1276" w:type="dxa"/>
            <w:tcBorders>
              <w:top w:val="nil"/>
              <w:left w:val="nil"/>
              <w:bottom w:val="nil"/>
              <w:right w:val="nil"/>
            </w:tcBorders>
            <w:shd w:val="clear" w:color="000000" w:fill="DDEBF7"/>
            <w:vAlign w:val="center"/>
            <w:hideMark/>
          </w:tcPr>
          <w:p w14:paraId="3B978118"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P.52+P.53+NP</w:t>
            </w:r>
          </w:p>
        </w:tc>
        <w:tc>
          <w:tcPr>
            <w:tcW w:w="709" w:type="dxa"/>
            <w:tcBorders>
              <w:top w:val="nil"/>
              <w:left w:val="nil"/>
              <w:bottom w:val="nil"/>
              <w:right w:val="nil"/>
            </w:tcBorders>
            <w:shd w:val="clear" w:color="000000" w:fill="DDEBF7"/>
            <w:vAlign w:val="center"/>
            <w:hideMark/>
          </w:tcPr>
          <w:p w14:paraId="3E40521B" w14:textId="13423E2A" w:rsidR="00057132" w:rsidRPr="00046B73" w:rsidRDefault="00107199"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0,2</w:t>
            </w:r>
          </w:p>
        </w:tc>
        <w:tc>
          <w:tcPr>
            <w:tcW w:w="708" w:type="dxa"/>
            <w:tcBorders>
              <w:top w:val="nil"/>
              <w:left w:val="nil"/>
              <w:bottom w:val="nil"/>
              <w:right w:val="nil"/>
            </w:tcBorders>
            <w:shd w:val="clear" w:color="000000" w:fill="DDEBF7"/>
            <w:vAlign w:val="center"/>
          </w:tcPr>
          <w:p w14:paraId="117F06D0" w14:textId="3B79F477" w:rsidR="00057132" w:rsidRPr="00046B73" w:rsidRDefault="00107199"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0,2</w:t>
            </w:r>
          </w:p>
        </w:tc>
        <w:tc>
          <w:tcPr>
            <w:tcW w:w="709" w:type="dxa"/>
            <w:tcBorders>
              <w:top w:val="nil"/>
              <w:left w:val="nil"/>
              <w:bottom w:val="nil"/>
              <w:right w:val="nil"/>
            </w:tcBorders>
            <w:shd w:val="clear" w:color="000000" w:fill="DDEBF7"/>
            <w:vAlign w:val="center"/>
            <w:hideMark/>
          </w:tcPr>
          <w:p w14:paraId="449AAE39" w14:textId="7BAF5C90"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0,1</w:t>
            </w:r>
          </w:p>
        </w:tc>
        <w:tc>
          <w:tcPr>
            <w:tcW w:w="709" w:type="dxa"/>
            <w:tcBorders>
              <w:top w:val="nil"/>
              <w:left w:val="nil"/>
              <w:bottom w:val="nil"/>
              <w:right w:val="nil"/>
            </w:tcBorders>
            <w:shd w:val="clear" w:color="000000" w:fill="DDEBF7"/>
            <w:vAlign w:val="center"/>
            <w:hideMark/>
          </w:tcPr>
          <w:p w14:paraId="7D1AA76E" w14:textId="323EA2E5"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0,1</w:t>
            </w:r>
          </w:p>
        </w:tc>
        <w:tc>
          <w:tcPr>
            <w:tcW w:w="709" w:type="dxa"/>
            <w:gridSpan w:val="2"/>
            <w:tcBorders>
              <w:top w:val="nil"/>
              <w:left w:val="nil"/>
              <w:bottom w:val="nil"/>
              <w:right w:val="nil"/>
            </w:tcBorders>
            <w:shd w:val="clear" w:color="000000" w:fill="DDEBF7"/>
            <w:vAlign w:val="center"/>
            <w:hideMark/>
          </w:tcPr>
          <w:p w14:paraId="0296284B" w14:textId="086E4BB2"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0,0</w:t>
            </w:r>
          </w:p>
        </w:tc>
      </w:tr>
      <w:tr w:rsidR="00057132" w:rsidRPr="00046B73" w14:paraId="6F6E81B7" w14:textId="77777777" w:rsidTr="003A0B2F">
        <w:trPr>
          <w:trHeight w:val="289"/>
        </w:trPr>
        <w:tc>
          <w:tcPr>
            <w:tcW w:w="450" w:type="dxa"/>
            <w:tcBorders>
              <w:top w:val="nil"/>
              <w:left w:val="nil"/>
              <w:bottom w:val="nil"/>
              <w:right w:val="nil"/>
            </w:tcBorders>
            <w:shd w:val="clear" w:color="000000" w:fill="DDEBF7"/>
            <w:vAlign w:val="center"/>
            <w:hideMark/>
          </w:tcPr>
          <w:p w14:paraId="391F42F4"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23</w:t>
            </w:r>
          </w:p>
        </w:tc>
        <w:tc>
          <w:tcPr>
            <w:tcW w:w="3661" w:type="dxa"/>
            <w:gridSpan w:val="3"/>
            <w:tcBorders>
              <w:top w:val="nil"/>
              <w:left w:val="nil"/>
              <w:bottom w:val="nil"/>
              <w:right w:val="nil"/>
            </w:tcBorders>
            <w:shd w:val="clear" w:color="000000" w:fill="DDEBF7"/>
            <w:vAlign w:val="center"/>
            <w:hideMark/>
          </w:tcPr>
          <w:p w14:paraId="7F586D3E"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Výdavky spolu (= 12+13+14+15+16+17+18+19+21+22)</w:t>
            </w:r>
          </w:p>
        </w:tc>
        <w:tc>
          <w:tcPr>
            <w:tcW w:w="1276" w:type="dxa"/>
            <w:tcBorders>
              <w:top w:val="nil"/>
              <w:left w:val="nil"/>
              <w:bottom w:val="nil"/>
              <w:right w:val="nil"/>
            </w:tcBorders>
            <w:shd w:val="clear" w:color="000000" w:fill="DDEBF7"/>
            <w:vAlign w:val="center"/>
            <w:hideMark/>
          </w:tcPr>
          <w:p w14:paraId="7E63E539"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TE</w:t>
            </w:r>
          </w:p>
        </w:tc>
        <w:tc>
          <w:tcPr>
            <w:tcW w:w="709" w:type="dxa"/>
            <w:tcBorders>
              <w:top w:val="nil"/>
              <w:left w:val="nil"/>
              <w:bottom w:val="nil"/>
              <w:right w:val="nil"/>
            </w:tcBorders>
            <w:shd w:val="clear" w:color="000000" w:fill="DDEBF7"/>
            <w:vAlign w:val="center"/>
            <w:hideMark/>
          </w:tcPr>
          <w:p w14:paraId="595DA5BB" w14:textId="487D4EAF" w:rsidR="00057132" w:rsidRPr="00046B73" w:rsidRDefault="00107199"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59,8</w:t>
            </w:r>
          </w:p>
        </w:tc>
        <w:tc>
          <w:tcPr>
            <w:tcW w:w="708" w:type="dxa"/>
            <w:tcBorders>
              <w:top w:val="nil"/>
              <w:left w:val="nil"/>
              <w:bottom w:val="nil"/>
              <w:right w:val="nil"/>
            </w:tcBorders>
            <w:shd w:val="clear" w:color="000000" w:fill="DDEBF7"/>
            <w:vAlign w:val="center"/>
          </w:tcPr>
          <w:p w14:paraId="7B870733" w14:textId="152CF8A5" w:rsidR="00057132" w:rsidRPr="00046B73" w:rsidRDefault="00107199"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48,4</w:t>
            </w:r>
          </w:p>
        </w:tc>
        <w:tc>
          <w:tcPr>
            <w:tcW w:w="709" w:type="dxa"/>
            <w:tcBorders>
              <w:top w:val="nil"/>
              <w:left w:val="nil"/>
              <w:bottom w:val="nil"/>
              <w:right w:val="nil"/>
            </w:tcBorders>
            <w:shd w:val="clear" w:color="000000" w:fill="DDEBF7"/>
            <w:vAlign w:val="center"/>
            <w:hideMark/>
          </w:tcPr>
          <w:p w14:paraId="78ABD1AB" w14:textId="51350ED6"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47,4</w:t>
            </w:r>
          </w:p>
        </w:tc>
        <w:tc>
          <w:tcPr>
            <w:tcW w:w="709" w:type="dxa"/>
            <w:tcBorders>
              <w:top w:val="nil"/>
              <w:left w:val="nil"/>
              <w:bottom w:val="nil"/>
              <w:right w:val="nil"/>
            </w:tcBorders>
            <w:shd w:val="clear" w:color="000000" w:fill="DDEBF7"/>
            <w:vAlign w:val="center"/>
            <w:hideMark/>
          </w:tcPr>
          <w:p w14:paraId="72978C0C" w14:textId="0FB18D37"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sz w:val="16"/>
                <w:szCs w:val="16"/>
              </w:rPr>
              <w:t>47,9</w:t>
            </w:r>
          </w:p>
        </w:tc>
        <w:tc>
          <w:tcPr>
            <w:tcW w:w="709" w:type="dxa"/>
            <w:gridSpan w:val="2"/>
            <w:tcBorders>
              <w:top w:val="nil"/>
              <w:left w:val="nil"/>
              <w:bottom w:val="nil"/>
              <w:right w:val="nil"/>
            </w:tcBorders>
            <w:shd w:val="clear" w:color="000000" w:fill="DDEBF7"/>
            <w:vAlign w:val="center"/>
            <w:hideMark/>
          </w:tcPr>
          <w:p w14:paraId="3AE49D2C" w14:textId="28AFF44A"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sz w:val="16"/>
                <w:szCs w:val="16"/>
              </w:rPr>
              <w:t>48,2</w:t>
            </w:r>
          </w:p>
        </w:tc>
      </w:tr>
      <w:tr w:rsidR="00057132" w:rsidRPr="00046B73" w14:paraId="7A7563BC" w14:textId="77777777" w:rsidTr="003A0B2F">
        <w:trPr>
          <w:trHeight w:val="289"/>
        </w:trPr>
        <w:tc>
          <w:tcPr>
            <w:tcW w:w="450" w:type="dxa"/>
            <w:tcBorders>
              <w:top w:val="nil"/>
              <w:left w:val="nil"/>
              <w:bottom w:val="nil"/>
              <w:right w:val="nil"/>
            </w:tcBorders>
            <w:shd w:val="clear" w:color="000000" w:fill="DDEBF7"/>
            <w:vAlign w:val="center"/>
            <w:hideMark/>
          </w:tcPr>
          <w:p w14:paraId="7D73366C"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24</w:t>
            </w:r>
          </w:p>
        </w:tc>
        <w:tc>
          <w:tcPr>
            <w:tcW w:w="3661" w:type="dxa"/>
            <w:gridSpan w:val="3"/>
            <w:tcBorders>
              <w:top w:val="nil"/>
              <w:left w:val="nil"/>
              <w:bottom w:val="nil"/>
              <w:right w:val="nil"/>
            </w:tcBorders>
            <w:shd w:val="clear" w:color="000000" w:fill="DDEBF7"/>
            <w:vAlign w:val="center"/>
            <w:hideMark/>
          </w:tcPr>
          <w:p w14:paraId="47FBD1A2"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Z toho: Výdavky financované z transferov z EÚ (= 8-10b)</w:t>
            </w:r>
          </w:p>
        </w:tc>
        <w:tc>
          <w:tcPr>
            <w:tcW w:w="1276" w:type="dxa"/>
            <w:tcBorders>
              <w:top w:val="nil"/>
              <w:left w:val="nil"/>
              <w:bottom w:val="nil"/>
              <w:right w:val="nil"/>
            </w:tcBorders>
            <w:shd w:val="clear" w:color="000000" w:fill="DDEBF7"/>
            <w:vAlign w:val="center"/>
            <w:hideMark/>
          </w:tcPr>
          <w:p w14:paraId="22A60C32"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w:t>
            </w:r>
          </w:p>
        </w:tc>
        <w:tc>
          <w:tcPr>
            <w:tcW w:w="709" w:type="dxa"/>
            <w:tcBorders>
              <w:top w:val="nil"/>
              <w:left w:val="nil"/>
              <w:bottom w:val="nil"/>
              <w:right w:val="nil"/>
            </w:tcBorders>
            <w:shd w:val="clear" w:color="000000" w:fill="DDEBF7"/>
            <w:vAlign w:val="center"/>
            <w:hideMark/>
          </w:tcPr>
          <w:p w14:paraId="572E938F" w14:textId="5223C7DF" w:rsidR="00057132" w:rsidRPr="00046B73" w:rsidRDefault="00107199"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3,5</w:t>
            </w:r>
          </w:p>
        </w:tc>
        <w:tc>
          <w:tcPr>
            <w:tcW w:w="708" w:type="dxa"/>
            <w:tcBorders>
              <w:top w:val="nil"/>
              <w:left w:val="nil"/>
              <w:bottom w:val="nil"/>
              <w:right w:val="nil"/>
            </w:tcBorders>
            <w:shd w:val="clear" w:color="000000" w:fill="DDEBF7"/>
            <w:vAlign w:val="center"/>
          </w:tcPr>
          <w:p w14:paraId="64CBD1BC" w14:textId="66997F08" w:rsidR="00057132" w:rsidRPr="00046B73" w:rsidRDefault="00107199"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2,9</w:t>
            </w:r>
          </w:p>
        </w:tc>
        <w:tc>
          <w:tcPr>
            <w:tcW w:w="709" w:type="dxa"/>
            <w:tcBorders>
              <w:top w:val="nil"/>
              <w:left w:val="nil"/>
              <w:bottom w:val="nil"/>
              <w:right w:val="nil"/>
            </w:tcBorders>
            <w:shd w:val="clear" w:color="000000" w:fill="DDEBF7"/>
            <w:vAlign w:val="center"/>
            <w:hideMark/>
          </w:tcPr>
          <w:p w14:paraId="30DFB409" w14:textId="062C191B"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1,5</w:t>
            </w:r>
          </w:p>
        </w:tc>
        <w:tc>
          <w:tcPr>
            <w:tcW w:w="709" w:type="dxa"/>
            <w:tcBorders>
              <w:top w:val="nil"/>
              <w:left w:val="nil"/>
              <w:bottom w:val="nil"/>
              <w:right w:val="nil"/>
            </w:tcBorders>
            <w:shd w:val="clear" w:color="000000" w:fill="DDEBF7"/>
            <w:vAlign w:val="center"/>
            <w:hideMark/>
          </w:tcPr>
          <w:p w14:paraId="110A8401" w14:textId="7E1E41A8"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2,3</w:t>
            </w:r>
          </w:p>
        </w:tc>
        <w:tc>
          <w:tcPr>
            <w:tcW w:w="709" w:type="dxa"/>
            <w:gridSpan w:val="2"/>
            <w:tcBorders>
              <w:top w:val="nil"/>
              <w:left w:val="nil"/>
              <w:bottom w:val="nil"/>
              <w:right w:val="nil"/>
            </w:tcBorders>
            <w:shd w:val="clear" w:color="000000" w:fill="DDEBF7"/>
            <w:vAlign w:val="center"/>
            <w:hideMark/>
          </w:tcPr>
          <w:p w14:paraId="5B76DFD2" w14:textId="7BF04218"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3,3</w:t>
            </w:r>
          </w:p>
        </w:tc>
      </w:tr>
      <w:tr w:rsidR="00057132" w:rsidRPr="00046B73" w14:paraId="12F9F0EA" w14:textId="77777777" w:rsidTr="003A0B2F">
        <w:trPr>
          <w:trHeight w:val="289"/>
        </w:trPr>
        <w:tc>
          <w:tcPr>
            <w:tcW w:w="450" w:type="dxa"/>
            <w:tcBorders>
              <w:top w:val="nil"/>
              <w:left w:val="nil"/>
              <w:bottom w:val="nil"/>
              <w:right w:val="nil"/>
            </w:tcBorders>
            <w:shd w:val="clear" w:color="000000" w:fill="DDEBF7"/>
            <w:vAlign w:val="center"/>
            <w:hideMark/>
          </w:tcPr>
          <w:p w14:paraId="04802B72"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25</w:t>
            </w:r>
          </w:p>
        </w:tc>
        <w:tc>
          <w:tcPr>
            <w:tcW w:w="3661" w:type="dxa"/>
            <w:gridSpan w:val="3"/>
            <w:tcBorders>
              <w:top w:val="nil"/>
              <w:left w:val="nil"/>
              <w:bottom w:val="nil"/>
              <w:right w:val="nil"/>
            </w:tcBorders>
            <w:shd w:val="clear" w:color="000000" w:fill="DDEBF7"/>
            <w:vAlign w:val="center"/>
            <w:hideMark/>
          </w:tcPr>
          <w:p w14:paraId="440F698A"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Národne financované výdavky (= 23-24)</w:t>
            </w:r>
          </w:p>
        </w:tc>
        <w:tc>
          <w:tcPr>
            <w:tcW w:w="1276" w:type="dxa"/>
            <w:tcBorders>
              <w:top w:val="nil"/>
              <w:left w:val="nil"/>
              <w:bottom w:val="nil"/>
              <w:right w:val="nil"/>
            </w:tcBorders>
            <w:shd w:val="clear" w:color="000000" w:fill="DDEBF7"/>
            <w:vAlign w:val="center"/>
            <w:hideMark/>
          </w:tcPr>
          <w:p w14:paraId="1E50A4A8"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w:t>
            </w:r>
          </w:p>
        </w:tc>
        <w:tc>
          <w:tcPr>
            <w:tcW w:w="709" w:type="dxa"/>
            <w:tcBorders>
              <w:top w:val="nil"/>
              <w:left w:val="nil"/>
              <w:bottom w:val="nil"/>
              <w:right w:val="nil"/>
            </w:tcBorders>
            <w:shd w:val="clear" w:color="000000" w:fill="DDEBF7"/>
            <w:vAlign w:val="center"/>
            <w:hideMark/>
          </w:tcPr>
          <w:p w14:paraId="16C98C7D" w14:textId="328CCA35" w:rsidR="00057132" w:rsidRPr="00046B73" w:rsidRDefault="00107199"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56,2</w:t>
            </w:r>
          </w:p>
        </w:tc>
        <w:tc>
          <w:tcPr>
            <w:tcW w:w="708" w:type="dxa"/>
            <w:tcBorders>
              <w:top w:val="nil"/>
              <w:left w:val="nil"/>
              <w:bottom w:val="nil"/>
              <w:right w:val="nil"/>
            </w:tcBorders>
            <w:shd w:val="clear" w:color="000000" w:fill="DDEBF7"/>
            <w:vAlign w:val="center"/>
          </w:tcPr>
          <w:p w14:paraId="1FB50EE9" w14:textId="1F1E5A9F" w:rsidR="00057132" w:rsidRPr="00046B73" w:rsidRDefault="00107199"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45,5</w:t>
            </w:r>
          </w:p>
        </w:tc>
        <w:tc>
          <w:tcPr>
            <w:tcW w:w="709" w:type="dxa"/>
            <w:tcBorders>
              <w:top w:val="nil"/>
              <w:left w:val="nil"/>
              <w:bottom w:val="nil"/>
              <w:right w:val="nil"/>
            </w:tcBorders>
            <w:shd w:val="clear" w:color="000000" w:fill="DDEBF7"/>
            <w:vAlign w:val="center"/>
            <w:hideMark/>
          </w:tcPr>
          <w:p w14:paraId="4D1F4783" w14:textId="7A3A0A96"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45,9</w:t>
            </w:r>
          </w:p>
        </w:tc>
        <w:tc>
          <w:tcPr>
            <w:tcW w:w="709" w:type="dxa"/>
            <w:tcBorders>
              <w:top w:val="nil"/>
              <w:left w:val="nil"/>
              <w:bottom w:val="nil"/>
              <w:right w:val="nil"/>
            </w:tcBorders>
            <w:shd w:val="clear" w:color="000000" w:fill="DDEBF7"/>
            <w:vAlign w:val="center"/>
            <w:hideMark/>
          </w:tcPr>
          <w:p w14:paraId="44075DF5" w14:textId="07664111"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45,6</w:t>
            </w:r>
          </w:p>
        </w:tc>
        <w:tc>
          <w:tcPr>
            <w:tcW w:w="709" w:type="dxa"/>
            <w:gridSpan w:val="2"/>
            <w:tcBorders>
              <w:top w:val="nil"/>
              <w:left w:val="nil"/>
              <w:bottom w:val="nil"/>
              <w:right w:val="nil"/>
            </w:tcBorders>
            <w:shd w:val="clear" w:color="000000" w:fill="DDEBF7"/>
            <w:vAlign w:val="center"/>
            <w:hideMark/>
          </w:tcPr>
          <w:p w14:paraId="69AC5306" w14:textId="7FEDDD39"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44,9</w:t>
            </w:r>
          </w:p>
        </w:tc>
      </w:tr>
      <w:tr w:rsidR="00057132" w:rsidRPr="00046B73" w14:paraId="105197AB" w14:textId="77777777" w:rsidTr="003A0B2F">
        <w:trPr>
          <w:trHeight w:val="289"/>
        </w:trPr>
        <w:tc>
          <w:tcPr>
            <w:tcW w:w="450" w:type="dxa"/>
            <w:tcBorders>
              <w:top w:val="nil"/>
              <w:left w:val="nil"/>
              <w:bottom w:val="nil"/>
              <w:right w:val="nil"/>
            </w:tcBorders>
            <w:shd w:val="clear" w:color="000000" w:fill="DDEBF7"/>
            <w:vAlign w:val="center"/>
            <w:hideMark/>
          </w:tcPr>
          <w:p w14:paraId="199BEB6B"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26</w:t>
            </w:r>
          </w:p>
        </w:tc>
        <w:tc>
          <w:tcPr>
            <w:tcW w:w="3661" w:type="dxa"/>
            <w:gridSpan w:val="3"/>
            <w:tcBorders>
              <w:top w:val="nil"/>
              <w:left w:val="nil"/>
              <w:bottom w:val="nil"/>
              <w:right w:val="nil"/>
            </w:tcBorders>
            <w:shd w:val="clear" w:color="000000" w:fill="DDEBF7"/>
            <w:vAlign w:val="center"/>
            <w:hideMark/>
          </w:tcPr>
          <w:p w14:paraId="0DA33A5F"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p.m. Národné spolufinancovanie fondov EÚ</w:t>
            </w:r>
          </w:p>
        </w:tc>
        <w:tc>
          <w:tcPr>
            <w:tcW w:w="1276" w:type="dxa"/>
            <w:tcBorders>
              <w:top w:val="nil"/>
              <w:left w:val="nil"/>
              <w:bottom w:val="nil"/>
              <w:right w:val="nil"/>
            </w:tcBorders>
            <w:shd w:val="clear" w:color="000000" w:fill="DDEBF7"/>
            <w:vAlign w:val="center"/>
            <w:hideMark/>
          </w:tcPr>
          <w:p w14:paraId="4A030176"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w:t>
            </w:r>
          </w:p>
        </w:tc>
        <w:tc>
          <w:tcPr>
            <w:tcW w:w="709" w:type="dxa"/>
            <w:tcBorders>
              <w:top w:val="nil"/>
              <w:left w:val="nil"/>
              <w:bottom w:val="nil"/>
              <w:right w:val="nil"/>
            </w:tcBorders>
            <w:shd w:val="clear" w:color="000000" w:fill="DDEBF7"/>
            <w:vAlign w:val="center"/>
            <w:hideMark/>
          </w:tcPr>
          <w:p w14:paraId="705BF97C" w14:textId="343EEA23"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w:t>
            </w:r>
            <w:r w:rsidR="00107199">
              <w:rPr>
                <w:rFonts w:ascii="Arial Narrow" w:hAnsi="Arial Narrow" w:cs="Calibri"/>
                <w:color w:val="000000"/>
                <w:sz w:val="16"/>
                <w:szCs w:val="16"/>
              </w:rPr>
              <w:t>6</w:t>
            </w:r>
          </w:p>
        </w:tc>
        <w:tc>
          <w:tcPr>
            <w:tcW w:w="708" w:type="dxa"/>
            <w:tcBorders>
              <w:top w:val="nil"/>
              <w:left w:val="nil"/>
              <w:bottom w:val="nil"/>
              <w:right w:val="nil"/>
            </w:tcBorders>
            <w:shd w:val="clear" w:color="000000" w:fill="DDEBF7"/>
            <w:vAlign w:val="center"/>
          </w:tcPr>
          <w:p w14:paraId="116C42A0" w14:textId="30D8A189" w:rsidR="00057132" w:rsidRPr="00046B73" w:rsidRDefault="00107199"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0,5</w:t>
            </w:r>
          </w:p>
        </w:tc>
        <w:tc>
          <w:tcPr>
            <w:tcW w:w="709" w:type="dxa"/>
            <w:tcBorders>
              <w:top w:val="nil"/>
              <w:left w:val="nil"/>
              <w:bottom w:val="nil"/>
              <w:right w:val="nil"/>
            </w:tcBorders>
            <w:shd w:val="clear" w:color="000000" w:fill="DDEBF7"/>
            <w:vAlign w:val="center"/>
            <w:hideMark/>
          </w:tcPr>
          <w:p w14:paraId="137F0049" w14:textId="0009C236"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0,4</w:t>
            </w:r>
          </w:p>
        </w:tc>
        <w:tc>
          <w:tcPr>
            <w:tcW w:w="709" w:type="dxa"/>
            <w:tcBorders>
              <w:top w:val="nil"/>
              <w:left w:val="nil"/>
              <w:bottom w:val="nil"/>
              <w:right w:val="nil"/>
            </w:tcBorders>
            <w:shd w:val="clear" w:color="000000" w:fill="DDEBF7"/>
            <w:vAlign w:val="center"/>
            <w:hideMark/>
          </w:tcPr>
          <w:p w14:paraId="0A3ABC47" w14:textId="4FE11127"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0,4</w:t>
            </w:r>
          </w:p>
        </w:tc>
        <w:tc>
          <w:tcPr>
            <w:tcW w:w="709" w:type="dxa"/>
            <w:gridSpan w:val="2"/>
            <w:tcBorders>
              <w:top w:val="nil"/>
              <w:left w:val="nil"/>
              <w:bottom w:val="nil"/>
              <w:right w:val="nil"/>
            </w:tcBorders>
            <w:shd w:val="clear" w:color="000000" w:fill="DDEBF7"/>
            <w:vAlign w:val="center"/>
            <w:hideMark/>
          </w:tcPr>
          <w:p w14:paraId="0A559569" w14:textId="45CC7551"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0,3</w:t>
            </w:r>
          </w:p>
        </w:tc>
      </w:tr>
      <w:tr w:rsidR="00057132" w:rsidRPr="00046B73" w14:paraId="7DC0416A" w14:textId="77777777" w:rsidTr="003A0B2F">
        <w:trPr>
          <w:trHeight w:val="289"/>
        </w:trPr>
        <w:tc>
          <w:tcPr>
            <w:tcW w:w="450" w:type="dxa"/>
            <w:tcBorders>
              <w:top w:val="nil"/>
              <w:left w:val="nil"/>
              <w:bottom w:val="nil"/>
              <w:right w:val="nil"/>
            </w:tcBorders>
            <w:shd w:val="clear" w:color="000000" w:fill="DDEBF7"/>
            <w:vAlign w:val="center"/>
            <w:hideMark/>
          </w:tcPr>
          <w:p w14:paraId="25342947"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27</w:t>
            </w:r>
          </w:p>
        </w:tc>
        <w:tc>
          <w:tcPr>
            <w:tcW w:w="3661" w:type="dxa"/>
            <w:gridSpan w:val="3"/>
            <w:tcBorders>
              <w:top w:val="nil"/>
              <w:left w:val="nil"/>
              <w:bottom w:val="nil"/>
              <w:right w:val="nil"/>
            </w:tcBorders>
            <w:shd w:val="clear" w:color="000000" w:fill="DDEBF7"/>
            <w:vAlign w:val="center"/>
            <w:hideMark/>
          </w:tcPr>
          <w:p w14:paraId="5D205E6F"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p.m. Cyklická zložka dávok v nezamestnanosti</w:t>
            </w:r>
          </w:p>
        </w:tc>
        <w:tc>
          <w:tcPr>
            <w:tcW w:w="1276" w:type="dxa"/>
            <w:tcBorders>
              <w:top w:val="nil"/>
              <w:left w:val="nil"/>
              <w:bottom w:val="nil"/>
              <w:right w:val="nil"/>
            </w:tcBorders>
            <w:shd w:val="clear" w:color="000000" w:fill="DDEBF7"/>
            <w:vAlign w:val="center"/>
            <w:hideMark/>
          </w:tcPr>
          <w:p w14:paraId="3DD3B9C4"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w:t>
            </w:r>
          </w:p>
        </w:tc>
        <w:tc>
          <w:tcPr>
            <w:tcW w:w="709" w:type="dxa"/>
            <w:tcBorders>
              <w:top w:val="nil"/>
              <w:left w:val="nil"/>
              <w:bottom w:val="nil"/>
              <w:right w:val="nil"/>
            </w:tcBorders>
            <w:shd w:val="clear" w:color="000000" w:fill="DDEBF7"/>
            <w:vAlign w:val="center"/>
            <w:hideMark/>
          </w:tcPr>
          <w:p w14:paraId="7E8A6E30" w14:textId="30EFE76A"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0,0</w:t>
            </w:r>
          </w:p>
        </w:tc>
        <w:tc>
          <w:tcPr>
            <w:tcW w:w="708" w:type="dxa"/>
            <w:tcBorders>
              <w:top w:val="nil"/>
              <w:left w:val="nil"/>
              <w:bottom w:val="nil"/>
              <w:right w:val="nil"/>
            </w:tcBorders>
            <w:shd w:val="clear" w:color="000000" w:fill="DDEBF7"/>
            <w:vAlign w:val="center"/>
          </w:tcPr>
          <w:p w14:paraId="40ADEBFB" w14:textId="627CEFA2" w:rsidR="00057132" w:rsidRPr="00046B73" w:rsidRDefault="00107199"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0,0</w:t>
            </w:r>
          </w:p>
        </w:tc>
        <w:tc>
          <w:tcPr>
            <w:tcW w:w="709" w:type="dxa"/>
            <w:tcBorders>
              <w:top w:val="nil"/>
              <w:left w:val="nil"/>
              <w:bottom w:val="nil"/>
              <w:right w:val="nil"/>
            </w:tcBorders>
            <w:shd w:val="clear" w:color="000000" w:fill="DDEBF7"/>
            <w:vAlign w:val="center"/>
            <w:hideMark/>
          </w:tcPr>
          <w:p w14:paraId="1FB22D69" w14:textId="01449FAA"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0,0</w:t>
            </w:r>
          </w:p>
        </w:tc>
        <w:tc>
          <w:tcPr>
            <w:tcW w:w="709" w:type="dxa"/>
            <w:tcBorders>
              <w:top w:val="nil"/>
              <w:left w:val="nil"/>
              <w:bottom w:val="nil"/>
              <w:right w:val="nil"/>
            </w:tcBorders>
            <w:shd w:val="clear" w:color="000000" w:fill="DDEBF7"/>
            <w:vAlign w:val="center"/>
            <w:hideMark/>
          </w:tcPr>
          <w:p w14:paraId="1184E64C" w14:textId="0EDD106A"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0,0</w:t>
            </w:r>
          </w:p>
        </w:tc>
        <w:tc>
          <w:tcPr>
            <w:tcW w:w="709" w:type="dxa"/>
            <w:gridSpan w:val="2"/>
            <w:tcBorders>
              <w:top w:val="nil"/>
              <w:left w:val="nil"/>
              <w:bottom w:val="nil"/>
              <w:right w:val="nil"/>
            </w:tcBorders>
            <w:shd w:val="clear" w:color="000000" w:fill="DDEBF7"/>
            <w:vAlign w:val="center"/>
            <w:hideMark/>
          </w:tcPr>
          <w:p w14:paraId="32839A39" w14:textId="05C06771"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0,0</w:t>
            </w:r>
          </w:p>
        </w:tc>
      </w:tr>
      <w:tr w:rsidR="00057132" w:rsidRPr="00046B73" w14:paraId="015E2F7D" w14:textId="77777777" w:rsidTr="003A0B2F">
        <w:trPr>
          <w:trHeight w:val="289"/>
        </w:trPr>
        <w:tc>
          <w:tcPr>
            <w:tcW w:w="450" w:type="dxa"/>
            <w:tcBorders>
              <w:top w:val="nil"/>
              <w:left w:val="nil"/>
              <w:bottom w:val="nil"/>
              <w:right w:val="nil"/>
            </w:tcBorders>
            <w:shd w:val="clear" w:color="000000" w:fill="DDEBF7"/>
            <w:vAlign w:val="center"/>
            <w:hideMark/>
          </w:tcPr>
          <w:p w14:paraId="539A6F00"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28</w:t>
            </w:r>
          </w:p>
        </w:tc>
        <w:tc>
          <w:tcPr>
            <w:tcW w:w="3661" w:type="dxa"/>
            <w:gridSpan w:val="3"/>
            <w:tcBorders>
              <w:top w:val="nil"/>
              <w:left w:val="nil"/>
              <w:bottom w:val="nil"/>
              <w:right w:val="nil"/>
            </w:tcBorders>
            <w:shd w:val="clear" w:color="000000" w:fill="DDEBF7"/>
            <w:vAlign w:val="center"/>
            <w:hideMark/>
          </w:tcPr>
          <w:p w14:paraId="66A137A0"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p.m. Jednorazové výdavky zahrnuté v projekcii (level, bez financovania zo zdrojov EÚ)</w:t>
            </w:r>
          </w:p>
        </w:tc>
        <w:tc>
          <w:tcPr>
            <w:tcW w:w="1276" w:type="dxa"/>
            <w:tcBorders>
              <w:top w:val="nil"/>
              <w:left w:val="nil"/>
              <w:bottom w:val="nil"/>
              <w:right w:val="nil"/>
            </w:tcBorders>
            <w:shd w:val="clear" w:color="000000" w:fill="DDEBF7"/>
            <w:vAlign w:val="center"/>
            <w:hideMark/>
          </w:tcPr>
          <w:p w14:paraId="51DFF327"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w:t>
            </w:r>
          </w:p>
        </w:tc>
        <w:tc>
          <w:tcPr>
            <w:tcW w:w="709" w:type="dxa"/>
            <w:tcBorders>
              <w:top w:val="nil"/>
              <w:left w:val="nil"/>
              <w:bottom w:val="nil"/>
              <w:right w:val="nil"/>
            </w:tcBorders>
            <w:shd w:val="clear" w:color="000000" w:fill="DDEBF7"/>
            <w:vAlign w:val="center"/>
            <w:hideMark/>
          </w:tcPr>
          <w:p w14:paraId="17800CF1" w14:textId="4679A9C8"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0,0</w:t>
            </w:r>
          </w:p>
        </w:tc>
        <w:tc>
          <w:tcPr>
            <w:tcW w:w="708" w:type="dxa"/>
            <w:tcBorders>
              <w:top w:val="nil"/>
              <w:left w:val="nil"/>
              <w:bottom w:val="nil"/>
              <w:right w:val="nil"/>
            </w:tcBorders>
            <w:shd w:val="clear" w:color="000000" w:fill="DDEBF7"/>
            <w:vAlign w:val="center"/>
          </w:tcPr>
          <w:p w14:paraId="7F6A8A34" w14:textId="5DAF134C" w:rsidR="00057132" w:rsidRPr="00046B73" w:rsidRDefault="00107199"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0,0</w:t>
            </w:r>
          </w:p>
        </w:tc>
        <w:tc>
          <w:tcPr>
            <w:tcW w:w="709" w:type="dxa"/>
            <w:tcBorders>
              <w:top w:val="nil"/>
              <w:left w:val="nil"/>
              <w:bottom w:val="nil"/>
              <w:right w:val="nil"/>
            </w:tcBorders>
            <w:shd w:val="clear" w:color="000000" w:fill="DDEBF7"/>
            <w:vAlign w:val="center"/>
            <w:hideMark/>
          </w:tcPr>
          <w:p w14:paraId="267D3100" w14:textId="6B42DECF"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0,0</w:t>
            </w:r>
          </w:p>
        </w:tc>
        <w:tc>
          <w:tcPr>
            <w:tcW w:w="709" w:type="dxa"/>
            <w:tcBorders>
              <w:top w:val="nil"/>
              <w:left w:val="nil"/>
              <w:bottom w:val="nil"/>
              <w:right w:val="nil"/>
            </w:tcBorders>
            <w:shd w:val="clear" w:color="000000" w:fill="DDEBF7"/>
            <w:vAlign w:val="center"/>
            <w:hideMark/>
          </w:tcPr>
          <w:p w14:paraId="2BCD905D" w14:textId="76AB12C6"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0,0</w:t>
            </w:r>
          </w:p>
        </w:tc>
        <w:tc>
          <w:tcPr>
            <w:tcW w:w="709" w:type="dxa"/>
            <w:gridSpan w:val="2"/>
            <w:tcBorders>
              <w:top w:val="nil"/>
              <w:left w:val="nil"/>
              <w:bottom w:val="nil"/>
              <w:right w:val="nil"/>
            </w:tcBorders>
            <w:shd w:val="clear" w:color="000000" w:fill="DDEBF7"/>
            <w:vAlign w:val="center"/>
            <w:hideMark/>
          </w:tcPr>
          <w:p w14:paraId="0827FE94" w14:textId="3428D9F2"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0,0</w:t>
            </w:r>
          </w:p>
        </w:tc>
      </w:tr>
      <w:tr w:rsidR="00057132" w:rsidRPr="00046B73" w14:paraId="3FDCF273" w14:textId="77777777" w:rsidTr="003A0B2F">
        <w:trPr>
          <w:trHeight w:val="289"/>
        </w:trPr>
        <w:tc>
          <w:tcPr>
            <w:tcW w:w="450" w:type="dxa"/>
            <w:tcBorders>
              <w:top w:val="nil"/>
              <w:left w:val="nil"/>
              <w:bottom w:val="nil"/>
              <w:right w:val="nil"/>
            </w:tcBorders>
            <w:shd w:val="clear" w:color="000000" w:fill="DDEBF7"/>
            <w:vAlign w:val="center"/>
            <w:hideMark/>
          </w:tcPr>
          <w:p w14:paraId="155078F9"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29</w:t>
            </w:r>
          </w:p>
        </w:tc>
        <w:tc>
          <w:tcPr>
            <w:tcW w:w="3661" w:type="dxa"/>
            <w:gridSpan w:val="3"/>
            <w:tcBorders>
              <w:top w:val="nil"/>
              <w:left w:val="nil"/>
              <w:bottom w:val="nil"/>
              <w:right w:val="nil"/>
            </w:tcBorders>
            <w:shd w:val="clear" w:color="000000" w:fill="DDEBF7"/>
            <w:vAlign w:val="center"/>
            <w:hideMark/>
          </w:tcPr>
          <w:p w14:paraId="4B3DA287"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Čisté národne financované primárne výdavky (bez príjmových opatrení (= 25-26-27-28-14)</w:t>
            </w:r>
          </w:p>
        </w:tc>
        <w:tc>
          <w:tcPr>
            <w:tcW w:w="1276" w:type="dxa"/>
            <w:tcBorders>
              <w:top w:val="nil"/>
              <w:left w:val="nil"/>
              <w:bottom w:val="nil"/>
              <w:right w:val="nil"/>
            </w:tcBorders>
            <w:shd w:val="clear" w:color="000000" w:fill="DDEBF7"/>
            <w:vAlign w:val="center"/>
            <w:hideMark/>
          </w:tcPr>
          <w:p w14:paraId="1690F19F"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w:t>
            </w:r>
          </w:p>
        </w:tc>
        <w:tc>
          <w:tcPr>
            <w:tcW w:w="709" w:type="dxa"/>
            <w:tcBorders>
              <w:top w:val="nil"/>
              <w:left w:val="nil"/>
              <w:bottom w:val="nil"/>
              <w:right w:val="nil"/>
            </w:tcBorders>
            <w:shd w:val="clear" w:color="000000" w:fill="DDEBF7"/>
            <w:vAlign w:val="center"/>
            <w:hideMark/>
          </w:tcPr>
          <w:p w14:paraId="51921104" w14:textId="358CCC3B" w:rsidR="00057132" w:rsidRPr="00046B73" w:rsidRDefault="00107199"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54,2</w:t>
            </w:r>
          </w:p>
        </w:tc>
        <w:tc>
          <w:tcPr>
            <w:tcW w:w="708" w:type="dxa"/>
            <w:tcBorders>
              <w:top w:val="nil"/>
              <w:left w:val="nil"/>
              <w:bottom w:val="nil"/>
              <w:right w:val="nil"/>
            </w:tcBorders>
            <w:shd w:val="clear" w:color="000000" w:fill="DDEBF7"/>
            <w:vAlign w:val="center"/>
          </w:tcPr>
          <w:p w14:paraId="321FEE42" w14:textId="7B4B7D0B" w:rsidR="00057132" w:rsidRPr="00046B73" w:rsidRDefault="00107199"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43,9</w:t>
            </w:r>
          </w:p>
        </w:tc>
        <w:tc>
          <w:tcPr>
            <w:tcW w:w="709" w:type="dxa"/>
            <w:tcBorders>
              <w:top w:val="nil"/>
              <w:left w:val="nil"/>
              <w:bottom w:val="nil"/>
              <w:right w:val="nil"/>
            </w:tcBorders>
            <w:shd w:val="clear" w:color="000000" w:fill="DDEBF7"/>
            <w:vAlign w:val="center"/>
            <w:hideMark/>
          </w:tcPr>
          <w:p w14:paraId="6BA39F64" w14:textId="3544F962"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44,1</w:t>
            </w:r>
          </w:p>
        </w:tc>
        <w:tc>
          <w:tcPr>
            <w:tcW w:w="709" w:type="dxa"/>
            <w:tcBorders>
              <w:top w:val="nil"/>
              <w:left w:val="nil"/>
              <w:bottom w:val="nil"/>
              <w:right w:val="nil"/>
            </w:tcBorders>
            <w:shd w:val="clear" w:color="000000" w:fill="DDEBF7"/>
            <w:vAlign w:val="center"/>
            <w:hideMark/>
          </w:tcPr>
          <w:p w14:paraId="7F26B077" w14:textId="01F6A4F7"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43,7</w:t>
            </w:r>
          </w:p>
        </w:tc>
        <w:tc>
          <w:tcPr>
            <w:tcW w:w="709" w:type="dxa"/>
            <w:gridSpan w:val="2"/>
            <w:tcBorders>
              <w:top w:val="nil"/>
              <w:left w:val="nil"/>
              <w:bottom w:val="nil"/>
              <w:right w:val="nil"/>
            </w:tcBorders>
            <w:shd w:val="clear" w:color="000000" w:fill="DDEBF7"/>
            <w:vAlign w:val="center"/>
            <w:hideMark/>
          </w:tcPr>
          <w:p w14:paraId="0A4CD03A" w14:textId="5B427F57"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42,8</w:t>
            </w:r>
          </w:p>
        </w:tc>
      </w:tr>
      <w:tr w:rsidR="00057132" w:rsidRPr="00046B73" w14:paraId="3116F0EF" w14:textId="77777777" w:rsidTr="003A0B2F">
        <w:trPr>
          <w:trHeight w:val="289"/>
        </w:trPr>
        <w:tc>
          <w:tcPr>
            <w:tcW w:w="4111" w:type="dxa"/>
            <w:gridSpan w:val="4"/>
            <w:tcBorders>
              <w:top w:val="nil"/>
              <w:left w:val="nil"/>
              <w:bottom w:val="nil"/>
              <w:right w:val="nil"/>
            </w:tcBorders>
            <w:vAlign w:val="center"/>
            <w:hideMark/>
          </w:tcPr>
          <w:p w14:paraId="1A4DF428" w14:textId="77777777" w:rsidR="00057132" w:rsidRPr="00046B73" w:rsidRDefault="00057132" w:rsidP="002B1847">
            <w:pPr>
              <w:spacing w:after="0" w:line="240" w:lineRule="auto"/>
              <w:rPr>
                <w:rFonts w:ascii="Arial Narrow" w:eastAsia="Times New Roman" w:hAnsi="Arial Narrow" w:cs="Calibri"/>
                <w:i/>
                <w:iCs/>
                <w:color w:val="2C9ADC"/>
                <w:kern w:val="0"/>
                <w:sz w:val="16"/>
                <w:szCs w:val="16"/>
                <w:lang w:eastAsia="sk-SK"/>
                <w14:ligatures w14:val="none"/>
              </w:rPr>
            </w:pPr>
            <w:r w:rsidRPr="00046B73">
              <w:rPr>
                <w:rFonts w:ascii="Arial Narrow" w:eastAsia="Times New Roman" w:hAnsi="Arial Narrow" w:cs="Calibri"/>
                <w:i/>
                <w:iCs/>
                <w:color w:val="2C9ADC"/>
                <w:kern w:val="0"/>
                <w:sz w:val="16"/>
                <w:szCs w:val="16"/>
                <w:lang w:eastAsia="sk-SK"/>
                <w14:ligatures w14:val="none"/>
              </w:rPr>
              <w:t>Národne financované primárne výdavky</w:t>
            </w:r>
          </w:p>
        </w:tc>
        <w:tc>
          <w:tcPr>
            <w:tcW w:w="1276" w:type="dxa"/>
            <w:tcBorders>
              <w:top w:val="nil"/>
              <w:left w:val="nil"/>
              <w:bottom w:val="nil"/>
              <w:right w:val="nil"/>
            </w:tcBorders>
            <w:vAlign w:val="center"/>
            <w:hideMark/>
          </w:tcPr>
          <w:p w14:paraId="3B9C55DC" w14:textId="77777777" w:rsidR="00057132" w:rsidRPr="00046B73" w:rsidRDefault="00057132" w:rsidP="002B1847">
            <w:pPr>
              <w:spacing w:after="0" w:line="240" w:lineRule="auto"/>
              <w:rPr>
                <w:rFonts w:ascii="Arial Narrow" w:eastAsia="Times New Roman" w:hAnsi="Arial Narrow" w:cs="Calibri"/>
                <w:i/>
                <w:iCs/>
                <w:color w:val="2C9ADC"/>
                <w:kern w:val="0"/>
                <w:sz w:val="16"/>
                <w:szCs w:val="16"/>
                <w:lang w:eastAsia="sk-SK"/>
                <w14:ligatures w14:val="none"/>
              </w:rPr>
            </w:pPr>
          </w:p>
        </w:tc>
        <w:tc>
          <w:tcPr>
            <w:tcW w:w="709" w:type="dxa"/>
            <w:tcBorders>
              <w:top w:val="nil"/>
              <w:left w:val="nil"/>
              <w:bottom w:val="nil"/>
              <w:right w:val="nil"/>
            </w:tcBorders>
            <w:vAlign w:val="center"/>
            <w:hideMark/>
          </w:tcPr>
          <w:p w14:paraId="77969CA7" w14:textId="77777777" w:rsidR="00057132" w:rsidRPr="00046B73" w:rsidRDefault="00057132"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708" w:type="dxa"/>
            <w:tcBorders>
              <w:top w:val="nil"/>
              <w:left w:val="nil"/>
              <w:bottom w:val="nil"/>
              <w:right w:val="nil"/>
            </w:tcBorders>
            <w:vAlign w:val="center"/>
          </w:tcPr>
          <w:p w14:paraId="4FB26836" w14:textId="4E05C11C"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p>
        </w:tc>
        <w:tc>
          <w:tcPr>
            <w:tcW w:w="709" w:type="dxa"/>
            <w:tcBorders>
              <w:top w:val="nil"/>
              <w:left w:val="nil"/>
              <w:bottom w:val="nil"/>
              <w:right w:val="nil"/>
            </w:tcBorders>
            <w:vAlign w:val="center"/>
            <w:hideMark/>
          </w:tcPr>
          <w:p w14:paraId="6804BAA9" w14:textId="0E0422A9"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rast v %</w:t>
            </w:r>
          </w:p>
        </w:tc>
        <w:tc>
          <w:tcPr>
            <w:tcW w:w="709" w:type="dxa"/>
            <w:tcBorders>
              <w:top w:val="nil"/>
              <w:left w:val="nil"/>
              <w:bottom w:val="nil"/>
              <w:right w:val="nil"/>
            </w:tcBorders>
            <w:vAlign w:val="center"/>
            <w:hideMark/>
          </w:tcPr>
          <w:p w14:paraId="1879D950" w14:textId="77777777"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rast v %</w:t>
            </w:r>
          </w:p>
        </w:tc>
        <w:tc>
          <w:tcPr>
            <w:tcW w:w="709" w:type="dxa"/>
            <w:gridSpan w:val="2"/>
            <w:tcBorders>
              <w:top w:val="nil"/>
              <w:left w:val="nil"/>
              <w:bottom w:val="nil"/>
              <w:right w:val="nil"/>
            </w:tcBorders>
            <w:vAlign w:val="center"/>
            <w:hideMark/>
          </w:tcPr>
          <w:p w14:paraId="15928577" w14:textId="77777777"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rast v %</w:t>
            </w:r>
          </w:p>
        </w:tc>
      </w:tr>
      <w:tr w:rsidR="00057132" w:rsidRPr="00046B73" w14:paraId="3085AC96" w14:textId="77777777" w:rsidTr="003A0B2F">
        <w:trPr>
          <w:trHeight w:val="289"/>
        </w:trPr>
        <w:tc>
          <w:tcPr>
            <w:tcW w:w="450" w:type="dxa"/>
            <w:tcBorders>
              <w:top w:val="nil"/>
              <w:left w:val="nil"/>
              <w:bottom w:val="nil"/>
              <w:right w:val="nil"/>
            </w:tcBorders>
            <w:shd w:val="clear" w:color="000000" w:fill="DDEBF7"/>
            <w:vAlign w:val="center"/>
            <w:hideMark/>
          </w:tcPr>
          <w:p w14:paraId="5825DE55"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30</w:t>
            </w:r>
          </w:p>
        </w:tc>
        <w:tc>
          <w:tcPr>
            <w:tcW w:w="3661" w:type="dxa"/>
            <w:gridSpan w:val="3"/>
            <w:tcBorders>
              <w:top w:val="nil"/>
              <w:left w:val="nil"/>
              <w:bottom w:val="nil"/>
              <w:right w:val="nil"/>
            </w:tcBorders>
            <w:shd w:val="clear" w:color="000000" w:fill="DDEBF7"/>
            <w:vAlign w:val="center"/>
            <w:hideMark/>
          </w:tcPr>
          <w:p w14:paraId="3FCF5718"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Rast čistých národne financovaných primárnych výdavkov</w:t>
            </w:r>
          </w:p>
        </w:tc>
        <w:tc>
          <w:tcPr>
            <w:tcW w:w="1276" w:type="dxa"/>
            <w:tcBorders>
              <w:top w:val="nil"/>
              <w:left w:val="nil"/>
              <w:bottom w:val="nil"/>
              <w:right w:val="nil"/>
            </w:tcBorders>
            <w:shd w:val="clear" w:color="000000" w:fill="DDEBF7"/>
            <w:vAlign w:val="center"/>
            <w:hideMark/>
          </w:tcPr>
          <w:p w14:paraId="104D02FF"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w:t>
            </w:r>
          </w:p>
        </w:tc>
        <w:tc>
          <w:tcPr>
            <w:tcW w:w="709" w:type="dxa"/>
            <w:tcBorders>
              <w:top w:val="nil"/>
              <w:left w:val="nil"/>
              <w:bottom w:val="nil"/>
              <w:right w:val="nil"/>
            </w:tcBorders>
            <w:shd w:val="clear" w:color="000000" w:fill="DDEBF7"/>
            <w:vAlign w:val="center"/>
            <w:hideMark/>
          </w:tcPr>
          <w:p w14:paraId="7578AADA" w14:textId="77777777" w:rsidR="00057132" w:rsidRPr="00046B73" w:rsidRDefault="00057132" w:rsidP="00046B73">
            <w:pPr>
              <w:spacing w:after="0" w:line="240" w:lineRule="auto"/>
              <w:jc w:val="center"/>
              <w:rPr>
                <w:rFonts w:ascii="Arial Narrow" w:eastAsia="Times New Roman" w:hAnsi="Arial Narrow" w:cs="Calibri"/>
                <w:color w:val="000000"/>
                <w:kern w:val="0"/>
                <w:lang w:eastAsia="sk-SK"/>
                <w14:ligatures w14:val="none"/>
              </w:rPr>
            </w:pPr>
            <w:r w:rsidRPr="00046B73">
              <w:rPr>
                <w:rFonts w:ascii="Arial Narrow" w:eastAsia="Times New Roman" w:hAnsi="Arial Narrow" w:cs="Calibri"/>
                <w:color w:val="000000"/>
                <w:kern w:val="0"/>
                <w:lang w:eastAsia="sk-SK"/>
                <w14:ligatures w14:val="none"/>
              </w:rPr>
              <w:t> </w:t>
            </w:r>
          </w:p>
        </w:tc>
        <w:tc>
          <w:tcPr>
            <w:tcW w:w="708" w:type="dxa"/>
            <w:tcBorders>
              <w:top w:val="nil"/>
              <w:left w:val="nil"/>
              <w:bottom w:val="nil"/>
              <w:right w:val="nil"/>
            </w:tcBorders>
            <w:shd w:val="clear" w:color="000000" w:fill="DDEBF7"/>
            <w:vAlign w:val="center"/>
          </w:tcPr>
          <w:p w14:paraId="72BCC83F" w14:textId="284B621F" w:rsidR="00057132" w:rsidRPr="00046B73" w:rsidRDefault="00057132" w:rsidP="00057132">
            <w:pPr>
              <w:spacing w:after="0" w:line="240" w:lineRule="auto"/>
              <w:jc w:val="center"/>
              <w:rPr>
                <w:rFonts w:ascii="Arial Narrow" w:hAnsi="Arial Narrow" w:cs="Calibri"/>
                <w:color w:val="000000"/>
                <w:sz w:val="16"/>
                <w:szCs w:val="16"/>
              </w:rPr>
            </w:pPr>
          </w:p>
        </w:tc>
        <w:tc>
          <w:tcPr>
            <w:tcW w:w="709" w:type="dxa"/>
            <w:tcBorders>
              <w:top w:val="nil"/>
              <w:left w:val="nil"/>
              <w:bottom w:val="nil"/>
              <w:right w:val="nil"/>
            </w:tcBorders>
            <w:shd w:val="clear" w:color="000000" w:fill="DDEBF7"/>
            <w:vAlign w:val="center"/>
            <w:hideMark/>
          </w:tcPr>
          <w:p w14:paraId="313F7292" w14:textId="0A54D003"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3,5</w:t>
            </w:r>
          </w:p>
        </w:tc>
        <w:tc>
          <w:tcPr>
            <w:tcW w:w="709" w:type="dxa"/>
            <w:tcBorders>
              <w:top w:val="nil"/>
              <w:left w:val="nil"/>
              <w:bottom w:val="nil"/>
              <w:right w:val="nil"/>
            </w:tcBorders>
            <w:shd w:val="clear" w:color="000000" w:fill="DDEBF7"/>
            <w:vAlign w:val="center"/>
            <w:hideMark/>
          </w:tcPr>
          <w:p w14:paraId="6A1B0ACD" w14:textId="126C7E21"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1,7</w:t>
            </w:r>
          </w:p>
        </w:tc>
        <w:tc>
          <w:tcPr>
            <w:tcW w:w="709" w:type="dxa"/>
            <w:gridSpan w:val="2"/>
            <w:tcBorders>
              <w:top w:val="nil"/>
              <w:left w:val="nil"/>
              <w:bottom w:val="nil"/>
              <w:right w:val="nil"/>
            </w:tcBorders>
            <w:shd w:val="clear" w:color="000000" w:fill="DDEBF7"/>
            <w:vAlign w:val="center"/>
            <w:hideMark/>
          </w:tcPr>
          <w:p w14:paraId="2A7A4A6B" w14:textId="20771D11"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2,0</w:t>
            </w:r>
          </w:p>
        </w:tc>
      </w:tr>
      <w:tr w:rsidR="00057132" w:rsidRPr="00046B73" w14:paraId="33E5F919" w14:textId="77777777" w:rsidTr="003A0B2F">
        <w:trPr>
          <w:trHeight w:val="289"/>
        </w:trPr>
        <w:tc>
          <w:tcPr>
            <w:tcW w:w="4111" w:type="dxa"/>
            <w:gridSpan w:val="4"/>
            <w:tcBorders>
              <w:top w:val="nil"/>
              <w:left w:val="nil"/>
              <w:bottom w:val="nil"/>
              <w:right w:val="nil"/>
            </w:tcBorders>
            <w:vAlign w:val="center"/>
            <w:hideMark/>
          </w:tcPr>
          <w:p w14:paraId="133AB56F" w14:textId="77777777" w:rsidR="00057132" w:rsidRPr="00046B73" w:rsidRDefault="00057132" w:rsidP="002B1847">
            <w:pPr>
              <w:spacing w:after="0" w:line="240" w:lineRule="auto"/>
              <w:rPr>
                <w:rFonts w:ascii="Arial Narrow" w:eastAsia="Times New Roman" w:hAnsi="Arial Narrow" w:cs="Calibri"/>
                <w:i/>
                <w:iCs/>
                <w:color w:val="2C9ADC"/>
                <w:kern w:val="0"/>
                <w:sz w:val="16"/>
                <w:szCs w:val="16"/>
                <w:lang w:eastAsia="sk-SK"/>
                <w14:ligatures w14:val="none"/>
              </w:rPr>
            </w:pPr>
            <w:r w:rsidRPr="00046B73">
              <w:rPr>
                <w:rFonts w:ascii="Arial Narrow" w:eastAsia="Times New Roman" w:hAnsi="Arial Narrow" w:cs="Calibri"/>
                <w:i/>
                <w:iCs/>
                <w:color w:val="2C9ADC"/>
                <w:kern w:val="0"/>
                <w:sz w:val="16"/>
                <w:szCs w:val="16"/>
                <w:lang w:eastAsia="sk-SK"/>
                <w14:ligatures w14:val="none"/>
              </w:rPr>
              <w:t>Výsledok hospodárenia</w:t>
            </w:r>
          </w:p>
        </w:tc>
        <w:tc>
          <w:tcPr>
            <w:tcW w:w="1276" w:type="dxa"/>
            <w:tcBorders>
              <w:top w:val="nil"/>
              <w:left w:val="nil"/>
              <w:bottom w:val="nil"/>
              <w:right w:val="nil"/>
            </w:tcBorders>
            <w:vAlign w:val="center"/>
            <w:hideMark/>
          </w:tcPr>
          <w:p w14:paraId="4E4F2CFA" w14:textId="77777777" w:rsidR="00057132" w:rsidRPr="00046B73" w:rsidRDefault="00057132" w:rsidP="002B1847">
            <w:pPr>
              <w:spacing w:after="0" w:line="240" w:lineRule="auto"/>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ESA kód</w:t>
            </w:r>
          </w:p>
        </w:tc>
        <w:tc>
          <w:tcPr>
            <w:tcW w:w="709" w:type="dxa"/>
            <w:tcBorders>
              <w:top w:val="nil"/>
              <w:left w:val="nil"/>
              <w:bottom w:val="nil"/>
              <w:right w:val="nil"/>
            </w:tcBorders>
            <w:vAlign w:val="center"/>
            <w:hideMark/>
          </w:tcPr>
          <w:p w14:paraId="4E7D61DD" w14:textId="77777777" w:rsidR="00057132" w:rsidRPr="00046B73" w:rsidRDefault="00057132" w:rsidP="002B1847">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mld. eur</w:t>
            </w:r>
          </w:p>
        </w:tc>
        <w:tc>
          <w:tcPr>
            <w:tcW w:w="708" w:type="dxa"/>
            <w:tcBorders>
              <w:top w:val="nil"/>
              <w:left w:val="nil"/>
              <w:bottom w:val="nil"/>
              <w:right w:val="nil"/>
            </w:tcBorders>
            <w:vAlign w:val="center"/>
          </w:tcPr>
          <w:p w14:paraId="72E19011" w14:textId="0A6068ED"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sidRPr="00057132">
              <w:rPr>
                <w:rFonts w:ascii="Arial Narrow" w:eastAsia="Times New Roman" w:hAnsi="Arial Narrow" w:cs="Calibri"/>
                <w:color w:val="2C9ADC"/>
                <w:kern w:val="0"/>
                <w:sz w:val="16"/>
                <w:szCs w:val="16"/>
                <w:lang w:eastAsia="sk-SK"/>
                <w14:ligatures w14:val="none"/>
              </w:rPr>
              <w:t>% HDP</w:t>
            </w:r>
          </w:p>
        </w:tc>
        <w:tc>
          <w:tcPr>
            <w:tcW w:w="709" w:type="dxa"/>
            <w:tcBorders>
              <w:top w:val="nil"/>
              <w:left w:val="nil"/>
              <w:bottom w:val="nil"/>
              <w:right w:val="nil"/>
            </w:tcBorders>
            <w:vAlign w:val="center"/>
            <w:hideMark/>
          </w:tcPr>
          <w:p w14:paraId="3B203C78" w14:textId="4F5B0BD3"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 HDP</w:t>
            </w:r>
          </w:p>
        </w:tc>
        <w:tc>
          <w:tcPr>
            <w:tcW w:w="709" w:type="dxa"/>
            <w:tcBorders>
              <w:top w:val="nil"/>
              <w:left w:val="nil"/>
              <w:bottom w:val="nil"/>
              <w:right w:val="nil"/>
            </w:tcBorders>
            <w:vAlign w:val="center"/>
            <w:hideMark/>
          </w:tcPr>
          <w:p w14:paraId="5EBC919F" w14:textId="77777777"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 HDP</w:t>
            </w:r>
          </w:p>
        </w:tc>
        <w:tc>
          <w:tcPr>
            <w:tcW w:w="709" w:type="dxa"/>
            <w:gridSpan w:val="2"/>
            <w:tcBorders>
              <w:top w:val="nil"/>
              <w:left w:val="nil"/>
              <w:bottom w:val="nil"/>
              <w:right w:val="nil"/>
            </w:tcBorders>
            <w:vAlign w:val="center"/>
            <w:hideMark/>
          </w:tcPr>
          <w:p w14:paraId="032B6C4A" w14:textId="77777777"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 HDP</w:t>
            </w:r>
          </w:p>
        </w:tc>
      </w:tr>
      <w:tr w:rsidR="00057132" w:rsidRPr="00046B73" w14:paraId="42B5F17D" w14:textId="77777777" w:rsidTr="003A0B2F">
        <w:trPr>
          <w:trHeight w:val="289"/>
        </w:trPr>
        <w:tc>
          <w:tcPr>
            <w:tcW w:w="450" w:type="dxa"/>
            <w:tcBorders>
              <w:top w:val="nil"/>
              <w:left w:val="nil"/>
              <w:bottom w:val="nil"/>
              <w:right w:val="nil"/>
            </w:tcBorders>
            <w:shd w:val="clear" w:color="000000" w:fill="DDEBF7"/>
            <w:vAlign w:val="center"/>
            <w:hideMark/>
          </w:tcPr>
          <w:p w14:paraId="1891FFFD"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31</w:t>
            </w:r>
          </w:p>
        </w:tc>
        <w:tc>
          <w:tcPr>
            <w:tcW w:w="3661" w:type="dxa"/>
            <w:gridSpan w:val="3"/>
            <w:tcBorders>
              <w:top w:val="nil"/>
              <w:left w:val="nil"/>
              <w:bottom w:val="nil"/>
              <w:right w:val="nil"/>
            </w:tcBorders>
            <w:shd w:val="clear" w:color="000000" w:fill="DDEBF7"/>
            <w:vAlign w:val="center"/>
            <w:hideMark/>
          </w:tcPr>
          <w:p w14:paraId="34165777"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Výsledok hospodárenia (= 7-23)</w:t>
            </w:r>
          </w:p>
        </w:tc>
        <w:tc>
          <w:tcPr>
            <w:tcW w:w="1276" w:type="dxa"/>
            <w:tcBorders>
              <w:top w:val="nil"/>
              <w:left w:val="nil"/>
              <w:bottom w:val="nil"/>
              <w:right w:val="nil"/>
            </w:tcBorders>
            <w:shd w:val="clear" w:color="000000" w:fill="DDEBF7"/>
            <w:vAlign w:val="center"/>
            <w:hideMark/>
          </w:tcPr>
          <w:p w14:paraId="58263FCE"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B.9</w:t>
            </w:r>
          </w:p>
        </w:tc>
        <w:tc>
          <w:tcPr>
            <w:tcW w:w="709" w:type="dxa"/>
            <w:tcBorders>
              <w:top w:val="nil"/>
              <w:left w:val="nil"/>
              <w:bottom w:val="nil"/>
              <w:right w:val="nil"/>
            </w:tcBorders>
            <w:shd w:val="clear" w:color="000000" w:fill="DDEBF7"/>
            <w:vAlign w:val="center"/>
            <w:hideMark/>
          </w:tcPr>
          <w:p w14:paraId="4E6A97EE" w14:textId="61F6F33D"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w:t>
            </w:r>
            <w:r w:rsidR="009B57B3">
              <w:rPr>
                <w:rFonts w:ascii="Arial Narrow" w:hAnsi="Arial Narrow" w:cs="Calibri"/>
                <w:color w:val="000000"/>
                <w:sz w:val="16"/>
                <w:szCs w:val="16"/>
              </w:rPr>
              <w:t>6</w:t>
            </w:r>
            <w:r w:rsidR="00107199">
              <w:rPr>
                <w:rFonts w:ascii="Arial Narrow" w:hAnsi="Arial Narrow" w:cs="Calibri"/>
                <w:color w:val="000000"/>
                <w:sz w:val="16"/>
                <w:szCs w:val="16"/>
              </w:rPr>
              <w:t>,6</w:t>
            </w:r>
          </w:p>
        </w:tc>
        <w:tc>
          <w:tcPr>
            <w:tcW w:w="708" w:type="dxa"/>
            <w:tcBorders>
              <w:top w:val="nil"/>
              <w:left w:val="nil"/>
              <w:bottom w:val="nil"/>
              <w:right w:val="nil"/>
            </w:tcBorders>
            <w:shd w:val="clear" w:color="000000" w:fill="DDEBF7"/>
            <w:vAlign w:val="center"/>
          </w:tcPr>
          <w:p w14:paraId="654D1117" w14:textId="190DE21C" w:rsidR="00057132" w:rsidRPr="00046B73" w:rsidRDefault="00107199"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w:t>
            </w:r>
            <w:r w:rsidR="009B57B3">
              <w:rPr>
                <w:rFonts w:ascii="Arial Narrow" w:hAnsi="Arial Narrow" w:cs="Calibri"/>
                <w:color w:val="000000"/>
                <w:sz w:val="16"/>
                <w:szCs w:val="16"/>
              </w:rPr>
              <w:t>5</w:t>
            </w:r>
            <w:r>
              <w:rPr>
                <w:rFonts w:ascii="Arial Narrow" w:hAnsi="Arial Narrow" w:cs="Calibri"/>
                <w:color w:val="000000"/>
                <w:sz w:val="16"/>
                <w:szCs w:val="16"/>
              </w:rPr>
              <w:t>,</w:t>
            </w:r>
            <w:r w:rsidR="009B57B3">
              <w:rPr>
                <w:rFonts w:ascii="Arial Narrow" w:hAnsi="Arial Narrow" w:cs="Calibri"/>
                <w:color w:val="000000"/>
                <w:sz w:val="16"/>
                <w:szCs w:val="16"/>
              </w:rPr>
              <w:t>3</w:t>
            </w:r>
          </w:p>
        </w:tc>
        <w:tc>
          <w:tcPr>
            <w:tcW w:w="709" w:type="dxa"/>
            <w:tcBorders>
              <w:top w:val="nil"/>
              <w:left w:val="nil"/>
              <w:bottom w:val="nil"/>
              <w:right w:val="nil"/>
            </w:tcBorders>
            <w:shd w:val="clear" w:color="000000" w:fill="DDEBF7"/>
            <w:vAlign w:val="center"/>
            <w:hideMark/>
          </w:tcPr>
          <w:p w14:paraId="6A5353FC" w14:textId="5260C407"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-5,3</w:t>
            </w:r>
          </w:p>
        </w:tc>
        <w:tc>
          <w:tcPr>
            <w:tcW w:w="709" w:type="dxa"/>
            <w:tcBorders>
              <w:top w:val="nil"/>
              <w:left w:val="nil"/>
              <w:bottom w:val="nil"/>
              <w:right w:val="nil"/>
            </w:tcBorders>
            <w:shd w:val="clear" w:color="000000" w:fill="DDEBF7"/>
            <w:vAlign w:val="center"/>
            <w:hideMark/>
          </w:tcPr>
          <w:p w14:paraId="19C9D22D" w14:textId="03084869"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-4,5</w:t>
            </w:r>
          </w:p>
        </w:tc>
        <w:tc>
          <w:tcPr>
            <w:tcW w:w="709" w:type="dxa"/>
            <w:gridSpan w:val="2"/>
            <w:tcBorders>
              <w:top w:val="nil"/>
              <w:left w:val="nil"/>
              <w:bottom w:val="nil"/>
              <w:right w:val="nil"/>
            </w:tcBorders>
            <w:shd w:val="clear" w:color="000000" w:fill="DDEBF7"/>
            <w:vAlign w:val="center"/>
            <w:hideMark/>
          </w:tcPr>
          <w:p w14:paraId="6E90C3D7" w14:textId="6239F057"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-4,3</w:t>
            </w:r>
          </w:p>
        </w:tc>
      </w:tr>
      <w:tr w:rsidR="00057132" w:rsidRPr="00046B73" w14:paraId="542716FA" w14:textId="77777777" w:rsidTr="003A0B2F">
        <w:trPr>
          <w:trHeight w:val="289"/>
        </w:trPr>
        <w:tc>
          <w:tcPr>
            <w:tcW w:w="450" w:type="dxa"/>
            <w:tcBorders>
              <w:top w:val="nil"/>
              <w:left w:val="nil"/>
              <w:bottom w:val="nil"/>
              <w:right w:val="nil"/>
            </w:tcBorders>
            <w:shd w:val="clear" w:color="000000" w:fill="DDEBF7"/>
            <w:vAlign w:val="center"/>
            <w:hideMark/>
          </w:tcPr>
          <w:p w14:paraId="58FE0EEB"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32</w:t>
            </w:r>
          </w:p>
        </w:tc>
        <w:tc>
          <w:tcPr>
            <w:tcW w:w="3661" w:type="dxa"/>
            <w:gridSpan w:val="3"/>
            <w:tcBorders>
              <w:top w:val="nil"/>
              <w:left w:val="nil"/>
              <w:bottom w:val="nil"/>
              <w:right w:val="nil"/>
            </w:tcBorders>
            <w:shd w:val="clear" w:color="000000" w:fill="DDEBF7"/>
            <w:vAlign w:val="center"/>
            <w:hideMark/>
          </w:tcPr>
          <w:p w14:paraId="258F244A"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Primárny výsledok hospodárenia (= 31+14)</w:t>
            </w:r>
          </w:p>
        </w:tc>
        <w:tc>
          <w:tcPr>
            <w:tcW w:w="1276" w:type="dxa"/>
            <w:tcBorders>
              <w:top w:val="nil"/>
              <w:left w:val="nil"/>
              <w:bottom w:val="nil"/>
              <w:right w:val="nil"/>
            </w:tcBorders>
            <w:shd w:val="clear" w:color="000000" w:fill="DDEBF7"/>
            <w:vAlign w:val="center"/>
            <w:hideMark/>
          </w:tcPr>
          <w:p w14:paraId="7F6FF954"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B.9-D.41p</w:t>
            </w:r>
          </w:p>
        </w:tc>
        <w:tc>
          <w:tcPr>
            <w:tcW w:w="709" w:type="dxa"/>
            <w:tcBorders>
              <w:top w:val="nil"/>
              <w:left w:val="nil"/>
              <w:bottom w:val="nil"/>
              <w:right w:val="nil"/>
            </w:tcBorders>
            <w:shd w:val="clear" w:color="000000" w:fill="DDEBF7"/>
            <w:vAlign w:val="center"/>
            <w:hideMark/>
          </w:tcPr>
          <w:p w14:paraId="05BD128A" w14:textId="02F41179"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w:t>
            </w:r>
            <w:r w:rsidR="009B57B3">
              <w:rPr>
                <w:rFonts w:ascii="Arial Narrow" w:hAnsi="Arial Narrow" w:cs="Calibri"/>
                <w:color w:val="000000"/>
                <w:sz w:val="16"/>
                <w:szCs w:val="16"/>
              </w:rPr>
              <w:t>5</w:t>
            </w:r>
            <w:r w:rsidR="00107199">
              <w:rPr>
                <w:rFonts w:ascii="Arial Narrow" w:hAnsi="Arial Narrow" w:cs="Calibri"/>
                <w:color w:val="000000"/>
                <w:sz w:val="16"/>
                <w:szCs w:val="16"/>
              </w:rPr>
              <w:t>,</w:t>
            </w:r>
            <w:r w:rsidR="009B57B3">
              <w:rPr>
                <w:rFonts w:ascii="Arial Narrow" w:hAnsi="Arial Narrow" w:cs="Calibri"/>
                <w:color w:val="000000"/>
                <w:sz w:val="16"/>
                <w:szCs w:val="16"/>
              </w:rPr>
              <w:t>1</w:t>
            </w:r>
          </w:p>
        </w:tc>
        <w:tc>
          <w:tcPr>
            <w:tcW w:w="708" w:type="dxa"/>
            <w:tcBorders>
              <w:top w:val="nil"/>
              <w:left w:val="nil"/>
              <w:bottom w:val="nil"/>
              <w:right w:val="nil"/>
            </w:tcBorders>
            <w:shd w:val="clear" w:color="000000" w:fill="DDEBF7"/>
            <w:vAlign w:val="center"/>
          </w:tcPr>
          <w:p w14:paraId="7ADB5360" w14:textId="4EB04543" w:rsidR="00057132" w:rsidRPr="00046B73" w:rsidRDefault="009B57B3"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-4</w:t>
            </w:r>
            <w:r w:rsidR="00107199">
              <w:rPr>
                <w:rFonts w:ascii="Arial Narrow" w:hAnsi="Arial Narrow" w:cs="Calibri"/>
                <w:color w:val="000000"/>
                <w:sz w:val="16"/>
                <w:szCs w:val="16"/>
              </w:rPr>
              <w:t>,</w:t>
            </w:r>
            <w:r>
              <w:rPr>
                <w:rFonts w:ascii="Arial Narrow" w:hAnsi="Arial Narrow" w:cs="Calibri"/>
                <w:color w:val="000000"/>
                <w:sz w:val="16"/>
                <w:szCs w:val="16"/>
              </w:rPr>
              <w:t>2</w:t>
            </w:r>
          </w:p>
        </w:tc>
        <w:tc>
          <w:tcPr>
            <w:tcW w:w="709" w:type="dxa"/>
            <w:tcBorders>
              <w:top w:val="nil"/>
              <w:left w:val="nil"/>
              <w:bottom w:val="nil"/>
              <w:right w:val="nil"/>
            </w:tcBorders>
            <w:shd w:val="clear" w:color="000000" w:fill="DDEBF7"/>
            <w:vAlign w:val="center"/>
            <w:hideMark/>
          </w:tcPr>
          <w:p w14:paraId="417CF7E6" w14:textId="5895834F"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-3,9</w:t>
            </w:r>
          </w:p>
        </w:tc>
        <w:tc>
          <w:tcPr>
            <w:tcW w:w="709" w:type="dxa"/>
            <w:tcBorders>
              <w:top w:val="nil"/>
              <w:left w:val="nil"/>
              <w:bottom w:val="nil"/>
              <w:right w:val="nil"/>
            </w:tcBorders>
            <w:shd w:val="clear" w:color="000000" w:fill="DDEBF7"/>
            <w:vAlign w:val="center"/>
            <w:hideMark/>
          </w:tcPr>
          <w:p w14:paraId="723EFC22" w14:textId="4F46D52F"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-2,9</w:t>
            </w:r>
          </w:p>
        </w:tc>
        <w:tc>
          <w:tcPr>
            <w:tcW w:w="709" w:type="dxa"/>
            <w:gridSpan w:val="2"/>
            <w:tcBorders>
              <w:top w:val="nil"/>
              <w:left w:val="nil"/>
              <w:bottom w:val="nil"/>
              <w:right w:val="nil"/>
            </w:tcBorders>
            <w:shd w:val="clear" w:color="000000" w:fill="DDEBF7"/>
            <w:vAlign w:val="center"/>
            <w:hideMark/>
          </w:tcPr>
          <w:p w14:paraId="755B8C6D" w14:textId="5B4AE63A"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-2,7</w:t>
            </w:r>
          </w:p>
        </w:tc>
      </w:tr>
      <w:tr w:rsidR="00057132" w:rsidRPr="00046B73" w14:paraId="182E73E9" w14:textId="77777777" w:rsidTr="003A0B2F">
        <w:trPr>
          <w:trHeight w:val="289"/>
        </w:trPr>
        <w:tc>
          <w:tcPr>
            <w:tcW w:w="4111" w:type="dxa"/>
            <w:gridSpan w:val="4"/>
            <w:tcBorders>
              <w:top w:val="nil"/>
              <w:left w:val="nil"/>
              <w:bottom w:val="nil"/>
              <w:right w:val="nil"/>
            </w:tcBorders>
            <w:vAlign w:val="center"/>
            <w:hideMark/>
          </w:tcPr>
          <w:p w14:paraId="7AA94584" w14:textId="77777777" w:rsidR="00057132" w:rsidRPr="00046B73" w:rsidRDefault="00057132" w:rsidP="002B1847">
            <w:pPr>
              <w:spacing w:after="0" w:line="240" w:lineRule="auto"/>
              <w:rPr>
                <w:rFonts w:ascii="Arial Narrow" w:eastAsia="Times New Roman" w:hAnsi="Arial Narrow" w:cs="Calibri"/>
                <w:i/>
                <w:iCs/>
                <w:color w:val="2C9ADC"/>
                <w:kern w:val="0"/>
                <w:sz w:val="16"/>
                <w:szCs w:val="16"/>
                <w:lang w:eastAsia="sk-SK"/>
                <w14:ligatures w14:val="none"/>
              </w:rPr>
            </w:pPr>
            <w:r w:rsidRPr="00046B73">
              <w:rPr>
                <w:rFonts w:ascii="Arial Narrow" w:eastAsia="Times New Roman" w:hAnsi="Arial Narrow" w:cs="Calibri"/>
                <w:i/>
                <w:iCs/>
                <w:color w:val="2C9ADC"/>
                <w:kern w:val="0"/>
                <w:sz w:val="16"/>
                <w:szCs w:val="16"/>
                <w:lang w:eastAsia="sk-SK"/>
                <w14:ligatures w14:val="none"/>
              </w:rPr>
              <w:t>Cyklické očistenie</w:t>
            </w:r>
          </w:p>
        </w:tc>
        <w:tc>
          <w:tcPr>
            <w:tcW w:w="1276" w:type="dxa"/>
            <w:tcBorders>
              <w:top w:val="nil"/>
              <w:left w:val="nil"/>
              <w:bottom w:val="nil"/>
              <w:right w:val="nil"/>
            </w:tcBorders>
            <w:vAlign w:val="center"/>
            <w:hideMark/>
          </w:tcPr>
          <w:p w14:paraId="4ADCCAD8" w14:textId="77777777" w:rsidR="00057132" w:rsidRPr="00046B73" w:rsidRDefault="00057132" w:rsidP="002B1847">
            <w:pPr>
              <w:spacing w:after="0" w:line="240" w:lineRule="auto"/>
              <w:rPr>
                <w:rFonts w:ascii="Arial Narrow" w:eastAsia="Times New Roman" w:hAnsi="Arial Narrow" w:cs="Calibri"/>
                <w:i/>
                <w:iCs/>
                <w:color w:val="2C9ADC"/>
                <w:kern w:val="0"/>
                <w:sz w:val="16"/>
                <w:szCs w:val="16"/>
                <w:lang w:eastAsia="sk-SK"/>
                <w14:ligatures w14:val="none"/>
              </w:rPr>
            </w:pPr>
          </w:p>
        </w:tc>
        <w:tc>
          <w:tcPr>
            <w:tcW w:w="709" w:type="dxa"/>
            <w:tcBorders>
              <w:top w:val="nil"/>
              <w:left w:val="nil"/>
              <w:bottom w:val="nil"/>
              <w:right w:val="nil"/>
            </w:tcBorders>
            <w:vAlign w:val="center"/>
            <w:hideMark/>
          </w:tcPr>
          <w:p w14:paraId="135E9DE8" w14:textId="77777777" w:rsidR="00057132" w:rsidRPr="00046B73" w:rsidRDefault="00057132" w:rsidP="002B1847">
            <w:pPr>
              <w:spacing w:after="0" w:line="240" w:lineRule="auto"/>
              <w:rPr>
                <w:rFonts w:ascii="Times New Roman" w:eastAsia="Times New Roman" w:hAnsi="Times New Roman" w:cs="Times New Roman"/>
                <w:kern w:val="0"/>
                <w:sz w:val="20"/>
                <w:szCs w:val="20"/>
                <w:lang w:eastAsia="sk-SK"/>
                <w14:ligatures w14:val="none"/>
              </w:rPr>
            </w:pPr>
          </w:p>
        </w:tc>
        <w:tc>
          <w:tcPr>
            <w:tcW w:w="708" w:type="dxa"/>
            <w:tcBorders>
              <w:top w:val="nil"/>
              <w:left w:val="nil"/>
              <w:bottom w:val="nil"/>
              <w:right w:val="nil"/>
            </w:tcBorders>
            <w:vAlign w:val="center"/>
          </w:tcPr>
          <w:p w14:paraId="513BF4F3" w14:textId="0B8BC6CD"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sidRPr="00057132">
              <w:rPr>
                <w:rFonts w:ascii="Arial Narrow" w:eastAsia="Times New Roman" w:hAnsi="Arial Narrow" w:cs="Calibri"/>
                <w:color w:val="2C9ADC"/>
                <w:kern w:val="0"/>
                <w:sz w:val="16"/>
                <w:szCs w:val="16"/>
                <w:lang w:eastAsia="sk-SK"/>
                <w14:ligatures w14:val="none"/>
              </w:rPr>
              <w:t>% HDP</w:t>
            </w:r>
          </w:p>
        </w:tc>
        <w:tc>
          <w:tcPr>
            <w:tcW w:w="709" w:type="dxa"/>
            <w:tcBorders>
              <w:top w:val="nil"/>
              <w:left w:val="nil"/>
              <w:bottom w:val="nil"/>
              <w:right w:val="nil"/>
            </w:tcBorders>
            <w:vAlign w:val="center"/>
            <w:hideMark/>
          </w:tcPr>
          <w:p w14:paraId="2FDC942A" w14:textId="4B1A765F"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 HDP</w:t>
            </w:r>
          </w:p>
        </w:tc>
        <w:tc>
          <w:tcPr>
            <w:tcW w:w="709" w:type="dxa"/>
            <w:tcBorders>
              <w:top w:val="nil"/>
              <w:left w:val="nil"/>
              <w:bottom w:val="nil"/>
              <w:right w:val="nil"/>
            </w:tcBorders>
            <w:vAlign w:val="center"/>
            <w:hideMark/>
          </w:tcPr>
          <w:p w14:paraId="3C2CE2A7" w14:textId="77777777"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 HDP</w:t>
            </w:r>
          </w:p>
        </w:tc>
        <w:tc>
          <w:tcPr>
            <w:tcW w:w="709" w:type="dxa"/>
            <w:gridSpan w:val="2"/>
            <w:tcBorders>
              <w:top w:val="nil"/>
              <w:left w:val="nil"/>
              <w:bottom w:val="nil"/>
              <w:right w:val="nil"/>
            </w:tcBorders>
            <w:vAlign w:val="center"/>
            <w:hideMark/>
          </w:tcPr>
          <w:p w14:paraId="210000E1" w14:textId="77777777"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 HDP</w:t>
            </w:r>
          </w:p>
        </w:tc>
      </w:tr>
      <w:tr w:rsidR="00057132" w:rsidRPr="00046B73" w14:paraId="46EC9A6F" w14:textId="77777777" w:rsidTr="003A0B2F">
        <w:trPr>
          <w:trHeight w:val="289"/>
        </w:trPr>
        <w:tc>
          <w:tcPr>
            <w:tcW w:w="450" w:type="dxa"/>
            <w:tcBorders>
              <w:top w:val="nil"/>
              <w:left w:val="nil"/>
              <w:bottom w:val="nil"/>
              <w:right w:val="nil"/>
            </w:tcBorders>
            <w:shd w:val="clear" w:color="000000" w:fill="DDEBF7"/>
            <w:vAlign w:val="center"/>
            <w:hideMark/>
          </w:tcPr>
          <w:p w14:paraId="49215FA6"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33</w:t>
            </w:r>
          </w:p>
        </w:tc>
        <w:tc>
          <w:tcPr>
            <w:tcW w:w="3661" w:type="dxa"/>
            <w:gridSpan w:val="3"/>
            <w:tcBorders>
              <w:top w:val="nil"/>
              <w:left w:val="nil"/>
              <w:bottom w:val="nil"/>
              <w:right w:val="nil"/>
            </w:tcBorders>
            <w:shd w:val="clear" w:color="000000" w:fill="DDEBF7"/>
            <w:vAlign w:val="center"/>
            <w:hideMark/>
          </w:tcPr>
          <w:p w14:paraId="205F5160"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Štrukturálne saldo</w:t>
            </w:r>
          </w:p>
        </w:tc>
        <w:tc>
          <w:tcPr>
            <w:tcW w:w="1276" w:type="dxa"/>
            <w:tcBorders>
              <w:top w:val="nil"/>
              <w:left w:val="nil"/>
              <w:bottom w:val="nil"/>
              <w:right w:val="nil"/>
            </w:tcBorders>
            <w:shd w:val="clear" w:color="auto" w:fill="DDEBF7"/>
            <w:vAlign w:val="center"/>
            <w:hideMark/>
          </w:tcPr>
          <w:p w14:paraId="03C1A333"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w:t>
            </w:r>
          </w:p>
        </w:tc>
        <w:tc>
          <w:tcPr>
            <w:tcW w:w="709" w:type="dxa"/>
            <w:tcBorders>
              <w:top w:val="nil"/>
              <w:left w:val="nil"/>
              <w:bottom w:val="nil"/>
              <w:right w:val="nil"/>
            </w:tcBorders>
            <w:shd w:val="clear" w:color="000000" w:fill="DDEBF7"/>
            <w:vAlign w:val="center"/>
            <w:hideMark/>
          </w:tcPr>
          <w:p w14:paraId="369E8E68" w14:textId="77777777"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xml:space="preserve"> -</w:t>
            </w:r>
          </w:p>
        </w:tc>
        <w:tc>
          <w:tcPr>
            <w:tcW w:w="708" w:type="dxa"/>
            <w:tcBorders>
              <w:top w:val="nil"/>
              <w:left w:val="nil"/>
              <w:bottom w:val="nil"/>
              <w:right w:val="nil"/>
            </w:tcBorders>
            <w:shd w:val="clear" w:color="auto" w:fill="DDEBF7"/>
            <w:vAlign w:val="center"/>
          </w:tcPr>
          <w:p w14:paraId="64A728A9" w14:textId="4DC71756" w:rsidR="00057132" w:rsidRPr="00046B73" w:rsidRDefault="00107199"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w:t>
            </w:r>
            <w:r w:rsidR="009B57B3">
              <w:rPr>
                <w:rFonts w:ascii="Arial Narrow" w:hAnsi="Arial Narrow" w:cs="Calibri"/>
                <w:color w:val="000000"/>
                <w:sz w:val="16"/>
                <w:szCs w:val="16"/>
              </w:rPr>
              <w:t>5,5</w:t>
            </w:r>
          </w:p>
        </w:tc>
        <w:tc>
          <w:tcPr>
            <w:tcW w:w="709" w:type="dxa"/>
            <w:tcBorders>
              <w:top w:val="nil"/>
              <w:left w:val="nil"/>
              <w:bottom w:val="nil"/>
              <w:right w:val="nil"/>
            </w:tcBorders>
            <w:shd w:val="clear" w:color="auto" w:fill="DDEBF7"/>
            <w:vAlign w:val="center"/>
            <w:hideMark/>
          </w:tcPr>
          <w:p w14:paraId="7BC9EC11" w14:textId="0430F156" w:rsidR="00057132" w:rsidRPr="00046B73" w:rsidRDefault="00057132" w:rsidP="00057132">
            <w:pPr>
              <w:spacing w:after="0" w:line="240" w:lineRule="auto"/>
              <w:jc w:val="center"/>
              <w:rPr>
                <w:rFonts w:ascii="Arial Narrow" w:hAnsi="Arial Narrow" w:cs="Calibri"/>
                <w:color w:val="000000"/>
                <w:sz w:val="16"/>
                <w:szCs w:val="16"/>
              </w:rPr>
            </w:pPr>
            <w:r w:rsidRPr="00046B73">
              <w:rPr>
                <w:rFonts w:ascii="Arial Narrow" w:hAnsi="Arial Narrow" w:cs="Calibri"/>
                <w:color w:val="000000"/>
                <w:sz w:val="16"/>
                <w:szCs w:val="16"/>
              </w:rPr>
              <w:t>-5,5</w:t>
            </w:r>
          </w:p>
        </w:tc>
        <w:tc>
          <w:tcPr>
            <w:tcW w:w="709" w:type="dxa"/>
            <w:tcBorders>
              <w:top w:val="nil"/>
              <w:left w:val="nil"/>
              <w:bottom w:val="nil"/>
              <w:right w:val="nil"/>
            </w:tcBorders>
            <w:shd w:val="clear" w:color="auto" w:fill="DDEBF7"/>
            <w:vAlign w:val="center"/>
            <w:hideMark/>
          </w:tcPr>
          <w:p w14:paraId="0C72428A" w14:textId="35D5148E" w:rsidR="00057132" w:rsidRPr="00046B73" w:rsidRDefault="00057132" w:rsidP="00057132">
            <w:pPr>
              <w:spacing w:after="0" w:line="240" w:lineRule="auto"/>
              <w:jc w:val="center"/>
              <w:rPr>
                <w:rFonts w:ascii="Arial Narrow" w:hAnsi="Arial Narrow" w:cs="Calibri"/>
                <w:color w:val="000000"/>
                <w:sz w:val="16"/>
                <w:szCs w:val="16"/>
              </w:rPr>
            </w:pPr>
            <w:r w:rsidRPr="00046B73">
              <w:rPr>
                <w:rFonts w:ascii="Arial Narrow" w:hAnsi="Arial Narrow" w:cs="Calibri"/>
                <w:color w:val="000000"/>
                <w:sz w:val="16"/>
                <w:szCs w:val="16"/>
              </w:rPr>
              <w:t>-4,2</w:t>
            </w:r>
          </w:p>
        </w:tc>
        <w:tc>
          <w:tcPr>
            <w:tcW w:w="709" w:type="dxa"/>
            <w:gridSpan w:val="2"/>
            <w:tcBorders>
              <w:top w:val="nil"/>
              <w:left w:val="nil"/>
              <w:bottom w:val="nil"/>
              <w:right w:val="nil"/>
            </w:tcBorders>
            <w:shd w:val="clear" w:color="auto" w:fill="DDEBF7"/>
            <w:vAlign w:val="center"/>
            <w:hideMark/>
          </w:tcPr>
          <w:p w14:paraId="166F4D13" w14:textId="06128870" w:rsidR="00057132" w:rsidRPr="00046B73" w:rsidRDefault="00057132" w:rsidP="00057132">
            <w:pPr>
              <w:spacing w:after="0" w:line="240" w:lineRule="auto"/>
              <w:jc w:val="center"/>
              <w:rPr>
                <w:rFonts w:ascii="Arial Narrow" w:hAnsi="Arial Narrow" w:cs="Calibri"/>
                <w:color w:val="000000"/>
                <w:sz w:val="16"/>
                <w:szCs w:val="16"/>
              </w:rPr>
            </w:pPr>
            <w:r w:rsidRPr="00046B73">
              <w:rPr>
                <w:rFonts w:ascii="Arial Narrow" w:hAnsi="Arial Narrow" w:cs="Calibri"/>
                <w:color w:val="000000"/>
                <w:sz w:val="16"/>
                <w:szCs w:val="16"/>
              </w:rPr>
              <w:t>-3,7</w:t>
            </w:r>
          </w:p>
        </w:tc>
      </w:tr>
      <w:tr w:rsidR="00057132" w:rsidRPr="00046B73" w14:paraId="7418AB52" w14:textId="77777777" w:rsidTr="003A0B2F">
        <w:trPr>
          <w:trHeight w:val="289"/>
        </w:trPr>
        <w:tc>
          <w:tcPr>
            <w:tcW w:w="450" w:type="dxa"/>
            <w:tcBorders>
              <w:top w:val="nil"/>
              <w:left w:val="nil"/>
              <w:bottom w:val="nil"/>
              <w:right w:val="nil"/>
            </w:tcBorders>
            <w:shd w:val="clear" w:color="000000" w:fill="DDEBF7"/>
            <w:vAlign w:val="center"/>
            <w:hideMark/>
          </w:tcPr>
          <w:p w14:paraId="7DED6791"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34</w:t>
            </w:r>
          </w:p>
        </w:tc>
        <w:tc>
          <w:tcPr>
            <w:tcW w:w="3661" w:type="dxa"/>
            <w:gridSpan w:val="3"/>
            <w:tcBorders>
              <w:top w:val="nil"/>
              <w:left w:val="nil"/>
              <w:bottom w:val="nil"/>
              <w:right w:val="nil"/>
            </w:tcBorders>
            <w:shd w:val="clear" w:color="000000" w:fill="DDEBF7"/>
            <w:vAlign w:val="center"/>
            <w:hideMark/>
          </w:tcPr>
          <w:p w14:paraId="17AB1E50"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Primárne štrukturálne saldo</w:t>
            </w:r>
          </w:p>
        </w:tc>
        <w:tc>
          <w:tcPr>
            <w:tcW w:w="1276" w:type="dxa"/>
            <w:tcBorders>
              <w:top w:val="nil"/>
              <w:left w:val="nil"/>
              <w:bottom w:val="nil"/>
              <w:right w:val="nil"/>
            </w:tcBorders>
            <w:shd w:val="clear" w:color="000000" w:fill="DDEBF7"/>
            <w:vAlign w:val="center"/>
            <w:hideMark/>
          </w:tcPr>
          <w:p w14:paraId="1AB6A7A0"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w:t>
            </w:r>
          </w:p>
        </w:tc>
        <w:tc>
          <w:tcPr>
            <w:tcW w:w="709" w:type="dxa"/>
            <w:tcBorders>
              <w:top w:val="nil"/>
              <w:left w:val="nil"/>
              <w:bottom w:val="nil"/>
              <w:right w:val="nil"/>
            </w:tcBorders>
            <w:shd w:val="clear" w:color="000000" w:fill="DDEBF7"/>
            <w:vAlign w:val="center"/>
            <w:hideMark/>
          </w:tcPr>
          <w:p w14:paraId="6C496051" w14:textId="77777777"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xml:space="preserve"> -</w:t>
            </w:r>
          </w:p>
        </w:tc>
        <w:tc>
          <w:tcPr>
            <w:tcW w:w="708" w:type="dxa"/>
            <w:tcBorders>
              <w:top w:val="nil"/>
              <w:left w:val="nil"/>
              <w:bottom w:val="nil"/>
              <w:right w:val="nil"/>
            </w:tcBorders>
            <w:shd w:val="clear" w:color="auto" w:fill="DDEBF7"/>
            <w:vAlign w:val="center"/>
          </w:tcPr>
          <w:p w14:paraId="6EDDBD20" w14:textId="70F48650" w:rsidR="00057132" w:rsidRPr="00046B73" w:rsidRDefault="00107199"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w:t>
            </w:r>
            <w:r w:rsidR="009B57B3">
              <w:rPr>
                <w:rFonts w:ascii="Arial Narrow" w:hAnsi="Arial Narrow" w:cs="Calibri"/>
                <w:color w:val="000000"/>
                <w:sz w:val="16"/>
                <w:szCs w:val="16"/>
              </w:rPr>
              <w:t>4,3</w:t>
            </w:r>
          </w:p>
        </w:tc>
        <w:tc>
          <w:tcPr>
            <w:tcW w:w="709" w:type="dxa"/>
            <w:tcBorders>
              <w:top w:val="nil"/>
              <w:left w:val="nil"/>
              <w:bottom w:val="nil"/>
              <w:right w:val="nil"/>
            </w:tcBorders>
            <w:shd w:val="clear" w:color="auto" w:fill="DDEBF7"/>
            <w:vAlign w:val="center"/>
            <w:hideMark/>
          </w:tcPr>
          <w:p w14:paraId="5600F04C" w14:textId="7BCFD2FA" w:rsidR="00057132" w:rsidRPr="00046B73" w:rsidRDefault="00057132" w:rsidP="00057132">
            <w:pPr>
              <w:spacing w:after="0" w:line="240" w:lineRule="auto"/>
              <w:jc w:val="center"/>
              <w:rPr>
                <w:rFonts w:ascii="Arial Narrow" w:hAnsi="Arial Narrow" w:cs="Calibri"/>
                <w:color w:val="000000"/>
                <w:sz w:val="16"/>
                <w:szCs w:val="16"/>
              </w:rPr>
            </w:pPr>
            <w:r w:rsidRPr="00046B73">
              <w:rPr>
                <w:rFonts w:ascii="Arial Narrow" w:hAnsi="Arial Narrow" w:cs="Calibri"/>
                <w:color w:val="000000"/>
                <w:sz w:val="16"/>
                <w:szCs w:val="16"/>
              </w:rPr>
              <w:t>-4,1</w:t>
            </w:r>
          </w:p>
        </w:tc>
        <w:tc>
          <w:tcPr>
            <w:tcW w:w="709" w:type="dxa"/>
            <w:tcBorders>
              <w:top w:val="nil"/>
              <w:left w:val="nil"/>
              <w:bottom w:val="nil"/>
              <w:right w:val="nil"/>
            </w:tcBorders>
            <w:shd w:val="clear" w:color="auto" w:fill="DDEBF7"/>
            <w:vAlign w:val="center"/>
            <w:hideMark/>
          </w:tcPr>
          <w:p w14:paraId="7D0F6A99" w14:textId="5DB73B9C" w:rsidR="00057132" w:rsidRPr="00046B73" w:rsidRDefault="00057132" w:rsidP="00057132">
            <w:pPr>
              <w:spacing w:after="0" w:line="240" w:lineRule="auto"/>
              <w:jc w:val="center"/>
              <w:rPr>
                <w:rFonts w:ascii="Arial Narrow" w:hAnsi="Arial Narrow" w:cs="Calibri"/>
                <w:color w:val="000000"/>
                <w:sz w:val="16"/>
                <w:szCs w:val="16"/>
              </w:rPr>
            </w:pPr>
            <w:r w:rsidRPr="00046B73">
              <w:rPr>
                <w:rFonts w:ascii="Arial Narrow" w:hAnsi="Arial Narrow" w:cs="Calibri"/>
                <w:color w:val="000000"/>
                <w:sz w:val="16"/>
                <w:szCs w:val="16"/>
              </w:rPr>
              <w:t>-2,6</w:t>
            </w:r>
          </w:p>
        </w:tc>
        <w:tc>
          <w:tcPr>
            <w:tcW w:w="709" w:type="dxa"/>
            <w:gridSpan w:val="2"/>
            <w:tcBorders>
              <w:top w:val="nil"/>
              <w:left w:val="nil"/>
              <w:bottom w:val="nil"/>
              <w:right w:val="nil"/>
            </w:tcBorders>
            <w:shd w:val="clear" w:color="auto" w:fill="DDEBF7"/>
            <w:vAlign w:val="center"/>
            <w:hideMark/>
          </w:tcPr>
          <w:p w14:paraId="53796B5D" w14:textId="38C7B2F6" w:rsidR="00057132" w:rsidRPr="00046B73" w:rsidRDefault="00057132" w:rsidP="00057132">
            <w:pPr>
              <w:spacing w:after="0" w:line="240" w:lineRule="auto"/>
              <w:jc w:val="center"/>
              <w:rPr>
                <w:rFonts w:ascii="Arial Narrow" w:hAnsi="Arial Narrow" w:cs="Calibri"/>
                <w:color w:val="000000"/>
                <w:sz w:val="16"/>
                <w:szCs w:val="16"/>
              </w:rPr>
            </w:pPr>
            <w:r w:rsidRPr="00046B73">
              <w:rPr>
                <w:rFonts w:ascii="Arial Narrow" w:hAnsi="Arial Narrow" w:cs="Calibri"/>
                <w:color w:val="000000"/>
                <w:sz w:val="16"/>
                <w:szCs w:val="16"/>
              </w:rPr>
              <w:t>-2,0</w:t>
            </w:r>
          </w:p>
        </w:tc>
      </w:tr>
      <w:tr w:rsidR="00057132" w:rsidRPr="00046B73" w14:paraId="11A110F3" w14:textId="77777777" w:rsidTr="003A0B2F">
        <w:trPr>
          <w:trHeight w:val="289"/>
        </w:trPr>
        <w:tc>
          <w:tcPr>
            <w:tcW w:w="4111" w:type="dxa"/>
            <w:gridSpan w:val="4"/>
            <w:tcBorders>
              <w:top w:val="nil"/>
              <w:left w:val="nil"/>
              <w:bottom w:val="nil"/>
              <w:right w:val="nil"/>
            </w:tcBorders>
            <w:vAlign w:val="center"/>
            <w:hideMark/>
          </w:tcPr>
          <w:p w14:paraId="71714F23" w14:textId="77777777" w:rsidR="00057132" w:rsidRPr="00046B73" w:rsidRDefault="00057132" w:rsidP="002B1847">
            <w:pPr>
              <w:spacing w:after="0" w:line="240" w:lineRule="auto"/>
              <w:rPr>
                <w:rFonts w:ascii="Arial Narrow" w:eastAsia="Times New Roman" w:hAnsi="Arial Narrow" w:cs="Calibri"/>
                <w:i/>
                <w:iCs/>
                <w:color w:val="2C9ADC"/>
                <w:kern w:val="0"/>
                <w:sz w:val="16"/>
                <w:szCs w:val="16"/>
                <w:lang w:eastAsia="sk-SK"/>
                <w14:ligatures w14:val="none"/>
              </w:rPr>
            </w:pPr>
            <w:r w:rsidRPr="00046B73">
              <w:rPr>
                <w:rFonts w:ascii="Arial Narrow" w:eastAsia="Times New Roman" w:hAnsi="Arial Narrow" w:cs="Calibri"/>
                <w:i/>
                <w:iCs/>
                <w:color w:val="2C9ADC"/>
                <w:kern w:val="0"/>
                <w:sz w:val="16"/>
                <w:szCs w:val="16"/>
                <w:lang w:eastAsia="sk-SK"/>
                <w14:ligatures w14:val="none"/>
              </w:rPr>
              <w:t>Dlh</w:t>
            </w:r>
          </w:p>
        </w:tc>
        <w:tc>
          <w:tcPr>
            <w:tcW w:w="1276" w:type="dxa"/>
            <w:tcBorders>
              <w:top w:val="nil"/>
              <w:left w:val="nil"/>
              <w:bottom w:val="nil"/>
              <w:right w:val="nil"/>
            </w:tcBorders>
            <w:vAlign w:val="center"/>
            <w:hideMark/>
          </w:tcPr>
          <w:p w14:paraId="22F5F6B7" w14:textId="77777777" w:rsidR="00057132" w:rsidRPr="00046B73" w:rsidRDefault="00057132" w:rsidP="002B1847">
            <w:pPr>
              <w:spacing w:after="0" w:line="240" w:lineRule="auto"/>
              <w:rPr>
                <w:rFonts w:ascii="Arial Narrow" w:eastAsia="Times New Roman" w:hAnsi="Arial Narrow" w:cs="Calibri"/>
                <w:i/>
                <w:iCs/>
                <w:color w:val="2C9ADC"/>
                <w:kern w:val="0"/>
                <w:sz w:val="16"/>
                <w:szCs w:val="16"/>
                <w:lang w:eastAsia="sk-SK"/>
                <w14:ligatures w14:val="none"/>
              </w:rPr>
            </w:pPr>
          </w:p>
        </w:tc>
        <w:tc>
          <w:tcPr>
            <w:tcW w:w="709" w:type="dxa"/>
            <w:tcBorders>
              <w:top w:val="nil"/>
              <w:left w:val="nil"/>
              <w:bottom w:val="nil"/>
              <w:right w:val="nil"/>
            </w:tcBorders>
            <w:vAlign w:val="center"/>
            <w:hideMark/>
          </w:tcPr>
          <w:p w14:paraId="51068DD7" w14:textId="77777777" w:rsidR="00057132" w:rsidRPr="00046B73" w:rsidRDefault="00057132" w:rsidP="002B1847">
            <w:pPr>
              <w:spacing w:after="0" w:line="240" w:lineRule="auto"/>
              <w:rPr>
                <w:rFonts w:ascii="Times New Roman" w:eastAsia="Times New Roman" w:hAnsi="Times New Roman" w:cs="Times New Roman"/>
                <w:kern w:val="0"/>
                <w:sz w:val="20"/>
                <w:szCs w:val="20"/>
                <w:lang w:eastAsia="sk-SK"/>
                <w14:ligatures w14:val="none"/>
              </w:rPr>
            </w:pPr>
          </w:p>
        </w:tc>
        <w:tc>
          <w:tcPr>
            <w:tcW w:w="708" w:type="dxa"/>
            <w:tcBorders>
              <w:top w:val="nil"/>
              <w:left w:val="nil"/>
              <w:bottom w:val="nil"/>
              <w:right w:val="nil"/>
            </w:tcBorders>
            <w:vAlign w:val="center"/>
          </w:tcPr>
          <w:p w14:paraId="54A1E637" w14:textId="5E5DD640"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sidRPr="00057132">
              <w:rPr>
                <w:rFonts w:ascii="Arial Narrow" w:eastAsia="Times New Roman" w:hAnsi="Arial Narrow" w:cs="Calibri"/>
                <w:color w:val="2C9ADC"/>
                <w:kern w:val="0"/>
                <w:sz w:val="16"/>
                <w:szCs w:val="16"/>
                <w:lang w:eastAsia="sk-SK"/>
                <w14:ligatures w14:val="none"/>
              </w:rPr>
              <w:t>% HDP</w:t>
            </w:r>
          </w:p>
        </w:tc>
        <w:tc>
          <w:tcPr>
            <w:tcW w:w="709" w:type="dxa"/>
            <w:tcBorders>
              <w:top w:val="nil"/>
              <w:left w:val="nil"/>
              <w:bottom w:val="nil"/>
              <w:right w:val="nil"/>
            </w:tcBorders>
            <w:vAlign w:val="center"/>
            <w:hideMark/>
          </w:tcPr>
          <w:p w14:paraId="037C5643" w14:textId="4BAD5BA7"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 HDP</w:t>
            </w:r>
          </w:p>
        </w:tc>
        <w:tc>
          <w:tcPr>
            <w:tcW w:w="709" w:type="dxa"/>
            <w:tcBorders>
              <w:top w:val="nil"/>
              <w:left w:val="nil"/>
              <w:bottom w:val="nil"/>
              <w:right w:val="nil"/>
            </w:tcBorders>
            <w:vAlign w:val="center"/>
            <w:hideMark/>
          </w:tcPr>
          <w:p w14:paraId="5406040F" w14:textId="77777777"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 HDP</w:t>
            </w:r>
          </w:p>
        </w:tc>
        <w:tc>
          <w:tcPr>
            <w:tcW w:w="709" w:type="dxa"/>
            <w:gridSpan w:val="2"/>
            <w:tcBorders>
              <w:top w:val="nil"/>
              <w:left w:val="nil"/>
              <w:bottom w:val="nil"/>
              <w:right w:val="nil"/>
            </w:tcBorders>
            <w:vAlign w:val="center"/>
            <w:hideMark/>
          </w:tcPr>
          <w:p w14:paraId="05D68460" w14:textId="77777777"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 HDP</w:t>
            </w:r>
          </w:p>
        </w:tc>
      </w:tr>
      <w:tr w:rsidR="00057132" w:rsidRPr="00046B73" w14:paraId="134E4F83" w14:textId="77777777" w:rsidTr="003A0B2F">
        <w:trPr>
          <w:trHeight w:val="289"/>
        </w:trPr>
        <w:tc>
          <w:tcPr>
            <w:tcW w:w="450" w:type="dxa"/>
            <w:tcBorders>
              <w:top w:val="nil"/>
              <w:left w:val="nil"/>
              <w:bottom w:val="nil"/>
              <w:right w:val="nil"/>
            </w:tcBorders>
            <w:shd w:val="clear" w:color="000000" w:fill="DDEBF7"/>
            <w:vAlign w:val="center"/>
            <w:hideMark/>
          </w:tcPr>
          <w:p w14:paraId="6B13E4FC"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35</w:t>
            </w:r>
          </w:p>
        </w:tc>
        <w:tc>
          <w:tcPr>
            <w:tcW w:w="3661" w:type="dxa"/>
            <w:gridSpan w:val="3"/>
            <w:tcBorders>
              <w:top w:val="nil"/>
              <w:left w:val="nil"/>
              <w:bottom w:val="nil"/>
              <w:right w:val="nil"/>
            </w:tcBorders>
            <w:shd w:val="clear" w:color="000000" w:fill="DDEBF7"/>
            <w:vAlign w:val="center"/>
            <w:hideMark/>
          </w:tcPr>
          <w:p w14:paraId="754485EA"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Hrubý dlh</w:t>
            </w:r>
          </w:p>
        </w:tc>
        <w:tc>
          <w:tcPr>
            <w:tcW w:w="1276" w:type="dxa"/>
            <w:tcBorders>
              <w:top w:val="nil"/>
              <w:left w:val="nil"/>
              <w:bottom w:val="nil"/>
              <w:right w:val="nil"/>
            </w:tcBorders>
            <w:shd w:val="clear" w:color="000000" w:fill="DDEBF7"/>
            <w:vAlign w:val="center"/>
            <w:hideMark/>
          </w:tcPr>
          <w:p w14:paraId="60D25146"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w:t>
            </w:r>
          </w:p>
        </w:tc>
        <w:tc>
          <w:tcPr>
            <w:tcW w:w="709" w:type="dxa"/>
            <w:tcBorders>
              <w:top w:val="nil"/>
              <w:left w:val="nil"/>
              <w:bottom w:val="nil"/>
              <w:right w:val="nil"/>
            </w:tcBorders>
            <w:shd w:val="clear" w:color="000000" w:fill="DDEBF7"/>
            <w:vAlign w:val="center"/>
            <w:hideMark/>
          </w:tcPr>
          <w:p w14:paraId="7F84E097" w14:textId="6235C1B4" w:rsidR="00057132" w:rsidRPr="00046B73" w:rsidRDefault="003A0B2F"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eastAsia="Times New Roman" w:hAnsi="Arial Narrow" w:cs="Calibri"/>
                <w:color w:val="000000"/>
                <w:kern w:val="0"/>
                <w:sz w:val="16"/>
                <w:szCs w:val="16"/>
                <w:lang w:eastAsia="sk-SK"/>
                <w14:ligatures w14:val="none"/>
              </w:rPr>
              <w:t>68</w:t>
            </w:r>
            <w:r w:rsidR="008878FC">
              <w:rPr>
                <w:rFonts w:ascii="Arial Narrow" w:eastAsia="Times New Roman" w:hAnsi="Arial Narrow" w:cs="Calibri"/>
                <w:color w:val="000000"/>
                <w:kern w:val="0"/>
                <w:sz w:val="16"/>
                <w:szCs w:val="16"/>
                <w:lang w:eastAsia="sk-SK"/>
                <w14:ligatures w14:val="none"/>
              </w:rPr>
              <w:t>,</w:t>
            </w:r>
            <w:r>
              <w:rPr>
                <w:rFonts w:ascii="Arial Narrow" w:eastAsia="Times New Roman" w:hAnsi="Arial Narrow" w:cs="Calibri"/>
                <w:color w:val="000000"/>
                <w:kern w:val="0"/>
                <w:sz w:val="16"/>
                <w:szCs w:val="16"/>
                <w:lang w:eastAsia="sk-SK"/>
                <w14:ligatures w14:val="none"/>
              </w:rPr>
              <w:t>9</w:t>
            </w:r>
          </w:p>
        </w:tc>
        <w:tc>
          <w:tcPr>
            <w:tcW w:w="708" w:type="dxa"/>
            <w:tcBorders>
              <w:top w:val="nil"/>
              <w:left w:val="nil"/>
              <w:bottom w:val="nil"/>
              <w:right w:val="nil"/>
            </w:tcBorders>
            <w:shd w:val="clear" w:color="000000" w:fill="DDEBF7"/>
            <w:vAlign w:val="center"/>
          </w:tcPr>
          <w:p w14:paraId="28AF4981" w14:textId="2345B04A" w:rsidR="00057132" w:rsidRPr="00AA4EFB" w:rsidRDefault="00AA4EFB" w:rsidP="00057132">
            <w:pPr>
              <w:spacing w:after="0" w:line="240" w:lineRule="auto"/>
              <w:jc w:val="center"/>
              <w:rPr>
                <w:rFonts w:ascii="Arial Narrow" w:hAnsi="Arial Narrow" w:cs="Calibri"/>
                <w:color w:val="000000"/>
                <w:sz w:val="16"/>
                <w:szCs w:val="16"/>
              </w:rPr>
            </w:pPr>
            <w:r w:rsidRPr="00AA4EFB">
              <w:rPr>
                <w:rFonts w:ascii="Arial Narrow" w:hAnsi="Arial Narrow" w:cs="Calibri"/>
                <w:color w:val="000000"/>
                <w:sz w:val="16"/>
                <w:szCs w:val="16"/>
              </w:rPr>
              <w:t>55,8</w:t>
            </w:r>
          </w:p>
        </w:tc>
        <w:tc>
          <w:tcPr>
            <w:tcW w:w="709" w:type="dxa"/>
            <w:tcBorders>
              <w:top w:val="nil"/>
              <w:left w:val="nil"/>
              <w:bottom w:val="nil"/>
              <w:right w:val="nil"/>
            </w:tcBorders>
            <w:shd w:val="clear" w:color="000000" w:fill="DDEBF7"/>
            <w:vAlign w:val="center"/>
            <w:hideMark/>
          </w:tcPr>
          <w:p w14:paraId="27A8EBDB" w14:textId="6209AFEF" w:rsidR="00057132" w:rsidRPr="008878FC"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8878FC">
              <w:rPr>
                <w:rFonts w:ascii="Arial Narrow" w:hAnsi="Arial Narrow" w:cs="Calibri"/>
                <w:color w:val="000000"/>
                <w:sz w:val="16"/>
                <w:szCs w:val="16"/>
              </w:rPr>
              <w:t>59,7</w:t>
            </w:r>
          </w:p>
        </w:tc>
        <w:tc>
          <w:tcPr>
            <w:tcW w:w="709" w:type="dxa"/>
            <w:tcBorders>
              <w:top w:val="nil"/>
              <w:left w:val="nil"/>
              <w:bottom w:val="nil"/>
              <w:right w:val="nil"/>
            </w:tcBorders>
            <w:shd w:val="clear" w:color="000000" w:fill="DDEBF7"/>
            <w:vAlign w:val="center"/>
            <w:hideMark/>
          </w:tcPr>
          <w:p w14:paraId="166CF2B9" w14:textId="2CC86604"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61,4</w:t>
            </w:r>
          </w:p>
        </w:tc>
        <w:tc>
          <w:tcPr>
            <w:tcW w:w="709" w:type="dxa"/>
            <w:gridSpan w:val="2"/>
            <w:tcBorders>
              <w:top w:val="nil"/>
              <w:left w:val="nil"/>
              <w:bottom w:val="nil"/>
              <w:right w:val="nil"/>
            </w:tcBorders>
            <w:shd w:val="clear" w:color="000000" w:fill="DDEBF7"/>
            <w:vAlign w:val="center"/>
            <w:hideMark/>
          </w:tcPr>
          <w:p w14:paraId="6CA86597" w14:textId="23EF74B7"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63,3</w:t>
            </w:r>
          </w:p>
        </w:tc>
      </w:tr>
      <w:tr w:rsidR="00057132" w:rsidRPr="00046B73" w14:paraId="0E792FA8" w14:textId="77777777" w:rsidTr="003A0B2F">
        <w:trPr>
          <w:trHeight w:val="289"/>
        </w:trPr>
        <w:tc>
          <w:tcPr>
            <w:tcW w:w="450" w:type="dxa"/>
            <w:tcBorders>
              <w:top w:val="nil"/>
              <w:left w:val="nil"/>
              <w:bottom w:val="nil"/>
              <w:right w:val="nil"/>
            </w:tcBorders>
            <w:shd w:val="clear" w:color="000000" w:fill="DDEBF7"/>
            <w:vAlign w:val="center"/>
            <w:hideMark/>
          </w:tcPr>
          <w:p w14:paraId="3E4D1F98"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36</w:t>
            </w:r>
          </w:p>
        </w:tc>
        <w:tc>
          <w:tcPr>
            <w:tcW w:w="3661" w:type="dxa"/>
            <w:gridSpan w:val="3"/>
            <w:tcBorders>
              <w:top w:val="nil"/>
              <w:left w:val="nil"/>
              <w:bottom w:val="nil"/>
              <w:right w:val="nil"/>
            </w:tcBorders>
            <w:shd w:val="clear" w:color="000000" w:fill="DDEBF7"/>
            <w:vAlign w:val="center"/>
            <w:hideMark/>
          </w:tcPr>
          <w:p w14:paraId="2FC1DD3E"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Zmena hrubého dlhu</w:t>
            </w:r>
          </w:p>
        </w:tc>
        <w:tc>
          <w:tcPr>
            <w:tcW w:w="1276" w:type="dxa"/>
            <w:tcBorders>
              <w:top w:val="nil"/>
              <w:left w:val="nil"/>
              <w:bottom w:val="nil"/>
              <w:right w:val="nil"/>
            </w:tcBorders>
            <w:shd w:val="clear" w:color="000000" w:fill="DDEBF7"/>
            <w:vAlign w:val="center"/>
            <w:hideMark/>
          </w:tcPr>
          <w:p w14:paraId="3B5150E4"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w:t>
            </w:r>
          </w:p>
        </w:tc>
        <w:tc>
          <w:tcPr>
            <w:tcW w:w="709" w:type="dxa"/>
            <w:tcBorders>
              <w:top w:val="nil"/>
              <w:left w:val="nil"/>
              <w:bottom w:val="nil"/>
              <w:right w:val="nil"/>
            </w:tcBorders>
            <w:shd w:val="clear" w:color="000000" w:fill="DDEBF7"/>
            <w:vAlign w:val="center"/>
            <w:hideMark/>
          </w:tcPr>
          <w:p w14:paraId="39990B9A" w14:textId="50E23517" w:rsidR="00057132" w:rsidRPr="00046B73" w:rsidRDefault="008878FC"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eastAsia="Times New Roman" w:hAnsi="Arial Narrow" w:cs="Calibri"/>
                <w:color w:val="000000"/>
                <w:kern w:val="0"/>
                <w:sz w:val="16"/>
                <w:szCs w:val="16"/>
                <w:lang w:eastAsia="sk-SK"/>
                <w14:ligatures w14:val="none"/>
              </w:rPr>
              <w:t>5,4</w:t>
            </w:r>
          </w:p>
        </w:tc>
        <w:tc>
          <w:tcPr>
            <w:tcW w:w="708" w:type="dxa"/>
            <w:tcBorders>
              <w:top w:val="nil"/>
              <w:left w:val="nil"/>
              <w:bottom w:val="nil"/>
              <w:right w:val="nil"/>
            </w:tcBorders>
            <w:shd w:val="clear" w:color="000000" w:fill="DDEBF7"/>
            <w:vAlign w:val="center"/>
          </w:tcPr>
          <w:p w14:paraId="0B3DD414" w14:textId="2CE98C53" w:rsidR="00057132" w:rsidRPr="00AA4EFB" w:rsidRDefault="00AA4EFB" w:rsidP="00057132">
            <w:pPr>
              <w:spacing w:after="0" w:line="240" w:lineRule="auto"/>
              <w:jc w:val="center"/>
              <w:rPr>
                <w:rFonts w:ascii="Arial Narrow" w:hAnsi="Arial Narrow" w:cs="Calibri"/>
                <w:color w:val="000000"/>
                <w:sz w:val="16"/>
                <w:szCs w:val="16"/>
              </w:rPr>
            </w:pPr>
            <w:r w:rsidRPr="00AA4EFB">
              <w:rPr>
                <w:rFonts w:ascii="Arial Narrow" w:hAnsi="Arial Narrow" w:cs="Calibri"/>
                <w:color w:val="000000"/>
                <w:sz w:val="16"/>
                <w:szCs w:val="16"/>
              </w:rPr>
              <w:t>-2,0</w:t>
            </w:r>
          </w:p>
        </w:tc>
        <w:tc>
          <w:tcPr>
            <w:tcW w:w="709" w:type="dxa"/>
            <w:tcBorders>
              <w:top w:val="nil"/>
              <w:left w:val="nil"/>
              <w:bottom w:val="nil"/>
              <w:right w:val="nil"/>
            </w:tcBorders>
            <w:shd w:val="clear" w:color="000000" w:fill="DDEBF7"/>
            <w:vAlign w:val="center"/>
            <w:hideMark/>
          </w:tcPr>
          <w:p w14:paraId="3F5EE571" w14:textId="67A39FFE" w:rsidR="00057132" w:rsidRPr="008878FC"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8878FC">
              <w:rPr>
                <w:rFonts w:ascii="Arial Narrow" w:hAnsi="Arial Narrow" w:cs="Calibri"/>
                <w:color w:val="000000"/>
                <w:sz w:val="16"/>
                <w:szCs w:val="16"/>
              </w:rPr>
              <w:t>3,9</w:t>
            </w:r>
          </w:p>
        </w:tc>
        <w:tc>
          <w:tcPr>
            <w:tcW w:w="709" w:type="dxa"/>
            <w:tcBorders>
              <w:top w:val="nil"/>
              <w:left w:val="nil"/>
              <w:bottom w:val="nil"/>
              <w:right w:val="nil"/>
            </w:tcBorders>
            <w:shd w:val="clear" w:color="000000" w:fill="DDEBF7"/>
            <w:vAlign w:val="center"/>
            <w:hideMark/>
          </w:tcPr>
          <w:p w14:paraId="3694F95E" w14:textId="26BCF5E1"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1,7</w:t>
            </w:r>
          </w:p>
        </w:tc>
        <w:tc>
          <w:tcPr>
            <w:tcW w:w="709" w:type="dxa"/>
            <w:gridSpan w:val="2"/>
            <w:tcBorders>
              <w:top w:val="nil"/>
              <w:left w:val="nil"/>
              <w:bottom w:val="nil"/>
              <w:right w:val="nil"/>
            </w:tcBorders>
            <w:shd w:val="clear" w:color="000000" w:fill="DDEBF7"/>
            <w:vAlign w:val="center"/>
            <w:hideMark/>
          </w:tcPr>
          <w:p w14:paraId="0C2F5269" w14:textId="155368AE"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1,9</w:t>
            </w:r>
          </w:p>
        </w:tc>
      </w:tr>
      <w:tr w:rsidR="00057132" w:rsidRPr="00046B73" w14:paraId="07739247" w14:textId="77777777" w:rsidTr="003A0B2F">
        <w:trPr>
          <w:trHeight w:val="289"/>
        </w:trPr>
        <w:tc>
          <w:tcPr>
            <w:tcW w:w="450" w:type="dxa"/>
            <w:tcBorders>
              <w:top w:val="nil"/>
              <w:left w:val="nil"/>
              <w:bottom w:val="nil"/>
              <w:right w:val="nil"/>
            </w:tcBorders>
            <w:shd w:val="clear" w:color="000000" w:fill="DDEBF7"/>
            <w:vAlign w:val="center"/>
            <w:hideMark/>
          </w:tcPr>
          <w:p w14:paraId="5A260BA2"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 </w:t>
            </w:r>
          </w:p>
        </w:tc>
        <w:tc>
          <w:tcPr>
            <w:tcW w:w="2173" w:type="dxa"/>
            <w:tcBorders>
              <w:top w:val="nil"/>
              <w:left w:val="nil"/>
              <w:bottom w:val="nil"/>
              <w:right w:val="nil"/>
            </w:tcBorders>
            <w:shd w:val="clear" w:color="000000" w:fill="DDEBF7"/>
            <w:vAlign w:val="center"/>
            <w:hideMark/>
          </w:tcPr>
          <w:p w14:paraId="00992A42" w14:textId="77777777" w:rsidR="00057132" w:rsidRPr="00046B73" w:rsidRDefault="00057132" w:rsidP="00046B73">
            <w:pPr>
              <w:spacing w:after="0" w:line="240" w:lineRule="auto"/>
              <w:rPr>
                <w:rFonts w:ascii="Arial Narrow" w:eastAsia="Times New Roman" w:hAnsi="Arial Narrow" w:cs="Calibri"/>
                <w:i/>
                <w:iCs/>
                <w:color w:val="000000"/>
                <w:kern w:val="0"/>
                <w:sz w:val="16"/>
                <w:szCs w:val="16"/>
                <w:lang w:eastAsia="sk-SK"/>
                <w14:ligatures w14:val="none"/>
              </w:rPr>
            </w:pPr>
            <w:r w:rsidRPr="00046B73">
              <w:rPr>
                <w:rFonts w:ascii="Arial Narrow" w:eastAsia="Times New Roman" w:hAnsi="Arial Narrow" w:cs="Calibri"/>
                <w:i/>
                <w:iCs/>
                <w:color w:val="000000"/>
                <w:kern w:val="0"/>
                <w:sz w:val="16"/>
                <w:szCs w:val="16"/>
                <w:lang w:eastAsia="sk-SK"/>
                <w14:ligatures w14:val="none"/>
              </w:rPr>
              <w:t>Príspevky k zmene hrubého dlhu</w:t>
            </w:r>
          </w:p>
        </w:tc>
        <w:tc>
          <w:tcPr>
            <w:tcW w:w="1056" w:type="dxa"/>
            <w:tcBorders>
              <w:top w:val="nil"/>
              <w:left w:val="nil"/>
              <w:bottom w:val="nil"/>
              <w:right w:val="nil"/>
            </w:tcBorders>
            <w:shd w:val="clear" w:color="000000" w:fill="DDEBF7"/>
            <w:vAlign w:val="center"/>
            <w:hideMark/>
          </w:tcPr>
          <w:p w14:paraId="0EF6E8BE" w14:textId="77777777" w:rsidR="00057132" w:rsidRPr="00046B73" w:rsidRDefault="00057132" w:rsidP="00046B73">
            <w:pPr>
              <w:spacing w:after="0" w:line="240" w:lineRule="auto"/>
              <w:rPr>
                <w:rFonts w:ascii="Arial Narrow" w:eastAsia="Times New Roman" w:hAnsi="Arial Narrow" w:cs="Calibri"/>
                <w:i/>
                <w:iCs/>
                <w:color w:val="000000"/>
                <w:kern w:val="0"/>
                <w:sz w:val="16"/>
                <w:szCs w:val="16"/>
                <w:lang w:eastAsia="sk-SK"/>
                <w14:ligatures w14:val="none"/>
              </w:rPr>
            </w:pPr>
            <w:r w:rsidRPr="00046B73">
              <w:rPr>
                <w:rFonts w:ascii="Arial Narrow" w:eastAsia="Times New Roman" w:hAnsi="Arial Narrow" w:cs="Calibri"/>
                <w:i/>
                <w:iCs/>
                <w:color w:val="000000"/>
                <w:kern w:val="0"/>
                <w:sz w:val="16"/>
                <w:szCs w:val="16"/>
                <w:lang w:eastAsia="sk-SK"/>
                <w14:ligatures w14:val="none"/>
              </w:rPr>
              <w:t> </w:t>
            </w:r>
          </w:p>
        </w:tc>
        <w:tc>
          <w:tcPr>
            <w:tcW w:w="1708" w:type="dxa"/>
            <w:gridSpan w:val="2"/>
            <w:tcBorders>
              <w:top w:val="nil"/>
              <w:left w:val="nil"/>
              <w:bottom w:val="nil"/>
              <w:right w:val="nil"/>
            </w:tcBorders>
            <w:shd w:val="clear" w:color="000000" w:fill="DDEBF7"/>
            <w:vAlign w:val="center"/>
            <w:hideMark/>
          </w:tcPr>
          <w:p w14:paraId="314B6E6F"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hAnsi="Arial Narrow" w:cs="Calibri"/>
                <w:color w:val="000000"/>
                <w:sz w:val="16"/>
                <w:szCs w:val="16"/>
              </w:rPr>
              <w:t> </w:t>
            </w:r>
          </w:p>
        </w:tc>
        <w:tc>
          <w:tcPr>
            <w:tcW w:w="709" w:type="dxa"/>
            <w:tcBorders>
              <w:top w:val="nil"/>
              <w:left w:val="nil"/>
              <w:bottom w:val="nil"/>
              <w:right w:val="nil"/>
            </w:tcBorders>
            <w:shd w:val="clear" w:color="000000" w:fill="DDEBF7"/>
            <w:vAlign w:val="center"/>
            <w:hideMark/>
          </w:tcPr>
          <w:p w14:paraId="35D85A26" w14:textId="26DF855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 </w:t>
            </w:r>
          </w:p>
        </w:tc>
        <w:tc>
          <w:tcPr>
            <w:tcW w:w="708" w:type="dxa"/>
            <w:tcBorders>
              <w:top w:val="nil"/>
              <w:left w:val="nil"/>
              <w:bottom w:val="nil"/>
              <w:right w:val="nil"/>
            </w:tcBorders>
            <w:shd w:val="clear" w:color="000000" w:fill="DDEBF7"/>
            <w:vAlign w:val="center"/>
          </w:tcPr>
          <w:p w14:paraId="6AB9F8C9" w14:textId="77777777" w:rsidR="00057132" w:rsidRPr="00046B73" w:rsidRDefault="00057132" w:rsidP="00057132">
            <w:pPr>
              <w:spacing w:after="0" w:line="240" w:lineRule="auto"/>
              <w:jc w:val="center"/>
              <w:rPr>
                <w:rFonts w:ascii="Arial Narrow" w:hAnsi="Arial Narrow" w:cs="Calibri"/>
                <w:color w:val="000000"/>
                <w:sz w:val="16"/>
                <w:szCs w:val="16"/>
              </w:rPr>
            </w:pPr>
          </w:p>
        </w:tc>
        <w:tc>
          <w:tcPr>
            <w:tcW w:w="709" w:type="dxa"/>
            <w:tcBorders>
              <w:top w:val="nil"/>
              <w:left w:val="nil"/>
              <w:bottom w:val="nil"/>
              <w:right w:val="nil"/>
            </w:tcBorders>
            <w:shd w:val="clear" w:color="000000" w:fill="DDEBF7"/>
            <w:vAlign w:val="center"/>
            <w:hideMark/>
          </w:tcPr>
          <w:p w14:paraId="48074061" w14:textId="5DECC60A" w:rsidR="00057132" w:rsidRPr="008878FC"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p>
        </w:tc>
        <w:tc>
          <w:tcPr>
            <w:tcW w:w="709" w:type="dxa"/>
            <w:tcBorders>
              <w:top w:val="nil"/>
              <w:left w:val="nil"/>
              <w:bottom w:val="nil"/>
              <w:right w:val="nil"/>
            </w:tcBorders>
            <w:shd w:val="clear" w:color="000000" w:fill="DDEBF7"/>
            <w:vAlign w:val="center"/>
            <w:hideMark/>
          </w:tcPr>
          <w:p w14:paraId="593D9FDB" w14:textId="5F765E79" w:rsidR="00057132" w:rsidRPr="008878FC"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p>
        </w:tc>
        <w:tc>
          <w:tcPr>
            <w:tcW w:w="433" w:type="dxa"/>
            <w:tcBorders>
              <w:top w:val="nil"/>
              <w:left w:val="nil"/>
              <w:bottom w:val="nil"/>
              <w:right w:val="nil"/>
            </w:tcBorders>
            <w:shd w:val="clear" w:color="000000" w:fill="DDEBF7"/>
            <w:vAlign w:val="center"/>
            <w:hideMark/>
          </w:tcPr>
          <w:p w14:paraId="2C2A6D80" w14:textId="5B1336ED"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p>
        </w:tc>
        <w:tc>
          <w:tcPr>
            <w:tcW w:w="276" w:type="dxa"/>
            <w:tcBorders>
              <w:top w:val="nil"/>
              <w:left w:val="nil"/>
              <w:bottom w:val="nil"/>
              <w:right w:val="nil"/>
            </w:tcBorders>
            <w:shd w:val="clear" w:color="000000" w:fill="DDEBF7"/>
            <w:vAlign w:val="center"/>
            <w:hideMark/>
          </w:tcPr>
          <w:p w14:paraId="72B79247" w14:textId="77777777"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w:t>
            </w:r>
          </w:p>
        </w:tc>
      </w:tr>
      <w:tr w:rsidR="00057132" w:rsidRPr="00046B73" w14:paraId="24A8D48C" w14:textId="77777777" w:rsidTr="003A0B2F">
        <w:trPr>
          <w:trHeight w:val="289"/>
        </w:trPr>
        <w:tc>
          <w:tcPr>
            <w:tcW w:w="450" w:type="dxa"/>
            <w:tcBorders>
              <w:top w:val="nil"/>
              <w:left w:val="nil"/>
              <w:bottom w:val="nil"/>
              <w:right w:val="nil"/>
            </w:tcBorders>
            <w:shd w:val="clear" w:color="000000" w:fill="DDEBF7"/>
            <w:vAlign w:val="center"/>
            <w:hideMark/>
          </w:tcPr>
          <w:p w14:paraId="77BF513B"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38</w:t>
            </w:r>
          </w:p>
        </w:tc>
        <w:tc>
          <w:tcPr>
            <w:tcW w:w="3661" w:type="dxa"/>
            <w:gridSpan w:val="3"/>
            <w:tcBorders>
              <w:top w:val="nil"/>
              <w:left w:val="nil"/>
              <w:bottom w:val="nil"/>
              <w:right w:val="nil"/>
            </w:tcBorders>
            <w:shd w:val="clear" w:color="000000" w:fill="DDEBF7"/>
            <w:vAlign w:val="center"/>
            <w:hideMark/>
          </w:tcPr>
          <w:p w14:paraId="019C416B" w14:textId="77777777" w:rsidR="00057132" w:rsidRPr="00046B73" w:rsidRDefault="00057132" w:rsidP="00046B73">
            <w:pPr>
              <w:spacing w:after="0" w:line="240" w:lineRule="auto"/>
              <w:ind w:firstLineChars="100" w:firstLine="161"/>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Primárne saldo (= mínus 32)</w:t>
            </w:r>
          </w:p>
        </w:tc>
        <w:tc>
          <w:tcPr>
            <w:tcW w:w="1276" w:type="dxa"/>
            <w:tcBorders>
              <w:top w:val="nil"/>
              <w:left w:val="nil"/>
              <w:bottom w:val="nil"/>
              <w:right w:val="nil"/>
            </w:tcBorders>
            <w:shd w:val="clear" w:color="000000" w:fill="DDEBF7"/>
            <w:vAlign w:val="center"/>
            <w:hideMark/>
          </w:tcPr>
          <w:p w14:paraId="62865872"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w:t>
            </w:r>
          </w:p>
        </w:tc>
        <w:tc>
          <w:tcPr>
            <w:tcW w:w="709" w:type="dxa"/>
            <w:tcBorders>
              <w:top w:val="nil"/>
              <w:left w:val="nil"/>
              <w:bottom w:val="nil"/>
              <w:right w:val="nil"/>
            </w:tcBorders>
            <w:shd w:val="clear" w:color="000000" w:fill="DDEBF7"/>
            <w:vAlign w:val="center"/>
            <w:hideMark/>
          </w:tcPr>
          <w:p w14:paraId="56FBFE8E" w14:textId="77777777" w:rsidR="00057132" w:rsidRPr="008878FC" w:rsidRDefault="00057132" w:rsidP="00046B73">
            <w:pPr>
              <w:spacing w:after="0" w:line="240" w:lineRule="auto"/>
              <w:jc w:val="center"/>
              <w:rPr>
                <w:rFonts w:ascii="Arial Narrow" w:eastAsia="Times New Roman" w:hAnsi="Arial Narrow" w:cs="Calibri"/>
                <w:color w:val="000000"/>
                <w:kern w:val="0"/>
                <w:lang w:eastAsia="sk-SK"/>
                <w14:ligatures w14:val="none"/>
              </w:rPr>
            </w:pPr>
            <w:r w:rsidRPr="008878FC">
              <w:rPr>
                <w:rFonts w:ascii="Arial Narrow" w:hAnsi="Arial Narrow" w:cs="Calibri"/>
                <w:color w:val="000000"/>
              </w:rPr>
              <w:t> </w:t>
            </w:r>
          </w:p>
        </w:tc>
        <w:tc>
          <w:tcPr>
            <w:tcW w:w="708" w:type="dxa"/>
            <w:tcBorders>
              <w:top w:val="nil"/>
              <w:left w:val="nil"/>
              <w:bottom w:val="nil"/>
              <w:right w:val="nil"/>
            </w:tcBorders>
            <w:shd w:val="clear" w:color="000000" w:fill="DDEBF7"/>
            <w:vAlign w:val="center"/>
          </w:tcPr>
          <w:p w14:paraId="7F2AC63F" w14:textId="1178C3CF" w:rsidR="00057132" w:rsidRPr="008878FC" w:rsidRDefault="009B57B3" w:rsidP="00057132">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4,</w:t>
            </w:r>
            <w:r w:rsidR="00C4437A">
              <w:rPr>
                <w:rFonts w:ascii="Arial Narrow" w:hAnsi="Arial Narrow" w:cs="Calibri"/>
                <w:color w:val="000000"/>
                <w:sz w:val="16"/>
                <w:szCs w:val="16"/>
              </w:rPr>
              <w:t>2</w:t>
            </w:r>
          </w:p>
        </w:tc>
        <w:tc>
          <w:tcPr>
            <w:tcW w:w="709" w:type="dxa"/>
            <w:tcBorders>
              <w:top w:val="nil"/>
              <w:left w:val="nil"/>
              <w:bottom w:val="nil"/>
              <w:right w:val="nil"/>
            </w:tcBorders>
            <w:shd w:val="clear" w:color="000000" w:fill="DDEBF7"/>
            <w:vAlign w:val="center"/>
            <w:hideMark/>
          </w:tcPr>
          <w:p w14:paraId="1C617D88" w14:textId="4BA3BD55" w:rsidR="00057132" w:rsidRPr="008878FC" w:rsidRDefault="00C4437A" w:rsidP="00057132">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3,9</w:t>
            </w:r>
          </w:p>
        </w:tc>
        <w:tc>
          <w:tcPr>
            <w:tcW w:w="709" w:type="dxa"/>
            <w:tcBorders>
              <w:top w:val="nil"/>
              <w:left w:val="nil"/>
              <w:bottom w:val="nil"/>
              <w:right w:val="nil"/>
            </w:tcBorders>
            <w:shd w:val="clear" w:color="000000" w:fill="DDEBF7"/>
            <w:vAlign w:val="center"/>
            <w:hideMark/>
          </w:tcPr>
          <w:p w14:paraId="63198C1E" w14:textId="35EC2D4B" w:rsidR="00057132" w:rsidRPr="00046B73" w:rsidRDefault="00C4437A" w:rsidP="00057132">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2,9</w:t>
            </w:r>
          </w:p>
        </w:tc>
        <w:tc>
          <w:tcPr>
            <w:tcW w:w="709" w:type="dxa"/>
            <w:gridSpan w:val="2"/>
            <w:tcBorders>
              <w:top w:val="nil"/>
              <w:left w:val="nil"/>
              <w:bottom w:val="nil"/>
              <w:right w:val="nil"/>
            </w:tcBorders>
            <w:shd w:val="clear" w:color="000000" w:fill="DDEBF7"/>
            <w:vAlign w:val="center"/>
            <w:hideMark/>
          </w:tcPr>
          <w:p w14:paraId="66214033" w14:textId="1E6C6820" w:rsidR="00057132" w:rsidRPr="00046B73" w:rsidRDefault="00C4437A" w:rsidP="00057132">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2,7</w:t>
            </w:r>
          </w:p>
        </w:tc>
      </w:tr>
      <w:tr w:rsidR="00057132" w:rsidRPr="00046B73" w14:paraId="1FB8C10B" w14:textId="77777777" w:rsidTr="003A0B2F">
        <w:trPr>
          <w:trHeight w:val="289"/>
        </w:trPr>
        <w:tc>
          <w:tcPr>
            <w:tcW w:w="450" w:type="dxa"/>
            <w:tcBorders>
              <w:top w:val="nil"/>
              <w:left w:val="nil"/>
              <w:bottom w:val="nil"/>
              <w:right w:val="nil"/>
            </w:tcBorders>
            <w:shd w:val="clear" w:color="000000" w:fill="DDEBF7"/>
            <w:vAlign w:val="center"/>
            <w:hideMark/>
          </w:tcPr>
          <w:p w14:paraId="7BEEC789"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39</w:t>
            </w:r>
          </w:p>
        </w:tc>
        <w:tc>
          <w:tcPr>
            <w:tcW w:w="3661" w:type="dxa"/>
            <w:gridSpan w:val="3"/>
            <w:tcBorders>
              <w:top w:val="nil"/>
              <w:left w:val="nil"/>
              <w:bottom w:val="nil"/>
              <w:right w:val="nil"/>
            </w:tcBorders>
            <w:shd w:val="clear" w:color="000000" w:fill="DDEBF7"/>
            <w:vAlign w:val="center"/>
            <w:hideMark/>
          </w:tcPr>
          <w:p w14:paraId="1269DA51" w14:textId="77777777" w:rsidR="00057132" w:rsidRPr="00046B73" w:rsidRDefault="00057132" w:rsidP="00046B73">
            <w:pPr>
              <w:spacing w:after="0" w:line="240" w:lineRule="auto"/>
              <w:ind w:firstLineChars="100" w:firstLine="161"/>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Efekt snehovej gule</w:t>
            </w:r>
          </w:p>
        </w:tc>
        <w:tc>
          <w:tcPr>
            <w:tcW w:w="1276" w:type="dxa"/>
            <w:tcBorders>
              <w:top w:val="nil"/>
              <w:left w:val="nil"/>
              <w:bottom w:val="nil"/>
              <w:right w:val="nil"/>
            </w:tcBorders>
            <w:shd w:val="clear" w:color="000000" w:fill="DDEBF7"/>
            <w:vAlign w:val="center"/>
            <w:hideMark/>
          </w:tcPr>
          <w:p w14:paraId="01E91F89"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w:t>
            </w:r>
          </w:p>
        </w:tc>
        <w:tc>
          <w:tcPr>
            <w:tcW w:w="709" w:type="dxa"/>
            <w:tcBorders>
              <w:top w:val="nil"/>
              <w:left w:val="nil"/>
              <w:bottom w:val="nil"/>
              <w:right w:val="nil"/>
            </w:tcBorders>
            <w:shd w:val="clear" w:color="000000" w:fill="DDEBF7"/>
            <w:vAlign w:val="center"/>
            <w:hideMark/>
          </w:tcPr>
          <w:p w14:paraId="676B7088" w14:textId="77777777" w:rsidR="00057132" w:rsidRPr="008878FC" w:rsidRDefault="00057132" w:rsidP="00046B73">
            <w:pPr>
              <w:spacing w:after="0" w:line="240" w:lineRule="auto"/>
              <w:jc w:val="center"/>
              <w:rPr>
                <w:rFonts w:ascii="Arial Narrow" w:eastAsia="Times New Roman" w:hAnsi="Arial Narrow" w:cs="Calibri"/>
                <w:color w:val="000000"/>
                <w:kern w:val="0"/>
                <w:lang w:eastAsia="sk-SK"/>
                <w14:ligatures w14:val="none"/>
              </w:rPr>
            </w:pPr>
            <w:r w:rsidRPr="008878FC">
              <w:rPr>
                <w:rFonts w:ascii="Arial Narrow" w:hAnsi="Arial Narrow" w:cs="Calibri"/>
                <w:color w:val="000000"/>
              </w:rPr>
              <w:t> </w:t>
            </w:r>
          </w:p>
        </w:tc>
        <w:tc>
          <w:tcPr>
            <w:tcW w:w="708" w:type="dxa"/>
            <w:tcBorders>
              <w:top w:val="nil"/>
              <w:left w:val="nil"/>
              <w:bottom w:val="nil"/>
              <w:right w:val="nil"/>
            </w:tcBorders>
            <w:shd w:val="clear" w:color="000000" w:fill="DDEBF7"/>
            <w:vAlign w:val="center"/>
          </w:tcPr>
          <w:p w14:paraId="6FBAB057" w14:textId="2247E073" w:rsidR="00057132" w:rsidRPr="008878FC" w:rsidRDefault="008878FC" w:rsidP="00057132">
            <w:pPr>
              <w:spacing w:after="0" w:line="240" w:lineRule="auto"/>
              <w:jc w:val="center"/>
              <w:rPr>
                <w:rFonts w:ascii="Arial Narrow" w:hAnsi="Arial Narrow" w:cs="Calibri"/>
                <w:color w:val="000000"/>
                <w:sz w:val="16"/>
                <w:szCs w:val="16"/>
              </w:rPr>
            </w:pPr>
            <w:r w:rsidRPr="008878FC">
              <w:rPr>
                <w:rFonts w:ascii="Arial Narrow" w:hAnsi="Arial Narrow" w:cs="Calibri"/>
                <w:color w:val="000000"/>
                <w:sz w:val="16"/>
                <w:szCs w:val="16"/>
              </w:rPr>
              <w:t>-5,2</w:t>
            </w:r>
          </w:p>
        </w:tc>
        <w:tc>
          <w:tcPr>
            <w:tcW w:w="709" w:type="dxa"/>
            <w:tcBorders>
              <w:top w:val="nil"/>
              <w:left w:val="nil"/>
              <w:bottom w:val="nil"/>
              <w:right w:val="nil"/>
            </w:tcBorders>
            <w:shd w:val="clear" w:color="000000" w:fill="DDEBF7"/>
            <w:vAlign w:val="center"/>
            <w:hideMark/>
          </w:tcPr>
          <w:p w14:paraId="1FC9003B" w14:textId="27046C47" w:rsidR="00057132" w:rsidRPr="008878FC"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8878FC">
              <w:rPr>
                <w:rFonts w:ascii="Arial Narrow" w:hAnsi="Arial Narrow" w:cs="Calibri"/>
                <w:color w:val="000000"/>
                <w:sz w:val="16"/>
                <w:szCs w:val="16"/>
              </w:rPr>
              <w:t>-1,4</w:t>
            </w:r>
          </w:p>
        </w:tc>
        <w:tc>
          <w:tcPr>
            <w:tcW w:w="709" w:type="dxa"/>
            <w:tcBorders>
              <w:top w:val="nil"/>
              <w:left w:val="nil"/>
              <w:bottom w:val="nil"/>
              <w:right w:val="nil"/>
            </w:tcBorders>
            <w:shd w:val="clear" w:color="000000" w:fill="DDEBF7"/>
            <w:vAlign w:val="center"/>
            <w:hideMark/>
          </w:tcPr>
          <w:p w14:paraId="7D1A9459" w14:textId="4BF48CEE"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-1,2</w:t>
            </w:r>
          </w:p>
        </w:tc>
        <w:tc>
          <w:tcPr>
            <w:tcW w:w="709" w:type="dxa"/>
            <w:gridSpan w:val="2"/>
            <w:tcBorders>
              <w:top w:val="nil"/>
              <w:left w:val="nil"/>
              <w:bottom w:val="nil"/>
              <w:right w:val="nil"/>
            </w:tcBorders>
            <w:shd w:val="clear" w:color="000000" w:fill="DDEBF7"/>
            <w:vAlign w:val="center"/>
            <w:hideMark/>
          </w:tcPr>
          <w:p w14:paraId="7FBA0E05" w14:textId="53B0C47F"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-1,1</w:t>
            </w:r>
          </w:p>
        </w:tc>
      </w:tr>
      <w:tr w:rsidR="00057132" w:rsidRPr="00046B73" w14:paraId="7E0EEB19" w14:textId="77777777" w:rsidTr="003A0B2F">
        <w:trPr>
          <w:trHeight w:val="289"/>
        </w:trPr>
        <w:tc>
          <w:tcPr>
            <w:tcW w:w="450" w:type="dxa"/>
            <w:tcBorders>
              <w:top w:val="nil"/>
              <w:left w:val="nil"/>
              <w:bottom w:val="nil"/>
              <w:right w:val="nil"/>
            </w:tcBorders>
            <w:shd w:val="clear" w:color="000000" w:fill="DDEBF7"/>
            <w:vAlign w:val="center"/>
            <w:hideMark/>
          </w:tcPr>
          <w:p w14:paraId="0DD273C7"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40</w:t>
            </w:r>
          </w:p>
        </w:tc>
        <w:tc>
          <w:tcPr>
            <w:tcW w:w="3661" w:type="dxa"/>
            <w:gridSpan w:val="3"/>
            <w:tcBorders>
              <w:top w:val="nil"/>
              <w:left w:val="nil"/>
              <w:bottom w:val="nil"/>
              <w:right w:val="nil"/>
            </w:tcBorders>
            <w:shd w:val="clear" w:color="000000" w:fill="DDEBF7"/>
            <w:vAlign w:val="center"/>
            <w:hideMark/>
          </w:tcPr>
          <w:p w14:paraId="5DB05648" w14:textId="77777777" w:rsidR="00057132" w:rsidRPr="00046B73" w:rsidRDefault="00057132" w:rsidP="00046B73">
            <w:pPr>
              <w:spacing w:after="0" w:line="240" w:lineRule="auto"/>
              <w:ind w:firstLineChars="200" w:firstLine="321"/>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Úrokové náklady</w:t>
            </w:r>
          </w:p>
        </w:tc>
        <w:tc>
          <w:tcPr>
            <w:tcW w:w="1276" w:type="dxa"/>
            <w:tcBorders>
              <w:top w:val="nil"/>
              <w:left w:val="nil"/>
              <w:bottom w:val="nil"/>
              <w:right w:val="nil"/>
            </w:tcBorders>
            <w:shd w:val="clear" w:color="000000" w:fill="DDEBF7"/>
            <w:vAlign w:val="center"/>
            <w:hideMark/>
          </w:tcPr>
          <w:p w14:paraId="50EB02D0"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w:t>
            </w:r>
          </w:p>
        </w:tc>
        <w:tc>
          <w:tcPr>
            <w:tcW w:w="709" w:type="dxa"/>
            <w:tcBorders>
              <w:top w:val="nil"/>
              <w:left w:val="nil"/>
              <w:bottom w:val="nil"/>
              <w:right w:val="nil"/>
            </w:tcBorders>
            <w:shd w:val="clear" w:color="000000" w:fill="DDEBF7"/>
            <w:vAlign w:val="center"/>
            <w:hideMark/>
          </w:tcPr>
          <w:p w14:paraId="62D7CCA9" w14:textId="77777777" w:rsidR="00057132" w:rsidRPr="008878FC" w:rsidRDefault="00057132" w:rsidP="00046B73">
            <w:pPr>
              <w:spacing w:after="0" w:line="240" w:lineRule="auto"/>
              <w:jc w:val="center"/>
              <w:rPr>
                <w:rFonts w:ascii="Arial Narrow" w:eastAsia="Times New Roman" w:hAnsi="Arial Narrow" w:cs="Calibri"/>
                <w:color w:val="000000"/>
                <w:kern w:val="0"/>
                <w:lang w:eastAsia="sk-SK"/>
                <w14:ligatures w14:val="none"/>
              </w:rPr>
            </w:pPr>
            <w:r w:rsidRPr="008878FC">
              <w:rPr>
                <w:rFonts w:ascii="Arial Narrow" w:hAnsi="Arial Narrow" w:cs="Calibri"/>
                <w:color w:val="000000"/>
              </w:rPr>
              <w:t> </w:t>
            </w:r>
          </w:p>
        </w:tc>
        <w:tc>
          <w:tcPr>
            <w:tcW w:w="708" w:type="dxa"/>
            <w:tcBorders>
              <w:top w:val="nil"/>
              <w:left w:val="nil"/>
              <w:bottom w:val="nil"/>
              <w:right w:val="nil"/>
            </w:tcBorders>
            <w:shd w:val="clear" w:color="000000" w:fill="DDEBF7"/>
            <w:vAlign w:val="center"/>
          </w:tcPr>
          <w:p w14:paraId="2A3F9CC7" w14:textId="1D902911" w:rsidR="00057132" w:rsidRPr="008878FC" w:rsidRDefault="008878FC" w:rsidP="00057132">
            <w:pPr>
              <w:spacing w:after="0" w:line="240" w:lineRule="auto"/>
              <w:jc w:val="center"/>
              <w:rPr>
                <w:rFonts w:ascii="Arial Narrow" w:hAnsi="Arial Narrow" w:cs="Calibri"/>
                <w:color w:val="000000"/>
                <w:sz w:val="16"/>
                <w:szCs w:val="16"/>
              </w:rPr>
            </w:pPr>
            <w:r w:rsidRPr="008878FC">
              <w:rPr>
                <w:rFonts w:ascii="Arial Narrow" w:hAnsi="Arial Narrow" w:cs="Calibri"/>
                <w:color w:val="000000"/>
                <w:sz w:val="16"/>
                <w:szCs w:val="16"/>
              </w:rPr>
              <w:t>1,2</w:t>
            </w:r>
          </w:p>
        </w:tc>
        <w:tc>
          <w:tcPr>
            <w:tcW w:w="709" w:type="dxa"/>
            <w:tcBorders>
              <w:top w:val="nil"/>
              <w:left w:val="nil"/>
              <w:bottom w:val="nil"/>
              <w:right w:val="nil"/>
            </w:tcBorders>
            <w:shd w:val="clear" w:color="000000" w:fill="DDEBF7"/>
            <w:vAlign w:val="center"/>
            <w:hideMark/>
          </w:tcPr>
          <w:p w14:paraId="0BD36D34" w14:textId="680BDD8F" w:rsidR="00057132" w:rsidRPr="008878FC"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8878FC">
              <w:rPr>
                <w:rFonts w:ascii="Arial Narrow" w:hAnsi="Arial Narrow" w:cs="Calibri"/>
                <w:color w:val="000000"/>
                <w:sz w:val="16"/>
                <w:szCs w:val="16"/>
              </w:rPr>
              <w:t>1,4</w:t>
            </w:r>
          </w:p>
        </w:tc>
        <w:tc>
          <w:tcPr>
            <w:tcW w:w="709" w:type="dxa"/>
            <w:tcBorders>
              <w:top w:val="nil"/>
              <w:left w:val="nil"/>
              <w:bottom w:val="nil"/>
              <w:right w:val="nil"/>
            </w:tcBorders>
            <w:shd w:val="clear" w:color="000000" w:fill="DDEBF7"/>
            <w:vAlign w:val="center"/>
            <w:hideMark/>
          </w:tcPr>
          <w:p w14:paraId="49111664" w14:textId="1F33C0BF"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1,6</w:t>
            </w:r>
          </w:p>
        </w:tc>
        <w:tc>
          <w:tcPr>
            <w:tcW w:w="709" w:type="dxa"/>
            <w:gridSpan w:val="2"/>
            <w:tcBorders>
              <w:top w:val="nil"/>
              <w:left w:val="nil"/>
              <w:bottom w:val="nil"/>
              <w:right w:val="nil"/>
            </w:tcBorders>
            <w:shd w:val="clear" w:color="000000" w:fill="DDEBF7"/>
            <w:vAlign w:val="center"/>
            <w:hideMark/>
          </w:tcPr>
          <w:p w14:paraId="2F94E481" w14:textId="148702DE"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1,7</w:t>
            </w:r>
          </w:p>
        </w:tc>
      </w:tr>
      <w:tr w:rsidR="00057132" w:rsidRPr="00046B73" w14:paraId="1D1D5578" w14:textId="77777777" w:rsidTr="003A0B2F">
        <w:trPr>
          <w:trHeight w:val="289"/>
        </w:trPr>
        <w:tc>
          <w:tcPr>
            <w:tcW w:w="450" w:type="dxa"/>
            <w:tcBorders>
              <w:top w:val="nil"/>
              <w:left w:val="nil"/>
              <w:bottom w:val="nil"/>
              <w:right w:val="nil"/>
            </w:tcBorders>
            <w:shd w:val="clear" w:color="000000" w:fill="DDEBF7"/>
            <w:vAlign w:val="center"/>
            <w:hideMark/>
          </w:tcPr>
          <w:p w14:paraId="1D5E0DCD"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41</w:t>
            </w:r>
          </w:p>
        </w:tc>
        <w:tc>
          <w:tcPr>
            <w:tcW w:w="3661" w:type="dxa"/>
            <w:gridSpan w:val="3"/>
            <w:tcBorders>
              <w:top w:val="nil"/>
              <w:left w:val="nil"/>
              <w:bottom w:val="nil"/>
              <w:right w:val="nil"/>
            </w:tcBorders>
            <w:shd w:val="clear" w:color="000000" w:fill="DDEBF7"/>
            <w:vAlign w:val="center"/>
            <w:hideMark/>
          </w:tcPr>
          <w:p w14:paraId="3C4444B8" w14:textId="77777777" w:rsidR="00057132" w:rsidRPr="00046B73" w:rsidRDefault="00057132" w:rsidP="00046B73">
            <w:pPr>
              <w:spacing w:after="0" w:line="240" w:lineRule="auto"/>
              <w:ind w:firstLineChars="200" w:firstLine="321"/>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Reálny rast HDP</w:t>
            </w:r>
          </w:p>
        </w:tc>
        <w:tc>
          <w:tcPr>
            <w:tcW w:w="1276" w:type="dxa"/>
            <w:tcBorders>
              <w:top w:val="nil"/>
              <w:left w:val="nil"/>
              <w:bottom w:val="nil"/>
              <w:right w:val="nil"/>
            </w:tcBorders>
            <w:shd w:val="clear" w:color="000000" w:fill="DDEBF7"/>
            <w:vAlign w:val="center"/>
            <w:hideMark/>
          </w:tcPr>
          <w:p w14:paraId="220D191E"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w:t>
            </w:r>
          </w:p>
        </w:tc>
        <w:tc>
          <w:tcPr>
            <w:tcW w:w="709" w:type="dxa"/>
            <w:tcBorders>
              <w:top w:val="nil"/>
              <w:left w:val="nil"/>
              <w:bottom w:val="nil"/>
              <w:right w:val="nil"/>
            </w:tcBorders>
            <w:shd w:val="clear" w:color="000000" w:fill="DDEBF7"/>
            <w:vAlign w:val="center"/>
            <w:hideMark/>
          </w:tcPr>
          <w:p w14:paraId="6B89584E" w14:textId="77777777" w:rsidR="00057132" w:rsidRPr="008878FC" w:rsidRDefault="00057132" w:rsidP="00046B73">
            <w:pPr>
              <w:spacing w:after="0" w:line="240" w:lineRule="auto"/>
              <w:jc w:val="center"/>
              <w:rPr>
                <w:rFonts w:ascii="Arial Narrow" w:eastAsia="Times New Roman" w:hAnsi="Arial Narrow" w:cs="Calibri"/>
                <w:color w:val="000000"/>
                <w:kern w:val="0"/>
                <w:lang w:eastAsia="sk-SK"/>
                <w14:ligatures w14:val="none"/>
              </w:rPr>
            </w:pPr>
            <w:r w:rsidRPr="008878FC">
              <w:rPr>
                <w:rFonts w:ascii="Arial Narrow" w:hAnsi="Arial Narrow" w:cs="Calibri"/>
                <w:color w:val="000000"/>
              </w:rPr>
              <w:t> </w:t>
            </w:r>
          </w:p>
        </w:tc>
        <w:tc>
          <w:tcPr>
            <w:tcW w:w="708" w:type="dxa"/>
            <w:tcBorders>
              <w:top w:val="nil"/>
              <w:left w:val="nil"/>
              <w:bottom w:val="nil"/>
              <w:right w:val="nil"/>
            </w:tcBorders>
            <w:shd w:val="clear" w:color="000000" w:fill="DDEBF7"/>
            <w:vAlign w:val="center"/>
          </w:tcPr>
          <w:p w14:paraId="545A8BFB" w14:textId="413F89B8" w:rsidR="00057132" w:rsidRPr="008878FC" w:rsidRDefault="008878FC" w:rsidP="00057132">
            <w:pPr>
              <w:spacing w:after="0" w:line="240" w:lineRule="auto"/>
              <w:jc w:val="center"/>
              <w:rPr>
                <w:rFonts w:ascii="Arial Narrow" w:hAnsi="Arial Narrow" w:cs="Calibri"/>
                <w:color w:val="000000"/>
                <w:sz w:val="16"/>
                <w:szCs w:val="16"/>
              </w:rPr>
            </w:pPr>
            <w:r w:rsidRPr="008878FC">
              <w:rPr>
                <w:rFonts w:ascii="Arial Narrow" w:hAnsi="Arial Narrow" w:cs="Calibri"/>
                <w:color w:val="000000"/>
                <w:sz w:val="16"/>
                <w:szCs w:val="16"/>
              </w:rPr>
              <w:t>-1,1</w:t>
            </w:r>
          </w:p>
        </w:tc>
        <w:tc>
          <w:tcPr>
            <w:tcW w:w="709" w:type="dxa"/>
            <w:tcBorders>
              <w:top w:val="nil"/>
              <w:left w:val="nil"/>
              <w:bottom w:val="nil"/>
              <w:right w:val="nil"/>
            </w:tcBorders>
            <w:shd w:val="clear" w:color="000000" w:fill="DDEBF7"/>
            <w:vAlign w:val="center"/>
            <w:hideMark/>
          </w:tcPr>
          <w:p w14:paraId="0F0DA253" w14:textId="656E525C" w:rsidR="00057132" w:rsidRPr="008878FC"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8878FC">
              <w:rPr>
                <w:rFonts w:ascii="Arial Narrow" w:hAnsi="Arial Narrow" w:cs="Calibri"/>
                <w:color w:val="000000"/>
                <w:sz w:val="16"/>
                <w:szCs w:val="16"/>
              </w:rPr>
              <w:t>-1,0</w:t>
            </w:r>
          </w:p>
        </w:tc>
        <w:tc>
          <w:tcPr>
            <w:tcW w:w="709" w:type="dxa"/>
            <w:tcBorders>
              <w:top w:val="nil"/>
              <w:left w:val="nil"/>
              <w:bottom w:val="nil"/>
              <w:right w:val="nil"/>
            </w:tcBorders>
            <w:shd w:val="clear" w:color="000000" w:fill="DDEBF7"/>
            <w:vAlign w:val="center"/>
            <w:hideMark/>
          </w:tcPr>
          <w:p w14:paraId="1918F28B" w14:textId="1CE70DC0"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-0,4</w:t>
            </w:r>
          </w:p>
        </w:tc>
        <w:tc>
          <w:tcPr>
            <w:tcW w:w="709" w:type="dxa"/>
            <w:gridSpan w:val="2"/>
            <w:tcBorders>
              <w:top w:val="nil"/>
              <w:left w:val="nil"/>
              <w:bottom w:val="nil"/>
              <w:right w:val="nil"/>
            </w:tcBorders>
            <w:shd w:val="clear" w:color="000000" w:fill="DDEBF7"/>
            <w:vAlign w:val="center"/>
            <w:hideMark/>
          </w:tcPr>
          <w:p w14:paraId="6D1D6E4C" w14:textId="1A07ADC8"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-0,6</w:t>
            </w:r>
          </w:p>
        </w:tc>
      </w:tr>
      <w:tr w:rsidR="00057132" w:rsidRPr="00046B73" w14:paraId="373C3441" w14:textId="77777777" w:rsidTr="003A0B2F">
        <w:trPr>
          <w:trHeight w:val="289"/>
        </w:trPr>
        <w:tc>
          <w:tcPr>
            <w:tcW w:w="450" w:type="dxa"/>
            <w:tcBorders>
              <w:top w:val="nil"/>
              <w:left w:val="nil"/>
              <w:bottom w:val="nil"/>
              <w:right w:val="nil"/>
            </w:tcBorders>
            <w:shd w:val="clear" w:color="000000" w:fill="DDEBF7"/>
            <w:vAlign w:val="center"/>
            <w:hideMark/>
          </w:tcPr>
          <w:p w14:paraId="096499D0"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42</w:t>
            </w:r>
          </w:p>
        </w:tc>
        <w:tc>
          <w:tcPr>
            <w:tcW w:w="3661" w:type="dxa"/>
            <w:gridSpan w:val="3"/>
            <w:tcBorders>
              <w:top w:val="nil"/>
              <w:left w:val="nil"/>
              <w:bottom w:val="nil"/>
              <w:right w:val="nil"/>
            </w:tcBorders>
            <w:shd w:val="clear" w:color="000000" w:fill="DDEBF7"/>
            <w:vAlign w:val="center"/>
            <w:hideMark/>
          </w:tcPr>
          <w:p w14:paraId="736D8365" w14:textId="77777777" w:rsidR="00057132" w:rsidRPr="00046B73" w:rsidRDefault="00057132" w:rsidP="00046B73">
            <w:pPr>
              <w:spacing w:after="0" w:line="240" w:lineRule="auto"/>
              <w:ind w:firstLineChars="200" w:firstLine="321"/>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Deflátor HDP</w:t>
            </w:r>
          </w:p>
        </w:tc>
        <w:tc>
          <w:tcPr>
            <w:tcW w:w="1276" w:type="dxa"/>
            <w:tcBorders>
              <w:top w:val="nil"/>
              <w:left w:val="nil"/>
              <w:bottom w:val="nil"/>
              <w:right w:val="nil"/>
            </w:tcBorders>
            <w:shd w:val="clear" w:color="000000" w:fill="DDEBF7"/>
            <w:vAlign w:val="center"/>
            <w:hideMark/>
          </w:tcPr>
          <w:p w14:paraId="4B56BACB"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w:t>
            </w:r>
          </w:p>
        </w:tc>
        <w:tc>
          <w:tcPr>
            <w:tcW w:w="709" w:type="dxa"/>
            <w:tcBorders>
              <w:top w:val="nil"/>
              <w:left w:val="nil"/>
              <w:bottom w:val="nil"/>
              <w:right w:val="nil"/>
            </w:tcBorders>
            <w:shd w:val="clear" w:color="000000" w:fill="DDEBF7"/>
            <w:vAlign w:val="center"/>
            <w:hideMark/>
          </w:tcPr>
          <w:p w14:paraId="5948D663" w14:textId="77777777" w:rsidR="00057132" w:rsidRPr="008878FC" w:rsidRDefault="00057132" w:rsidP="00046B73">
            <w:pPr>
              <w:spacing w:after="0" w:line="240" w:lineRule="auto"/>
              <w:jc w:val="center"/>
              <w:rPr>
                <w:rFonts w:ascii="Arial Narrow" w:eastAsia="Times New Roman" w:hAnsi="Arial Narrow" w:cs="Calibri"/>
                <w:color w:val="000000"/>
                <w:kern w:val="0"/>
                <w:lang w:eastAsia="sk-SK"/>
                <w14:ligatures w14:val="none"/>
              </w:rPr>
            </w:pPr>
            <w:r w:rsidRPr="008878FC">
              <w:rPr>
                <w:rFonts w:ascii="Arial Narrow" w:hAnsi="Arial Narrow" w:cs="Calibri"/>
                <w:color w:val="000000"/>
              </w:rPr>
              <w:t> </w:t>
            </w:r>
          </w:p>
        </w:tc>
        <w:tc>
          <w:tcPr>
            <w:tcW w:w="708" w:type="dxa"/>
            <w:tcBorders>
              <w:top w:val="nil"/>
              <w:left w:val="nil"/>
              <w:bottom w:val="nil"/>
              <w:right w:val="nil"/>
            </w:tcBorders>
            <w:shd w:val="clear" w:color="000000" w:fill="DDEBF7"/>
            <w:vAlign w:val="center"/>
          </w:tcPr>
          <w:p w14:paraId="444164A7" w14:textId="00EECB36" w:rsidR="00057132" w:rsidRPr="008878FC" w:rsidRDefault="008878FC" w:rsidP="00057132">
            <w:pPr>
              <w:spacing w:after="0" w:line="240" w:lineRule="auto"/>
              <w:jc w:val="center"/>
              <w:rPr>
                <w:rFonts w:ascii="Arial Narrow" w:hAnsi="Arial Narrow" w:cs="Calibri"/>
                <w:color w:val="000000"/>
                <w:sz w:val="16"/>
                <w:szCs w:val="16"/>
              </w:rPr>
            </w:pPr>
            <w:r w:rsidRPr="008878FC">
              <w:rPr>
                <w:rFonts w:ascii="Arial Narrow" w:hAnsi="Arial Narrow" w:cs="Calibri"/>
                <w:color w:val="000000"/>
                <w:sz w:val="16"/>
                <w:szCs w:val="16"/>
              </w:rPr>
              <w:t>-1,8</w:t>
            </w:r>
          </w:p>
        </w:tc>
        <w:tc>
          <w:tcPr>
            <w:tcW w:w="709" w:type="dxa"/>
            <w:tcBorders>
              <w:top w:val="nil"/>
              <w:left w:val="nil"/>
              <w:bottom w:val="nil"/>
              <w:right w:val="nil"/>
            </w:tcBorders>
            <w:shd w:val="clear" w:color="000000" w:fill="DDEBF7"/>
            <w:vAlign w:val="center"/>
            <w:hideMark/>
          </w:tcPr>
          <w:p w14:paraId="5A55693B" w14:textId="30B8FFFD" w:rsidR="00057132" w:rsidRPr="008878FC"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8878FC">
              <w:rPr>
                <w:rFonts w:ascii="Arial Narrow" w:hAnsi="Arial Narrow" w:cs="Calibri"/>
                <w:color w:val="000000"/>
                <w:sz w:val="16"/>
                <w:szCs w:val="16"/>
              </w:rPr>
              <w:t>-1,8</w:t>
            </w:r>
          </w:p>
        </w:tc>
        <w:tc>
          <w:tcPr>
            <w:tcW w:w="709" w:type="dxa"/>
            <w:tcBorders>
              <w:top w:val="nil"/>
              <w:left w:val="nil"/>
              <w:bottom w:val="nil"/>
              <w:right w:val="nil"/>
            </w:tcBorders>
            <w:shd w:val="clear" w:color="000000" w:fill="DDEBF7"/>
            <w:vAlign w:val="center"/>
            <w:hideMark/>
          </w:tcPr>
          <w:p w14:paraId="19B2F166" w14:textId="2221F587"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-2,4</w:t>
            </w:r>
          </w:p>
        </w:tc>
        <w:tc>
          <w:tcPr>
            <w:tcW w:w="709" w:type="dxa"/>
            <w:gridSpan w:val="2"/>
            <w:tcBorders>
              <w:top w:val="nil"/>
              <w:left w:val="nil"/>
              <w:bottom w:val="nil"/>
              <w:right w:val="nil"/>
            </w:tcBorders>
            <w:shd w:val="clear" w:color="000000" w:fill="DDEBF7"/>
            <w:vAlign w:val="center"/>
            <w:hideMark/>
          </w:tcPr>
          <w:p w14:paraId="00E39E4A" w14:textId="02D034AC"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-2,2</w:t>
            </w:r>
          </w:p>
        </w:tc>
      </w:tr>
      <w:tr w:rsidR="00057132" w:rsidRPr="00046B73" w14:paraId="69F45367" w14:textId="77777777" w:rsidTr="003A0B2F">
        <w:trPr>
          <w:trHeight w:val="289"/>
        </w:trPr>
        <w:tc>
          <w:tcPr>
            <w:tcW w:w="450" w:type="dxa"/>
            <w:tcBorders>
              <w:top w:val="nil"/>
              <w:left w:val="nil"/>
              <w:bottom w:val="nil"/>
              <w:right w:val="nil"/>
            </w:tcBorders>
            <w:shd w:val="clear" w:color="000000" w:fill="DDEBF7"/>
            <w:vAlign w:val="center"/>
            <w:hideMark/>
          </w:tcPr>
          <w:p w14:paraId="1BAD845F"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43</w:t>
            </w:r>
          </w:p>
        </w:tc>
        <w:tc>
          <w:tcPr>
            <w:tcW w:w="3661" w:type="dxa"/>
            <w:gridSpan w:val="3"/>
            <w:tcBorders>
              <w:top w:val="nil"/>
              <w:left w:val="nil"/>
              <w:bottom w:val="nil"/>
              <w:right w:val="nil"/>
            </w:tcBorders>
            <w:shd w:val="clear" w:color="000000" w:fill="DDEBF7"/>
            <w:vAlign w:val="center"/>
            <w:hideMark/>
          </w:tcPr>
          <w:p w14:paraId="6ABBFEE2" w14:textId="77777777" w:rsidR="00057132" w:rsidRPr="00046B73" w:rsidRDefault="00057132" w:rsidP="00046B73">
            <w:pPr>
              <w:spacing w:after="0" w:line="240" w:lineRule="auto"/>
              <w:ind w:firstLineChars="100" w:firstLine="161"/>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Zosúladenie deficitu a dlhu (= 36-38-39)</w:t>
            </w:r>
          </w:p>
        </w:tc>
        <w:tc>
          <w:tcPr>
            <w:tcW w:w="1276" w:type="dxa"/>
            <w:tcBorders>
              <w:top w:val="nil"/>
              <w:left w:val="nil"/>
              <w:bottom w:val="nil"/>
              <w:right w:val="nil"/>
            </w:tcBorders>
            <w:shd w:val="clear" w:color="000000" w:fill="DDEBF7"/>
            <w:vAlign w:val="center"/>
            <w:hideMark/>
          </w:tcPr>
          <w:p w14:paraId="492E2427"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w:t>
            </w:r>
          </w:p>
        </w:tc>
        <w:tc>
          <w:tcPr>
            <w:tcW w:w="709" w:type="dxa"/>
            <w:tcBorders>
              <w:top w:val="nil"/>
              <w:left w:val="nil"/>
              <w:bottom w:val="nil"/>
              <w:right w:val="nil"/>
            </w:tcBorders>
            <w:shd w:val="clear" w:color="000000" w:fill="DDEBF7"/>
            <w:vAlign w:val="center"/>
            <w:hideMark/>
          </w:tcPr>
          <w:p w14:paraId="0A2DD645" w14:textId="77777777" w:rsidR="00057132" w:rsidRPr="008878FC" w:rsidRDefault="00057132" w:rsidP="00046B73">
            <w:pPr>
              <w:spacing w:after="0" w:line="240" w:lineRule="auto"/>
              <w:jc w:val="center"/>
              <w:rPr>
                <w:rFonts w:ascii="Arial Narrow" w:eastAsia="Times New Roman" w:hAnsi="Arial Narrow" w:cs="Calibri"/>
                <w:color w:val="000000"/>
                <w:kern w:val="0"/>
                <w:lang w:eastAsia="sk-SK"/>
                <w14:ligatures w14:val="none"/>
              </w:rPr>
            </w:pPr>
            <w:r w:rsidRPr="008878FC">
              <w:rPr>
                <w:rFonts w:ascii="Arial Narrow" w:hAnsi="Arial Narrow" w:cs="Calibri"/>
                <w:color w:val="000000"/>
              </w:rPr>
              <w:t> </w:t>
            </w:r>
          </w:p>
        </w:tc>
        <w:tc>
          <w:tcPr>
            <w:tcW w:w="708" w:type="dxa"/>
            <w:tcBorders>
              <w:top w:val="nil"/>
              <w:left w:val="nil"/>
              <w:bottom w:val="nil"/>
              <w:right w:val="nil"/>
            </w:tcBorders>
            <w:shd w:val="clear" w:color="000000" w:fill="DDEBF7"/>
            <w:vAlign w:val="center"/>
          </w:tcPr>
          <w:p w14:paraId="0F9664B0" w14:textId="176A363B" w:rsidR="00057132" w:rsidRPr="008878FC" w:rsidRDefault="008878FC" w:rsidP="00057132">
            <w:pPr>
              <w:spacing w:after="0" w:line="240" w:lineRule="auto"/>
              <w:jc w:val="center"/>
              <w:rPr>
                <w:rFonts w:ascii="Arial Narrow" w:hAnsi="Arial Narrow" w:cs="Calibri"/>
                <w:color w:val="000000"/>
                <w:sz w:val="16"/>
                <w:szCs w:val="16"/>
              </w:rPr>
            </w:pPr>
            <w:r w:rsidRPr="008878FC">
              <w:rPr>
                <w:rFonts w:ascii="Arial Narrow" w:hAnsi="Arial Narrow" w:cs="Calibri"/>
                <w:color w:val="000000"/>
                <w:sz w:val="16"/>
                <w:szCs w:val="16"/>
              </w:rPr>
              <w:t>-1,0</w:t>
            </w:r>
          </w:p>
        </w:tc>
        <w:tc>
          <w:tcPr>
            <w:tcW w:w="709" w:type="dxa"/>
            <w:tcBorders>
              <w:top w:val="nil"/>
              <w:left w:val="nil"/>
              <w:bottom w:val="nil"/>
              <w:right w:val="nil"/>
            </w:tcBorders>
            <w:shd w:val="clear" w:color="000000" w:fill="DDEBF7"/>
            <w:vAlign w:val="center"/>
            <w:hideMark/>
          </w:tcPr>
          <w:p w14:paraId="1B81D056" w14:textId="1BBF290C" w:rsidR="00057132" w:rsidRPr="008878FC"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8878FC">
              <w:rPr>
                <w:rFonts w:ascii="Arial Narrow" w:hAnsi="Arial Narrow" w:cs="Calibri"/>
                <w:color w:val="000000"/>
                <w:sz w:val="16"/>
                <w:szCs w:val="16"/>
              </w:rPr>
              <w:t>1,5</w:t>
            </w:r>
          </w:p>
        </w:tc>
        <w:tc>
          <w:tcPr>
            <w:tcW w:w="709" w:type="dxa"/>
            <w:tcBorders>
              <w:top w:val="nil"/>
              <w:left w:val="nil"/>
              <w:bottom w:val="nil"/>
              <w:right w:val="nil"/>
            </w:tcBorders>
            <w:shd w:val="clear" w:color="000000" w:fill="DDEBF7"/>
            <w:vAlign w:val="center"/>
            <w:hideMark/>
          </w:tcPr>
          <w:p w14:paraId="5E2240B7" w14:textId="190A15A3"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0,1</w:t>
            </w:r>
          </w:p>
        </w:tc>
        <w:tc>
          <w:tcPr>
            <w:tcW w:w="709" w:type="dxa"/>
            <w:gridSpan w:val="2"/>
            <w:tcBorders>
              <w:top w:val="nil"/>
              <w:left w:val="nil"/>
              <w:bottom w:val="nil"/>
              <w:right w:val="nil"/>
            </w:tcBorders>
            <w:shd w:val="clear" w:color="000000" w:fill="DDEBF7"/>
            <w:vAlign w:val="center"/>
            <w:hideMark/>
          </w:tcPr>
          <w:p w14:paraId="6319A5A3" w14:textId="42C652D5"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0,3</w:t>
            </w:r>
          </w:p>
        </w:tc>
      </w:tr>
      <w:tr w:rsidR="00057132" w:rsidRPr="00046B73" w14:paraId="518979D2" w14:textId="77777777" w:rsidTr="003A0B2F">
        <w:trPr>
          <w:trHeight w:val="289"/>
        </w:trPr>
        <w:tc>
          <w:tcPr>
            <w:tcW w:w="450" w:type="dxa"/>
            <w:tcBorders>
              <w:top w:val="nil"/>
              <w:left w:val="nil"/>
              <w:bottom w:val="nil"/>
              <w:right w:val="nil"/>
            </w:tcBorders>
            <w:vAlign w:val="center"/>
            <w:hideMark/>
          </w:tcPr>
          <w:p w14:paraId="5D30738D" w14:textId="77777777" w:rsidR="00057132" w:rsidRPr="00046B73" w:rsidRDefault="00057132" w:rsidP="002B1847">
            <w:pPr>
              <w:spacing w:after="0" w:line="240" w:lineRule="auto"/>
              <w:jc w:val="center"/>
              <w:rPr>
                <w:rFonts w:ascii="Arial Narrow" w:eastAsia="Times New Roman" w:hAnsi="Arial Narrow" w:cs="Calibri"/>
                <w:color w:val="000000"/>
                <w:kern w:val="0"/>
                <w:sz w:val="16"/>
                <w:szCs w:val="16"/>
                <w:lang w:eastAsia="sk-SK"/>
                <w14:ligatures w14:val="none"/>
              </w:rPr>
            </w:pPr>
          </w:p>
        </w:tc>
        <w:tc>
          <w:tcPr>
            <w:tcW w:w="2173" w:type="dxa"/>
            <w:tcBorders>
              <w:top w:val="nil"/>
              <w:left w:val="nil"/>
              <w:bottom w:val="nil"/>
              <w:right w:val="nil"/>
            </w:tcBorders>
            <w:vAlign w:val="center"/>
            <w:hideMark/>
          </w:tcPr>
          <w:p w14:paraId="26CDDFF6" w14:textId="77777777" w:rsidR="00057132" w:rsidRPr="00046B73" w:rsidRDefault="00057132" w:rsidP="002B1847">
            <w:pPr>
              <w:spacing w:after="0" w:line="240" w:lineRule="auto"/>
              <w:jc w:val="center"/>
              <w:rPr>
                <w:rFonts w:ascii="Times New Roman" w:eastAsia="Times New Roman" w:hAnsi="Times New Roman" w:cs="Times New Roman"/>
                <w:kern w:val="0"/>
                <w:sz w:val="20"/>
                <w:szCs w:val="20"/>
                <w:lang w:eastAsia="sk-SK"/>
                <w14:ligatures w14:val="none"/>
              </w:rPr>
            </w:pPr>
          </w:p>
        </w:tc>
        <w:tc>
          <w:tcPr>
            <w:tcW w:w="1056" w:type="dxa"/>
            <w:tcBorders>
              <w:top w:val="nil"/>
              <w:left w:val="nil"/>
              <w:bottom w:val="nil"/>
              <w:right w:val="nil"/>
            </w:tcBorders>
            <w:vAlign w:val="center"/>
            <w:hideMark/>
          </w:tcPr>
          <w:p w14:paraId="43159DE2" w14:textId="77777777" w:rsidR="00057132" w:rsidRPr="00046B73" w:rsidRDefault="00057132" w:rsidP="002B1847">
            <w:pPr>
              <w:spacing w:after="0" w:line="240" w:lineRule="auto"/>
              <w:rPr>
                <w:rFonts w:ascii="Times New Roman" w:eastAsia="Times New Roman" w:hAnsi="Times New Roman" w:cs="Times New Roman"/>
                <w:kern w:val="0"/>
                <w:sz w:val="20"/>
                <w:szCs w:val="20"/>
                <w:lang w:eastAsia="sk-SK"/>
                <w14:ligatures w14:val="none"/>
              </w:rPr>
            </w:pPr>
          </w:p>
        </w:tc>
        <w:tc>
          <w:tcPr>
            <w:tcW w:w="1708" w:type="dxa"/>
            <w:gridSpan w:val="2"/>
            <w:tcBorders>
              <w:top w:val="nil"/>
              <w:left w:val="nil"/>
              <w:bottom w:val="nil"/>
              <w:right w:val="nil"/>
            </w:tcBorders>
            <w:vAlign w:val="center"/>
            <w:hideMark/>
          </w:tcPr>
          <w:p w14:paraId="2F56C5D0" w14:textId="77777777" w:rsidR="00057132" w:rsidRPr="00046B73" w:rsidRDefault="00057132" w:rsidP="002B1847">
            <w:pPr>
              <w:spacing w:after="0" w:line="240" w:lineRule="auto"/>
              <w:rPr>
                <w:rFonts w:ascii="Times New Roman" w:eastAsia="Times New Roman" w:hAnsi="Times New Roman" w:cs="Times New Roman"/>
                <w:kern w:val="0"/>
                <w:sz w:val="20"/>
                <w:szCs w:val="20"/>
                <w:lang w:eastAsia="sk-SK"/>
                <w14:ligatures w14:val="none"/>
              </w:rPr>
            </w:pPr>
          </w:p>
        </w:tc>
        <w:tc>
          <w:tcPr>
            <w:tcW w:w="709" w:type="dxa"/>
            <w:tcBorders>
              <w:top w:val="nil"/>
              <w:left w:val="nil"/>
              <w:bottom w:val="nil"/>
              <w:right w:val="nil"/>
            </w:tcBorders>
            <w:vAlign w:val="center"/>
            <w:hideMark/>
          </w:tcPr>
          <w:p w14:paraId="2EEF86D1" w14:textId="17EE5298" w:rsidR="00057132" w:rsidRPr="008878FC" w:rsidRDefault="00107199" w:rsidP="00107199">
            <w:pPr>
              <w:spacing w:after="0" w:line="240" w:lineRule="auto"/>
              <w:jc w:val="center"/>
              <w:rPr>
                <w:rFonts w:ascii="Arial Narrow" w:eastAsia="Times New Roman" w:hAnsi="Arial Narrow" w:cs="Calibri"/>
                <w:color w:val="2F5496"/>
                <w:kern w:val="0"/>
                <w:sz w:val="16"/>
                <w:szCs w:val="16"/>
                <w:lang w:eastAsia="sk-SK"/>
                <w14:ligatures w14:val="none"/>
              </w:rPr>
            </w:pPr>
            <w:r w:rsidRPr="008878FC">
              <w:rPr>
                <w:rFonts w:ascii="Arial Narrow" w:eastAsia="Times New Roman" w:hAnsi="Arial Narrow" w:cs="Calibri"/>
                <w:color w:val="2F5496"/>
                <w:kern w:val="0"/>
                <w:sz w:val="16"/>
                <w:szCs w:val="16"/>
                <w:lang w:eastAsia="sk-SK"/>
                <w14:ligatures w14:val="none"/>
              </w:rPr>
              <w:t>%</w:t>
            </w:r>
          </w:p>
        </w:tc>
        <w:tc>
          <w:tcPr>
            <w:tcW w:w="708" w:type="dxa"/>
            <w:tcBorders>
              <w:top w:val="nil"/>
              <w:left w:val="nil"/>
              <w:bottom w:val="nil"/>
              <w:right w:val="nil"/>
            </w:tcBorders>
            <w:vAlign w:val="center"/>
          </w:tcPr>
          <w:p w14:paraId="2878E31E" w14:textId="50F14F3C" w:rsidR="00057132" w:rsidRPr="008878FC" w:rsidRDefault="00057132" w:rsidP="00057132">
            <w:pPr>
              <w:spacing w:after="0" w:line="240" w:lineRule="auto"/>
              <w:jc w:val="center"/>
              <w:rPr>
                <w:rFonts w:ascii="Arial Narrow" w:eastAsia="Times New Roman" w:hAnsi="Arial Narrow" w:cs="Calibri"/>
                <w:color w:val="2F5496"/>
                <w:kern w:val="0"/>
                <w:sz w:val="16"/>
                <w:szCs w:val="16"/>
                <w:lang w:eastAsia="sk-SK"/>
                <w14:ligatures w14:val="none"/>
              </w:rPr>
            </w:pPr>
            <w:r w:rsidRPr="008878FC">
              <w:rPr>
                <w:rFonts w:ascii="Arial Narrow" w:eastAsia="Times New Roman" w:hAnsi="Arial Narrow" w:cs="Calibri"/>
                <w:color w:val="2F5496"/>
                <w:kern w:val="0"/>
                <w:sz w:val="16"/>
                <w:szCs w:val="16"/>
                <w:lang w:eastAsia="sk-SK"/>
                <w14:ligatures w14:val="none"/>
              </w:rPr>
              <w:t>%</w:t>
            </w:r>
          </w:p>
        </w:tc>
        <w:tc>
          <w:tcPr>
            <w:tcW w:w="709" w:type="dxa"/>
            <w:tcBorders>
              <w:top w:val="nil"/>
              <w:left w:val="nil"/>
              <w:bottom w:val="nil"/>
              <w:right w:val="nil"/>
            </w:tcBorders>
            <w:vAlign w:val="center"/>
            <w:hideMark/>
          </w:tcPr>
          <w:p w14:paraId="3613D9FE" w14:textId="17A177AD" w:rsidR="00057132" w:rsidRPr="00046B73" w:rsidRDefault="00057132" w:rsidP="00057132">
            <w:pPr>
              <w:spacing w:after="0" w:line="240" w:lineRule="auto"/>
              <w:jc w:val="center"/>
              <w:rPr>
                <w:rFonts w:ascii="Arial Narrow" w:eastAsia="Times New Roman" w:hAnsi="Arial Narrow" w:cs="Calibri"/>
                <w:color w:val="2F5496"/>
                <w:kern w:val="0"/>
                <w:sz w:val="16"/>
                <w:szCs w:val="16"/>
                <w:lang w:eastAsia="sk-SK"/>
                <w14:ligatures w14:val="none"/>
              </w:rPr>
            </w:pPr>
            <w:r w:rsidRPr="00046B73">
              <w:rPr>
                <w:rFonts w:ascii="Arial Narrow" w:eastAsia="Times New Roman" w:hAnsi="Arial Narrow" w:cs="Calibri"/>
                <w:color w:val="2F5496"/>
                <w:kern w:val="0"/>
                <w:sz w:val="16"/>
                <w:szCs w:val="16"/>
                <w:lang w:eastAsia="sk-SK"/>
                <w14:ligatures w14:val="none"/>
              </w:rPr>
              <w:t>%</w:t>
            </w:r>
          </w:p>
        </w:tc>
        <w:tc>
          <w:tcPr>
            <w:tcW w:w="709" w:type="dxa"/>
            <w:tcBorders>
              <w:top w:val="nil"/>
              <w:left w:val="nil"/>
              <w:bottom w:val="nil"/>
              <w:right w:val="nil"/>
            </w:tcBorders>
            <w:vAlign w:val="center"/>
            <w:hideMark/>
          </w:tcPr>
          <w:p w14:paraId="329EA57D" w14:textId="77777777" w:rsidR="00057132" w:rsidRPr="00046B73" w:rsidRDefault="00057132" w:rsidP="00057132">
            <w:pPr>
              <w:spacing w:after="0" w:line="240" w:lineRule="auto"/>
              <w:jc w:val="center"/>
              <w:rPr>
                <w:rFonts w:ascii="Arial Narrow" w:eastAsia="Times New Roman" w:hAnsi="Arial Narrow" w:cs="Calibri"/>
                <w:color w:val="2F5496"/>
                <w:kern w:val="0"/>
                <w:sz w:val="16"/>
                <w:szCs w:val="16"/>
                <w:lang w:eastAsia="sk-SK"/>
                <w14:ligatures w14:val="none"/>
              </w:rPr>
            </w:pPr>
            <w:r w:rsidRPr="00046B73">
              <w:rPr>
                <w:rFonts w:ascii="Arial Narrow" w:eastAsia="Times New Roman" w:hAnsi="Arial Narrow" w:cs="Calibri"/>
                <w:color w:val="2F5496"/>
                <w:kern w:val="0"/>
                <w:sz w:val="16"/>
                <w:szCs w:val="16"/>
                <w:lang w:eastAsia="sk-SK"/>
                <w14:ligatures w14:val="none"/>
              </w:rPr>
              <w:t>%</w:t>
            </w:r>
          </w:p>
        </w:tc>
        <w:tc>
          <w:tcPr>
            <w:tcW w:w="433" w:type="dxa"/>
            <w:tcBorders>
              <w:top w:val="nil"/>
              <w:left w:val="nil"/>
              <w:bottom w:val="nil"/>
              <w:right w:val="nil"/>
            </w:tcBorders>
            <w:vAlign w:val="center"/>
            <w:hideMark/>
          </w:tcPr>
          <w:p w14:paraId="0B3F7971" w14:textId="147B7D00" w:rsidR="00057132" w:rsidRPr="00046B73" w:rsidRDefault="003A0B2F" w:rsidP="00057132">
            <w:pPr>
              <w:spacing w:after="0" w:line="240" w:lineRule="auto"/>
              <w:jc w:val="center"/>
              <w:rPr>
                <w:rFonts w:ascii="Arial Narrow" w:eastAsia="Times New Roman" w:hAnsi="Arial Narrow" w:cs="Calibri"/>
                <w:color w:val="2F5496"/>
                <w:kern w:val="0"/>
                <w:sz w:val="16"/>
                <w:szCs w:val="16"/>
                <w:lang w:eastAsia="sk-SK"/>
                <w14:ligatures w14:val="none"/>
              </w:rPr>
            </w:pPr>
            <w:r>
              <w:rPr>
                <w:rFonts w:ascii="Arial Narrow" w:eastAsia="Times New Roman" w:hAnsi="Arial Narrow" w:cs="Calibri"/>
                <w:color w:val="2F5496"/>
                <w:kern w:val="0"/>
                <w:sz w:val="16"/>
                <w:szCs w:val="16"/>
                <w:lang w:eastAsia="sk-SK"/>
                <w14:ligatures w14:val="none"/>
              </w:rPr>
              <w:t xml:space="preserve">    </w:t>
            </w:r>
            <w:r w:rsidR="00057132" w:rsidRPr="00046B73">
              <w:rPr>
                <w:rFonts w:ascii="Arial Narrow" w:eastAsia="Times New Roman" w:hAnsi="Arial Narrow" w:cs="Calibri"/>
                <w:color w:val="2F5496"/>
                <w:kern w:val="0"/>
                <w:sz w:val="16"/>
                <w:szCs w:val="16"/>
                <w:lang w:eastAsia="sk-SK"/>
                <w14:ligatures w14:val="none"/>
              </w:rPr>
              <w:t>%</w:t>
            </w:r>
          </w:p>
        </w:tc>
        <w:tc>
          <w:tcPr>
            <w:tcW w:w="276" w:type="dxa"/>
            <w:tcBorders>
              <w:top w:val="nil"/>
              <w:left w:val="nil"/>
              <w:bottom w:val="nil"/>
              <w:right w:val="nil"/>
            </w:tcBorders>
            <w:vAlign w:val="center"/>
          </w:tcPr>
          <w:p w14:paraId="1D228D0A" w14:textId="2BB7799B" w:rsidR="00057132" w:rsidRPr="00046B73" w:rsidRDefault="00057132" w:rsidP="002B1847">
            <w:pPr>
              <w:spacing w:after="0" w:line="240" w:lineRule="auto"/>
              <w:jc w:val="center"/>
              <w:rPr>
                <w:rFonts w:ascii="Arial Narrow" w:eastAsia="Times New Roman" w:hAnsi="Arial Narrow" w:cs="Calibri"/>
                <w:color w:val="2F5496"/>
                <w:kern w:val="0"/>
                <w:sz w:val="16"/>
                <w:szCs w:val="16"/>
                <w:lang w:eastAsia="sk-SK"/>
                <w14:ligatures w14:val="none"/>
              </w:rPr>
            </w:pPr>
          </w:p>
        </w:tc>
      </w:tr>
      <w:tr w:rsidR="00057132" w:rsidRPr="00046B73" w14:paraId="0CD3A70A" w14:textId="77777777" w:rsidTr="003A0B2F">
        <w:trPr>
          <w:trHeight w:val="289"/>
        </w:trPr>
        <w:tc>
          <w:tcPr>
            <w:tcW w:w="450" w:type="dxa"/>
            <w:tcBorders>
              <w:top w:val="nil"/>
              <w:left w:val="nil"/>
              <w:bottom w:val="nil"/>
              <w:right w:val="nil"/>
            </w:tcBorders>
            <w:shd w:val="clear" w:color="000000" w:fill="DDEBF7"/>
            <w:vAlign w:val="center"/>
            <w:hideMark/>
          </w:tcPr>
          <w:p w14:paraId="2213482E"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44</w:t>
            </w:r>
          </w:p>
        </w:tc>
        <w:tc>
          <w:tcPr>
            <w:tcW w:w="3661" w:type="dxa"/>
            <w:gridSpan w:val="3"/>
            <w:tcBorders>
              <w:top w:val="nil"/>
              <w:left w:val="nil"/>
              <w:bottom w:val="nil"/>
              <w:right w:val="nil"/>
            </w:tcBorders>
            <w:shd w:val="clear" w:color="000000" w:fill="DDEBF7"/>
            <w:vAlign w:val="center"/>
            <w:hideMark/>
          </w:tcPr>
          <w:p w14:paraId="58C4CCD9"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p.m. Implicitná úroková miera dlhu (= 14 / dlh (t-1))</w:t>
            </w:r>
          </w:p>
        </w:tc>
        <w:tc>
          <w:tcPr>
            <w:tcW w:w="1276" w:type="dxa"/>
            <w:tcBorders>
              <w:top w:val="nil"/>
              <w:left w:val="nil"/>
              <w:bottom w:val="nil"/>
              <w:right w:val="nil"/>
            </w:tcBorders>
            <w:shd w:val="clear" w:color="000000" w:fill="DDEBF7"/>
            <w:vAlign w:val="center"/>
            <w:hideMark/>
          </w:tcPr>
          <w:p w14:paraId="10F38D42"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 </w:t>
            </w:r>
          </w:p>
        </w:tc>
        <w:tc>
          <w:tcPr>
            <w:tcW w:w="709" w:type="dxa"/>
            <w:tcBorders>
              <w:top w:val="nil"/>
              <w:left w:val="nil"/>
              <w:bottom w:val="nil"/>
              <w:right w:val="nil"/>
            </w:tcBorders>
            <w:shd w:val="clear" w:color="000000" w:fill="DDEBF7"/>
            <w:vAlign w:val="center"/>
            <w:hideMark/>
          </w:tcPr>
          <w:p w14:paraId="6A7ECA15" w14:textId="1ED1812C" w:rsidR="00057132" w:rsidRPr="008878FC" w:rsidRDefault="008878FC" w:rsidP="00046B73">
            <w:pPr>
              <w:spacing w:after="0" w:line="240" w:lineRule="auto"/>
              <w:jc w:val="center"/>
              <w:rPr>
                <w:rFonts w:ascii="Arial Narrow" w:eastAsia="Times New Roman" w:hAnsi="Arial Narrow" w:cs="Calibri"/>
                <w:color w:val="000000"/>
                <w:kern w:val="0"/>
                <w:lang w:eastAsia="sk-SK"/>
                <w14:ligatures w14:val="none"/>
              </w:rPr>
            </w:pPr>
            <w:r w:rsidRPr="008878FC">
              <w:rPr>
                <w:rFonts w:ascii="Arial Narrow" w:hAnsi="Arial Narrow" w:cs="Calibri"/>
                <w:color w:val="000000"/>
                <w:sz w:val="16"/>
                <w:szCs w:val="16"/>
              </w:rPr>
              <w:t>1,9</w:t>
            </w:r>
          </w:p>
        </w:tc>
        <w:tc>
          <w:tcPr>
            <w:tcW w:w="708" w:type="dxa"/>
            <w:tcBorders>
              <w:top w:val="nil"/>
              <w:left w:val="nil"/>
              <w:bottom w:val="nil"/>
              <w:right w:val="nil"/>
            </w:tcBorders>
            <w:shd w:val="clear" w:color="000000" w:fill="DDEBF7"/>
            <w:vAlign w:val="center"/>
          </w:tcPr>
          <w:p w14:paraId="652D0CAB" w14:textId="7613B8F4" w:rsidR="00057132" w:rsidRPr="008878FC" w:rsidRDefault="008878FC" w:rsidP="00057132">
            <w:pPr>
              <w:spacing w:after="0" w:line="240" w:lineRule="auto"/>
              <w:jc w:val="center"/>
              <w:rPr>
                <w:rFonts w:ascii="Arial Narrow" w:hAnsi="Arial Narrow" w:cs="Calibri"/>
                <w:color w:val="000000"/>
                <w:sz w:val="16"/>
                <w:szCs w:val="16"/>
              </w:rPr>
            </w:pPr>
            <w:r w:rsidRPr="008878FC">
              <w:rPr>
                <w:rFonts w:ascii="Arial Narrow" w:hAnsi="Arial Narrow" w:cs="Calibri"/>
                <w:color w:val="000000"/>
                <w:sz w:val="16"/>
                <w:szCs w:val="16"/>
              </w:rPr>
              <w:t>2,2</w:t>
            </w:r>
          </w:p>
        </w:tc>
        <w:tc>
          <w:tcPr>
            <w:tcW w:w="709" w:type="dxa"/>
            <w:tcBorders>
              <w:top w:val="nil"/>
              <w:left w:val="nil"/>
              <w:bottom w:val="nil"/>
              <w:right w:val="nil"/>
            </w:tcBorders>
            <w:shd w:val="clear" w:color="000000" w:fill="DDEBF7"/>
            <w:vAlign w:val="center"/>
            <w:hideMark/>
          </w:tcPr>
          <w:p w14:paraId="1D1B6ECF" w14:textId="40ADC360"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2,7</w:t>
            </w:r>
          </w:p>
        </w:tc>
        <w:tc>
          <w:tcPr>
            <w:tcW w:w="709" w:type="dxa"/>
            <w:tcBorders>
              <w:top w:val="nil"/>
              <w:left w:val="nil"/>
              <w:bottom w:val="nil"/>
              <w:right w:val="nil"/>
            </w:tcBorders>
            <w:shd w:val="clear" w:color="000000" w:fill="DDEBF7"/>
            <w:vAlign w:val="center"/>
            <w:hideMark/>
          </w:tcPr>
          <w:p w14:paraId="4076B33F" w14:textId="1E88F886"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2,8</w:t>
            </w:r>
          </w:p>
        </w:tc>
        <w:tc>
          <w:tcPr>
            <w:tcW w:w="709" w:type="dxa"/>
            <w:gridSpan w:val="2"/>
            <w:tcBorders>
              <w:top w:val="nil"/>
              <w:left w:val="nil"/>
              <w:bottom w:val="nil"/>
              <w:right w:val="nil"/>
            </w:tcBorders>
            <w:shd w:val="clear" w:color="000000" w:fill="DDEBF7"/>
            <w:vAlign w:val="center"/>
            <w:hideMark/>
          </w:tcPr>
          <w:p w14:paraId="24C74CA2" w14:textId="74A74C31" w:rsidR="00057132" w:rsidRPr="00046B73" w:rsidRDefault="00057132" w:rsidP="00057132">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2,8</w:t>
            </w:r>
          </w:p>
        </w:tc>
      </w:tr>
      <w:tr w:rsidR="00057132" w:rsidRPr="00046B73" w14:paraId="36A3605A" w14:textId="77777777" w:rsidTr="003A0B2F">
        <w:trPr>
          <w:trHeight w:val="289"/>
        </w:trPr>
        <w:tc>
          <w:tcPr>
            <w:tcW w:w="4111" w:type="dxa"/>
            <w:gridSpan w:val="4"/>
            <w:tcBorders>
              <w:top w:val="nil"/>
              <w:left w:val="nil"/>
              <w:bottom w:val="nil"/>
              <w:right w:val="nil"/>
            </w:tcBorders>
            <w:vAlign w:val="center"/>
            <w:hideMark/>
          </w:tcPr>
          <w:p w14:paraId="2EBBE959" w14:textId="77777777" w:rsidR="00057132" w:rsidRPr="00046B73" w:rsidRDefault="00057132" w:rsidP="002B1847">
            <w:pPr>
              <w:spacing w:after="0" w:line="240" w:lineRule="auto"/>
              <w:rPr>
                <w:rFonts w:ascii="Arial Narrow" w:eastAsia="Times New Roman" w:hAnsi="Arial Narrow" w:cs="Calibri"/>
                <w:i/>
                <w:iCs/>
                <w:color w:val="2C9ADC"/>
                <w:kern w:val="0"/>
                <w:sz w:val="16"/>
                <w:szCs w:val="16"/>
                <w:lang w:eastAsia="sk-SK"/>
                <w14:ligatures w14:val="none"/>
              </w:rPr>
            </w:pPr>
            <w:r w:rsidRPr="00046B73">
              <w:rPr>
                <w:rFonts w:ascii="Arial Narrow" w:eastAsia="Times New Roman" w:hAnsi="Arial Narrow" w:cs="Calibri"/>
                <w:i/>
                <w:iCs/>
                <w:color w:val="2C9ADC"/>
                <w:kern w:val="0"/>
                <w:sz w:val="16"/>
                <w:szCs w:val="16"/>
                <w:lang w:eastAsia="sk-SK"/>
                <w14:ligatures w14:val="none"/>
              </w:rPr>
              <w:t>Výdavky na obranu</w:t>
            </w:r>
          </w:p>
        </w:tc>
        <w:tc>
          <w:tcPr>
            <w:tcW w:w="1276" w:type="dxa"/>
            <w:tcBorders>
              <w:top w:val="nil"/>
              <w:left w:val="nil"/>
              <w:bottom w:val="nil"/>
              <w:right w:val="nil"/>
            </w:tcBorders>
            <w:vAlign w:val="center"/>
            <w:hideMark/>
          </w:tcPr>
          <w:p w14:paraId="79F3D671" w14:textId="77777777" w:rsidR="00057132" w:rsidRPr="00046B73" w:rsidRDefault="00057132" w:rsidP="002B1847">
            <w:pPr>
              <w:spacing w:after="0" w:line="240" w:lineRule="auto"/>
              <w:rPr>
                <w:rFonts w:ascii="Arial Narrow" w:eastAsia="Times New Roman" w:hAnsi="Arial Narrow" w:cs="Calibri"/>
                <w:i/>
                <w:iCs/>
                <w:color w:val="2C9ADC"/>
                <w:kern w:val="0"/>
                <w:sz w:val="16"/>
                <w:szCs w:val="16"/>
                <w:lang w:eastAsia="sk-SK"/>
                <w14:ligatures w14:val="none"/>
              </w:rPr>
            </w:pPr>
          </w:p>
        </w:tc>
        <w:tc>
          <w:tcPr>
            <w:tcW w:w="709" w:type="dxa"/>
            <w:tcBorders>
              <w:top w:val="nil"/>
              <w:left w:val="nil"/>
              <w:bottom w:val="nil"/>
              <w:right w:val="nil"/>
            </w:tcBorders>
            <w:vAlign w:val="center"/>
            <w:hideMark/>
          </w:tcPr>
          <w:p w14:paraId="1A76A876" w14:textId="77777777" w:rsidR="00057132" w:rsidRPr="00046B73" w:rsidRDefault="00057132" w:rsidP="002B1847">
            <w:pPr>
              <w:spacing w:after="0" w:line="240" w:lineRule="auto"/>
              <w:rPr>
                <w:rFonts w:ascii="Times New Roman" w:eastAsia="Times New Roman" w:hAnsi="Times New Roman" w:cs="Times New Roman"/>
                <w:kern w:val="0"/>
                <w:sz w:val="20"/>
                <w:szCs w:val="20"/>
                <w:lang w:eastAsia="sk-SK"/>
                <w14:ligatures w14:val="none"/>
              </w:rPr>
            </w:pPr>
          </w:p>
        </w:tc>
        <w:tc>
          <w:tcPr>
            <w:tcW w:w="708" w:type="dxa"/>
            <w:tcBorders>
              <w:top w:val="nil"/>
              <w:left w:val="nil"/>
              <w:bottom w:val="nil"/>
              <w:right w:val="nil"/>
            </w:tcBorders>
            <w:vAlign w:val="center"/>
          </w:tcPr>
          <w:p w14:paraId="587540D5" w14:textId="1C996CF8"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sidRPr="00057132">
              <w:rPr>
                <w:rFonts w:ascii="Arial Narrow" w:eastAsia="Times New Roman" w:hAnsi="Arial Narrow" w:cs="Calibri"/>
                <w:color w:val="2C9ADC"/>
                <w:kern w:val="0"/>
                <w:sz w:val="16"/>
                <w:szCs w:val="16"/>
                <w:lang w:eastAsia="sk-SK"/>
                <w14:ligatures w14:val="none"/>
              </w:rPr>
              <w:t>% HDP</w:t>
            </w:r>
          </w:p>
        </w:tc>
        <w:tc>
          <w:tcPr>
            <w:tcW w:w="709" w:type="dxa"/>
            <w:tcBorders>
              <w:top w:val="nil"/>
              <w:left w:val="nil"/>
              <w:bottom w:val="nil"/>
              <w:right w:val="nil"/>
            </w:tcBorders>
            <w:vAlign w:val="center"/>
            <w:hideMark/>
          </w:tcPr>
          <w:p w14:paraId="552970A3" w14:textId="0C4BF150"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 HDP</w:t>
            </w:r>
          </w:p>
        </w:tc>
        <w:tc>
          <w:tcPr>
            <w:tcW w:w="709" w:type="dxa"/>
            <w:tcBorders>
              <w:top w:val="nil"/>
              <w:left w:val="nil"/>
              <w:bottom w:val="nil"/>
              <w:right w:val="nil"/>
            </w:tcBorders>
            <w:vAlign w:val="center"/>
            <w:hideMark/>
          </w:tcPr>
          <w:p w14:paraId="31D2F8C7" w14:textId="77777777"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 HDP</w:t>
            </w:r>
          </w:p>
        </w:tc>
        <w:tc>
          <w:tcPr>
            <w:tcW w:w="709" w:type="dxa"/>
            <w:gridSpan w:val="2"/>
            <w:tcBorders>
              <w:top w:val="nil"/>
              <w:left w:val="nil"/>
              <w:bottom w:val="nil"/>
              <w:right w:val="nil"/>
            </w:tcBorders>
            <w:vAlign w:val="center"/>
            <w:hideMark/>
          </w:tcPr>
          <w:p w14:paraId="059EC2CA" w14:textId="77777777" w:rsidR="00057132" w:rsidRPr="00046B73" w:rsidRDefault="00057132" w:rsidP="00057132">
            <w:pPr>
              <w:spacing w:after="0" w:line="240" w:lineRule="auto"/>
              <w:jc w:val="center"/>
              <w:rPr>
                <w:rFonts w:ascii="Arial Narrow" w:eastAsia="Times New Roman" w:hAnsi="Arial Narrow" w:cs="Calibri"/>
                <w:color w:val="2C9ADC"/>
                <w:kern w:val="0"/>
                <w:sz w:val="16"/>
                <w:szCs w:val="16"/>
                <w:lang w:eastAsia="sk-SK"/>
                <w14:ligatures w14:val="none"/>
              </w:rPr>
            </w:pPr>
            <w:r w:rsidRPr="00046B73">
              <w:rPr>
                <w:rFonts w:ascii="Arial Narrow" w:eastAsia="Times New Roman" w:hAnsi="Arial Narrow" w:cs="Calibri"/>
                <w:color w:val="2C9ADC"/>
                <w:kern w:val="0"/>
                <w:sz w:val="16"/>
                <w:szCs w:val="16"/>
                <w:lang w:eastAsia="sk-SK"/>
                <w14:ligatures w14:val="none"/>
              </w:rPr>
              <w:t>% HDP</w:t>
            </w:r>
          </w:p>
        </w:tc>
      </w:tr>
      <w:tr w:rsidR="00057132" w:rsidRPr="00046B73" w14:paraId="414887F3" w14:textId="77777777" w:rsidTr="003A0B2F">
        <w:trPr>
          <w:trHeight w:val="289"/>
        </w:trPr>
        <w:tc>
          <w:tcPr>
            <w:tcW w:w="450" w:type="dxa"/>
            <w:tcBorders>
              <w:top w:val="nil"/>
              <w:left w:val="nil"/>
              <w:bottom w:val="nil"/>
              <w:right w:val="nil"/>
            </w:tcBorders>
            <w:shd w:val="clear" w:color="000000" w:fill="DDEBF7"/>
            <w:vAlign w:val="center"/>
            <w:hideMark/>
          </w:tcPr>
          <w:p w14:paraId="34B4338A"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45</w:t>
            </w:r>
          </w:p>
        </w:tc>
        <w:tc>
          <w:tcPr>
            <w:tcW w:w="3661" w:type="dxa"/>
            <w:gridSpan w:val="3"/>
            <w:tcBorders>
              <w:top w:val="nil"/>
              <w:left w:val="nil"/>
              <w:bottom w:val="nil"/>
              <w:right w:val="nil"/>
            </w:tcBorders>
            <w:shd w:val="clear" w:color="000000" w:fill="DDEBF7"/>
            <w:vAlign w:val="center"/>
            <w:hideMark/>
          </w:tcPr>
          <w:p w14:paraId="0029FC9E"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Celkové výdavky na obranu</w:t>
            </w:r>
          </w:p>
        </w:tc>
        <w:tc>
          <w:tcPr>
            <w:tcW w:w="1276" w:type="dxa"/>
            <w:tcBorders>
              <w:top w:val="nil"/>
              <w:left w:val="nil"/>
              <w:bottom w:val="nil"/>
              <w:right w:val="nil"/>
            </w:tcBorders>
            <w:shd w:val="clear" w:color="000000" w:fill="DDEBF7"/>
            <w:vAlign w:val="center"/>
            <w:hideMark/>
          </w:tcPr>
          <w:p w14:paraId="65CCF7D0"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COFOG  2</w:t>
            </w:r>
          </w:p>
        </w:tc>
        <w:tc>
          <w:tcPr>
            <w:tcW w:w="709" w:type="dxa"/>
            <w:tcBorders>
              <w:top w:val="nil"/>
              <w:left w:val="nil"/>
              <w:bottom w:val="nil"/>
              <w:right w:val="nil"/>
            </w:tcBorders>
            <w:shd w:val="clear" w:color="000000" w:fill="DDEBF7"/>
            <w:vAlign w:val="center"/>
            <w:hideMark/>
          </w:tcPr>
          <w:p w14:paraId="034BCC2C" w14:textId="7C49B1FE" w:rsidR="00057132" w:rsidRPr="00046B73" w:rsidRDefault="00057132" w:rsidP="00046B73">
            <w:pPr>
              <w:spacing w:after="0" w:line="240" w:lineRule="auto"/>
              <w:jc w:val="center"/>
              <w:rPr>
                <w:rFonts w:ascii="Arial Narrow" w:eastAsia="Times New Roman" w:hAnsi="Arial Narrow" w:cs="Calibri"/>
                <w:color w:val="000000"/>
                <w:kern w:val="0"/>
                <w:sz w:val="16"/>
                <w:szCs w:val="16"/>
                <w:lang w:eastAsia="sk-SK"/>
                <w14:ligatures w14:val="none"/>
              </w:rPr>
            </w:pPr>
            <w:r w:rsidRPr="00046B73">
              <w:rPr>
                <w:rFonts w:ascii="Arial Narrow" w:hAnsi="Arial Narrow" w:cs="Calibri"/>
                <w:color w:val="000000"/>
                <w:sz w:val="16"/>
                <w:szCs w:val="16"/>
              </w:rPr>
              <w:t>1,</w:t>
            </w:r>
            <w:r w:rsidR="00107199">
              <w:rPr>
                <w:rFonts w:ascii="Arial Narrow" w:hAnsi="Arial Narrow" w:cs="Calibri"/>
                <w:color w:val="000000"/>
                <w:sz w:val="16"/>
                <w:szCs w:val="16"/>
              </w:rPr>
              <w:t>5</w:t>
            </w:r>
          </w:p>
        </w:tc>
        <w:tc>
          <w:tcPr>
            <w:tcW w:w="708" w:type="dxa"/>
            <w:tcBorders>
              <w:top w:val="nil"/>
              <w:left w:val="nil"/>
              <w:bottom w:val="nil"/>
              <w:right w:val="nil"/>
            </w:tcBorders>
            <w:shd w:val="clear" w:color="000000" w:fill="DDEBF7"/>
            <w:vAlign w:val="center"/>
          </w:tcPr>
          <w:p w14:paraId="6860F36A" w14:textId="45D18243" w:rsidR="00057132" w:rsidRPr="00046B73" w:rsidRDefault="00107199" w:rsidP="00057132">
            <w:pPr>
              <w:spacing w:after="0" w:line="240" w:lineRule="auto"/>
              <w:jc w:val="center"/>
              <w:rPr>
                <w:rFonts w:ascii="Arial Narrow" w:hAnsi="Arial Narrow" w:cs="Calibri"/>
                <w:sz w:val="16"/>
                <w:szCs w:val="16"/>
              </w:rPr>
            </w:pPr>
            <w:r>
              <w:rPr>
                <w:rFonts w:ascii="Arial Narrow" w:hAnsi="Arial Narrow" w:cs="Calibri"/>
                <w:sz w:val="16"/>
                <w:szCs w:val="16"/>
              </w:rPr>
              <w:t>1,2</w:t>
            </w:r>
          </w:p>
        </w:tc>
        <w:tc>
          <w:tcPr>
            <w:tcW w:w="709" w:type="dxa"/>
            <w:tcBorders>
              <w:top w:val="nil"/>
              <w:left w:val="nil"/>
              <w:bottom w:val="nil"/>
              <w:right w:val="nil"/>
            </w:tcBorders>
            <w:shd w:val="clear" w:color="000000" w:fill="DDEBF7"/>
            <w:vAlign w:val="center"/>
            <w:hideMark/>
          </w:tcPr>
          <w:p w14:paraId="0DE45B2D" w14:textId="3D771D5B" w:rsidR="00057132" w:rsidRPr="00046B73" w:rsidRDefault="00107199" w:rsidP="00057132">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sz w:val="16"/>
                <w:szCs w:val="16"/>
              </w:rPr>
              <w:t>1,4</w:t>
            </w:r>
          </w:p>
        </w:tc>
        <w:tc>
          <w:tcPr>
            <w:tcW w:w="709" w:type="dxa"/>
            <w:tcBorders>
              <w:top w:val="nil"/>
              <w:left w:val="nil"/>
              <w:bottom w:val="nil"/>
              <w:right w:val="nil"/>
            </w:tcBorders>
            <w:shd w:val="clear" w:color="000000" w:fill="DDEBF7"/>
            <w:vAlign w:val="center"/>
            <w:hideMark/>
          </w:tcPr>
          <w:p w14:paraId="0C8A80C1" w14:textId="2CBA5BF7" w:rsidR="00057132" w:rsidRPr="00046B73" w:rsidRDefault="00107199" w:rsidP="00057132">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sz w:val="16"/>
                <w:szCs w:val="16"/>
              </w:rPr>
              <w:t>2,0</w:t>
            </w:r>
          </w:p>
        </w:tc>
        <w:tc>
          <w:tcPr>
            <w:tcW w:w="709" w:type="dxa"/>
            <w:gridSpan w:val="2"/>
            <w:tcBorders>
              <w:top w:val="nil"/>
              <w:left w:val="nil"/>
              <w:bottom w:val="nil"/>
              <w:right w:val="nil"/>
            </w:tcBorders>
            <w:shd w:val="clear" w:color="000000" w:fill="DDEBF7"/>
            <w:vAlign w:val="center"/>
            <w:hideMark/>
          </w:tcPr>
          <w:p w14:paraId="387A2775" w14:textId="2E354829" w:rsidR="00057132" w:rsidRPr="00046B73" w:rsidRDefault="00107199" w:rsidP="00057132">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sz w:val="16"/>
                <w:szCs w:val="16"/>
              </w:rPr>
              <w:t>1,8</w:t>
            </w:r>
          </w:p>
        </w:tc>
      </w:tr>
      <w:tr w:rsidR="00057132" w:rsidRPr="00046B73" w14:paraId="28B1979B" w14:textId="77777777" w:rsidTr="003A0B2F">
        <w:trPr>
          <w:trHeight w:val="289"/>
        </w:trPr>
        <w:tc>
          <w:tcPr>
            <w:tcW w:w="450" w:type="dxa"/>
            <w:tcBorders>
              <w:top w:val="nil"/>
              <w:left w:val="nil"/>
              <w:bottom w:val="nil"/>
              <w:right w:val="nil"/>
            </w:tcBorders>
            <w:shd w:val="clear" w:color="000000" w:fill="DDEBF7"/>
            <w:vAlign w:val="center"/>
            <w:hideMark/>
          </w:tcPr>
          <w:p w14:paraId="169443F4" w14:textId="77777777" w:rsidR="00057132" w:rsidRPr="00046B73" w:rsidRDefault="00057132" w:rsidP="00046B73">
            <w:pPr>
              <w:spacing w:after="0" w:line="240" w:lineRule="auto"/>
              <w:jc w:val="center"/>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46</w:t>
            </w:r>
          </w:p>
        </w:tc>
        <w:tc>
          <w:tcPr>
            <w:tcW w:w="3661" w:type="dxa"/>
            <w:gridSpan w:val="3"/>
            <w:tcBorders>
              <w:top w:val="nil"/>
              <w:left w:val="nil"/>
              <w:bottom w:val="nil"/>
              <w:right w:val="nil"/>
            </w:tcBorders>
            <w:shd w:val="clear" w:color="000000" w:fill="DDEBF7"/>
            <w:vAlign w:val="center"/>
            <w:hideMark/>
          </w:tcPr>
          <w:p w14:paraId="50FFB6D7" w14:textId="77777777" w:rsidR="00057132" w:rsidRPr="00046B73" w:rsidRDefault="00057132" w:rsidP="00046B73">
            <w:pPr>
              <w:spacing w:after="0" w:line="240" w:lineRule="auto"/>
              <w:rPr>
                <w:rFonts w:ascii="Arial Narrow" w:eastAsia="Times New Roman" w:hAnsi="Arial Narrow" w:cs="Calibri"/>
                <w:b/>
                <w:bCs/>
                <w:color w:val="000000"/>
                <w:kern w:val="0"/>
                <w:sz w:val="16"/>
                <w:szCs w:val="16"/>
                <w:lang w:eastAsia="sk-SK"/>
                <w14:ligatures w14:val="none"/>
              </w:rPr>
            </w:pPr>
            <w:r w:rsidRPr="00046B73">
              <w:rPr>
                <w:rFonts w:ascii="Arial Narrow" w:eastAsia="Times New Roman" w:hAnsi="Arial Narrow" w:cs="Calibri"/>
                <w:b/>
                <w:bCs/>
                <w:color w:val="000000"/>
                <w:kern w:val="0"/>
                <w:sz w:val="16"/>
                <w:szCs w:val="16"/>
                <w:lang w:eastAsia="sk-SK"/>
                <w14:ligatures w14:val="none"/>
              </w:rPr>
              <w:t>Investície v obrane</w:t>
            </w:r>
          </w:p>
        </w:tc>
        <w:tc>
          <w:tcPr>
            <w:tcW w:w="1276" w:type="dxa"/>
            <w:tcBorders>
              <w:top w:val="nil"/>
              <w:left w:val="nil"/>
              <w:bottom w:val="nil"/>
              <w:right w:val="nil"/>
            </w:tcBorders>
            <w:shd w:val="clear" w:color="000000" w:fill="DDEBF7"/>
            <w:vAlign w:val="center"/>
            <w:hideMark/>
          </w:tcPr>
          <w:p w14:paraId="7D162FB7" w14:textId="77777777" w:rsidR="00057132" w:rsidRPr="00046B73" w:rsidRDefault="00057132" w:rsidP="00046B73">
            <w:pPr>
              <w:spacing w:after="0" w:line="240" w:lineRule="auto"/>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color w:val="000000"/>
                <w:kern w:val="0"/>
                <w:sz w:val="16"/>
                <w:szCs w:val="16"/>
                <w:lang w:eastAsia="sk-SK"/>
                <w14:ligatures w14:val="none"/>
              </w:rPr>
              <w:t>COFOG  2, P.51g</w:t>
            </w:r>
          </w:p>
        </w:tc>
        <w:tc>
          <w:tcPr>
            <w:tcW w:w="709" w:type="dxa"/>
            <w:tcBorders>
              <w:top w:val="nil"/>
              <w:left w:val="nil"/>
              <w:bottom w:val="nil"/>
              <w:right w:val="nil"/>
            </w:tcBorders>
            <w:shd w:val="clear" w:color="000000" w:fill="DDEBF7"/>
            <w:vAlign w:val="center"/>
            <w:hideMark/>
          </w:tcPr>
          <w:p w14:paraId="573188F9" w14:textId="63404292" w:rsidR="00057132" w:rsidRPr="00046B73" w:rsidRDefault="00107199" w:rsidP="00046B73">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color w:val="000000"/>
                <w:sz w:val="16"/>
                <w:szCs w:val="16"/>
              </w:rPr>
              <w:t>-1,3</w:t>
            </w:r>
          </w:p>
        </w:tc>
        <w:tc>
          <w:tcPr>
            <w:tcW w:w="708" w:type="dxa"/>
            <w:tcBorders>
              <w:top w:val="nil"/>
              <w:left w:val="nil"/>
              <w:bottom w:val="nil"/>
              <w:right w:val="nil"/>
            </w:tcBorders>
            <w:shd w:val="clear" w:color="000000" w:fill="DDEBF7"/>
            <w:vAlign w:val="center"/>
          </w:tcPr>
          <w:p w14:paraId="0DB3169A" w14:textId="21952483" w:rsidR="00057132" w:rsidRPr="00046B73" w:rsidRDefault="00107199" w:rsidP="00057132">
            <w:pPr>
              <w:spacing w:after="0" w:line="240" w:lineRule="auto"/>
              <w:jc w:val="center"/>
              <w:rPr>
                <w:rFonts w:ascii="Arial Narrow" w:hAnsi="Arial Narrow" w:cs="Calibri"/>
                <w:sz w:val="16"/>
                <w:szCs w:val="16"/>
              </w:rPr>
            </w:pPr>
            <w:r>
              <w:rPr>
                <w:rFonts w:ascii="Arial Narrow" w:hAnsi="Arial Narrow" w:cs="Calibri"/>
                <w:sz w:val="16"/>
                <w:szCs w:val="16"/>
              </w:rPr>
              <w:t>-1,0</w:t>
            </w:r>
          </w:p>
        </w:tc>
        <w:tc>
          <w:tcPr>
            <w:tcW w:w="709" w:type="dxa"/>
            <w:tcBorders>
              <w:top w:val="nil"/>
              <w:left w:val="nil"/>
              <w:bottom w:val="nil"/>
              <w:right w:val="nil"/>
            </w:tcBorders>
            <w:shd w:val="clear" w:color="000000" w:fill="DDEBF7"/>
            <w:vAlign w:val="center"/>
            <w:hideMark/>
          </w:tcPr>
          <w:p w14:paraId="22609E49" w14:textId="14DED204" w:rsidR="00057132" w:rsidRPr="00046B73" w:rsidRDefault="00107199" w:rsidP="00057132">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sz w:val="16"/>
                <w:szCs w:val="16"/>
              </w:rPr>
              <w:t>0,2</w:t>
            </w:r>
          </w:p>
        </w:tc>
        <w:tc>
          <w:tcPr>
            <w:tcW w:w="709" w:type="dxa"/>
            <w:tcBorders>
              <w:top w:val="nil"/>
              <w:left w:val="nil"/>
              <w:bottom w:val="nil"/>
              <w:right w:val="nil"/>
            </w:tcBorders>
            <w:shd w:val="clear" w:color="000000" w:fill="DDEBF7"/>
            <w:vAlign w:val="center"/>
            <w:hideMark/>
          </w:tcPr>
          <w:p w14:paraId="6FA52A96" w14:textId="11A18134" w:rsidR="00057132" w:rsidRPr="00046B73" w:rsidRDefault="00107199" w:rsidP="00057132">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sz w:val="16"/>
                <w:szCs w:val="16"/>
              </w:rPr>
              <w:t>0,8</w:t>
            </w:r>
          </w:p>
        </w:tc>
        <w:tc>
          <w:tcPr>
            <w:tcW w:w="709" w:type="dxa"/>
            <w:gridSpan w:val="2"/>
            <w:tcBorders>
              <w:top w:val="nil"/>
              <w:left w:val="nil"/>
              <w:bottom w:val="nil"/>
              <w:right w:val="nil"/>
            </w:tcBorders>
            <w:shd w:val="clear" w:color="000000" w:fill="DDEBF7"/>
            <w:vAlign w:val="center"/>
            <w:hideMark/>
          </w:tcPr>
          <w:p w14:paraId="2E5FB50E" w14:textId="3197C690" w:rsidR="00057132" w:rsidRPr="00046B73" w:rsidRDefault="00107199" w:rsidP="00057132">
            <w:pPr>
              <w:spacing w:after="0" w:line="240" w:lineRule="auto"/>
              <w:jc w:val="center"/>
              <w:rPr>
                <w:rFonts w:ascii="Arial Narrow" w:eastAsia="Times New Roman" w:hAnsi="Arial Narrow" w:cs="Calibri"/>
                <w:color w:val="000000"/>
                <w:kern w:val="0"/>
                <w:sz w:val="16"/>
                <w:szCs w:val="16"/>
                <w:lang w:eastAsia="sk-SK"/>
                <w14:ligatures w14:val="none"/>
              </w:rPr>
            </w:pPr>
            <w:r>
              <w:rPr>
                <w:rFonts w:ascii="Arial Narrow" w:hAnsi="Arial Narrow" w:cs="Calibri"/>
                <w:sz w:val="16"/>
                <w:szCs w:val="16"/>
              </w:rPr>
              <w:t>0,7</w:t>
            </w:r>
          </w:p>
        </w:tc>
      </w:tr>
      <w:tr w:rsidR="00057132" w:rsidRPr="00046B73" w14:paraId="0BAB27CF" w14:textId="77777777" w:rsidTr="003A0B2F">
        <w:trPr>
          <w:trHeight w:val="289"/>
        </w:trPr>
        <w:tc>
          <w:tcPr>
            <w:tcW w:w="450" w:type="dxa"/>
            <w:tcBorders>
              <w:top w:val="nil"/>
              <w:left w:val="nil"/>
              <w:bottom w:val="nil"/>
              <w:right w:val="nil"/>
            </w:tcBorders>
            <w:vAlign w:val="center"/>
          </w:tcPr>
          <w:p w14:paraId="4011CDA8" w14:textId="77777777" w:rsidR="00057132" w:rsidRPr="00046B73" w:rsidRDefault="00057132"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p>
        </w:tc>
        <w:tc>
          <w:tcPr>
            <w:tcW w:w="3661" w:type="dxa"/>
            <w:gridSpan w:val="3"/>
            <w:tcBorders>
              <w:top w:val="nil"/>
              <w:left w:val="nil"/>
              <w:bottom w:val="nil"/>
              <w:right w:val="nil"/>
            </w:tcBorders>
            <w:vAlign w:val="center"/>
          </w:tcPr>
          <w:p w14:paraId="060B704A" w14:textId="77777777" w:rsidR="00057132" w:rsidRPr="00046B73" w:rsidRDefault="00057132" w:rsidP="002B1847">
            <w:pPr>
              <w:spacing w:after="0" w:line="240" w:lineRule="auto"/>
              <w:rPr>
                <w:rFonts w:ascii="Arial Narrow" w:eastAsia="Times New Roman" w:hAnsi="Arial Narrow" w:cs="Calibri"/>
                <w:b/>
                <w:bCs/>
                <w:color w:val="000000"/>
                <w:kern w:val="0"/>
                <w:sz w:val="16"/>
                <w:szCs w:val="16"/>
                <w:lang w:eastAsia="sk-SK"/>
                <w14:ligatures w14:val="none"/>
              </w:rPr>
            </w:pPr>
          </w:p>
        </w:tc>
        <w:tc>
          <w:tcPr>
            <w:tcW w:w="1276" w:type="dxa"/>
            <w:tcBorders>
              <w:top w:val="nil"/>
              <w:left w:val="nil"/>
              <w:bottom w:val="nil"/>
              <w:right w:val="nil"/>
            </w:tcBorders>
            <w:vAlign w:val="center"/>
          </w:tcPr>
          <w:p w14:paraId="7FDF7A94" w14:textId="77777777" w:rsidR="00057132" w:rsidRPr="00046B73" w:rsidRDefault="00057132" w:rsidP="002B1847">
            <w:pPr>
              <w:spacing w:after="0" w:line="240" w:lineRule="auto"/>
              <w:rPr>
                <w:rFonts w:ascii="Arial Narrow" w:eastAsia="Times New Roman" w:hAnsi="Arial Narrow" w:cs="Calibri"/>
                <w:color w:val="000000"/>
                <w:kern w:val="0"/>
                <w:sz w:val="16"/>
                <w:szCs w:val="16"/>
                <w:lang w:eastAsia="sk-SK"/>
                <w14:ligatures w14:val="none"/>
              </w:rPr>
            </w:pPr>
          </w:p>
        </w:tc>
        <w:tc>
          <w:tcPr>
            <w:tcW w:w="709" w:type="dxa"/>
            <w:tcBorders>
              <w:top w:val="nil"/>
              <w:left w:val="nil"/>
              <w:bottom w:val="nil"/>
              <w:right w:val="nil"/>
            </w:tcBorders>
            <w:vAlign w:val="center"/>
          </w:tcPr>
          <w:p w14:paraId="3B6E8CB5" w14:textId="77777777" w:rsidR="00057132" w:rsidRPr="00046B73" w:rsidRDefault="00057132" w:rsidP="002B1847">
            <w:pPr>
              <w:spacing w:after="0" w:line="240" w:lineRule="auto"/>
              <w:jc w:val="center"/>
              <w:rPr>
                <w:rFonts w:ascii="Arial Narrow" w:eastAsia="Times New Roman" w:hAnsi="Arial Narrow" w:cs="Calibri"/>
                <w:color w:val="000000"/>
                <w:kern w:val="0"/>
                <w:sz w:val="16"/>
                <w:szCs w:val="16"/>
                <w:lang w:eastAsia="sk-SK"/>
                <w14:ligatures w14:val="none"/>
              </w:rPr>
            </w:pPr>
          </w:p>
        </w:tc>
        <w:tc>
          <w:tcPr>
            <w:tcW w:w="708" w:type="dxa"/>
            <w:tcBorders>
              <w:top w:val="nil"/>
              <w:left w:val="nil"/>
              <w:bottom w:val="nil"/>
              <w:right w:val="nil"/>
            </w:tcBorders>
          </w:tcPr>
          <w:p w14:paraId="29893185" w14:textId="77777777" w:rsidR="00057132" w:rsidRPr="00046B73" w:rsidRDefault="00057132" w:rsidP="002B1847">
            <w:pPr>
              <w:spacing w:after="0" w:line="240" w:lineRule="auto"/>
              <w:jc w:val="center"/>
              <w:rPr>
                <w:rFonts w:ascii="Arial Narrow" w:eastAsia="Times New Roman" w:hAnsi="Arial Narrow" w:cs="Calibri"/>
                <w:color w:val="000000"/>
                <w:kern w:val="0"/>
                <w:sz w:val="16"/>
                <w:szCs w:val="16"/>
                <w:lang w:eastAsia="sk-SK"/>
                <w14:ligatures w14:val="none"/>
              </w:rPr>
            </w:pPr>
          </w:p>
        </w:tc>
        <w:tc>
          <w:tcPr>
            <w:tcW w:w="709" w:type="dxa"/>
            <w:tcBorders>
              <w:top w:val="nil"/>
              <w:left w:val="nil"/>
              <w:bottom w:val="nil"/>
              <w:right w:val="nil"/>
            </w:tcBorders>
            <w:vAlign w:val="center"/>
          </w:tcPr>
          <w:p w14:paraId="1B18C8DC" w14:textId="2A76C5A6" w:rsidR="00057132" w:rsidRPr="00046B73" w:rsidRDefault="00057132" w:rsidP="002B1847">
            <w:pPr>
              <w:spacing w:after="0" w:line="240" w:lineRule="auto"/>
              <w:jc w:val="center"/>
              <w:rPr>
                <w:rFonts w:ascii="Arial Narrow" w:eastAsia="Times New Roman" w:hAnsi="Arial Narrow" w:cs="Calibri"/>
                <w:color w:val="000000"/>
                <w:kern w:val="0"/>
                <w:sz w:val="16"/>
                <w:szCs w:val="16"/>
                <w:lang w:eastAsia="sk-SK"/>
                <w14:ligatures w14:val="none"/>
              </w:rPr>
            </w:pPr>
          </w:p>
        </w:tc>
        <w:tc>
          <w:tcPr>
            <w:tcW w:w="1418" w:type="dxa"/>
            <w:gridSpan w:val="3"/>
            <w:tcBorders>
              <w:top w:val="nil"/>
              <w:left w:val="nil"/>
              <w:bottom w:val="nil"/>
              <w:right w:val="nil"/>
            </w:tcBorders>
            <w:vAlign w:val="center"/>
          </w:tcPr>
          <w:p w14:paraId="20DE4FE1" w14:textId="77777777" w:rsidR="00057132" w:rsidRPr="00046B73" w:rsidRDefault="00057132" w:rsidP="002B1847">
            <w:pPr>
              <w:spacing w:after="0" w:line="240" w:lineRule="auto"/>
              <w:jc w:val="right"/>
              <w:rPr>
                <w:rFonts w:ascii="Arial Narrow" w:eastAsia="Times New Roman" w:hAnsi="Arial Narrow" w:cs="Calibri"/>
                <w:color w:val="000000"/>
                <w:kern w:val="0"/>
                <w:sz w:val="16"/>
                <w:szCs w:val="16"/>
                <w:lang w:eastAsia="sk-SK"/>
                <w14:ligatures w14:val="none"/>
              </w:rPr>
            </w:pPr>
            <w:r w:rsidRPr="00046B73">
              <w:rPr>
                <w:rFonts w:ascii="Arial Narrow" w:eastAsia="Times New Roman" w:hAnsi="Arial Narrow" w:cs="Calibri"/>
                <w:i/>
                <w:iCs/>
                <w:color w:val="000000"/>
                <w:kern w:val="0"/>
                <w:sz w:val="16"/>
                <w:szCs w:val="16"/>
                <w:lang w:eastAsia="sk-SK"/>
                <w14:ligatures w14:val="none"/>
              </w:rPr>
              <w:t>Zdroj: MF SR</w:t>
            </w:r>
          </w:p>
        </w:tc>
      </w:tr>
      <w:tr w:rsidR="00057132" w:rsidRPr="00046B73" w14:paraId="6ED56554" w14:textId="77777777" w:rsidTr="003A0B2F">
        <w:trPr>
          <w:trHeight w:val="289"/>
        </w:trPr>
        <w:tc>
          <w:tcPr>
            <w:tcW w:w="450" w:type="dxa"/>
            <w:tcBorders>
              <w:top w:val="nil"/>
              <w:left w:val="nil"/>
              <w:bottom w:val="nil"/>
              <w:right w:val="nil"/>
            </w:tcBorders>
            <w:vAlign w:val="center"/>
          </w:tcPr>
          <w:p w14:paraId="4022E519" w14:textId="77777777" w:rsidR="00057132" w:rsidRPr="00046B73" w:rsidRDefault="00057132"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p>
          <w:p w14:paraId="15BBD311" w14:textId="77777777" w:rsidR="00057132" w:rsidRPr="00046B73" w:rsidRDefault="00057132"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p>
          <w:p w14:paraId="619CE4A0" w14:textId="77777777" w:rsidR="00057132" w:rsidRPr="00046B73" w:rsidRDefault="00057132"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p>
          <w:p w14:paraId="5AFBC9D5" w14:textId="77777777" w:rsidR="00057132" w:rsidRPr="00046B73" w:rsidRDefault="00057132"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p>
        </w:tc>
        <w:tc>
          <w:tcPr>
            <w:tcW w:w="3661" w:type="dxa"/>
            <w:gridSpan w:val="3"/>
            <w:tcBorders>
              <w:top w:val="nil"/>
              <w:left w:val="nil"/>
              <w:bottom w:val="nil"/>
              <w:right w:val="nil"/>
            </w:tcBorders>
            <w:vAlign w:val="center"/>
          </w:tcPr>
          <w:p w14:paraId="389DFA30" w14:textId="77777777" w:rsidR="00057132" w:rsidRDefault="00057132" w:rsidP="002B1847">
            <w:pPr>
              <w:spacing w:after="0" w:line="240" w:lineRule="auto"/>
              <w:rPr>
                <w:rFonts w:ascii="Arial Narrow" w:eastAsia="Times New Roman" w:hAnsi="Arial Narrow" w:cs="Calibri"/>
                <w:b/>
                <w:bCs/>
                <w:color w:val="000000"/>
                <w:kern w:val="0"/>
                <w:sz w:val="16"/>
                <w:szCs w:val="16"/>
                <w:lang w:eastAsia="sk-SK"/>
                <w14:ligatures w14:val="none"/>
              </w:rPr>
            </w:pPr>
          </w:p>
          <w:p w14:paraId="04273ACB" w14:textId="77777777" w:rsidR="00057132" w:rsidRDefault="00057132" w:rsidP="002B1847">
            <w:pPr>
              <w:spacing w:after="0" w:line="240" w:lineRule="auto"/>
              <w:rPr>
                <w:rFonts w:ascii="Arial Narrow" w:eastAsia="Times New Roman" w:hAnsi="Arial Narrow" w:cs="Calibri"/>
                <w:b/>
                <w:bCs/>
                <w:color w:val="000000"/>
                <w:kern w:val="0"/>
                <w:sz w:val="16"/>
                <w:szCs w:val="16"/>
                <w:lang w:eastAsia="sk-SK"/>
                <w14:ligatures w14:val="none"/>
              </w:rPr>
            </w:pPr>
          </w:p>
          <w:p w14:paraId="5C2C6994" w14:textId="77777777" w:rsidR="00057132" w:rsidRDefault="00057132" w:rsidP="002B1847">
            <w:pPr>
              <w:spacing w:after="0" w:line="240" w:lineRule="auto"/>
              <w:rPr>
                <w:rFonts w:ascii="Arial Narrow" w:eastAsia="Times New Roman" w:hAnsi="Arial Narrow" w:cs="Calibri"/>
                <w:b/>
                <w:bCs/>
                <w:color w:val="000000"/>
                <w:kern w:val="0"/>
                <w:sz w:val="16"/>
                <w:szCs w:val="16"/>
                <w:lang w:eastAsia="sk-SK"/>
                <w14:ligatures w14:val="none"/>
              </w:rPr>
            </w:pPr>
          </w:p>
          <w:p w14:paraId="2A1EC16A" w14:textId="77777777" w:rsidR="000F458B" w:rsidRDefault="000F458B" w:rsidP="002B1847">
            <w:pPr>
              <w:spacing w:after="0" w:line="240" w:lineRule="auto"/>
              <w:rPr>
                <w:rFonts w:ascii="Arial Narrow" w:eastAsia="Times New Roman" w:hAnsi="Arial Narrow" w:cs="Calibri"/>
                <w:b/>
                <w:bCs/>
                <w:color w:val="000000"/>
                <w:kern w:val="0"/>
                <w:sz w:val="16"/>
                <w:szCs w:val="16"/>
                <w:lang w:eastAsia="sk-SK"/>
                <w14:ligatures w14:val="none"/>
              </w:rPr>
            </w:pPr>
          </w:p>
          <w:p w14:paraId="7ABF4369" w14:textId="77777777" w:rsidR="000F458B" w:rsidRDefault="000F458B" w:rsidP="002B1847">
            <w:pPr>
              <w:spacing w:after="0" w:line="240" w:lineRule="auto"/>
              <w:rPr>
                <w:rFonts w:ascii="Arial Narrow" w:eastAsia="Times New Roman" w:hAnsi="Arial Narrow" w:cs="Calibri"/>
                <w:b/>
                <w:bCs/>
                <w:color w:val="000000"/>
                <w:kern w:val="0"/>
                <w:sz w:val="16"/>
                <w:szCs w:val="16"/>
                <w:lang w:eastAsia="sk-SK"/>
                <w14:ligatures w14:val="none"/>
              </w:rPr>
            </w:pPr>
          </w:p>
          <w:p w14:paraId="4979D610" w14:textId="77777777" w:rsidR="000F458B" w:rsidRDefault="000F458B" w:rsidP="002B1847">
            <w:pPr>
              <w:spacing w:after="0" w:line="240" w:lineRule="auto"/>
              <w:rPr>
                <w:rFonts w:ascii="Arial Narrow" w:eastAsia="Times New Roman" w:hAnsi="Arial Narrow" w:cs="Calibri"/>
                <w:b/>
                <w:bCs/>
                <w:color w:val="000000"/>
                <w:kern w:val="0"/>
                <w:sz w:val="16"/>
                <w:szCs w:val="16"/>
                <w:lang w:eastAsia="sk-SK"/>
                <w14:ligatures w14:val="none"/>
              </w:rPr>
            </w:pPr>
          </w:p>
          <w:p w14:paraId="087AC5F3" w14:textId="77777777" w:rsidR="00057132" w:rsidRPr="00046B73" w:rsidRDefault="00057132" w:rsidP="002B1847">
            <w:pPr>
              <w:spacing w:after="0" w:line="240" w:lineRule="auto"/>
              <w:rPr>
                <w:rFonts w:ascii="Arial Narrow" w:eastAsia="Times New Roman" w:hAnsi="Arial Narrow" w:cs="Calibri"/>
                <w:b/>
                <w:bCs/>
                <w:color w:val="000000"/>
                <w:kern w:val="0"/>
                <w:sz w:val="16"/>
                <w:szCs w:val="16"/>
                <w:lang w:eastAsia="sk-SK"/>
                <w14:ligatures w14:val="none"/>
              </w:rPr>
            </w:pPr>
          </w:p>
        </w:tc>
        <w:tc>
          <w:tcPr>
            <w:tcW w:w="1276" w:type="dxa"/>
            <w:tcBorders>
              <w:top w:val="nil"/>
              <w:left w:val="nil"/>
              <w:bottom w:val="nil"/>
              <w:right w:val="nil"/>
            </w:tcBorders>
            <w:vAlign w:val="center"/>
          </w:tcPr>
          <w:p w14:paraId="6908BF63" w14:textId="77777777" w:rsidR="00057132" w:rsidRPr="00046B73" w:rsidRDefault="00057132" w:rsidP="002B1847">
            <w:pPr>
              <w:spacing w:after="0" w:line="240" w:lineRule="auto"/>
              <w:rPr>
                <w:rFonts w:ascii="Arial Narrow" w:eastAsia="Times New Roman" w:hAnsi="Arial Narrow" w:cs="Calibri"/>
                <w:color w:val="000000"/>
                <w:kern w:val="0"/>
                <w:sz w:val="16"/>
                <w:szCs w:val="16"/>
                <w:lang w:eastAsia="sk-SK"/>
                <w14:ligatures w14:val="none"/>
              </w:rPr>
            </w:pPr>
          </w:p>
        </w:tc>
        <w:tc>
          <w:tcPr>
            <w:tcW w:w="709" w:type="dxa"/>
            <w:tcBorders>
              <w:top w:val="nil"/>
              <w:left w:val="nil"/>
              <w:bottom w:val="nil"/>
              <w:right w:val="nil"/>
            </w:tcBorders>
            <w:vAlign w:val="center"/>
          </w:tcPr>
          <w:p w14:paraId="0FA31714" w14:textId="77777777" w:rsidR="00057132" w:rsidRPr="00046B73" w:rsidRDefault="00057132" w:rsidP="002B1847">
            <w:pPr>
              <w:spacing w:after="0" w:line="240" w:lineRule="auto"/>
              <w:jc w:val="center"/>
              <w:rPr>
                <w:rFonts w:ascii="Arial Narrow" w:eastAsia="Times New Roman" w:hAnsi="Arial Narrow" w:cs="Calibri"/>
                <w:color w:val="000000"/>
                <w:kern w:val="0"/>
                <w:sz w:val="16"/>
                <w:szCs w:val="16"/>
                <w:lang w:eastAsia="sk-SK"/>
                <w14:ligatures w14:val="none"/>
              </w:rPr>
            </w:pPr>
          </w:p>
        </w:tc>
        <w:tc>
          <w:tcPr>
            <w:tcW w:w="708" w:type="dxa"/>
            <w:tcBorders>
              <w:top w:val="nil"/>
              <w:left w:val="nil"/>
              <w:bottom w:val="nil"/>
              <w:right w:val="nil"/>
            </w:tcBorders>
          </w:tcPr>
          <w:p w14:paraId="46A46751" w14:textId="77777777" w:rsidR="00057132" w:rsidRPr="00046B73" w:rsidRDefault="00057132" w:rsidP="002B1847">
            <w:pPr>
              <w:spacing w:after="0" w:line="240" w:lineRule="auto"/>
              <w:jc w:val="center"/>
              <w:rPr>
                <w:rFonts w:ascii="Arial Narrow" w:eastAsia="Times New Roman" w:hAnsi="Arial Narrow" w:cs="Calibri"/>
                <w:color w:val="000000"/>
                <w:kern w:val="0"/>
                <w:sz w:val="16"/>
                <w:szCs w:val="16"/>
                <w:lang w:eastAsia="sk-SK"/>
                <w14:ligatures w14:val="none"/>
              </w:rPr>
            </w:pPr>
          </w:p>
        </w:tc>
        <w:tc>
          <w:tcPr>
            <w:tcW w:w="709" w:type="dxa"/>
            <w:tcBorders>
              <w:top w:val="nil"/>
              <w:left w:val="nil"/>
              <w:bottom w:val="nil"/>
              <w:right w:val="nil"/>
            </w:tcBorders>
            <w:vAlign w:val="center"/>
          </w:tcPr>
          <w:p w14:paraId="7EB91322" w14:textId="0F3D8859" w:rsidR="00057132" w:rsidRPr="00046B73" w:rsidRDefault="00057132" w:rsidP="002B1847">
            <w:pPr>
              <w:spacing w:after="0" w:line="240" w:lineRule="auto"/>
              <w:jc w:val="center"/>
              <w:rPr>
                <w:rFonts w:ascii="Arial Narrow" w:eastAsia="Times New Roman" w:hAnsi="Arial Narrow" w:cs="Calibri"/>
                <w:color w:val="000000"/>
                <w:kern w:val="0"/>
                <w:sz w:val="16"/>
                <w:szCs w:val="16"/>
                <w:lang w:eastAsia="sk-SK"/>
                <w14:ligatures w14:val="none"/>
              </w:rPr>
            </w:pPr>
          </w:p>
        </w:tc>
        <w:tc>
          <w:tcPr>
            <w:tcW w:w="1418" w:type="dxa"/>
            <w:gridSpan w:val="3"/>
            <w:tcBorders>
              <w:top w:val="nil"/>
              <w:left w:val="nil"/>
              <w:bottom w:val="nil"/>
              <w:right w:val="nil"/>
            </w:tcBorders>
            <w:vAlign w:val="center"/>
          </w:tcPr>
          <w:p w14:paraId="1D1FFA63" w14:textId="77777777" w:rsidR="00057132" w:rsidRPr="00046B73" w:rsidRDefault="00057132" w:rsidP="002B1847">
            <w:pPr>
              <w:spacing w:after="0" w:line="240" w:lineRule="auto"/>
              <w:jc w:val="right"/>
              <w:rPr>
                <w:rFonts w:ascii="Arial Narrow" w:eastAsia="Times New Roman" w:hAnsi="Arial Narrow" w:cs="Calibri"/>
                <w:i/>
                <w:iCs/>
                <w:color w:val="000000"/>
                <w:kern w:val="0"/>
                <w:sz w:val="16"/>
                <w:szCs w:val="16"/>
                <w:lang w:eastAsia="sk-SK"/>
                <w14:ligatures w14:val="none"/>
              </w:rPr>
            </w:pPr>
          </w:p>
        </w:tc>
      </w:tr>
      <w:tr w:rsidR="00057132" w:rsidRPr="00046B73" w14:paraId="55911B41" w14:textId="77777777" w:rsidTr="003A0B2F">
        <w:trPr>
          <w:trHeight w:val="289"/>
        </w:trPr>
        <w:tc>
          <w:tcPr>
            <w:tcW w:w="450" w:type="dxa"/>
            <w:tcBorders>
              <w:top w:val="nil"/>
              <w:left w:val="nil"/>
              <w:bottom w:val="nil"/>
              <w:right w:val="nil"/>
            </w:tcBorders>
            <w:vAlign w:val="center"/>
          </w:tcPr>
          <w:p w14:paraId="64196919" w14:textId="77777777" w:rsidR="00057132" w:rsidRPr="00046B73" w:rsidRDefault="00057132"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p>
        </w:tc>
        <w:tc>
          <w:tcPr>
            <w:tcW w:w="3661" w:type="dxa"/>
            <w:gridSpan w:val="3"/>
            <w:tcBorders>
              <w:top w:val="nil"/>
              <w:left w:val="nil"/>
              <w:bottom w:val="nil"/>
              <w:right w:val="nil"/>
            </w:tcBorders>
            <w:vAlign w:val="center"/>
          </w:tcPr>
          <w:p w14:paraId="3DE1C63D" w14:textId="77777777" w:rsidR="00057132" w:rsidRDefault="00057132" w:rsidP="002B1847">
            <w:pPr>
              <w:spacing w:after="0" w:line="240" w:lineRule="auto"/>
              <w:rPr>
                <w:rFonts w:ascii="Arial Narrow" w:eastAsia="Times New Roman" w:hAnsi="Arial Narrow" w:cs="Calibri"/>
                <w:b/>
                <w:bCs/>
                <w:color w:val="000000"/>
                <w:kern w:val="0"/>
                <w:sz w:val="16"/>
                <w:szCs w:val="16"/>
                <w:lang w:eastAsia="sk-SK"/>
                <w14:ligatures w14:val="none"/>
              </w:rPr>
            </w:pPr>
          </w:p>
        </w:tc>
        <w:tc>
          <w:tcPr>
            <w:tcW w:w="1276" w:type="dxa"/>
            <w:tcBorders>
              <w:top w:val="nil"/>
              <w:left w:val="nil"/>
              <w:bottom w:val="nil"/>
              <w:right w:val="nil"/>
            </w:tcBorders>
            <w:vAlign w:val="center"/>
          </w:tcPr>
          <w:p w14:paraId="197EEA0E" w14:textId="77777777" w:rsidR="00057132" w:rsidRPr="00046B73" w:rsidRDefault="00057132" w:rsidP="002B1847">
            <w:pPr>
              <w:spacing w:after="0" w:line="240" w:lineRule="auto"/>
              <w:rPr>
                <w:rFonts w:ascii="Arial Narrow" w:eastAsia="Times New Roman" w:hAnsi="Arial Narrow" w:cs="Calibri"/>
                <w:color w:val="000000"/>
                <w:kern w:val="0"/>
                <w:sz w:val="16"/>
                <w:szCs w:val="16"/>
                <w:lang w:eastAsia="sk-SK"/>
                <w14:ligatures w14:val="none"/>
              </w:rPr>
            </w:pPr>
          </w:p>
        </w:tc>
        <w:tc>
          <w:tcPr>
            <w:tcW w:w="709" w:type="dxa"/>
            <w:tcBorders>
              <w:top w:val="nil"/>
              <w:left w:val="nil"/>
              <w:bottom w:val="nil"/>
              <w:right w:val="nil"/>
            </w:tcBorders>
            <w:vAlign w:val="center"/>
          </w:tcPr>
          <w:p w14:paraId="34E5D109" w14:textId="77777777" w:rsidR="00057132" w:rsidRPr="00046B73" w:rsidRDefault="00057132" w:rsidP="002B1847">
            <w:pPr>
              <w:spacing w:after="0" w:line="240" w:lineRule="auto"/>
              <w:jc w:val="center"/>
              <w:rPr>
                <w:rFonts w:ascii="Arial Narrow" w:eastAsia="Times New Roman" w:hAnsi="Arial Narrow" w:cs="Calibri"/>
                <w:color w:val="000000"/>
                <w:kern w:val="0"/>
                <w:sz w:val="16"/>
                <w:szCs w:val="16"/>
                <w:lang w:eastAsia="sk-SK"/>
                <w14:ligatures w14:val="none"/>
              </w:rPr>
            </w:pPr>
          </w:p>
        </w:tc>
        <w:tc>
          <w:tcPr>
            <w:tcW w:w="708" w:type="dxa"/>
            <w:tcBorders>
              <w:top w:val="nil"/>
              <w:left w:val="nil"/>
              <w:bottom w:val="nil"/>
              <w:right w:val="nil"/>
            </w:tcBorders>
          </w:tcPr>
          <w:p w14:paraId="5AE6D2B5" w14:textId="77777777" w:rsidR="00057132" w:rsidRPr="00046B73" w:rsidRDefault="00057132" w:rsidP="002B1847">
            <w:pPr>
              <w:spacing w:after="0" w:line="240" w:lineRule="auto"/>
              <w:jc w:val="center"/>
              <w:rPr>
                <w:rFonts w:ascii="Arial Narrow" w:eastAsia="Times New Roman" w:hAnsi="Arial Narrow" w:cs="Calibri"/>
                <w:color w:val="000000"/>
                <w:kern w:val="0"/>
                <w:sz w:val="16"/>
                <w:szCs w:val="16"/>
                <w:lang w:eastAsia="sk-SK"/>
                <w14:ligatures w14:val="none"/>
              </w:rPr>
            </w:pPr>
          </w:p>
        </w:tc>
        <w:tc>
          <w:tcPr>
            <w:tcW w:w="709" w:type="dxa"/>
            <w:tcBorders>
              <w:top w:val="nil"/>
              <w:left w:val="nil"/>
              <w:bottom w:val="nil"/>
              <w:right w:val="nil"/>
            </w:tcBorders>
            <w:vAlign w:val="center"/>
          </w:tcPr>
          <w:p w14:paraId="6F9117B7" w14:textId="2C1C75FA" w:rsidR="00057132" w:rsidRPr="00046B73" w:rsidRDefault="00057132" w:rsidP="002B1847">
            <w:pPr>
              <w:spacing w:after="0" w:line="240" w:lineRule="auto"/>
              <w:jc w:val="center"/>
              <w:rPr>
                <w:rFonts w:ascii="Arial Narrow" w:eastAsia="Times New Roman" w:hAnsi="Arial Narrow" w:cs="Calibri"/>
                <w:color w:val="000000"/>
                <w:kern w:val="0"/>
                <w:sz w:val="16"/>
                <w:szCs w:val="16"/>
                <w:lang w:eastAsia="sk-SK"/>
                <w14:ligatures w14:val="none"/>
              </w:rPr>
            </w:pPr>
          </w:p>
        </w:tc>
        <w:tc>
          <w:tcPr>
            <w:tcW w:w="1418" w:type="dxa"/>
            <w:gridSpan w:val="3"/>
            <w:tcBorders>
              <w:top w:val="nil"/>
              <w:left w:val="nil"/>
              <w:bottom w:val="nil"/>
              <w:right w:val="nil"/>
            </w:tcBorders>
            <w:vAlign w:val="center"/>
          </w:tcPr>
          <w:p w14:paraId="2C47B254" w14:textId="77777777" w:rsidR="00057132" w:rsidRPr="00046B73" w:rsidRDefault="00057132" w:rsidP="002B1847">
            <w:pPr>
              <w:spacing w:after="0" w:line="240" w:lineRule="auto"/>
              <w:jc w:val="right"/>
              <w:rPr>
                <w:rFonts w:ascii="Arial Narrow" w:eastAsia="Times New Roman" w:hAnsi="Arial Narrow" w:cs="Calibri"/>
                <w:i/>
                <w:iCs/>
                <w:color w:val="000000"/>
                <w:kern w:val="0"/>
                <w:sz w:val="16"/>
                <w:szCs w:val="16"/>
                <w:lang w:eastAsia="sk-SK"/>
                <w14:ligatures w14:val="none"/>
              </w:rPr>
            </w:pPr>
          </w:p>
        </w:tc>
      </w:tr>
    </w:tbl>
    <w:p w14:paraId="28B61A7D" w14:textId="77777777" w:rsidR="00C24F6F" w:rsidRDefault="00C24F6F" w:rsidP="00C24F6F">
      <w:pPr>
        <w:pStyle w:val="ifptext"/>
        <w:rPr>
          <w:highlight w:val="yellow"/>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DEBF7"/>
        <w:tblLook w:val="04A0" w:firstRow="1" w:lastRow="0" w:firstColumn="1" w:lastColumn="0" w:noHBand="0" w:noVBand="1"/>
      </w:tblPr>
      <w:tblGrid>
        <w:gridCol w:w="362"/>
        <w:gridCol w:w="4469"/>
        <w:gridCol w:w="700"/>
        <w:gridCol w:w="712"/>
        <w:gridCol w:w="706"/>
        <w:gridCol w:w="706"/>
        <w:gridCol w:w="706"/>
        <w:gridCol w:w="654"/>
      </w:tblGrid>
      <w:tr w:rsidR="000F458B" w14:paraId="0134A9CB" w14:textId="77777777" w:rsidTr="003A0B2F">
        <w:trPr>
          <w:trHeight w:val="283"/>
        </w:trPr>
        <w:tc>
          <w:tcPr>
            <w:tcW w:w="9015" w:type="dxa"/>
            <w:gridSpan w:val="8"/>
            <w:vAlign w:val="center"/>
          </w:tcPr>
          <w:p w14:paraId="1CE4AAFD" w14:textId="77777777" w:rsidR="001B0DFB" w:rsidRDefault="001B0DFB" w:rsidP="003A0B2F">
            <w:pPr>
              <w:rPr>
                <w:rFonts w:ascii="Arial Narrow" w:eastAsia="Times New Roman" w:hAnsi="Arial Narrow" w:cs="Calibri"/>
                <w:b/>
                <w:bCs/>
                <w:color w:val="2C9ADC"/>
                <w:kern w:val="0"/>
                <w:sz w:val="18"/>
                <w:szCs w:val="18"/>
                <w:lang w:eastAsia="sk-SK"/>
                <w14:ligatures w14:val="none"/>
              </w:rPr>
            </w:pPr>
          </w:p>
          <w:p w14:paraId="562E9244" w14:textId="77777777" w:rsidR="001B0DFB" w:rsidRDefault="001B0DFB" w:rsidP="003A0B2F">
            <w:pPr>
              <w:rPr>
                <w:rFonts w:ascii="Arial Narrow" w:eastAsia="Times New Roman" w:hAnsi="Arial Narrow" w:cs="Calibri"/>
                <w:b/>
                <w:bCs/>
                <w:color w:val="2C9ADC"/>
                <w:kern w:val="0"/>
                <w:sz w:val="18"/>
                <w:szCs w:val="18"/>
                <w:lang w:eastAsia="sk-SK"/>
                <w14:ligatures w14:val="none"/>
              </w:rPr>
            </w:pPr>
          </w:p>
          <w:p w14:paraId="1F32F6D9" w14:textId="0B805AF8" w:rsidR="000F458B" w:rsidRPr="003A0B2F" w:rsidRDefault="000F458B" w:rsidP="003A0B2F">
            <w:pPr>
              <w:rPr>
                <w:rFonts w:ascii="Arial Narrow" w:eastAsia="Times New Roman" w:hAnsi="Arial Narrow" w:cs="Calibri"/>
                <w:b/>
                <w:bCs/>
                <w:color w:val="2C9ADC"/>
                <w:kern w:val="0"/>
                <w:sz w:val="18"/>
                <w:szCs w:val="18"/>
                <w:lang w:eastAsia="sk-SK"/>
                <w14:ligatures w14:val="none"/>
              </w:rPr>
            </w:pPr>
            <w:r w:rsidRPr="003A0B2F">
              <w:rPr>
                <w:rFonts w:ascii="Arial Narrow" w:eastAsia="Times New Roman" w:hAnsi="Arial Narrow" w:cs="Calibri"/>
                <w:b/>
                <w:bCs/>
                <w:color w:val="2C9ADC"/>
                <w:kern w:val="0"/>
                <w:sz w:val="18"/>
                <w:szCs w:val="18"/>
                <w:lang w:eastAsia="sk-SK"/>
                <w14:ligatures w14:val="none"/>
              </w:rPr>
              <w:lastRenderedPageBreak/>
              <w:t>TABUĽKA 5 – Odhadovaný vplyv diskrečných príjmových opatrení</w:t>
            </w:r>
          </w:p>
        </w:tc>
      </w:tr>
      <w:tr w:rsidR="003A0B2F" w14:paraId="52A10BCF" w14:textId="77777777" w:rsidTr="003A0B2F">
        <w:trPr>
          <w:trHeight w:val="283"/>
        </w:trPr>
        <w:tc>
          <w:tcPr>
            <w:tcW w:w="362" w:type="dxa"/>
            <w:tcBorders>
              <w:bottom w:val="single" w:sz="4" w:space="0" w:color="auto"/>
            </w:tcBorders>
            <w:vAlign w:val="center"/>
          </w:tcPr>
          <w:p w14:paraId="09E22F7F" w14:textId="77777777" w:rsidR="000F458B" w:rsidRPr="003A0B2F" w:rsidRDefault="000F458B" w:rsidP="00016AEC">
            <w:pPr>
              <w:pStyle w:val="ifptext"/>
              <w:rPr>
                <w:b/>
                <w:bCs/>
                <w:sz w:val="18"/>
                <w:szCs w:val="18"/>
                <w:highlight w:val="yellow"/>
              </w:rPr>
            </w:pPr>
          </w:p>
        </w:tc>
        <w:tc>
          <w:tcPr>
            <w:tcW w:w="4469" w:type="dxa"/>
            <w:tcBorders>
              <w:bottom w:val="single" w:sz="4" w:space="0" w:color="auto"/>
            </w:tcBorders>
            <w:vAlign w:val="center"/>
          </w:tcPr>
          <w:p w14:paraId="7B019A4F" w14:textId="4E68145E" w:rsidR="000F458B" w:rsidRPr="003A0B2F" w:rsidRDefault="000F458B" w:rsidP="003A0B2F">
            <w:pPr>
              <w:pStyle w:val="ifptext"/>
              <w:jc w:val="center"/>
              <w:rPr>
                <w:b/>
                <w:bCs/>
                <w:sz w:val="18"/>
                <w:szCs w:val="18"/>
                <w:highlight w:val="yellow"/>
              </w:rPr>
            </w:pPr>
          </w:p>
        </w:tc>
        <w:tc>
          <w:tcPr>
            <w:tcW w:w="700" w:type="dxa"/>
            <w:tcBorders>
              <w:bottom w:val="single" w:sz="4" w:space="0" w:color="auto"/>
            </w:tcBorders>
            <w:vAlign w:val="center"/>
          </w:tcPr>
          <w:p w14:paraId="0789C229" w14:textId="77777777" w:rsidR="000F458B" w:rsidRPr="003A0B2F" w:rsidRDefault="000F458B" w:rsidP="003A0B2F">
            <w:pPr>
              <w:pStyle w:val="ifptext"/>
              <w:jc w:val="center"/>
              <w:rPr>
                <w:b/>
                <w:bCs/>
                <w:sz w:val="18"/>
                <w:szCs w:val="18"/>
                <w:highlight w:val="yellow"/>
              </w:rPr>
            </w:pPr>
          </w:p>
        </w:tc>
        <w:tc>
          <w:tcPr>
            <w:tcW w:w="712" w:type="dxa"/>
            <w:tcBorders>
              <w:bottom w:val="single" w:sz="4" w:space="0" w:color="auto"/>
            </w:tcBorders>
            <w:vAlign w:val="center"/>
          </w:tcPr>
          <w:p w14:paraId="4AEA634E" w14:textId="77777777" w:rsidR="000F458B" w:rsidRPr="003A0B2F" w:rsidRDefault="000F458B" w:rsidP="003A0B2F">
            <w:pPr>
              <w:pStyle w:val="ifptext"/>
              <w:jc w:val="center"/>
              <w:rPr>
                <w:b/>
                <w:bCs/>
                <w:sz w:val="18"/>
                <w:szCs w:val="18"/>
                <w:highlight w:val="yellow"/>
              </w:rPr>
            </w:pPr>
          </w:p>
        </w:tc>
        <w:tc>
          <w:tcPr>
            <w:tcW w:w="706" w:type="dxa"/>
            <w:tcBorders>
              <w:bottom w:val="single" w:sz="4" w:space="0" w:color="auto"/>
            </w:tcBorders>
            <w:vAlign w:val="center"/>
          </w:tcPr>
          <w:p w14:paraId="1CF07AF5" w14:textId="04713125" w:rsidR="000F458B" w:rsidRPr="003A0B2F" w:rsidRDefault="000F458B" w:rsidP="003A0B2F">
            <w:pPr>
              <w:pStyle w:val="ifptext"/>
              <w:jc w:val="center"/>
              <w:rPr>
                <w:b/>
                <w:bCs/>
                <w:sz w:val="18"/>
                <w:szCs w:val="18"/>
                <w:highlight w:val="yellow"/>
              </w:rPr>
            </w:pPr>
            <w:r w:rsidRPr="003A0B2F">
              <w:rPr>
                <w:b/>
                <w:bCs/>
                <w:sz w:val="18"/>
                <w:szCs w:val="18"/>
              </w:rPr>
              <w:t>2023</w:t>
            </w:r>
          </w:p>
        </w:tc>
        <w:tc>
          <w:tcPr>
            <w:tcW w:w="706" w:type="dxa"/>
            <w:tcBorders>
              <w:bottom w:val="single" w:sz="4" w:space="0" w:color="auto"/>
            </w:tcBorders>
            <w:vAlign w:val="center"/>
          </w:tcPr>
          <w:p w14:paraId="50A9D7C1" w14:textId="05770135" w:rsidR="000F458B" w:rsidRPr="003A0B2F" w:rsidRDefault="000F458B" w:rsidP="003A0B2F">
            <w:pPr>
              <w:pStyle w:val="ifptext"/>
              <w:jc w:val="center"/>
              <w:rPr>
                <w:b/>
                <w:bCs/>
                <w:sz w:val="18"/>
                <w:szCs w:val="18"/>
                <w:highlight w:val="yellow"/>
              </w:rPr>
            </w:pPr>
            <w:r w:rsidRPr="003A0B2F">
              <w:rPr>
                <w:b/>
                <w:bCs/>
                <w:sz w:val="18"/>
                <w:szCs w:val="18"/>
              </w:rPr>
              <w:t>2024</w:t>
            </w:r>
          </w:p>
        </w:tc>
        <w:tc>
          <w:tcPr>
            <w:tcW w:w="706" w:type="dxa"/>
            <w:tcBorders>
              <w:bottom w:val="single" w:sz="4" w:space="0" w:color="auto"/>
            </w:tcBorders>
            <w:vAlign w:val="center"/>
          </w:tcPr>
          <w:p w14:paraId="1EC6DD48" w14:textId="41761188" w:rsidR="000F458B" w:rsidRPr="003A0B2F" w:rsidRDefault="000F458B" w:rsidP="003A0B2F">
            <w:pPr>
              <w:pStyle w:val="ifptext"/>
              <w:jc w:val="center"/>
              <w:rPr>
                <w:b/>
                <w:bCs/>
                <w:sz w:val="18"/>
                <w:szCs w:val="18"/>
                <w:highlight w:val="yellow"/>
              </w:rPr>
            </w:pPr>
            <w:r w:rsidRPr="003A0B2F">
              <w:rPr>
                <w:b/>
                <w:bCs/>
                <w:sz w:val="18"/>
                <w:szCs w:val="18"/>
              </w:rPr>
              <w:t>2025</w:t>
            </w:r>
          </w:p>
        </w:tc>
        <w:tc>
          <w:tcPr>
            <w:tcW w:w="654" w:type="dxa"/>
            <w:tcBorders>
              <w:bottom w:val="single" w:sz="4" w:space="0" w:color="auto"/>
            </w:tcBorders>
            <w:vAlign w:val="center"/>
          </w:tcPr>
          <w:p w14:paraId="4E23E8A6" w14:textId="698B5D55" w:rsidR="000F458B" w:rsidRPr="003A0B2F" w:rsidRDefault="000F458B" w:rsidP="003A0B2F">
            <w:pPr>
              <w:pStyle w:val="ifptext"/>
              <w:jc w:val="center"/>
              <w:rPr>
                <w:b/>
                <w:bCs/>
                <w:sz w:val="18"/>
                <w:szCs w:val="18"/>
                <w:highlight w:val="yellow"/>
              </w:rPr>
            </w:pPr>
            <w:r w:rsidRPr="003A0B2F">
              <w:rPr>
                <w:b/>
                <w:bCs/>
                <w:sz w:val="18"/>
                <w:szCs w:val="18"/>
              </w:rPr>
              <w:t>2026</w:t>
            </w:r>
          </w:p>
        </w:tc>
      </w:tr>
      <w:tr w:rsidR="003A0B2F" w14:paraId="250EE8B1" w14:textId="77777777" w:rsidTr="003A0B2F">
        <w:trPr>
          <w:trHeight w:val="283"/>
        </w:trPr>
        <w:tc>
          <w:tcPr>
            <w:tcW w:w="362" w:type="dxa"/>
            <w:tcBorders>
              <w:top w:val="single" w:sz="4" w:space="0" w:color="auto"/>
            </w:tcBorders>
            <w:vAlign w:val="center"/>
          </w:tcPr>
          <w:p w14:paraId="09F61E12" w14:textId="77777777" w:rsidR="000F458B" w:rsidRDefault="000F458B" w:rsidP="003A0B2F">
            <w:pPr>
              <w:pStyle w:val="ifptext"/>
              <w:jc w:val="center"/>
              <w:rPr>
                <w:highlight w:val="yellow"/>
              </w:rPr>
            </w:pPr>
          </w:p>
        </w:tc>
        <w:tc>
          <w:tcPr>
            <w:tcW w:w="4469" w:type="dxa"/>
            <w:tcBorders>
              <w:top w:val="single" w:sz="4" w:space="0" w:color="auto"/>
            </w:tcBorders>
            <w:vAlign w:val="center"/>
          </w:tcPr>
          <w:p w14:paraId="41EC5D79" w14:textId="0585DAD6" w:rsidR="000F458B" w:rsidRPr="003A0B2F" w:rsidRDefault="000F458B" w:rsidP="003A0B2F">
            <w:pPr>
              <w:jc w:val="center"/>
              <w:rPr>
                <w:rFonts w:ascii="Arial Narrow" w:eastAsia="Times New Roman" w:hAnsi="Arial Narrow" w:cs="Calibri"/>
                <w:color w:val="2C9ADC"/>
                <w:kern w:val="0"/>
                <w:sz w:val="16"/>
                <w:szCs w:val="16"/>
                <w:lang w:eastAsia="sk-SK"/>
                <w14:ligatures w14:val="none"/>
              </w:rPr>
            </w:pPr>
            <w:r w:rsidRPr="003A0B2F">
              <w:rPr>
                <w:rFonts w:ascii="Arial Narrow" w:eastAsia="Times New Roman" w:hAnsi="Arial Narrow" w:cs="Calibri"/>
                <w:color w:val="2C9ADC"/>
                <w:kern w:val="0"/>
                <w:sz w:val="16"/>
                <w:szCs w:val="16"/>
                <w:lang w:eastAsia="sk-SK"/>
                <w14:ligatures w14:val="none"/>
              </w:rPr>
              <w:t>Názov opatrenia</w:t>
            </w:r>
          </w:p>
        </w:tc>
        <w:tc>
          <w:tcPr>
            <w:tcW w:w="700" w:type="dxa"/>
            <w:tcBorders>
              <w:top w:val="single" w:sz="4" w:space="0" w:color="auto"/>
            </w:tcBorders>
            <w:vAlign w:val="center"/>
          </w:tcPr>
          <w:p w14:paraId="23CAC8FE" w14:textId="6255FB2A" w:rsidR="000F458B" w:rsidRPr="003A0B2F" w:rsidRDefault="000F458B" w:rsidP="003A0B2F">
            <w:pPr>
              <w:jc w:val="center"/>
              <w:rPr>
                <w:rFonts w:ascii="Arial Narrow" w:eastAsia="Times New Roman" w:hAnsi="Arial Narrow" w:cs="Calibri"/>
                <w:color w:val="2C9ADC"/>
                <w:kern w:val="0"/>
                <w:sz w:val="16"/>
                <w:szCs w:val="16"/>
                <w:lang w:eastAsia="sk-SK"/>
                <w14:ligatures w14:val="none"/>
              </w:rPr>
            </w:pPr>
            <w:r w:rsidRPr="003A0B2F">
              <w:rPr>
                <w:rFonts w:ascii="Arial Narrow" w:eastAsia="Times New Roman" w:hAnsi="Arial Narrow" w:cs="Calibri"/>
                <w:color w:val="2C9ADC"/>
                <w:kern w:val="0"/>
                <w:sz w:val="16"/>
                <w:szCs w:val="16"/>
                <w:lang w:eastAsia="sk-SK"/>
                <w14:ligatures w14:val="none"/>
              </w:rPr>
              <w:t>One-off</w:t>
            </w:r>
          </w:p>
        </w:tc>
        <w:tc>
          <w:tcPr>
            <w:tcW w:w="712" w:type="dxa"/>
            <w:tcBorders>
              <w:top w:val="single" w:sz="4" w:space="0" w:color="auto"/>
            </w:tcBorders>
            <w:vAlign w:val="center"/>
          </w:tcPr>
          <w:p w14:paraId="358D908A" w14:textId="2BF879AB" w:rsidR="000F458B" w:rsidRPr="003A0B2F" w:rsidRDefault="000F458B" w:rsidP="003A0B2F">
            <w:pPr>
              <w:jc w:val="center"/>
              <w:rPr>
                <w:rFonts w:ascii="Arial Narrow" w:eastAsia="Times New Roman" w:hAnsi="Arial Narrow" w:cs="Calibri"/>
                <w:color w:val="2C9ADC"/>
                <w:kern w:val="0"/>
                <w:sz w:val="16"/>
                <w:szCs w:val="16"/>
                <w:lang w:eastAsia="sk-SK"/>
                <w14:ligatures w14:val="none"/>
              </w:rPr>
            </w:pPr>
            <w:r w:rsidRPr="003A0B2F">
              <w:rPr>
                <w:rFonts w:ascii="Arial Narrow" w:eastAsia="Times New Roman" w:hAnsi="Arial Narrow" w:cs="Calibri"/>
                <w:color w:val="2C9ADC"/>
                <w:kern w:val="0"/>
                <w:sz w:val="16"/>
                <w:szCs w:val="16"/>
                <w:lang w:eastAsia="sk-SK"/>
                <w14:ligatures w14:val="none"/>
              </w:rPr>
              <w:t>Príjmy/ Výdavky</w:t>
            </w:r>
          </w:p>
        </w:tc>
        <w:tc>
          <w:tcPr>
            <w:tcW w:w="706" w:type="dxa"/>
            <w:tcBorders>
              <w:top w:val="single" w:sz="4" w:space="0" w:color="auto"/>
            </w:tcBorders>
            <w:vAlign w:val="center"/>
          </w:tcPr>
          <w:p w14:paraId="12EED6ED" w14:textId="6825937F" w:rsidR="000F458B" w:rsidRPr="003A0B2F" w:rsidRDefault="000F458B" w:rsidP="003A0B2F">
            <w:pPr>
              <w:jc w:val="center"/>
              <w:rPr>
                <w:rFonts w:ascii="Arial Narrow" w:eastAsia="Times New Roman" w:hAnsi="Arial Narrow" w:cs="Calibri"/>
                <w:color w:val="2C9ADC"/>
                <w:kern w:val="0"/>
                <w:sz w:val="16"/>
                <w:szCs w:val="16"/>
                <w:lang w:eastAsia="sk-SK"/>
                <w14:ligatures w14:val="none"/>
              </w:rPr>
            </w:pPr>
            <w:r w:rsidRPr="003A0B2F">
              <w:rPr>
                <w:rFonts w:ascii="Arial Narrow" w:eastAsia="Times New Roman" w:hAnsi="Arial Narrow" w:cs="Calibri"/>
                <w:color w:val="2C9ADC"/>
                <w:kern w:val="0"/>
                <w:sz w:val="16"/>
                <w:szCs w:val="16"/>
                <w:lang w:eastAsia="sk-SK"/>
                <w14:ligatures w14:val="none"/>
              </w:rPr>
              <w:t>% HDP</w:t>
            </w:r>
          </w:p>
        </w:tc>
        <w:tc>
          <w:tcPr>
            <w:tcW w:w="706" w:type="dxa"/>
            <w:tcBorders>
              <w:top w:val="single" w:sz="4" w:space="0" w:color="auto"/>
            </w:tcBorders>
            <w:vAlign w:val="center"/>
          </w:tcPr>
          <w:p w14:paraId="6FB7FEF0" w14:textId="04985126" w:rsidR="000F458B" w:rsidRPr="003A0B2F" w:rsidRDefault="000F458B" w:rsidP="003A0B2F">
            <w:pPr>
              <w:jc w:val="center"/>
              <w:rPr>
                <w:rFonts w:ascii="Arial Narrow" w:eastAsia="Times New Roman" w:hAnsi="Arial Narrow" w:cs="Calibri"/>
                <w:color w:val="2C9ADC"/>
                <w:kern w:val="0"/>
                <w:sz w:val="16"/>
                <w:szCs w:val="16"/>
                <w:lang w:eastAsia="sk-SK"/>
                <w14:ligatures w14:val="none"/>
              </w:rPr>
            </w:pPr>
            <w:r w:rsidRPr="00F367A1">
              <w:rPr>
                <w:rFonts w:ascii="Arial Narrow" w:eastAsia="Times New Roman" w:hAnsi="Arial Narrow" w:cs="Calibri"/>
                <w:color w:val="2C9ADC"/>
                <w:kern w:val="0"/>
                <w:sz w:val="16"/>
                <w:szCs w:val="16"/>
                <w:lang w:eastAsia="sk-SK"/>
                <w14:ligatures w14:val="none"/>
              </w:rPr>
              <w:t>% HDP</w:t>
            </w:r>
          </w:p>
        </w:tc>
        <w:tc>
          <w:tcPr>
            <w:tcW w:w="706" w:type="dxa"/>
            <w:tcBorders>
              <w:top w:val="single" w:sz="4" w:space="0" w:color="auto"/>
            </w:tcBorders>
            <w:vAlign w:val="center"/>
          </w:tcPr>
          <w:p w14:paraId="00BC29EA" w14:textId="151306D6" w:rsidR="000F458B" w:rsidRPr="003A0B2F" w:rsidRDefault="000F458B" w:rsidP="003A0B2F">
            <w:pPr>
              <w:jc w:val="center"/>
              <w:rPr>
                <w:rFonts w:ascii="Arial Narrow" w:eastAsia="Times New Roman" w:hAnsi="Arial Narrow" w:cs="Calibri"/>
                <w:color w:val="2C9ADC"/>
                <w:kern w:val="0"/>
                <w:sz w:val="16"/>
                <w:szCs w:val="16"/>
                <w:lang w:eastAsia="sk-SK"/>
                <w14:ligatures w14:val="none"/>
              </w:rPr>
            </w:pPr>
            <w:r w:rsidRPr="00F367A1">
              <w:rPr>
                <w:rFonts w:ascii="Arial Narrow" w:eastAsia="Times New Roman" w:hAnsi="Arial Narrow" w:cs="Calibri"/>
                <w:color w:val="2C9ADC"/>
                <w:kern w:val="0"/>
                <w:sz w:val="16"/>
                <w:szCs w:val="16"/>
                <w:lang w:eastAsia="sk-SK"/>
                <w14:ligatures w14:val="none"/>
              </w:rPr>
              <w:t>% HDP</w:t>
            </w:r>
          </w:p>
        </w:tc>
        <w:tc>
          <w:tcPr>
            <w:tcW w:w="654" w:type="dxa"/>
            <w:tcBorders>
              <w:top w:val="single" w:sz="4" w:space="0" w:color="auto"/>
            </w:tcBorders>
            <w:vAlign w:val="center"/>
          </w:tcPr>
          <w:p w14:paraId="4DA098B3" w14:textId="1F65B175" w:rsidR="000F458B" w:rsidRPr="003A0B2F" w:rsidRDefault="000F458B" w:rsidP="003A0B2F">
            <w:pPr>
              <w:jc w:val="center"/>
              <w:rPr>
                <w:rFonts w:ascii="Arial Narrow" w:eastAsia="Times New Roman" w:hAnsi="Arial Narrow" w:cs="Calibri"/>
                <w:color w:val="2C9ADC"/>
                <w:kern w:val="0"/>
                <w:sz w:val="16"/>
                <w:szCs w:val="16"/>
                <w:lang w:eastAsia="sk-SK"/>
                <w14:ligatures w14:val="none"/>
              </w:rPr>
            </w:pPr>
            <w:r w:rsidRPr="00F367A1">
              <w:rPr>
                <w:rFonts w:ascii="Arial Narrow" w:eastAsia="Times New Roman" w:hAnsi="Arial Narrow" w:cs="Calibri"/>
                <w:color w:val="2C9ADC"/>
                <w:kern w:val="0"/>
                <w:sz w:val="16"/>
                <w:szCs w:val="16"/>
                <w:lang w:eastAsia="sk-SK"/>
                <w14:ligatures w14:val="none"/>
              </w:rPr>
              <w:t>% HDP</w:t>
            </w:r>
          </w:p>
        </w:tc>
      </w:tr>
      <w:tr w:rsidR="003A0B2F" w14:paraId="5C59490C" w14:textId="77777777" w:rsidTr="003A0B2F">
        <w:trPr>
          <w:trHeight w:val="283"/>
        </w:trPr>
        <w:tc>
          <w:tcPr>
            <w:tcW w:w="362" w:type="dxa"/>
            <w:shd w:val="clear" w:color="auto" w:fill="DDEBF7"/>
            <w:vAlign w:val="center"/>
          </w:tcPr>
          <w:p w14:paraId="2AEA423A" w14:textId="489E8504"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1</w:t>
            </w:r>
          </w:p>
        </w:tc>
        <w:tc>
          <w:tcPr>
            <w:tcW w:w="4469" w:type="dxa"/>
            <w:shd w:val="clear" w:color="auto" w:fill="DDEBF7"/>
            <w:vAlign w:val="center"/>
          </w:tcPr>
          <w:p w14:paraId="77FB6DFA" w14:textId="0461BBC1" w:rsidR="000F458B" w:rsidRPr="000F458B" w:rsidRDefault="000F458B" w:rsidP="003A0B2F">
            <w:pPr>
              <w:rPr>
                <w:rFonts w:ascii="Arial Narrow" w:hAnsi="Arial Narrow"/>
                <w:b/>
                <w:bCs/>
                <w:sz w:val="16"/>
                <w:szCs w:val="16"/>
              </w:rPr>
            </w:pPr>
            <w:r w:rsidRPr="000F458B">
              <w:rPr>
                <w:rFonts w:ascii="Arial Narrow" w:hAnsi="Arial Narrow"/>
                <w:b/>
                <w:bCs/>
                <w:sz w:val="16"/>
                <w:szCs w:val="16"/>
              </w:rPr>
              <w:t>Zrušenie koncesionárskych poplatkov</w:t>
            </w:r>
          </w:p>
        </w:tc>
        <w:tc>
          <w:tcPr>
            <w:tcW w:w="700" w:type="dxa"/>
            <w:shd w:val="clear" w:color="auto" w:fill="DDEBF7"/>
            <w:vAlign w:val="center"/>
          </w:tcPr>
          <w:p w14:paraId="03B717E5" w14:textId="346C91AA"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221C5A46" w14:textId="441CE33A"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34BFFE1B" w14:textId="2345F1F4" w:rsidR="000F458B" w:rsidRPr="000F458B" w:rsidRDefault="000F458B" w:rsidP="003A0B2F">
            <w:pPr>
              <w:jc w:val="center"/>
              <w:rPr>
                <w:rFonts w:ascii="Arial Narrow" w:hAnsi="Arial Narrow"/>
                <w:sz w:val="16"/>
                <w:szCs w:val="16"/>
              </w:rPr>
            </w:pPr>
            <w:r w:rsidRPr="000F458B">
              <w:rPr>
                <w:rFonts w:ascii="Arial Narrow" w:hAnsi="Arial Narrow"/>
                <w:sz w:val="16"/>
                <w:szCs w:val="16"/>
              </w:rPr>
              <w:t>-0,03</w:t>
            </w:r>
          </w:p>
        </w:tc>
        <w:tc>
          <w:tcPr>
            <w:tcW w:w="706" w:type="dxa"/>
            <w:shd w:val="clear" w:color="auto" w:fill="DDEBF7"/>
            <w:vAlign w:val="center"/>
          </w:tcPr>
          <w:p w14:paraId="44842102" w14:textId="4D5FD4DD" w:rsidR="000F458B" w:rsidRPr="000F458B" w:rsidRDefault="000F458B" w:rsidP="003A0B2F">
            <w:pPr>
              <w:jc w:val="center"/>
              <w:rPr>
                <w:rFonts w:ascii="Arial Narrow" w:hAnsi="Arial Narrow"/>
                <w:sz w:val="16"/>
                <w:szCs w:val="16"/>
              </w:rPr>
            </w:pPr>
            <w:r w:rsidRPr="000F458B">
              <w:rPr>
                <w:rFonts w:ascii="Arial Narrow" w:hAnsi="Arial Narrow"/>
                <w:sz w:val="16"/>
                <w:szCs w:val="16"/>
              </w:rPr>
              <w:t>-0,03</w:t>
            </w:r>
          </w:p>
        </w:tc>
        <w:tc>
          <w:tcPr>
            <w:tcW w:w="706" w:type="dxa"/>
            <w:shd w:val="clear" w:color="auto" w:fill="DDEBF7"/>
            <w:vAlign w:val="center"/>
          </w:tcPr>
          <w:p w14:paraId="1BF32358" w14:textId="7075F71A"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654" w:type="dxa"/>
            <w:shd w:val="clear" w:color="auto" w:fill="DDEBF7"/>
            <w:vAlign w:val="center"/>
          </w:tcPr>
          <w:p w14:paraId="599FA3BC" w14:textId="789591F5"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r>
      <w:tr w:rsidR="003A0B2F" w14:paraId="0CCAC2A2" w14:textId="77777777" w:rsidTr="003A0B2F">
        <w:trPr>
          <w:trHeight w:val="283"/>
        </w:trPr>
        <w:tc>
          <w:tcPr>
            <w:tcW w:w="362" w:type="dxa"/>
            <w:shd w:val="clear" w:color="auto" w:fill="DDEBF7"/>
            <w:vAlign w:val="center"/>
          </w:tcPr>
          <w:p w14:paraId="5A84A518" w14:textId="1D0D6B67"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2</w:t>
            </w:r>
          </w:p>
        </w:tc>
        <w:tc>
          <w:tcPr>
            <w:tcW w:w="4469" w:type="dxa"/>
            <w:shd w:val="clear" w:color="auto" w:fill="DDEBF7"/>
            <w:vAlign w:val="center"/>
          </w:tcPr>
          <w:p w14:paraId="2DBE650F" w14:textId="26DE0A96" w:rsidR="000F458B" w:rsidRPr="000F458B" w:rsidRDefault="000F458B" w:rsidP="003A0B2F">
            <w:pPr>
              <w:rPr>
                <w:rFonts w:ascii="Arial Narrow" w:hAnsi="Arial Narrow"/>
                <w:b/>
                <w:bCs/>
                <w:sz w:val="16"/>
                <w:szCs w:val="16"/>
              </w:rPr>
            </w:pPr>
            <w:r w:rsidRPr="000F458B">
              <w:rPr>
                <w:rFonts w:ascii="Arial Narrow" w:hAnsi="Arial Narrow"/>
                <w:b/>
                <w:bCs/>
                <w:sz w:val="16"/>
                <w:szCs w:val="16"/>
              </w:rPr>
              <w:t>Valorizácia správnych a súdnych poplatkov - od 1Q 2024</w:t>
            </w:r>
          </w:p>
        </w:tc>
        <w:tc>
          <w:tcPr>
            <w:tcW w:w="700" w:type="dxa"/>
            <w:shd w:val="clear" w:color="auto" w:fill="DDEBF7"/>
            <w:vAlign w:val="center"/>
          </w:tcPr>
          <w:p w14:paraId="7C37B408" w14:textId="2F48F0DD"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000290F8" w14:textId="1C4D15FE"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7D802985" w14:textId="54518498"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38C5D2B2" w14:textId="56589475" w:rsidR="000F458B" w:rsidRPr="000F458B" w:rsidRDefault="000F458B" w:rsidP="003A0B2F">
            <w:pPr>
              <w:jc w:val="center"/>
              <w:rPr>
                <w:rFonts w:ascii="Arial Narrow" w:hAnsi="Arial Narrow"/>
                <w:sz w:val="16"/>
                <w:szCs w:val="16"/>
              </w:rPr>
            </w:pPr>
            <w:r w:rsidRPr="000F458B">
              <w:rPr>
                <w:rFonts w:ascii="Arial Narrow" w:hAnsi="Arial Narrow"/>
                <w:sz w:val="16"/>
                <w:szCs w:val="16"/>
              </w:rPr>
              <w:t>0,03</w:t>
            </w:r>
          </w:p>
        </w:tc>
        <w:tc>
          <w:tcPr>
            <w:tcW w:w="706" w:type="dxa"/>
            <w:shd w:val="clear" w:color="auto" w:fill="DDEBF7"/>
            <w:vAlign w:val="center"/>
          </w:tcPr>
          <w:p w14:paraId="1830D65A" w14:textId="1F443328" w:rsidR="000F458B" w:rsidRPr="000F458B" w:rsidRDefault="000F458B" w:rsidP="003A0B2F">
            <w:pPr>
              <w:jc w:val="center"/>
              <w:rPr>
                <w:rFonts w:ascii="Arial Narrow" w:hAnsi="Arial Narrow"/>
                <w:sz w:val="16"/>
                <w:szCs w:val="16"/>
              </w:rPr>
            </w:pPr>
            <w:r w:rsidRPr="000F458B">
              <w:rPr>
                <w:rFonts w:ascii="Arial Narrow" w:hAnsi="Arial Narrow"/>
                <w:sz w:val="16"/>
                <w:szCs w:val="16"/>
              </w:rPr>
              <w:t>0,01</w:t>
            </w:r>
          </w:p>
        </w:tc>
        <w:tc>
          <w:tcPr>
            <w:tcW w:w="654" w:type="dxa"/>
            <w:shd w:val="clear" w:color="auto" w:fill="DDEBF7"/>
            <w:vAlign w:val="center"/>
          </w:tcPr>
          <w:p w14:paraId="249BEC73" w14:textId="166B5987"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r>
      <w:tr w:rsidR="003A0B2F" w14:paraId="2FF603AA" w14:textId="77777777" w:rsidTr="003A0B2F">
        <w:trPr>
          <w:trHeight w:val="283"/>
        </w:trPr>
        <w:tc>
          <w:tcPr>
            <w:tcW w:w="362" w:type="dxa"/>
            <w:shd w:val="clear" w:color="auto" w:fill="DDEBF7"/>
            <w:vAlign w:val="center"/>
          </w:tcPr>
          <w:p w14:paraId="3C2EBFD1" w14:textId="2F565B46"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3</w:t>
            </w:r>
          </w:p>
        </w:tc>
        <w:tc>
          <w:tcPr>
            <w:tcW w:w="4469" w:type="dxa"/>
            <w:shd w:val="clear" w:color="auto" w:fill="DDEBF7"/>
            <w:vAlign w:val="center"/>
          </w:tcPr>
          <w:p w14:paraId="68819548" w14:textId="1EF84DFF" w:rsidR="000F458B" w:rsidRPr="000F458B" w:rsidRDefault="000F458B" w:rsidP="003A0B2F">
            <w:pPr>
              <w:rPr>
                <w:rFonts w:ascii="Arial Narrow" w:hAnsi="Arial Narrow"/>
                <w:b/>
                <w:bCs/>
                <w:sz w:val="16"/>
                <w:szCs w:val="16"/>
              </w:rPr>
            </w:pPr>
            <w:r w:rsidRPr="000F458B">
              <w:rPr>
                <w:rFonts w:ascii="Arial Narrow" w:hAnsi="Arial Narrow"/>
                <w:b/>
                <w:bCs/>
                <w:sz w:val="16"/>
                <w:szCs w:val="16"/>
              </w:rPr>
              <w:t>Zvýšenie poplatku za udržiavanie núdzových zásob ropy o 1 cent</w:t>
            </w:r>
          </w:p>
        </w:tc>
        <w:tc>
          <w:tcPr>
            <w:tcW w:w="700" w:type="dxa"/>
            <w:shd w:val="clear" w:color="auto" w:fill="DDEBF7"/>
            <w:vAlign w:val="center"/>
          </w:tcPr>
          <w:p w14:paraId="4E48DBA0" w14:textId="36D4E0A4"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5C1E5540" w14:textId="1FBAC57A"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12B96712" w14:textId="5B36A140"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6DB3E9D0" w14:textId="59D4FC79" w:rsidR="000F458B" w:rsidRPr="000F458B" w:rsidRDefault="000F458B" w:rsidP="003A0B2F">
            <w:pPr>
              <w:jc w:val="center"/>
              <w:rPr>
                <w:rFonts w:ascii="Arial Narrow" w:hAnsi="Arial Narrow"/>
                <w:sz w:val="16"/>
                <w:szCs w:val="16"/>
              </w:rPr>
            </w:pPr>
            <w:r w:rsidRPr="000F458B">
              <w:rPr>
                <w:rFonts w:ascii="Arial Narrow" w:hAnsi="Arial Narrow"/>
                <w:sz w:val="16"/>
                <w:szCs w:val="16"/>
              </w:rPr>
              <w:t>0,02</w:t>
            </w:r>
          </w:p>
        </w:tc>
        <w:tc>
          <w:tcPr>
            <w:tcW w:w="706" w:type="dxa"/>
            <w:shd w:val="clear" w:color="auto" w:fill="DDEBF7"/>
            <w:vAlign w:val="center"/>
          </w:tcPr>
          <w:p w14:paraId="2A1DCD52" w14:textId="5AE6A132"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654" w:type="dxa"/>
            <w:shd w:val="clear" w:color="auto" w:fill="DDEBF7"/>
            <w:vAlign w:val="center"/>
          </w:tcPr>
          <w:p w14:paraId="545A86E6" w14:textId="5CC2E2F0"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r>
      <w:tr w:rsidR="003A0B2F" w14:paraId="32C316D4" w14:textId="77777777" w:rsidTr="003A0B2F">
        <w:trPr>
          <w:trHeight w:val="283"/>
        </w:trPr>
        <w:tc>
          <w:tcPr>
            <w:tcW w:w="362" w:type="dxa"/>
            <w:shd w:val="clear" w:color="auto" w:fill="DDEBF7"/>
            <w:vAlign w:val="center"/>
          </w:tcPr>
          <w:p w14:paraId="26E78818" w14:textId="3B8900FB"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4</w:t>
            </w:r>
          </w:p>
        </w:tc>
        <w:tc>
          <w:tcPr>
            <w:tcW w:w="4469" w:type="dxa"/>
            <w:shd w:val="clear" w:color="auto" w:fill="DDEBF7"/>
            <w:vAlign w:val="center"/>
          </w:tcPr>
          <w:p w14:paraId="1B5CBB9D" w14:textId="11F77753" w:rsidR="000F458B" w:rsidRPr="000F458B" w:rsidRDefault="000F458B" w:rsidP="003A0B2F">
            <w:pPr>
              <w:rPr>
                <w:rFonts w:ascii="Arial Narrow" w:hAnsi="Arial Narrow"/>
                <w:b/>
                <w:bCs/>
                <w:sz w:val="16"/>
                <w:szCs w:val="16"/>
              </w:rPr>
            </w:pPr>
            <w:r w:rsidRPr="000F458B">
              <w:rPr>
                <w:rFonts w:ascii="Arial Narrow" w:hAnsi="Arial Narrow"/>
                <w:b/>
                <w:bCs/>
                <w:sz w:val="16"/>
                <w:szCs w:val="16"/>
              </w:rPr>
              <w:t>Odvody z nadmerného zisku a solidárne príspevky (VHV, elektrárne, ropa)</w:t>
            </w:r>
          </w:p>
        </w:tc>
        <w:tc>
          <w:tcPr>
            <w:tcW w:w="700" w:type="dxa"/>
            <w:shd w:val="clear" w:color="auto" w:fill="DDEBF7"/>
            <w:vAlign w:val="center"/>
          </w:tcPr>
          <w:p w14:paraId="4F964708" w14:textId="5DA97255"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532FE54E" w14:textId="48941626"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6F7CD4A6" w14:textId="74227F87" w:rsidR="000F458B" w:rsidRPr="000F458B" w:rsidRDefault="000F458B" w:rsidP="003A0B2F">
            <w:pPr>
              <w:jc w:val="center"/>
              <w:rPr>
                <w:rFonts w:ascii="Arial Narrow" w:hAnsi="Arial Narrow"/>
                <w:sz w:val="16"/>
                <w:szCs w:val="16"/>
              </w:rPr>
            </w:pPr>
            <w:r w:rsidRPr="000F458B">
              <w:rPr>
                <w:rFonts w:ascii="Arial Narrow" w:hAnsi="Arial Narrow"/>
                <w:sz w:val="16"/>
                <w:szCs w:val="16"/>
              </w:rPr>
              <w:t>-0,19</w:t>
            </w:r>
          </w:p>
        </w:tc>
        <w:tc>
          <w:tcPr>
            <w:tcW w:w="706" w:type="dxa"/>
            <w:shd w:val="clear" w:color="auto" w:fill="DDEBF7"/>
            <w:vAlign w:val="center"/>
          </w:tcPr>
          <w:p w14:paraId="22F6D30D" w14:textId="6A834212" w:rsidR="000F458B" w:rsidRPr="000F458B" w:rsidRDefault="000F458B" w:rsidP="003A0B2F">
            <w:pPr>
              <w:jc w:val="center"/>
              <w:rPr>
                <w:rFonts w:ascii="Arial Narrow" w:hAnsi="Arial Narrow"/>
                <w:sz w:val="16"/>
                <w:szCs w:val="16"/>
              </w:rPr>
            </w:pPr>
            <w:r w:rsidRPr="000F458B">
              <w:rPr>
                <w:rFonts w:ascii="Arial Narrow" w:hAnsi="Arial Narrow"/>
                <w:sz w:val="16"/>
                <w:szCs w:val="16"/>
              </w:rPr>
              <w:t>-0,04</w:t>
            </w:r>
          </w:p>
        </w:tc>
        <w:tc>
          <w:tcPr>
            <w:tcW w:w="706" w:type="dxa"/>
            <w:shd w:val="clear" w:color="auto" w:fill="DDEBF7"/>
            <w:vAlign w:val="center"/>
          </w:tcPr>
          <w:p w14:paraId="720B5F2E" w14:textId="488A9943" w:rsidR="000F458B" w:rsidRPr="000F458B" w:rsidRDefault="000F458B" w:rsidP="003A0B2F">
            <w:pPr>
              <w:jc w:val="center"/>
              <w:rPr>
                <w:rFonts w:ascii="Arial Narrow" w:hAnsi="Arial Narrow"/>
                <w:sz w:val="16"/>
                <w:szCs w:val="16"/>
              </w:rPr>
            </w:pPr>
            <w:r w:rsidRPr="000F458B">
              <w:rPr>
                <w:rFonts w:ascii="Arial Narrow" w:hAnsi="Arial Narrow"/>
                <w:sz w:val="16"/>
                <w:szCs w:val="16"/>
              </w:rPr>
              <w:t>-0,07</w:t>
            </w:r>
          </w:p>
        </w:tc>
        <w:tc>
          <w:tcPr>
            <w:tcW w:w="654" w:type="dxa"/>
            <w:shd w:val="clear" w:color="auto" w:fill="DDEBF7"/>
            <w:vAlign w:val="center"/>
          </w:tcPr>
          <w:p w14:paraId="394F5029" w14:textId="08266853" w:rsidR="000F458B" w:rsidRPr="000F458B" w:rsidRDefault="000F458B" w:rsidP="003A0B2F">
            <w:pPr>
              <w:jc w:val="center"/>
              <w:rPr>
                <w:rFonts w:ascii="Arial Narrow" w:hAnsi="Arial Narrow"/>
                <w:sz w:val="16"/>
                <w:szCs w:val="16"/>
              </w:rPr>
            </w:pPr>
            <w:r w:rsidRPr="000F458B">
              <w:rPr>
                <w:rFonts w:ascii="Arial Narrow" w:hAnsi="Arial Narrow"/>
                <w:sz w:val="16"/>
                <w:szCs w:val="16"/>
              </w:rPr>
              <w:t>-0,01</w:t>
            </w:r>
          </w:p>
        </w:tc>
      </w:tr>
      <w:tr w:rsidR="003A0B2F" w14:paraId="03845604" w14:textId="77777777" w:rsidTr="003A0B2F">
        <w:trPr>
          <w:trHeight w:val="283"/>
        </w:trPr>
        <w:tc>
          <w:tcPr>
            <w:tcW w:w="362" w:type="dxa"/>
            <w:shd w:val="clear" w:color="auto" w:fill="DDEBF7"/>
            <w:vAlign w:val="center"/>
          </w:tcPr>
          <w:p w14:paraId="39086681" w14:textId="447CE87B"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5</w:t>
            </w:r>
          </w:p>
        </w:tc>
        <w:tc>
          <w:tcPr>
            <w:tcW w:w="4469" w:type="dxa"/>
            <w:shd w:val="clear" w:color="auto" w:fill="DDEBF7"/>
            <w:vAlign w:val="center"/>
          </w:tcPr>
          <w:p w14:paraId="12512E3F" w14:textId="06EF9698" w:rsidR="000F458B" w:rsidRPr="000F458B" w:rsidRDefault="000F458B" w:rsidP="003A0B2F">
            <w:pPr>
              <w:rPr>
                <w:rFonts w:ascii="Arial Narrow" w:hAnsi="Arial Narrow"/>
                <w:b/>
                <w:bCs/>
                <w:sz w:val="16"/>
                <w:szCs w:val="16"/>
              </w:rPr>
            </w:pPr>
            <w:r w:rsidRPr="000F458B">
              <w:rPr>
                <w:rFonts w:ascii="Arial Narrow" w:hAnsi="Arial Narrow"/>
                <w:b/>
                <w:bCs/>
                <w:sz w:val="16"/>
                <w:szCs w:val="16"/>
              </w:rPr>
              <w:t>Zvýšenie sadzby spotrebnej dane z liehu</w:t>
            </w:r>
          </w:p>
        </w:tc>
        <w:tc>
          <w:tcPr>
            <w:tcW w:w="700" w:type="dxa"/>
            <w:shd w:val="clear" w:color="auto" w:fill="DDEBF7"/>
            <w:vAlign w:val="center"/>
          </w:tcPr>
          <w:p w14:paraId="4F67D006" w14:textId="30710BE1"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5CA4454D" w14:textId="7BE1753A"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250393FC" w14:textId="135B1EA5" w:rsidR="000F458B" w:rsidRPr="000F458B" w:rsidRDefault="000F458B" w:rsidP="003A0B2F">
            <w:pPr>
              <w:jc w:val="center"/>
              <w:rPr>
                <w:rFonts w:ascii="Arial Narrow" w:hAnsi="Arial Narrow"/>
                <w:sz w:val="16"/>
                <w:szCs w:val="16"/>
              </w:rPr>
            </w:pPr>
            <w:r w:rsidRPr="000F458B">
              <w:rPr>
                <w:rFonts w:ascii="Arial Narrow" w:hAnsi="Arial Narrow"/>
                <w:sz w:val="16"/>
                <w:szCs w:val="16"/>
              </w:rPr>
              <w:t>0,03</w:t>
            </w:r>
          </w:p>
        </w:tc>
        <w:tc>
          <w:tcPr>
            <w:tcW w:w="706" w:type="dxa"/>
            <w:shd w:val="clear" w:color="auto" w:fill="DDEBF7"/>
            <w:vAlign w:val="center"/>
          </w:tcPr>
          <w:p w14:paraId="1550EB70" w14:textId="29B35B10" w:rsidR="000F458B" w:rsidRPr="000F458B" w:rsidRDefault="000F458B" w:rsidP="003A0B2F">
            <w:pPr>
              <w:jc w:val="center"/>
              <w:rPr>
                <w:rFonts w:ascii="Arial Narrow" w:hAnsi="Arial Narrow"/>
                <w:sz w:val="16"/>
                <w:szCs w:val="16"/>
              </w:rPr>
            </w:pPr>
            <w:r w:rsidRPr="000F458B">
              <w:rPr>
                <w:rFonts w:ascii="Arial Narrow" w:hAnsi="Arial Narrow"/>
                <w:sz w:val="16"/>
                <w:szCs w:val="16"/>
              </w:rPr>
              <w:t>0,02</w:t>
            </w:r>
          </w:p>
        </w:tc>
        <w:tc>
          <w:tcPr>
            <w:tcW w:w="706" w:type="dxa"/>
            <w:shd w:val="clear" w:color="auto" w:fill="DDEBF7"/>
            <w:vAlign w:val="center"/>
          </w:tcPr>
          <w:p w14:paraId="5C64E6B3" w14:textId="60B9345A"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654" w:type="dxa"/>
            <w:shd w:val="clear" w:color="auto" w:fill="DDEBF7"/>
            <w:vAlign w:val="center"/>
          </w:tcPr>
          <w:p w14:paraId="25F35804" w14:textId="3C1A3BBC"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r>
      <w:tr w:rsidR="003A0B2F" w14:paraId="45389AD0" w14:textId="77777777" w:rsidTr="003A0B2F">
        <w:trPr>
          <w:trHeight w:val="283"/>
        </w:trPr>
        <w:tc>
          <w:tcPr>
            <w:tcW w:w="362" w:type="dxa"/>
            <w:shd w:val="clear" w:color="auto" w:fill="DDEBF7"/>
            <w:vAlign w:val="center"/>
          </w:tcPr>
          <w:p w14:paraId="35C5F480" w14:textId="5572695F"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6</w:t>
            </w:r>
          </w:p>
        </w:tc>
        <w:tc>
          <w:tcPr>
            <w:tcW w:w="4469" w:type="dxa"/>
            <w:shd w:val="clear" w:color="auto" w:fill="DDEBF7"/>
            <w:vAlign w:val="center"/>
          </w:tcPr>
          <w:p w14:paraId="0641A141" w14:textId="214145B1" w:rsidR="000F458B" w:rsidRPr="000F458B" w:rsidRDefault="000F458B" w:rsidP="003A0B2F">
            <w:pPr>
              <w:rPr>
                <w:rFonts w:ascii="Arial Narrow" w:hAnsi="Arial Narrow"/>
                <w:b/>
                <w:bCs/>
                <w:sz w:val="16"/>
                <w:szCs w:val="16"/>
              </w:rPr>
            </w:pPr>
            <w:r w:rsidRPr="000F458B">
              <w:rPr>
                <w:rFonts w:ascii="Arial Narrow" w:hAnsi="Arial Narrow"/>
                <w:b/>
                <w:bCs/>
                <w:sz w:val="16"/>
                <w:szCs w:val="16"/>
              </w:rPr>
              <w:t>Úpravy odvodu a reformy II. piliera</w:t>
            </w:r>
          </w:p>
        </w:tc>
        <w:tc>
          <w:tcPr>
            <w:tcW w:w="700" w:type="dxa"/>
            <w:shd w:val="clear" w:color="auto" w:fill="DDEBF7"/>
            <w:vAlign w:val="center"/>
          </w:tcPr>
          <w:p w14:paraId="1ED3EA6B" w14:textId="601B6B85"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42D4E05D" w14:textId="16F8AD74"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7BB03349" w14:textId="5D22F057" w:rsidR="000F458B" w:rsidRPr="000F458B" w:rsidRDefault="000F458B" w:rsidP="003A0B2F">
            <w:pPr>
              <w:jc w:val="center"/>
              <w:rPr>
                <w:rFonts w:ascii="Arial Narrow" w:hAnsi="Arial Narrow"/>
                <w:sz w:val="16"/>
                <w:szCs w:val="16"/>
              </w:rPr>
            </w:pPr>
            <w:r w:rsidRPr="000F458B">
              <w:rPr>
                <w:rFonts w:ascii="Arial Narrow" w:hAnsi="Arial Narrow"/>
                <w:sz w:val="16"/>
                <w:szCs w:val="16"/>
              </w:rPr>
              <w:t>0,03</w:t>
            </w:r>
          </w:p>
        </w:tc>
        <w:tc>
          <w:tcPr>
            <w:tcW w:w="706" w:type="dxa"/>
            <w:shd w:val="clear" w:color="auto" w:fill="DDEBF7"/>
            <w:vAlign w:val="center"/>
          </w:tcPr>
          <w:p w14:paraId="31AC801D" w14:textId="206B1219" w:rsidR="000F458B" w:rsidRPr="000F458B" w:rsidRDefault="000F458B" w:rsidP="003A0B2F">
            <w:pPr>
              <w:jc w:val="center"/>
              <w:rPr>
                <w:rFonts w:ascii="Arial Narrow" w:hAnsi="Arial Narrow"/>
                <w:sz w:val="16"/>
                <w:szCs w:val="16"/>
              </w:rPr>
            </w:pPr>
            <w:r w:rsidRPr="000F458B">
              <w:rPr>
                <w:rFonts w:ascii="Arial Narrow" w:hAnsi="Arial Narrow"/>
                <w:sz w:val="16"/>
                <w:szCs w:val="16"/>
              </w:rPr>
              <w:t>0,28</w:t>
            </w:r>
          </w:p>
        </w:tc>
        <w:tc>
          <w:tcPr>
            <w:tcW w:w="706" w:type="dxa"/>
            <w:shd w:val="clear" w:color="auto" w:fill="DDEBF7"/>
            <w:vAlign w:val="center"/>
          </w:tcPr>
          <w:p w14:paraId="41BBB778" w14:textId="46A2106A" w:rsidR="000F458B" w:rsidRPr="000F458B" w:rsidRDefault="000F458B" w:rsidP="003A0B2F">
            <w:pPr>
              <w:jc w:val="center"/>
              <w:rPr>
                <w:rFonts w:ascii="Arial Narrow" w:hAnsi="Arial Narrow"/>
                <w:sz w:val="16"/>
                <w:szCs w:val="16"/>
              </w:rPr>
            </w:pPr>
            <w:r w:rsidRPr="000F458B">
              <w:rPr>
                <w:rFonts w:ascii="Arial Narrow" w:hAnsi="Arial Narrow"/>
                <w:sz w:val="16"/>
                <w:szCs w:val="16"/>
              </w:rPr>
              <w:t>-0,04</w:t>
            </w:r>
          </w:p>
        </w:tc>
        <w:tc>
          <w:tcPr>
            <w:tcW w:w="654" w:type="dxa"/>
            <w:shd w:val="clear" w:color="auto" w:fill="DDEBF7"/>
            <w:vAlign w:val="center"/>
          </w:tcPr>
          <w:p w14:paraId="597A55C0" w14:textId="525C8959"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r>
      <w:tr w:rsidR="003A0B2F" w14:paraId="6F500A94" w14:textId="77777777" w:rsidTr="003A0B2F">
        <w:trPr>
          <w:trHeight w:val="283"/>
        </w:trPr>
        <w:tc>
          <w:tcPr>
            <w:tcW w:w="362" w:type="dxa"/>
            <w:shd w:val="clear" w:color="auto" w:fill="DDEBF7"/>
            <w:vAlign w:val="center"/>
          </w:tcPr>
          <w:p w14:paraId="244D54CD" w14:textId="430E092D"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7</w:t>
            </w:r>
          </w:p>
        </w:tc>
        <w:tc>
          <w:tcPr>
            <w:tcW w:w="4469" w:type="dxa"/>
            <w:shd w:val="clear" w:color="auto" w:fill="DDEBF7"/>
            <w:vAlign w:val="center"/>
          </w:tcPr>
          <w:p w14:paraId="45BB0DEB" w14:textId="0C82E821" w:rsidR="000F458B" w:rsidRPr="000F458B" w:rsidRDefault="000F458B" w:rsidP="003A0B2F">
            <w:pPr>
              <w:rPr>
                <w:rFonts w:ascii="Arial Narrow" w:hAnsi="Arial Narrow"/>
                <w:b/>
                <w:bCs/>
                <w:sz w:val="16"/>
                <w:szCs w:val="16"/>
              </w:rPr>
            </w:pPr>
            <w:r w:rsidRPr="000F458B">
              <w:rPr>
                <w:rFonts w:ascii="Arial Narrow" w:hAnsi="Arial Narrow"/>
                <w:b/>
                <w:bCs/>
                <w:sz w:val="16"/>
                <w:szCs w:val="16"/>
              </w:rPr>
              <w:t>Zvýšenie sadzby zdravotného poistného zamestnávateľa o 1 p. b.</w:t>
            </w:r>
          </w:p>
        </w:tc>
        <w:tc>
          <w:tcPr>
            <w:tcW w:w="700" w:type="dxa"/>
            <w:shd w:val="clear" w:color="auto" w:fill="DDEBF7"/>
            <w:vAlign w:val="center"/>
          </w:tcPr>
          <w:p w14:paraId="3411DB38" w14:textId="150FF93B"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2C13CDEF" w14:textId="20D90B9A"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0ED01475" w14:textId="419ECB24"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5FAD7CAE" w14:textId="03E406C3" w:rsidR="000F458B" w:rsidRPr="000F458B" w:rsidRDefault="000F458B" w:rsidP="003A0B2F">
            <w:pPr>
              <w:jc w:val="center"/>
              <w:rPr>
                <w:rFonts w:ascii="Arial Narrow" w:hAnsi="Arial Narrow"/>
                <w:sz w:val="16"/>
                <w:szCs w:val="16"/>
              </w:rPr>
            </w:pPr>
            <w:r w:rsidRPr="000F458B">
              <w:rPr>
                <w:rFonts w:ascii="Arial Narrow" w:hAnsi="Arial Narrow"/>
                <w:sz w:val="16"/>
                <w:szCs w:val="16"/>
              </w:rPr>
              <w:t>0,27</w:t>
            </w:r>
          </w:p>
        </w:tc>
        <w:tc>
          <w:tcPr>
            <w:tcW w:w="706" w:type="dxa"/>
            <w:shd w:val="clear" w:color="auto" w:fill="DDEBF7"/>
            <w:vAlign w:val="center"/>
          </w:tcPr>
          <w:p w14:paraId="1D95178C" w14:textId="5DE422C8"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654" w:type="dxa"/>
            <w:shd w:val="clear" w:color="auto" w:fill="DDEBF7"/>
            <w:vAlign w:val="center"/>
          </w:tcPr>
          <w:p w14:paraId="7BB524C1" w14:textId="1417387D"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r>
      <w:tr w:rsidR="003A0B2F" w14:paraId="18017541" w14:textId="77777777" w:rsidTr="003A0B2F">
        <w:trPr>
          <w:trHeight w:val="283"/>
        </w:trPr>
        <w:tc>
          <w:tcPr>
            <w:tcW w:w="362" w:type="dxa"/>
            <w:shd w:val="clear" w:color="auto" w:fill="DDEBF7"/>
            <w:vAlign w:val="center"/>
          </w:tcPr>
          <w:p w14:paraId="4BAABEA3" w14:textId="59DEC11D"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8</w:t>
            </w:r>
          </w:p>
        </w:tc>
        <w:tc>
          <w:tcPr>
            <w:tcW w:w="4469" w:type="dxa"/>
            <w:shd w:val="clear" w:color="auto" w:fill="DDEBF7"/>
            <w:vAlign w:val="center"/>
          </w:tcPr>
          <w:p w14:paraId="70605AFD" w14:textId="51A36E18" w:rsidR="000F458B" w:rsidRPr="000F458B" w:rsidRDefault="000F458B" w:rsidP="003A0B2F">
            <w:pPr>
              <w:rPr>
                <w:rFonts w:ascii="Arial Narrow" w:hAnsi="Arial Narrow"/>
                <w:b/>
                <w:bCs/>
                <w:sz w:val="16"/>
                <w:szCs w:val="16"/>
              </w:rPr>
            </w:pPr>
            <w:r w:rsidRPr="000F458B">
              <w:rPr>
                <w:rFonts w:ascii="Arial Narrow" w:hAnsi="Arial Narrow"/>
                <w:b/>
                <w:bCs/>
                <w:sz w:val="16"/>
                <w:szCs w:val="16"/>
              </w:rPr>
              <w:t>Zavedenie spotrebnej dane zo sladených nápojov</w:t>
            </w:r>
          </w:p>
        </w:tc>
        <w:tc>
          <w:tcPr>
            <w:tcW w:w="700" w:type="dxa"/>
            <w:shd w:val="clear" w:color="auto" w:fill="DDEBF7"/>
            <w:vAlign w:val="center"/>
          </w:tcPr>
          <w:p w14:paraId="3B8F8BB4" w14:textId="05C37287"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0CEF5288" w14:textId="360D566C"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543DF296" w14:textId="38B93B9C"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679053C2" w14:textId="3530A95D"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26EA2F91" w14:textId="26DE1886" w:rsidR="000F458B" w:rsidRPr="000F458B" w:rsidRDefault="000F458B" w:rsidP="003A0B2F">
            <w:pPr>
              <w:jc w:val="center"/>
              <w:rPr>
                <w:rFonts w:ascii="Arial Narrow" w:hAnsi="Arial Narrow"/>
                <w:sz w:val="16"/>
                <w:szCs w:val="16"/>
              </w:rPr>
            </w:pPr>
            <w:r w:rsidRPr="000F458B">
              <w:rPr>
                <w:rFonts w:ascii="Arial Narrow" w:hAnsi="Arial Narrow"/>
                <w:sz w:val="16"/>
                <w:szCs w:val="16"/>
              </w:rPr>
              <w:t>0,08</w:t>
            </w:r>
          </w:p>
        </w:tc>
        <w:tc>
          <w:tcPr>
            <w:tcW w:w="654" w:type="dxa"/>
            <w:shd w:val="clear" w:color="auto" w:fill="DDEBF7"/>
            <w:vAlign w:val="center"/>
          </w:tcPr>
          <w:p w14:paraId="012F8B59" w14:textId="315F87F3"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r>
      <w:tr w:rsidR="003A0B2F" w14:paraId="1898CFB3" w14:textId="77777777" w:rsidTr="003A0B2F">
        <w:trPr>
          <w:trHeight w:val="283"/>
        </w:trPr>
        <w:tc>
          <w:tcPr>
            <w:tcW w:w="362" w:type="dxa"/>
            <w:shd w:val="clear" w:color="auto" w:fill="DDEBF7"/>
            <w:vAlign w:val="center"/>
          </w:tcPr>
          <w:p w14:paraId="0F7DE482" w14:textId="38EF42C1"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9</w:t>
            </w:r>
          </w:p>
        </w:tc>
        <w:tc>
          <w:tcPr>
            <w:tcW w:w="4469" w:type="dxa"/>
            <w:shd w:val="clear" w:color="auto" w:fill="DDEBF7"/>
            <w:vAlign w:val="center"/>
          </w:tcPr>
          <w:p w14:paraId="6BB40E3D" w14:textId="4DE0B8E9" w:rsidR="000F458B" w:rsidRPr="000F458B" w:rsidRDefault="000F458B" w:rsidP="003A0B2F">
            <w:pPr>
              <w:rPr>
                <w:rFonts w:ascii="Arial Narrow" w:hAnsi="Arial Narrow"/>
                <w:b/>
                <w:bCs/>
                <w:sz w:val="16"/>
                <w:szCs w:val="16"/>
              </w:rPr>
            </w:pPr>
            <w:r w:rsidRPr="000F458B">
              <w:rPr>
                <w:rFonts w:ascii="Arial Narrow" w:hAnsi="Arial Narrow"/>
                <w:b/>
                <w:bCs/>
                <w:sz w:val="16"/>
                <w:szCs w:val="16"/>
              </w:rPr>
              <w:t>Zvýšenie spotrebných daní z tabakových a súvisiacich výrobkov</w:t>
            </w:r>
          </w:p>
        </w:tc>
        <w:tc>
          <w:tcPr>
            <w:tcW w:w="700" w:type="dxa"/>
            <w:shd w:val="clear" w:color="auto" w:fill="DDEBF7"/>
            <w:vAlign w:val="center"/>
          </w:tcPr>
          <w:p w14:paraId="75933125" w14:textId="41229178"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2AD1435E" w14:textId="663385BA"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3912286B" w14:textId="619E284E" w:rsidR="000F458B" w:rsidRPr="000F458B" w:rsidRDefault="000F458B" w:rsidP="003A0B2F">
            <w:pPr>
              <w:jc w:val="center"/>
              <w:rPr>
                <w:rFonts w:ascii="Arial Narrow" w:hAnsi="Arial Narrow"/>
                <w:sz w:val="16"/>
                <w:szCs w:val="16"/>
              </w:rPr>
            </w:pPr>
            <w:r w:rsidRPr="000F458B">
              <w:rPr>
                <w:rFonts w:ascii="Arial Narrow" w:hAnsi="Arial Narrow"/>
                <w:sz w:val="16"/>
                <w:szCs w:val="16"/>
              </w:rPr>
              <w:t>0,01</w:t>
            </w:r>
          </w:p>
        </w:tc>
        <w:tc>
          <w:tcPr>
            <w:tcW w:w="706" w:type="dxa"/>
            <w:shd w:val="clear" w:color="auto" w:fill="DDEBF7"/>
            <w:vAlign w:val="center"/>
          </w:tcPr>
          <w:p w14:paraId="08A55E5A" w14:textId="0B7D1C38" w:rsidR="000F458B" w:rsidRPr="000F458B" w:rsidRDefault="000F458B" w:rsidP="003A0B2F">
            <w:pPr>
              <w:jc w:val="center"/>
              <w:rPr>
                <w:rFonts w:ascii="Arial Narrow" w:hAnsi="Arial Narrow"/>
                <w:sz w:val="16"/>
                <w:szCs w:val="16"/>
              </w:rPr>
            </w:pPr>
            <w:r w:rsidRPr="000F458B">
              <w:rPr>
                <w:rFonts w:ascii="Arial Narrow" w:hAnsi="Arial Narrow"/>
                <w:sz w:val="16"/>
                <w:szCs w:val="16"/>
              </w:rPr>
              <w:t>0,08</w:t>
            </w:r>
          </w:p>
        </w:tc>
        <w:tc>
          <w:tcPr>
            <w:tcW w:w="706" w:type="dxa"/>
            <w:shd w:val="clear" w:color="auto" w:fill="DDEBF7"/>
            <w:vAlign w:val="center"/>
          </w:tcPr>
          <w:p w14:paraId="4B214F21" w14:textId="59B048B0" w:rsidR="000F458B" w:rsidRPr="000F458B" w:rsidRDefault="000F458B" w:rsidP="003A0B2F">
            <w:pPr>
              <w:jc w:val="center"/>
              <w:rPr>
                <w:rFonts w:ascii="Arial Narrow" w:hAnsi="Arial Narrow"/>
                <w:sz w:val="16"/>
                <w:szCs w:val="16"/>
              </w:rPr>
            </w:pPr>
            <w:r w:rsidRPr="000F458B">
              <w:rPr>
                <w:rFonts w:ascii="Arial Narrow" w:hAnsi="Arial Narrow"/>
                <w:sz w:val="16"/>
                <w:szCs w:val="16"/>
              </w:rPr>
              <w:t>0,03</w:t>
            </w:r>
          </w:p>
        </w:tc>
        <w:tc>
          <w:tcPr>
            <w:tcW w:w="654" w:type="dxa"/>
            <w:shd w:val="clear" w:color="auto" w:fill="DDEBF7"/>
            <w:vAlign w:val="center"/>
          </w:tcPr>
          <w:p w14:paraId="57E573D0" w14:textId="5AE1788E" w:rsidR="000F458B" w:rsidRPr="000F458B" w:rsidRDefault="000F458B" w:rsidP="003A0B2F">
            <w:pPr>
              <w:jc w:val="center"/>
              <w:rPr>
                <w:rFonts w:ascii="Arial Narrow" w:hAnsi="Arial Narrow"/>
                <w:sz w:val="16"/>
                <w:szCs w:val="16"/>
              </w:rPr>
            </w:pPr>
            <w:r w:rsidRPr="000F458B">
              <w:rPr>
                <w:rFonts w:ascii="Arial Narrow" w:hAnsi="Arial Narrow"/>
                <w:sz w:val="16"/>
                <w:szCs w:val="16"/>
              </w:rPr>
              <w:t>0,07</w:t>
            </w:r>
          </w:p>
        </w:tc>
      </w:tr>
      <w:tr w:rsidR="003A0B2F" w14:paraId="7E379718" w14:textId="77777777" w:rsidTr="003A0B2F">
        <w:trPr>
          <w:trHeight w:val="283"/>
        </w:trPr>
        <w:tc>
          <w:tcPr>
            <w:tcW w:w="362" w:type="dxa"/>
            <w:shd w:val="clear" w:color="auto" w:fill="DDEBF7"/>
            <w:vAlign w:val="center"/>
          </w:tcPr>
          <w:p w14:paraId="188B6FE4" w14:textId="16DAB9A7"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10</w:t>
            </w:r>
          </w:p>
        </w:tc>
        <w:tc>
          <w:tcPr>
            <w:tcW w:w="4469" w:type="dxa"/>
            <w:shd w:val="clear" w:color="auto" w:fill="DDEBF7"/>
            <w:vAlign w:val="center"/>
          </w:tcPr>
          <w:p w14:paraId="3850325B" w14:textId="6010FBE1" w:rsidR="000F458B" w:rsidRPr="000F458B" w:rsidRDefault="000F458B" w:rsidP="003A0B2F">
            <w:pPr>
              <w:rPr>
                <w:rFonts w:ascii="Arial Narrow" w:hAnsi="Arial Narrow"/>
                <w:b/>
                <w:bCs/>
                <w:sz w:val="16"/>
                <w:szCs w:val="16"/>
              </w:rPr>
            </w:pPr>
            <w:r w:rsidRPr="000F458B">
              <w:rPr>
                <w:rFonts w:ascii="Arial Narrow" w:hAnsi="Arial Narrow"/>
                <w:b/>
                <w:bCs/>
                <w:sz w:val="16"/>
                <w:szCs w:val="16"/>
              </w:rPr>
              <w:t>Zvýšenie dane z príjmov právnických osôb na 24 %</w:t>
            </w:r>
          </w:p>
        </w:tc>
        <w:tc>
          <w:tcPr>
            <w:tcW w:w="700" w:type="dxa"/>
            <w:shd w:val="clear" w:color="auto" w:fill="DDEBF7"/>
            <w:vAlign w:val="center"/>
          </w:tcPr>
          <w:p w14:paraId="77A88D32" w14:textId="069BDA22"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183DA397" w14:textId="240BF357"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0FB9850A" w14:textId="798311CA"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5B31986A" w14:textId="344E73A3"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18B0F4CD" w14:textId="40B6F46E" w:rsidR="000F458B" w:rsidRPr="000F458B" w:rsidRDefault="000F458B" w:rsidP="003A0B2F">
            <w:pPr>
              <w:jc w:val="center"/>
              <w:rPr>
                <w:rFonts w:ascii="Arial Narrow" w:hAnsi="Arial Narrow"/>
                <w:sz w:val="16"/>
                <w:szCs w:val="16"/>
              </w:rPr>
            </w:pPr>
            <w:r w:rsidRPr="000F458B">
              <w:rPr>
                <w:rFonts w:ascii="Arial Narrow" w:hAnsi="Arial Narrow"/>
                <w:sz w:val="16"/>
                <w:szCs w:val="16"/>
              </w:rPr>
              <w:t>0,29</w:t>
            </w:r>
          </w:p>
        </w:tc>
        <w:tc>
          <w:tcPr>
            <w:tcW w:w="654" w:type="dxa"/>
            <w:shd w:val="clear" w:color="auto" w:fill="DDEBF7"/>
            <w:vAlign w:val="center"/>
          </w:tcPr>
          <w:p w14:paraId="57AC0B3A" w14:textId="45CBECFD"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r>
      <w:tr w:rsidR="003A0B2F" w14:paraId="0FF54CF7" w14:textId="77777777" w:rsidTr="003A0B2F">
        <w:trPr>
          <w:trHeight w:val="283"/>
        </w:trPr>
        <w:tc>
          <w:tcPr>
            <w:tcW w:w="362" w:type="dxa"/>
            <w:shd w:val="clear" w:color="auto" w:fill="DDEBF7"/>
            <w:vAlign w:val="center"/>
          </w:tcPr>
          <w:p w14:paraId="431DF0F7" w14:textId="3B4F7543"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11</w:t>
            </w:r>
          </w:p>
        </w:tc>
        <w:tc>
          <w:tcPr>
            <w:tcW w:w="4469" w:type="dxa"/>
            <w:shd w:val="clear" w:color="auto" w:fill="DDEBF7"/>
            <w:vAlign w:val="center"/>
          </w:tcPr>
          <w:p w14:paraId="6EB20314" w14:textId="72524C86" w:rsidR="000F458B" w:rsidRPr="000F458B" w:rsidRDefault="000F458B" w:rsidP="003A0B2F">
            <w:pPr>
              <w:rPr>
                <w:rFonts w:ascii="Arial Narrow" w:hAnsi="Arial Narrow"/>
                <w:b/>
                <w:bCs/>
                <w:sz w:val="16"/>
                <w:szCs w:val="16"/>
              </w:rPr>
            </w:pPr>
            <w:r w:rsidRPr="000F458B">
              <w:rPr>
                <w:rFonts w:ascii="Arial Narrow" w:hAnsi="Arial Narrow"/>
                <w:b/>
                <w:bCs/>
                <w:sz w:val="16"/>
                <w:szCs w:val="16"/>
              </w:rPr>
              <w:t>Úprava cien diaľničných známok, mýta (Eurovignette) a daní z vozidiel</w:t>
            </w:r>
          </w:p>
        </w:tc>
        <w:tc>
          <w:tcPr>
            <w:tcW w:w="700" w:type="dxa"/>
            <w:shd w:val="clear" w:color="auto" w:fill="DDEBF7"/>
            <w:vAlign w:val="center"/>
          </w:tcPr>
          <w:p w14:paraId="3E2CFDD1" w14:textId="5A4EB1EE"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5F1215F6" w14:textId="180CDE0A"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53E172CE" w14:textId="40AEF2A9" w:rsidR="000F458B" w:rsidRPr="000F458B" w:rsidRDefault="000F458B" w:rsidP="003A0B2F">
            <w:pPr>
              <w:jc w:val="center"/>
              <w:rPr>
                <w:rFonts w:ascii="Arial Narrow" w:hAnsi="Arial Narrow"/>
                <w:sz w:val="16"/>
                <w:szCs w:val="16"/>
              </w:rPr>
            </w:pPr>
            <w:r w:rsidRPr="000F458B">
              <w:rPr>
                <w:rFonts w:ascii="Arial Narrow" w:hAnsi="Arial Narrow"/>
                <w:sz w:val="16"/>
                <w:szCs w:val="16"/>
              </w:rPr>
              <w:t>0,01</w:t>
            </w:r>
          </w:p>
        </w:tc>
        <w:tc>
          <w:tcPr>
            <w:tcW w:w="706" w:type="dxa"/>
            <w:shd w:val="clear" w:color="auto" w:fill="DDEBF7"/>
            <w:vAlign w:val="center"/>
          </w:tcPr>
          <w:p w14:paraId="0AFE2D05" w14:textId="12A00CBF" w:rsidR="000F458B" w:rsidRPr="000F458B" w:rsidRDefault="000F458B" w:rsidP="003A0B2F">
            <w:pPr>
              <w:jc w:val="center"/>
              <w:rPr>
                <w:rFonts w:ascii="Arial Narrow" w:hAnsi="Arial Narrow"/>
                <w:sz w:val="16"/>
                <w:szCs w:val="16"/>
              </w:rPr>
            </w:pPr>
            <w:r w:rsidRPr="000F458B">
              <w:rPr>
                <w:rFonts w:ascii="Arial Narrow" w:hAnsi="Arial Narrow"/>
                <w:sz w:val="16"/>
                <w:szCs w:val="16"/>
              </w:rPr>
              <w:t>-0,01</w:t>
            </w:r>
          </w:p>
        </w:tc>
        <w:tc>
          <w:tcPr>
            <w:tcW w:w="706" w:type="dxa"/>
            <w:shd w:val="clear" w:color="auto" w:fill="DDEBF7"/>
            <w:vAlign w:val="center"/>
          </w:tcPr>
          <w:p w14:paraId="5411C6AC" w14:textId="2115BC94" w:rsidR="000F458B" w:rsidRPr="000F458B" w:rsidRDefault="000F458B" w:rsidP="003A0B2F">
            <w:pPr>
              <w:jc w:val="center"/>
              <w:rPr>
                <w:rFonts w:ascii="Arial Narrow" w:hAnsi="Arial Narrow"/>
                <w:sz w:val="16"/>
                <w:szCs w:val="16"/>
              </w:rPr>
            </w:pPr>
            <w:r w:rsidRPr="000F458B">
              <w:rPr>
                <w:rFonts w:ascii="Arial Narrow" w:hAnsi="Arial Narrow"/>
                <w:sz w:val="16"/>
                <w:szCs w:val="16"/>
              </w:rPr>
              <w:t>0,04</w:t>
            </w:r>
          </w:p>
        </w:tc>
        <w:tc>
          <w:tcPr>
            <w:tcW w:w="654" w:type="dxa"/>
            <w:shd w:val="clear" w:color="auto" w:fill="DDEBF7"/>
            <w:vAlign w:val="center"/>
          </w:tcPr>
          <w:p w14:paraId="48FF949E" w14:textId="59F02E4A" w:rsidR="000F458B" w:rsidRPr="000F458B" w:rsidRDefault="000F458B" w:rsidP="003A0B2F">
            <w:pPr>
              <w:jc w:val="center"/>
              <w:rPr>
                <w:rFonts w:ascii="Arial Narrow" w:hAnsi="Arial Narrow"/>
                <w:sz w:val="16"/>
                <w:szCs w:val="16"/>
              </w:rPr>
            </w:pPr>
            <w:r w:rsidRPr="000F458B">
              <w:rPr>
                <w:rFonts w:ascii="Arial Narrow" w:hAnsi="Arial Narrow"/>
                <w:sz w:val="16"/>
                <w:szCs w:val="16"/>
              </w:rPr>
              <w:t>0,03</w:t>
            </w:r>
          </w:p>
        </w:tc>
      </w:tr>
      <w:tr w:rsidR="003A0B2F" w14:paraId="6F18DADC" w14:textId="77777777" w:rsidTr="003A0B2F">
        <w:trPr>
          <w:trHeight w:val="283"/>
        </w:trPr>
        <w:tc>
          <w:tcPr>
            <w:tcW w:w="362" w:type="dxa"/>
            <w:shd w:val="clear" w:color="auto" w:fill="DDEBF7"/>
            <w:vAlign w:val="center"/>
          </w:tcPr>
          <w:p w14:paraId="21F05723" w14:textId="6E2CB362"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12</w:t>
            </w:r>
          </w:p>
        </w:tc>
        <w:tc>
          <w:tcPr>
            <w:tcW w:w="4469" w:type="dxa"/>
            <w:shd w:val="clear" w:color="auto" w:fill="DDEBF7"/>
            <w:vAlign w:val="center"/>
          </w:tcPr>
          <w:p w14:paraId="1C4B92D0" w14:textId="43EAA306" w:rsidR="000F458B" w:rsidRPr="000F458B" w:rsidRDefault="000F458B" w:rsidP="003A0B2F">
            <w:pPr>
              <w:rPr>
                <w:rFonts w:ascii="Arial Narrow" w:hAnsi="Arial Narrow"/>
                <w:b/>
                <w:bCs/>
                <w:sz w:val="16"/>
                <w:szCs w:val="16"/>
              </w:rPr>
            </w:pPr>
            <w:r w:rsidRPr="000F458B">
              <w:rPr>
                <w:rFonts w:ascii="Arial Narrow" w:hAnsi="Arial Narrow"/>
                <w:b/>
                <w:bCs/>
                <w:sz w:val="16"/>
                <w:szCs w:val="16"/>
              </w:rPr>
              <w:t>Zvýšenie stropov pre platenie sociálnych odvodov</w:t>
            </w:r>
          </w:p>
        </w:tc>
        <w:tc>
          <w:tcPr>
            <w:tcW w:w="700" w:type="dxa"/>
            <w:shd w:val="clear" w:color="auto" w:fill="DDEBF7"/>
            <w:vAlign w:val="center"/>
          </w:tcPr>
          <w:p w14:paraId="1A4BF8C7" w14:textId="1B7CF0BA"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6F939B25" w14:textId="232BD75B"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0CB3C4C5" w14:textId="63F171FB"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67906373" w14:textId="40AEA5AA"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29442139" w14:textId="071651CA" w:rsidR="000F458B" w:rsidRPr="000F458B" w:rsidRDefault="000F458B" w:rsidP="003A0B2F">
            <w:pPr>
              <w:jc w:val="center"/>
              <w:rPr>
                <w:rFonts w:ascii="Arial Narrow" w:hAnsi="Arial Narrow"/>
                <w:sz w:val="16"/>
                <w:szCs w:val="16"/>
              </w:rPr>
            </w:pPr>
            <w:r w:rsidRPr="000F458B">
              <w:rPr>
                <w:rFonts w:ascii="Arial Narrow" w:hAnsi="Arial Narrow"/>
                <w:sz w:val="16"/>
                <w:szCs w:val="16"/>
              </w:rPr>
              <w:t>0,06</w:t>
            </w:r>
          </w:p>
        </w:tc>
        <w:tc>
          <w:tcPr>
            <w:tcW w:w="654" w:type="dxa"/>
            <w:shd w:val="clear" w:color="auto" w:fill="DDEBF7"/>
            <w:vAlign w:val="center"/>
          </w:tcPr>
          <w:p w14:paraId="35BB5782" w14:textId="7E4C5C7D"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r>
      <w:tr w:rsidR="003A0B2F" w14:paraId="08DB34EF" w14:textId="77777777" w:rsidTr="003A0B2F">
        <w:trPr>
          <w:trHeight w:val="283"/>
        </w:trPr>
        <w:tc>
          <w:tcPr>
            <w:tcW w:w="362" w:type="dxa"/>
            <w:shd w:val="clear" w:color="auto" w:fill="DDEBF7"/>
            <w:vAlign w:val="center"/>
          </w:tcPr>
          <w:p w14:paraId="5A764963" w14:textId="52852AC2"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13</w:t>
            </w:r>
          </w:p>
        </w:tc>
        <w:tc>
          <w:tcPr>
            <w:tcW w:w="4469" w:type="dxa"/>
            <w:shd w:val="clear" w:color="auto" w:fill="DDEBF7"/>
            <w:vAlign w:val="center"/>
          </w:tcPr>
          <w:p w14:paraId="06EA4C8F" w14:textId="59C63E59" w:rsidR="000F458B" w:rsidRPr="000F458B" w:rsidRDefault="000F458B" w:rsidP="003A0B2F">
            <w:pPr>
              <w:rPr>
                <w:rFonts w:ascii="Arial Narrow" w:hAnsi="Arial Narrow"/>
                <w:b/>
                <w:bCs/>
                <w:sz w:val="16"/>
                <w:szCs w:val="16"/>
              </w:rPr>
            </w:pPr>
            <w:r w:rsidRPr="000F458B">
              <w:rPr>
                <w:rFonts w:ascii="Arial Narrow" w:hAnsi="Arial Narrow"/>
                <w:b/>
                <w:bCs/>
                <w:sz w:val="16"/>
                <w:szCs w:val="16"/>
              </w:rPr>
              <w:t>Odvodové úľavy pre sezónne práce (OOP), poľnohosp. a potravinárstvo</w:t>
            </w:r>
          </w:p>
        </w:tc>
        <w:tc>
          <w:tcPr>
            <w:tcW w:w="700" w:type="dxa"/>
            <w:shd w:val="clear" w:color="auto" w:fill="DDEBF7"/>
            <w:vAlign w:val="center"/>
          </w:tcPr>
          <w:p w14:paraId="6587CB82" w14:textId="2552CF6D"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259737F5" w14:textId="74EC3C12"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354A83E7" w14:textId="25C97693" w:rsidR="000F458B" w:rsidRPr="000F458B" w:rsidRDefault="000F458B" w:rsidP="003A0B2F">
            <w:pPr>
              <w:jc w:val="center"/>
              <w:rPr>
                <w:rFonts w:ascii="Arial Narrow" w:hAnsi="Arial Narrow"/>
                <w:sz w:val="16"/>
                <w:szCs w:val="16"/>
              </w:rPr>
            </w:pPr>
            <w:r w:rsidRPr="000F458B">
              <w:rPr>
                <w:rFonts w:ascii="Arial Narrow" w:hAnsi="Arial Narrow"/>
                <w:sz w:val="16"/>
                <w:szCs w:val="16"/>
              </w:rPr>
              <w:t>-0,03</w:t>
            </w:r>
          </w:p>
        </w:tc>
        <w:tc>
          <w:tcPr>
            <w:tcW w:w="706" w:type="dxa"/>
            <w:shd w:val="clear" w:color="auto" w:fill="DDEBF7"/>
            <w:vAlign w:val="center"/>
          </w:tcPr>
          <w:p w14:paraId="06B2FCDA" w14:textId="3CD6BEF1" w:rsidR="000F458B" w:rsidRPr="000F458B" w:rsidRDefault="000F458B" w:rsidP="003A0B2F">
            <w:pPr>
              <w:jc w:val="center"/>
              <w:rPr>
                <w:rFonts w:ascii="Arial Narrow" w:hAnsi="Arial Narrow"/>
                <w:sz w:val="16"/>
                <w:szCs w:val="16"/>
              </w:rPr>
            </w:pPr>
            <w:r w:rsidRPr="000F458B">
              <w:rPr>
                <w:rFonts w:ascii="Arial Narrow" w:hAnsi="Arial Narrow"/>
                <w:sz w:val="16"/>
                <w:szCs w:val="16"/>
              </w:rPr>
              <w:t>-0,02</w:t>
            </w:r>
          </w:p>
        </w:tc>
        <w:tc>
          <w:tcPr>
            <w:tcW w:w="706" w:type="dxa"/>
            <w:shd w:val="clear" w:color="auto" w:fill="DDEBF7"/>
            <w:vAlign w:val="center"/>
          </w:tcPr>
          <w:p w14:paraId="1B9AF90F" w14:textId="1567FFB7" w:rsidR="000F458B" w:rsidRPr="000F458B" w:rsidRDefault="000F458B" w:rsidP="003A0B2F">
            <w:pPr>
              <w:jc w:val="center"/>
              <w:rPr>
                <w:rFonts w:ascii="Arial Narrow" w:hAnsi="Arial Narrow"/>
                <w:sz w:val="16"/>
                <w:szCs w:val="16"/>
              </w:rPr>
            </w:pPr>
            <w:r w:rsidRPr="000F458B">
              <w:rPr>
                <w:rFonts w:ascii="Arial Narrow" w:hAnsi="Arial Narrow"/>
                <w:sz w:val="16"/>
                <w:szCs w:val="16"/>
              </w:rPr>
              <w:t>0,03</w:t>
            </w:r>
          </w:p>
        </w:tc>
        <w:tc>
          <w:tcPr>
            <w:tcW w:w="654" w:type="dxa"/>
            <w:shd w:val="clear" w:color="auto" w:fill="DDEBF7"/>
            <w:vAlign w:val="center"/>
          </w:tcPr>
          <w:p w14:paraId="23518154" w14:textId="51C9D2FD"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r>
      <w:tr w:rsidR="003A0B2F" w14:paraId="50E9811E" w14:textId="77777777" w:rsidTr="003A0B2F">
        <w:trPr>
          <w:trHeight w:val="283"/>
        </w:trPr>
        <w:tc>
          <w:tcPr>
            <w:tcW w:w="362" w:type="dxa"/>
            <w:shd w:val="clear" w:color="auto" w:fill="DDEBF7"/>
            <w:vAlign w:val="center"/>
          </w:tcPr>
          <w:p w14:paraId="2763BF34" w14:textId="46B02700"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14</w:t>
            </w:r>
          </w:p>
        </w:tc>
        <w:tc>
          <w:tcPr>
            <w:tcW w:w="4469" w:type="dxa"/>
            <w:shd w:val="clear" w:color="auto" w:fill="DDEBF7"/>
            <w:vAlign w:val="center"/>
          </w:tcPr>
          <w:p w14:paraId="38AAEE1B" w14:textId="6ED504D6" w:rsidR="000F458B" w:rsidRPr="000F458B" w:rsidRDefault="000F458B" w:rsidP="003A0B2F">
            <w:pPr>
              <w:rPr>
                <w:rFonts w:ascii="Arial Narrow" w:hAnsi="Arial Narrow"/>
                <w:b/>
                <w:bCs/>
                <w:sz w:val="16"/>
                <w:szCs w:val="16"/>
              </w:rPr>
            </w:pPr>
            <w:r w:rsidRPr="000F458B">
              <w:rPr>
                <w:rFonts w:ascii="Arial Narrow" w:hAnsi="Arial Narrow"/>
                <w:b/>
                <w:bCs/>
                <w:sz w:val="16"/>
                <w:szCs w:val="16"/>
              </w:rPr>
              <w:t>Polovičný odpočet DPH na podnikové autá pri súkromnom užívaní</w:t>
            </w:r>
          </w:p>
        </w:tc>
        <w:tc>
          <w:tcPr>
            <w:tcW w:w="700" w:type="dxa"/>
            <w:shd w:val="clear" w:color="auto" w:fill="DDEBF7"/>
            <w:vAlign w:val="center"/>
          </w:tcPr>
          <w:p w14:paraId="107D4ED7" w14:textId="7D277DC6"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32463718" w14:textId="6F1114D4"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4ABC54E8" w14:textId="7D590B9D"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3612232C" w14:textId="5C1F76F3"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70DC0F1F" w14:textId="3E233E4A"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654" w:type="dxa"/>
            <w:shd w:val="clear" w:color="auto" w:fill="DDEBF7"/>
            <w:vAlign w:val="center"/>
          </w:tcPr>
          <w:p w14:paraId="453D04AF" w14:textId="691979F1" w:rsidR="000F458B" w:rsidRPr="000F458B" w:rsidRDefault="000F458B" w:rsidP="003A0B2F">
            <w:pPr>
              <w:jc w:val="center"/>
              <w:rPr>
                <w:rFonts w:ascii="Arial Narrow" w:hAnsi="Arial Narrow"/>
                <w:sz w:val="16"/>
                <w:szCs w:val="16"/>
              </w:rPr>
            </w:pPr>
            <w:r w:rsidRPr="000F458B">
              <w:rPr>
                <w:rFonts w:ascii="Arial Narrow" w:hAnsi="Arial Narrow"/>
                <w:sz w:val="16"/>
                <w:szCs w:val="16"/>
              </w:rPr>
              <w:t>0,06</w:t>
            </w:r>
          </w:p>
        </w:tc>
      </w:tr>
      <w:tr w:rsidR="003A0B2F" w14:paraId="17D7B8A0" w14:textId="77777777" w:rsidTr="003A0B2F">
        <w:trPr>
          <w:trHeight w:val="283"/>
        </w:trPr>
        <w:tc>
          <w:tcPr>
            <w:tcW w:w="362" w:type="dxa"/>
            <w:shd w:val="clear" w:color="auto" w:fill="DDEBF7"/>
            <w:vAlign w:val="center"/>
          </w:tcPr>
          <w:p w14:paraId="7DC1B563" w14:textId="11680352"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15</w:t>
            </w:r>
          </w:p>
        </w:tc>
        <w:tc>
          <w:tcPr>
            <w:tcW w:w="4469" w:type="dxa"/>
            <w:shd w:val="clear" w:color="auto" w:fill="DDEBF7"/>
            <w:vAlign w:val="center"/>
          </w:tcPr>
          <w:p w14:paraId="0B588F01" w14:textId="5E54226D" w:rsidR="000F458B" w:rsidRPr="000F458B" w:rsidRDefault="000F458B" w:rsidP="003A0B2F">
            <w:pPr>
              <w:rPr>
                <w:rFonts w:ascii="Arial Narrow" w:hAnsi="Arial Narrow"/>
                <w:b/>
                <w:bCs/>
                <w:sz w:val="16"/>
                <w:szCs w:val="16"/>
              </w:rPr>
            </w:pPr>
            <w:r w:rsidRPr="000F458B">
              <w:rPr>
                <w:rFonts w:ascii="Arial Narrow" w:hAnsi="Arial Narrow"/>
                <w:b/>
                <w:bCs/>
                <w:sz w:val="16"/>
                <w:szCs w:val="16"/>
              </w:rPr>
              <w:t>Daňová amnestia</w:t>
            </w:r>
          </w:p>
        </w:tc>
        <w:tc>
          <w:tcPr>
            <w:tcW w:w="700" w:type="dxa"/>
            <w:shd w:val="clear" w:color="auto" w:fill="DDEBF7"/>
            <w:vAlign w:val="center"/>
          </w:tcPr>
          <w:p w14:paraId="5F72CC8A" w14:textId="5CB98DEE"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521DA64B" w14:textId="5586D799"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5681751E" w14:textId="3109F741"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3F76F2FD" w14:textId="665F36F4"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5154ADC0" w14:textId="6DCC0D46"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654" w:type="dxa"/>
            <w:shd w:val="clear" w:color="auto" w:fill="DDEBF7"/>
            <w:vAlign w:val="center"/>
          </w:tcPr>
          <w:p w14:paraId="389A706C" w14:textId="48262014" w:rsidR="000F458B" w:rsidRPr="000F458B" w:rsidRDefault="000F458B" w:rsidP="003A0B2F">
            <w:pPr>
              <w:jc w:val="center"/>
              <w:rPr>
                <w:rFonts w:ascii="Arial Narrow" w:hAnsi="Arial Narrow"/>
                <w:sz w:val="16"/>
                <w:szCs w:val="16"/>
              </w:rPr>
            </w:pPr>
            <w:r w:rsidRPr="000F458B">
              <w:rPr>
                <w:rFonts w:ascii="Arial Narrow" w:hAnsi="Arial Narrow"/>
                <w:sz w:val="16"/>
                <w:szCs w:val="16"/>
              </w:rPr>
              <w:t>0,06</w:t>
            </w:r>
          </w:p>
        </w:tc>
      </w:tr>
      <w:tr w:rsidR="003A0B2F" w14:paraId="198AAC62" w14:textId="77777777" w:rsidTr="003A0B2F">
        <w:trPr>
          <w:trHeight w:val="283"/>
        </w:trPr>
        <w:tc>
          <w:tcPr>
            <w:tcW w:w="362" w:type="dxa"/>
            <w:shd w:val="clear" w:color="auto" w:fill="DDEBF7"/>
            <w:vAlign w:val="center"/>
          </w:tcPr>
          <w:p w14:paraId="0E41301B" w14:textId="79A97D99"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16</w:t>
            </w:r>
          </w:p>
        </w:tc>
        <w:tc>
          <w:tcPr>
            <w:tcW w:w="4469" w:type="dxa"/>
            <w:shd w:val="clear" w:color="auto" w:fill="DDEBF7"/>
            <w:vAlign w:val="center"/>
          </w:tcPr>
          <w:p w14:paraId="75DF2698" w14:textId="76444AB8" w:rsidR="000F458B" w:rsidRPr="000F458B" w:rsidRDefault="000F458B" w:rsidP="003A0B2F">
            <w:pPr>
              <w:rPr>
                <w:rFonts w:ascii="Arial Narrow" w:hAnsi="Arial Narrow"/>
                <w:b/>
                <w:bCs/>
                <w:sz w:val="16"/>
                <w:szCs w:val="16"/>
              </w:rPr>
            </w:pPr>
            <w:r w:rsidRPr="000F458B">
              <w:rPr>
                <w:rFonts w:ascii="Arial Narrow" w:hAnsi="Arial Narrow"/>
                <w:b/>
                <w:bCs/>
                <w:sz w:val="16"/>
                <w:szCs w:val="16"/>
              </w:rPr>
              <w:t>Odvodové prázdniny, sociálne odvody a daňová licencia pre živnostníkov</w:t>
            </w:r>
          </w:p>
        </w:tc>
        <w:tc>
          <w:tcPr>
            <w:tcW w:w="700" w:type="dxa"/>
            <w:shd w:val="clear" w:color="auto" w:fill="DDEBF7"/>
            <w:vAlign w:val="center"/>
          </w:tcPr>
          <w:p w14:paraId="0CD87B33" w14:textId="34F363AA"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67FB0F3E" w14:textId="78433D1B"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2584B4D0" w14:textId="468C3888"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6F1949A1" w14:textId="0C619FD6"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382A9CED" w14:textId="183D93D6"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654" w:type="dxa"/>
            <w:shd w:val="clear" w:color="auto" w:fill="DDEBF7"/>
            <w:vAlign w:val="center"/>
          </w:tcPr>
          <w:p w14:paraId="55D2F841" w14:textId="0D5D29F9" w:rsidR="000F458B" w:rsidRPr="000F458B" w:rsidRDefault="000F458B" w:rsidP="003A0B2F">
            <w:pPr>
              <w:jc w:val="center"/>
              <w:rPr>
                <w:rFonts w:ascii="Arial Narrow" w:hAnsi="Arial Narrow"/>
                <w:sz w:val="16"/>
                <w:szCs w:val="16"/>
              </w:rPr>
            </w:pPr>
            <w:r w:rsidRPr="000F458B">
              <w:rPr>
                <w:rFonts w:ascii="Arial Narrow" w:hAnsi="Arial Narrow"/>
                <w:sz w:val="16"/>
                <w:szCs w:val="16"/>
              </w:rPr>
              <w:t>0,15</w:t>
            </w:r>
          </w:p>
        </w:tc>
      </w:tr>
      <w:tr w:rsidR="003A0B2F" w14:paraId="70842AF9" w14:textId="77777777" w:rsidTr="003A0B2F">
        <w:trPr>
          <w:trHeight w:val="283"/>
        </w:trPr>
        <w:tc>
          <w:tcPr>
            <w:tcW w:w="362" w:type="dxa"/>
            <w:shd w:val="clear" w:color="auto" w:fill="DDEBF7"/>
            <w:vAlign w:val="center"/>
          </w:tcPr>
          <w:p w14:paraId="35CB20D3" w14:textId="4A1FF5E5"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17</w:t>
            </w:r>
          </w:p>
        </w:tc>
        <w:tc>
          <w:tcPr>
            <w:tcW w:w="4469" w:type="dxa"/>
            <w:shd w:val="clear" w:color="auto" w:fill="DDEBF7"/>
            <w:vAlign w:val="center"/>
          </w:tcPr>
          <w:p w14:paraId="4CB71C2A" w14:textId="4729341F" w:rsidR="000F458B" w:rsidRPr="000F458B" w:rsidRDefault="000F458B" w:rsidP="003A0B2F">
            <w:pPr>
              <w:rPr>
                <w:rFonts w:ascii="Arial Narrow" w:hAnsi="Arial Narrow"/>
                <w:b/>
                <w:bCs/>
                <w:sz w:val="16"/>
                <w:szCs w:val="16"/>
              </w:rPr>
            </w:pPr>
            <w:r w:rsidRPr="000F458B">
              <w:rPr>
                <w:rFonts w:ascii="Arial Narrow" w:hAnsi="Arial Narrow"/>
                <w:b/>
                <w:bCs/>
                <w:sz w:val="16"/>
                <w:szCs w:val="16"/>
              </w:rPr>
              <w:t>Vyššie zdanenie hazardu vrátane vkladov na hráčske účty</w:t>
            </w:r>
          </w:p>
        </w:tc>
        <w:tc>
          <w:tcPr>
            <w:tcW w:w="700" w:type="dxa"/>
            <w:shd w:val="clear" w:color="auto" w:fill="DDEBF7"/>
            <w:vAlign w:val="center"/>
          </w:tcPr>
          <w:p w14:paraId="27C0451C" w14:textId="12C1729D"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16281273" w14:textId="2256B359"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1A588000" w14:textId="732B2DA7" w:rsidR="000F458B" w:rsidRPr="000F458B" w:rsidRDefault="000F458B" w:rsidP="003A0B2F">
            <w:pPr>
              <w:jc w:val="center"/>
              <w:rPr>
                <w:rFonts w:ascii="Arial Narrow" w:hAnsi="Arial Narrow"/>
                <w:sz w:val="16"/>
                <w:szCs w:val="16"/>
              </w:rPr>
            </w:pPr>
            <w:r w:rsidRPr="000F458B">
              <w:rPr>
                <w:rFonts w:ascii="Arial Narrow" w:hAnsi="Arial Narrow"/>
                <w:sz w:val="16"/>
                <w:szCs w:val="16"/>
              </w:rPr>
              <w:t>0,02</w:t>
            </w:r>
          </w:p>
        </w:tc>
        <w:tc>
          <w:tcPr>
            <w:tcW w:w="706" w:type="dxa"/>
            <w:shd w:val="clear" w:color="auto" w:fill="DDEBF7"/>
            <w:vAlign w:val="center"/>
          </w:tcPr>
          <w:p w14:paraId="503338A5" w14:textId="5A835514"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5810F811" w14:textId="7B63D261"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654" w:type="dxa"/>
            <w:shd w:val="clear" w:color="auto" w:fill="DDEBF7"/>
            <w:vAlign w:val="center"/>
          </w:tcPr>
          <w:p w14:paraId="1E09941F" w14:textId="3F8AC594" w:rsidR="000F458B" w:rsidRPr="000F458B" w:rsidRDefault="000F458B" w:rsidP="003A0B2F">
            <w:pPr>
              <w:jc w:val="center"/>
              <w:rPr>
                <w:rFonts w:ascii="Arial Narrow" w:hAnsi="Arial Narrow"/>
                <w:sz w:val="16"/>
                <w:szCs w:val="16"/>
              </w:rPr>
            </w:pPr>
            <w:r w:rsidRPr="000F458B">
              <w:rPr>
                <w:rFonts w:ascii="Arial Narrow" w:hAnsi="Arial Narrow"/>
                <w:sz w:val="16"/>
                <w:szCs w:val="16"/>
              </w:rPr>
              <w:t>0,03</w:t>
            </w:r>
          </w:p>
        </w:tc>
      </w:tr>
      <w:tr w:rsidR="003A0B2F" w14:paraId="7DAAAB8D" w14:textId="77777777" w:rsidTr="003A0B2F">
        <w:trPr>
          <w:trHeight w:val="283"/>
        </w:trPr>
        <w:tc>
          <w:tcPr>
            <w:tcW w:w="362" w:type="dxa"/>
            <w:shd w:val="clear" w:color="auto" w:fill="DDEBF7"/>
            <w:vAlign w:val="center"/>
          </w:tcPr>
          <w:p w14:paraId="0BB1574B" w14:textId="49CA9FCC"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18</w:t>
            </w:r>
          </w:p>
        </w:tc>
        <w:tc>
          <w:tcPr>
            <w:tcW w:w="4469" w:type="dxa"/>
            <w:shd w:val="clear" w:color="auto" w:fill="DDEBF7"/>
            <w:vAlign w:val="center"/>
          </w:tcPr>
          <w:p w14:paraId="2D6E8A86" w14:textId="7D613790" w:rsidR="000F458B" w:rsidRPr="000F458B" w:rsidRDefault="000F458B" w:rsidP="003A0B2F">
            <w:pPr>
              <w:rPr>
                <w:rFonts w:ascii="Arial Narrow" w:hAnsi="Arial Narrow"/>
                <w:b/>
                <w:bCs/>
                <w:sz w:val="16"/>
                <w:szCs w:val="16"/>
              </w:rPr>
            </w:pPr>
            <w:r w:rsidRPr="000F458B">
              <w:rPr>
                <w:rFonts w:ascii="Arial Narrow" w:hAnsi="Arial Narrow"/>
                <w:b/>
                <w:bCs/>
                <w:sz w:val="16"/>
                <w:szCs w:val="16"/>
              </w:rPr>
              <w:t>Zvýšenie sadzby dane z poistenia a odvodu z PZP</w:t>
            </w:r>
          </w:p>
        </w:tc>
        <w:tc>
          <w:tcPr>
            <w:tcW w:w="700" w:type="dxa"/>
            <w:shd w:val="clear" w:color="auto" w:fill="DDEBF7"/>
            <w:vAlign w:val="center"/>
          </w:tcPr>
          <w:p w14:paraId="04C50BF4" w14:textId="159D8314"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166837E1" w14:textId="56BA622B"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37347AF8" w14:textId="4754E589"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735E59D4" w14:textId="1EF69169"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05A8FCC6" w14:textId="74353E69"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654" w:type="dxa"/>
            <w:shd w:val="clear" w:color="auto" w:fill="DDEBF7"/>
            <w:vAlign w:val="center"/>
          </w:tcPr>
          <w:p w14:paraId="3EF5FAFE" w14:textId="39A8371C" w:rsidR="000F458B" w:rsidRPr="000F458B" w:rsidRDefault="000F458B" w:rsidP="003A0B2F">
            <w:pPr>
              <w:jc w:val="center"/>
              <w:rPr>
                <w:rFonts w:ascii="Arial Narrow" w:hAnsi="Arial Narrow"/>
                <w:sz w:val="16"/>
                <w:szCs w:val="16"/>
              </w:rPr>
            </w:pPr>
            <w:r w:rsidRPr="000F458B">
              <w:rPr>
                <w:rFonts w:ascii="Arial Narrow" w:hAnsi="Arial Narrow"/>
                <w:sz w:val="16"/>
                <w:szCs w:val="16"/>
              </w:rPr>
              <w:t>0,03</w:t>
            </w:r>
          </w:p>
        </w:tc>
      </w:tr>
      <w:tr w:rsidR="003A0B2F" w14:paraId="11B997DA" w14:textId="77777777" w:rsidTr="003A0B2F">
        <w:trPr>
          <w:trHeight w:val="283"/>
        </w:trPr>
        <w:tc>
          <w:tcPr>
            <w:tcW w:w="362" w:type="dxa"/>
            <w:shd w:val="clear" w:color="auto" w:fill="DDEBF7"/>
            <w:vAlign w:val="center"/>
          </w:tcPr>
          <w:p w14:paraId="607C8EB1" w14:textId="0556F57B"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19</w:t>
            </w:r>
          </w:p>
        </w:tc>
        <w:tc>
          <w:tcPr>
            <w:tcW w:w="4469" w:type="dxa"/>
            <w:shd w:val="clear" w:color="auto" w:fill="DDEBF7"/>
            <w:vAlign w:val="center"/>
          </w:tcPr>
          <w:p w14:paraId="257B092C" w14:textId="74142E05" w:rsidR="000F458B" w:rsidRPr="000F458B" w:rsidRDefault="000F458B" w:rsidP="003A0B2F">
            <w:pPr>
              <w:rPr>
                <w:rFonts w:ascii="Arial Narrow" w:hAnsi="Arial Narrow"/>
                <w:b/>
                <w:bCs/>
                <w:sz w:val="16"/>
                <w:szCs w:val="16"/>
              </w:rPr>
            </w:pPr>
            <w:r w:rsidRPr="000F458B">
              <w:rPr>
                <w:rFonts w:ascii="Arial Narrow" w:hAnsi="Arial Narrow"/>
                <w:b/>
                <w:bCs/>
                <w:sz w:val="16"/>
                <w:szCs w:val="16"/>
              </w:rPr>
              <w:t>Daňová licencia, daňová hranica mikrodaňovníkov a dorovnávacia daň</w:t>
            </w:r>
          </w:p>
        </w:tc>
        <w:tc>
          <w:tcPr>
            <w:tcW w:w="700" w:type="dxa"/>
            <w:shd w:val="clear" w:color="auto" w:fill="DDEBF7"/>
            <w:vAlign w:val="center"/>
          </w:tcPr>
          <w:p w14:paraId="7C1BB3E6" w14:textId="45367AD0"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4DD1735E" w14:textId="56126749"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7743BDE1" w14:textId="1B1140AD"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7CD84DAE" w14:textId="7FEAE890" w:rsidR="000F458B" w:rsidRPr="000F458B" w:rsidRDefault="000F458B" w:rsidP="003A0B2F">
            <w:pPr>
              <w:jc w:val="center"/>
              <w:rPr>
                <w:rFonts w:ascii="Arial Narrow" w:hAnsi="Arial Narrow"/>
                <w:sz w:val="16"/>
                <w:szCs w:val="16"/>
              </w:rPr>
            </w:pPr>
            <w:r w:rsidRPr="000F458B">
              <w:rPr>
                <w:rFonts w:ascii="Arial Narrow" w:hAnsi="Arial Narrow"/>
                <w:sz w:val="16"/>
                <w:szCs w:val="16"/>
              </w:rPr>
              <w:t>0,10</w:t>
            </w:r>
          </w:p>
        </w:tc>
        <w:tc>
          <w:tcPr>
            <w:tcW w:w="706" w:type="dxa"/>
            <w:shd w:val="clear" w:color="auto" w:fill="DDEBF7"/>
            <w:vAlign w:val="center"/>
          </w:tcPr>
          <w:p w14:paraId="1129109D" w14:textId="71E8D398" w:rsidR="000F458B" w:rsidRPr="000F458B" w:rsidRDefault="000F458B" w:rsidP="003A0B2F">
            <w:pPr>
              <w:jc w:val="center"/>
              <w:rPr>
                <w:rFonts w:ascii="Arial Narrow" w:hAnsi="Arial Narrow"/>
                <w:sz w:val="16"/>
                <w:szCs w:val="16"/>
              </w:rPr>
            </w:pPr>
            <w:r w:rsidRPr="000F458B">
              <w:rPr>
                <w:rFonts w:ascii="Arial Narrow" w:hAnsi="Arial Narrow"/>
                <w:sz w:val="16"/>
                <w:szCs w:val="16"/>
              </w:rPr>
              <w:t>-0,04</w:t>
            </w:r>
          </w:p>
        </w:tc>
        <w:tc>
          <w:tcPr>
            <w:tcW w:w="654" w:type="dxa"/>
            <w:shd w:val="clear" w:color="auto" w:fill="DDEBF7"/>
            <w:vAlign w:val="center"/>
          </w:tcPr>
          <w:p w14:paraId="6F6F0902" w14:textId="0C0A7505" w:rsidR="000F458B" w:rsidRPr="000F458B" w:rsidRDefault="000F458B" w:rsidP="003A0B2F">
            <w:pPr>
              <w:jc w:val="center"/>
              <w:rPr>
                <w:rFonts w:ascii="Arial Narrow" w:hAnsi="Arial Narrow"/>
                <w:sz w:val="16"/>
                <w:szCs w:val="16"/>
              </w:rPr>
            </w:pPr>
            <w:r w:rsidRPr="000F458B">
              <w:rPr>
                <w:rFonts w:ascii="Arial Narrow" w:hAnsi="Arial Narrow"/>
                <w:sz w:val="16"/>
                <w:szCs w:val="16"/>
              </w:rPr>
              <w:t>0,01</w:t>
            </w:r>
          </w:p>
        </w:tc>
      </w:tr>
      <w:tr w:rsidR="003A0B2F" w14:paraId="30D8B3F5" w14:textId="77777777" w:rsidTr="003A0B2F">
        <w:trPr>
          <w:trHeight w:val="283"/>
        </w:trPr>
        <w:tc>
          <w:tcPr>
            <w:tcW w:w="362" w:type="dxa"/>
            <w:shd w:val="clear" w:color="auto" w:fill="DDEBF7"/>
            <w:vAlign w:val="center"/>
          </w:tcPr>
          <w:p w14:paraId="7BA7CB09" w14:textId="0837EB9B"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20</w:t>
            </w:r>
          </w:p>
        </w:tc>
        <w:tc>
          <w:tcPr>
            <w:tcW w:w="4469" w:type="dxa"/>
            <w:shd w:val="clear" w:color="auto" w:fill="DDEBF7"/>
            <w:vAlign w:val="center"/>
          </w:tcPr>
          <w:p w14:paraId="6F251FE3" w14:textId="645641EB" w:rsidR="000F458B" w:rsidRPr="000F458B" w:rsidRDefault="000F458B" w:rsidP="003A0B2F">
            <w:pPr>
              <w:rPr>
                <w:rFonts w:ascii="Arial Narrow" w:hAnsi="Arial Narrow"/>
                <w:b/>
                <w:bCs/>
                <w:sz w:val="16"/>
                <w:szCs w:val="16"/>
              </w:rPr>
            </w:pPr>
            <w:r w:rsidRPr="000F458B">
              <w:rPr>
                <w:rFonts w:ascii="Arial Narrow" w:hAnsi="Arial Narrow"/>
                <w:b/>
                <w:bCs/>
                <w:sz w:val="16"/>
                <w:szCs w:val="16"/>
              </w:rPr>
              <w:t>Úprava osobitných odvodov z regulovaných odvetví</w:t>
            </w:r>
          </w:p>
        </w:tc>
        <w:tc>
          <w:tcPr>
            <w:tcW w:w="700" w:type="dxa"/>
            <w:shd w:val="clear" w:color="auto" w:fill="DDEBF7"/>
            <w:vAlign w:val="center"/>
          </w:tcPr>
          <w:p w14:paraId="7E453EF9" w14:textId="5C2BBF71"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418DCBDF" w14:textId="155C418C"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77D2F5C3" w14:textId="0F4B5621"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732B2C2D" w14:textId="5833E14A" w:rsidR="000F458B" w:rsidRPr="000F458B" w:rsidRDefault="000F458B" w:rsidP="003A0B2F">
            <w:pPr>
              <w:jc w:val="center"/>
              <w:rPr>
                <w:rFonts w:ascii="Arial Narrow" w:hAnsi="Arial Narrow"/>
                <w:sz w:val="16"/>
                <w:szCs w:val="16"/>
              </w:rPr>
            </w:pPr>
            <w:r w:rsidRPr="000F458B">
              <w:rPr>
                <w:rFonts w:ascii="Arial Narrow" w:hAnsi="Arial Narrow"/>
                <w:sz w:val="16"/>
                <w:szCs w:val="16"/>
              </w:rPr>
              <w:t>0,26</w:t>
            </w:r>
          </w:p>
        </w:tc>
        <w:tc>
          <w:tcPr>
            <w:tcW w:w="706" w:type="dxa"/>
            <w:shd w:val="clear" w:color="auto" w:fill="DDEBF7"/>
            <w:vAlign w:val="center"/>
          </w:tcPr>
          <w:p w14:paraId="5A4AC1BE" w14:textId="5956C1A7" w:rsidR="000F458B" w:rsidRPr="000F458B" w:rsidRDefault="000F458B" w:rsidP="003A0B2F">
            <w:pPr>
              <w:jc w:val="center"/>
              <w:rPr>
                <w:rFonts w:ascii="Arial Narrow" w:hAnsi="Arial Narrow"/>
                <w:sz w:val="16"/>
                <w:szCs w:val="16"/>
              </w:rPr>
            </w:pPr>
            <w:r w:rsidRPr="000F458B">
              <w:rPr>
                <w:rFonts w:ascii="Arial Narrow" w:hAnsi="Arial Narrow"/>
                <w:sz w:val="16"/>
                <w:szCs w:val="16"/>
              </w:rPr>
              <w:t>-0,01</w:t>
            </w:r>
          </w:p>
        </w:tc>
        <w:tc>
          <w:tcPr>
            <w:tcW w:w="654" w:type="dxa"/>
            <w:shd w:val="clear" w:color="auto" w:fill="DDEBF7"/>
            <w:vAlign w:val="center"/>
          </w:tcPr>
          <w:p w14:paraId="00F7788F" w14:textId="7050017A" w:rsidR="000F458B" w:rsidRPr="000F458B" w:rsidRDefault="000F458B" w:rsidP="003A0B2F">
            <w:pPr>
              <w:jc w:val="center"/>
              <w:rPr>
                <w:rFonts w:ascii="Arial Narrow" w:hAnsi="Arial Narrow"/>
                <w:sz w:val="16"/>
                <w:szCs w:val="16"/>
              </w:rPr>
            </w:pPr>
            <w:r w:rsidRPr="000F458B">
              <w:rPr>
                <w:rFonts w:ascii="Arial Narrow" w:hAnsi="Arial Narrow"/>
                <w:sz w:val="16"/>
                <w:szCs w:val="16"/>
              </w:rPr>
              <w:t>-0,02</w:t>
            </w:r>
          </w:p>
        </w:tc>
      </w:tr>
      <w:tr w:rsidR="003A0B2F" w14:paraId="6402F73A" w14:textId="77777777" w:rsidTr="003A0B2F">
        <w:trPr>
          <w:trHeight w:val="283"/>
        </w:trPr>
        <w:tc>
          <w:tcPr>
            <w:tcW w:w="362" w:type="dxa"/>
            <w:shd w:val="clear" w:color="auto" w:fill="DDEBF7"/>
            <w:vAlign w:val="center"/>
          </w:tcPr>
          <w:p w14:paraId="30E49958" w14:textId="48558F0B"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21</w:t>
            </w:r>
          </w:p>
        </w:tc>
        <w:tc>
          <w:tcPr>
            <w:tcW w:w="4469" w:type="dxa"/>
            <w:shd w:val="clear" w:color="auto" w:fill="DDEBF7"/>
            <w:vAlign w:val="center"/>
          </w:tcPr>
          <w:p w14:paraId="4CDB9824" w14:textId="155D7E3A" w:rsidR="000F458B" w:rsidRPr="000F458B" w:rsidRDefault="000F458B" w:rsidP="003A0B2F">
            <w:pPr>
              <w:rPr>
                <w:rFonts w:ascii="Arial Narrow" w:hAnsi="Arial Narrow"/>
                <w:b/>
                <w:bCs/>
                <w:sz w:val="16"/>
                <w:szCs w:val="16"/>
              </w:rPr>
            </w:pPr>
            <w:r w:rsidRPr="000F458B">
              <w:rPr>
                <w:rFonts w:ascii="Arial Narrow" w:hAnsi="Arial Narrow"/>
                <w:b/>
                <w:bCs/>
                <w:sz w:val="16"/>
                <w:szCs w:val="16"/>
              </w:rPr>
              <w:t>Úprava daní z príjmu, sociálnych a zdravotných odvodov fyzických osôb</w:t>
            </w:r>
          </w:p>
        </w:tc>
        <w:tc>
          <w:tcPr>
            <w:tcW w:w="700" w:type="dxa"/>
            <w:shd w:val="clear" w:color="auto" w:fill="DDEBF7"/>
            <w:vAlign w:val="center"/>
          </w:tcPr>
          <w:p w14:paraId="1F686862" w14:textId="3EC039C2"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03794023" w14:textId="6F749447"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5D9E2B98" w14:textId="66694899"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17FB5EDB" w14:textId="7013097E"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2172BBF8" w14:textId="256026E7"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654" w:type="dxa"/>
            <w:shd w:val="clear" w:color="auto" w:fill="DDEBF7"/>
            <w:vAlign w:val="center"/>
          </w:tcPr>
          <w:p w14:paraId="49A1ECB7" w14:textId="74C136C5" w:rsidR="000F458B" w:rsidRPr="000F458B" w:rsidRDefault="000F458B" w:rsidP="003A0B2F">
            <w:pPr>
              <w:jc w:val="center"/>
              <w:rPr>
                <w:rFonts w:ascii="Arial Narrow" w:hAnsi="Arial Narrow"/>
                <w:sz w:val="16"/>
                <w:szCs w:val="16"/>
              </w:rPr>
            </w:pPr>
            <w:r w:rsidRPr="000F458B">
              <w:rPr>
                <w:rFonts w:ascii="Arial Narrow" w:hAnsi="Arial Narrow"/>
                <w:sz w:val="16"/>
                <w:szCs w:val="16"/>
              </w:rPr>
              <w:t>0,42</w:t>
            </w:r>
          </w:p>
        </w:tc>
      </w:tr>
      <w:tr w:rsidR="003A0B2F" w14:paraId="2014D2BA" w14:textId="77777777" w:rsidTr="003A0B2F">
        <w:trPr>
          <w:trHeight w:val="283"/>
        </w:trPr>
        <w:tc>
          <w:tcPr>
            <w:tcW w:w="362" w:type="dxa"/>
            <w:shd w:val="clear" w:color="auto" w:fill="DDEBF7"/>
            <w:vAlign w:val="center"/>
          </w:tcPr>
          <w:p w14:paraId="318BC7B9" w14:textId="335F0F04"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22</w:t>
            </w:r>
          </w:p>
        </w:tc>
        <w:tc>
          <w:tcPr>
            <w:tcW w:w="4469" w:type="dxa"/>
            <w:shd w:val="clear" w:color="auto" w:fill="DDEBF7"/>
            <w:vAlign w:val="center"/>
          </w:tcPr>
          <w:p w14:paraId="5A79E277" w14:textId="60CFD236" w:rsidR="000F458B" w:rsidRPr="000F458B" w:rsidRDefault="000F458B" w:rsidP="003A0B2F">
            <w:pPr>
              <w:rPr>
                <w:rFonts w:ascii="Arial Narrow" w:hAnsi="Arial Narrow"/>
                <w:b/>
                <w:bCs/>
                <w:sz w:val="16"/>
                <w:szCs w:val="16"/>
              </w:rPr>
            </w:pPr>
            <w:r w:rsidRPr="000F458B">
              <w:rPr>
                <w:rFonts w:ascii="Arial Narrow" w:hAnsi="Arial Narrow"/>
                <w:b/>
                <w:bCs/>
                <w:sz w:val="16"/>
                <w:szCs w:val="16"/>
              </w:rPr>
              <w:t>Zákon proti vynúteným živnostiam</w:t>
            </w:r>
          </w:p>
        </w:tc>
        <w:tc>
          <w:tcPr>
            <w:tcW w:w="700" w:type="dxa"/>
            <w:shd w:val="clear" w:color="auto" w:fill="DDEBF7"/>
            <w:vAlign w:val="center"/>
          </w:tcPr>
          <w:p w14:paraId="10F1DC67" w14:textId="1FC03F94"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29A127D9" w14:textId="2D53E210"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26826DCD" w14:textId="06145CBA"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74BB0D43" w14:textId="56360809"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46F8C198" w14:textId="71DF3182"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654" w:type="dxa"/>
            <w:shd w:val="clear" w:color="auto" w:fill="DDEBF7"/>
            <w:vAlign w:val="center"/>
          </w:tcPr>
          <w:p w14:paraId="5027C09B" w14:textId="1A7B4C2E"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r>
      <w:tr w:rsidR="003A0B2F" w14:paraId="1E841BDC" w14:textId="77777777" w:rsidTr="003A0B2F">
        <w:trPr>
          <w:trHeight w:val="283"/>
        </w:trPr>
        <w:tc>
          <w:tcPr>
            <w:tcW w:w="362" w:type="dxa"/>
            <w:shd w:val="clear" w:color="auto" w:fill="DDEBF7"/>
            <w:vAlign w:val="center"/>
          </w:tcPr>
          <w:p w14:paraId="3D124E33" w14:textId="07262F3F"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23</w:t>
            </w:r>
          </w:p>
        </w:tc>
        <w:tc>
          <w:tcPr>
            <w:tcW w:w="4469" w:type="dxa"/>
            <w:shd w:val="clear" w:color="auto" w:fill="DDEBF7"/>
            <w:vAlign w:val="center"/>
          </w:tcPr>
          <w:p w14:paraId="024EC54F" w14:textId="711EC89A" w:rsidR="000F458B" w:rsidRPr="000F458B" w:rsidRDefault="000F458B" w:rsidP="003A0B2F">
            <w:pPr>
              <w:rPr>
                <w:rFonts w:ascii="Arial Narrow" w:hAnsi="Arial Narrow"/>
                <w:b/>
                <w:bCs/>
                <w:sz w:val="16"/>
                <w:szCs w:val="16"/>
              </w:rPr>
            </w:pPr>
            <w:r w:rsidRPr="000F458B">
              <w:rPr>
                <w:rFonts w:ascii="Arial Narrow" w:hAnsi="Arial Narrow"/>
                <w:b/>
                <w:bCs/>
                <w:sz w:val="16"/>
                <w:szCs w:val="16"/>
              </w:rPr>
              <w:t>Zavedenie úhrady za použitie prvotných materiálov</w:t>
            </w:r>
          </w:p>
        </w:tc>
        <w:tc>
          <w:tcPr>
            <w:tcW w:w="700" w:type="dxa"/>
            <w:shd w:val="clear" w:color="auto" w:fill="DDEBF7"/>
            <w:vAlign w:val="center"/>
          </w:tcPr>
          <w:p w14:paraId="22F425D1" w14:textId="1903A9C8"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0B5B8CA9" w14:textId="3C951328"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522FEFAF" w14:textId="3E0CB388"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140AE092" w14:textId="0850459F"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00560C45" w14:textId="0A8B96BE"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654" w:type="dxa"/>
            <w:shd w:val="clear" w:color="auto" w:fill="DDEBF7"/>
            <w:vAlign w:val="center"/>
          </w:tcPr>
          <w:p w14:paraId="002174A2" w14:textId="2822B06C" w:rsidR="000F458B" w:rsidRPr="000F458B" w:rsidRDefault="000F458B" w:rsidP="003A0B2F">
            <w:pPr>
              <w:jc w:val="center"/>
              <w:rPr>
                <w:rFonts w:ascii="Arial Narrow" w:hAnsi="Arial Narrow"/>
                <w:sz w:val="16"/>
                <w:szCs w:val="16"/>
              </w:rPr>
            </w:pPr>
            <w:r w:rsidRPr="000F458B">
              <w:rPr>
                <w:rFonts w:ascii="Arial Narrow" w:hAnsi="Arial Narrow"/>
                <w:sz w:val="16"/>
                <w:szCs w:val="16"/>
              </w:rPr>
              <w:t>0,02</w:t>
            </w:r>
          </w:p>
        </w:tc>
      </w:tr>
      <w:tr w:rsidR="003A0B2F" w14:paraId="3BCF9176" w14:textId="77777777" w:rsidTr="003A0B2F">
        <w:trPr>
          <w:trHeight w:val="283"/>
        </w:trPr>
        <w:tc>
          <w:tcPr>
            <w:tcW w:w="362" w:type="dxa"/>
            <w:shd w:val="clear" w:color="auto" w:fill="DDEBF7"/>
            <w:vAlign w:val="center"/>
          </w:tcPr>
          <w:p w14:paraId="5839C192" w14:textId="55D6D7F4"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24</w:t>
            </w:r>
          </w:p>
        </w:tc>
        <w:tc>
          <w:tcPr>
            <w:tcW w:w="4469" w:type="dxa"/>
            <w:shd w:val="clear" w:color="auto" w:fill="DDEBF7"/>
            <w:vAlign w:val="center"/>
          </w:tcPr>
          <w:p w14:paraId="3AC3F0D4" w14:textId="2E2798BD" w:rsidR="000F458B" w:rsidRPr="000F458B" w:rsidRDefault="000F458B" w:rsidP="003A0B2F">
            <w:pPr>
              <w:rPr>
                <w:rFonts w:ascii="Arial Narrow" w:hAnsi="Arial Narrow"/>
                <w:b/>
                <w:bCs/>
                <w:sz w:val="16"/>
                <w:szCs w:val="16"/>
              </w:rPr>
            </w:pPr>
            <w:r w:rsidRPr="000F458B">
              <w:rPr>
                <w:rFonts w:ascii="Arial Narrow" w:hAnsi="Arial Narrow"/>
                <w:b/>
                <w:bCs/>
                <w:sz w:val="16"/>
                <w:szCs w:val="16"/>
              </w:rPr>
              <w:t>Zavedenie dane z finančný transakcií a jej neskoršie úpravy</w:t>
            </w:r>
          </w:p>
        </w:tc>
        <w:tc>
          <w:tcPr>
            <w:tcW w:w="700" w:type="dxa"/>
            <w:shd w:val="clear" w:color="auto" w:fill="DDEBF7"/>
            <w:vAlign w:val="center"/>
          </w:tcPr>
          <w:p w14:paraId="09FAD959" w14:textId="401B501E"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7770E71F" w14:textId="72DD7758"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415F8E84" w14:textId="3538731D"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09EB3A58" w14:textId="51A4FB06"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2029F406" w14:textId="413EE6B4" w:rsidR="000F458B" w:rsidRPr="000F458B" w:rsidRDefault="000F458B" w:rsidP="003A0B2F">
            <w:pPr>
              <w:jc w:val="center"/>
              <w:rPr>
                <w:rFonts w:ascii="Arial Narrow" w:hAnsi="Arial Narrow"/>
                <w:sz w:val="16"/>
                <w:szCs w:val="16"/>
              </w:rPr>
            </w:pPr>
            <w:r w:rsidRPr="000F458B">
              <w:rPr>
                <w:rFonts w:ascii="Arial Narrow" w:hAnsi="Arial Narrow"/>
                <w:sz w:val="16"/>
                <w:szCs w:val="16"/>
              </w:rPr>
              <w:t>0,26</w:t>
            </w:r>
          </w:p>
        </w:tc>
        <w:tc>
          <w:tcPr>
            <w:tcW w:w="654" w:type="dxa"/>
            <w:shd w:val="clear" w:color="auto" w:fill="DDEBF7"/>
            <w:vAlign w:val="center"/>
          </w:tcPr>
          <w:p w14:paraId="04834A8C" w14:textId="252552D8" w:rsidR="000F458B" w:rsidRPr="000F458B" w:rsidRDefault="000F458B" w:rsidP="003A0B2F">
            <w:pPr>
              <w:jc w:val="center"/>
              <w:rPr>
                <w:rFonts w:ascii="Arial Narrow" w:hAnsi="Arial Narrow"/>
                <w:sz w:val="16"/>
                <w:szCs w:val="16"/>
              </w:rPr>
            </w:pPr>
            <w:r w:rsidRPr="000F458B">
              <w:rPr>
                <w:rFonts w:ascii="Arial Narrow" w:hAnsi="Arial Narrow"/>
                <w:sz w:val="16"/>
                <w:szCs w:val="16"/>
              </w:rPr>
              <w:t>0,06</w:t>
            </w:r>
          </w:p>
        </w:tc>
      </w:tr>
      <w:tr w:rsidR="003A0B2F" w14:paraId="0F7D1C81" w14:textId="77777777" w:rsidTr="003A0B2F">
        <w:trPr>
          <w:trHeight w:val="283"/>
        </w:trPr>
        <w:tc>
          <w:tcPr>
            <w:tcW w:w="362" w:type="dxa"/>
            <w:shd w:val="clear" w:color="auto" w:fill="DDEBF7"/>
            <w:vAlign w:val="center"/>
          </w:tcPr>
          <w:p w14:paraId="543DD9CC" w14:textId="23E7FEF0"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25</w:t>
            </w:r>
          </w:p>
        </w:tc>
        <w:tc>
          <w:tcPr>
            <w:tcW w:w="4469" w:type="dxa"/>
            <w:shd w:val="clear" w:color="auto" w:fill="DDEBF7"/>
            <w:vAlign w:val="center"/>
          </w:tcPr>
          <w:p w14:paraId="63D95733" w14:textId="162C0832" w:rsidR="000F458B" w:rsidRPr="000F458B" w:rsidRDefault="000F458B" w:rsidP="003A0B2F">
            <w:pPr>
              <w:rPr>
                <w:rFonts w:ascii="Arial Narrow" w:hAnsi="Arial Narrow"/>
                <w:b/>
                <w:bCs/>
                <w:sz w:val="16"/>
                <w:szCs w:val="16"/>
              </w:rPr>
            </w:pPr>
            <w:r w:rsidRPr="000F458B">
              <w:rPr>
                <w:rFonts w:ascii="Arial Narrow" w:hAnsi="Arial Narrow"/>
                <w:b/>
                <w:bCs/>
                <w:sz w:val="16"/>
                <w:szCs w:val="16"/>
              </w:rPr>
              <w:t>Úprava daní z pridanej hodnoty (DPH)</w:t>
            </w:r>
          </w:p>
        </w:tc>
        <w:tc>
          <w:tcPr>
            <w:tcW w:w="700" w:type="dxa"/>
            <w:shd w:val="clear" w:color="auto" w:fill="DDEBF7"/>
            <w:vAlign w:val="center"/>
          </w:tcPr>
          <w:p w14:paraId="23F3358B" w14:textId="324312D3"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4459CC32" w14:textId="5235E605"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43FB6491" w14:textId="78C61E96" w:rsidR="000F458B" w:rsidRPr="000F458B" w:rsidRDefault="000F458B" w:rsidP="003A0B2F">
            <w:pPr>
              <w:jc w:val="center"/>
              <w:rPr>
                <w:rFonts w:ascii="Arial Narrow" w:hAnsi="Arial Narrow"/>
                <w:sz w:val="16"/>
                <w:szCs w:val="16"/>
              </w:rPr>
            </w:pPr>
            <w:r w:rsidRPr="000F458B">
              <w:rPr>
                <w:rFonts w:ascii="Arial Narrow" w:hAnsi="Arial Narrow"/>
                <w:sz w:val="16"/>
                <w:szCs w:val="16"/>
              </w:rPr>
              <w:t>-0,13</w:t>
            </w:r>
          </w:p>
        </w:tc>
        <w:tc>
          <w:tcPr>
            <w:tcW w:w="706" w:type="dxa"/>
            <w:shd w:val="clear" w:color="auto" w:fill="DDEBF7"/>
            <w:vAlign w:val="center"/>
          </w:tcPr>
          <w:p w14:paraId="1E4DF6AE" w14:textId="6390595A" w:rsidR="000F458B" w:rsidRPr="000F458B" w:rsidRDefault="000F458B" w:rsidP="003A0B2F">
            <w:pPr>
              <w:jc w:val="center"/>
              <w:rPr>
                <w:rFonts w:ascii="Arial Narrow" w:hAnsi="Arial Narrow"/>
                <w:sz w:val="16"/>
                <w:szCs w:val="16"/>
              </w:rPr>
            </w:pPr>
            <w:r w:rsidRPr="000F458B">
              <w:rPr>
                <w:rFonts w:ascii="Arial Narrow" w:hAnsi="Arial Narrow"/>
                <w:sz w:val="16"/>
                <w:szCs w:val="16"/>
              </w:rPr>
              <w:t>0,02</w:t>
            </w:r>
          </w:p>
        </w:tc>
        <w:tc>
          <w:tcPr>
            <w:tcW w:w="706" w:type="dxa"/>
            <w:shd w:val="clear" w:color="auto" w:fill="DDEBF7"/>
            <w:vAlign w:val="center"/>
          </w:tcPr>
          <w:p w14:paraId="2FFD292F" w14:textId="33C0AB16" w:rsidR="000F458B" w:rsidRPr="000F458B" w:rsidRDefault="000F458B" w:rsidP="003A0B2F">
            <w:pPr>
              <w:jc w:val="center"/>
              <w:rPr>
                <w:rFonts w:ascii="Arial Narrow" w:hAnsi="Arial Narrow"/>
                <w:sz w:val="16"/>
                <w:szCs w:val="16"/>
              </w:rPr>
            </w:pPr>
            <w:r w:rsidRPr="000F458B">
              <w:rPr>
                <w:rFonts w:ascii="Arial Narrow" w:hAnsi="Arial Narrow"/>
                <w:sz w:val="16"/>
                <w:szCs w:val="16"/>
              </w:rPr>
              <w:t>0,52</w:t>
            </w:r>
          </w:p>
        </w:tc>
        <w:tc>
          <w:tcPr>
            <w:tcW w:w="654" w:type="dxa"/>
            <w:shd w:val="clear" w:color="auto" w:fill="DDEBF7"/>
            <w:vAlign w:val="center"/>
          </w:tcPr>
          <w:p w14:paraId="1E21BDDA" w14:textId="01703939" w:rsidR="000F458B" w:rsidRPr="000F458B" w:rsidRDefault="000F458B" w:rsidP="003A0B2F">
            <w:pPr>
              <w:jc w:val="center"/>
              <w:rPr>
                <w:rFonts w:ascii="Arial Narrow" w:hAnsi="Arial Narrow"/>
                <w:sz w:val="16"/>
                <w:szCs w:val="16"/>
              </w:rPr>
            </w:pPr>
            <w:r w:rsidRPr="000F458B">
              <w:rPr>
                <w:rFonts w:ascii="Arial Narrow" w:hAnsi="Arial Narrow"/>
                <w:sz w:val="16"/>
                <w:szCs w:val="16"/>
              </w:rPr>
              <w:t>0,06</w:t>
            </w:r>
          </w:p>
        </w:tc>
      </w:tr>
      <w:tr w:rsidR="003A0B2F" w14:paraId="42D76872" w14:textId="77777777" w:rsidTr="003A0B2F">
        <w:trPr>
          <w:trHeight w:val="283"/>
        </w:trPr>
        <w:tc>
          <w:tcPr>
            <w:tcW w:w="362" w:type="dxa"/>
            <w:shd w:val="clear" w:color="auto" w:fill="DDEBF7"/>
            <w:vAlign w:val="center"/>
          </w:tcPr>
          <w:p w14:paraId="4CD2FF91" w14:textId="494FE519"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26</w:t>
            </w:r>
          </w:p>
        </w:tc>
        <w:tc>
          <w:tcPr>
            <w:tcW w:w="4469" w:type="dxa"/>
            <w:shd w:val="clear" w:color="auto" w:fill="DDEBF7"/>
            <w:vAlign w:val="center"/>
          </w:tcPr>
          <w:p w14:paraId="55A32FDF" w14:textId="1914BC10" w:rsidR="000F458B" w:rsidRPr="000F458B" w:rsidRDefault="000F458B" w:rsidP="003A0B2F">
            <w:pPr>
              <w:rPr>
                <w:rFonts w:ascii="Arial Narrow" w:hAnsi="Arial Narrow"/>
                <w:b/>
                <w:bCs/>
                <w:sz w:val="16"/>
                <w:szCs w:val="16"/>
              </w:rPr>
            </w:pPr>
            <w:r w:rsidRPr="000F458B">
              <w:rPr>
                <w:rFonts w:ascii="Arial Narrow" w:hAnsi="Arial Narrow"/>
                <w:b/>
                <w:bCs/>
                <w:sz w:val="16"/>
                <w:szCs w:val="16"/>
              </w:rPr>
              <w:t>Štátne dlhopisy oslobodené od daní (dlhopisy pre ľudí a iné)</w:t>
            </w:r>
          </w:p>
        </w:tc>
        <w:tc>
          <w:tcPr>
            <w:tcW w:w="700" w:type="dxa"/>
            <w:shd w:val="clear" w:color="auto" w:fill="DDEBF7"/>
            <w:vAlign w:val="center"/>
          </w:tcPr>
          <w:p w14:paraId="707061D0" w14:textId="4B7F77CC"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226566AB" w14:textId="7423999C"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27207C93" w14:textId="14C8E0F9"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2457CDB3" w14:textId="796B6820"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577B0BA4" w14:textId="28869241" w:rsidR="000F458B" w:rsidRPr="000F458B" w:rsidRDefault="000F458B" w:rsidP="003A0B2F">
            <w:pPr>
              <w:jc w:val="center"/>
              <w:rPr>
                <w:rFonts w:ascii="Arial Narrow" w:hAnsi="Arial Narrow"/>
                <w:sz w:val="16"/>
                <w:szCs w:val="16"/>
              </w:rPr>
            </w:pPr>
            <w:r w:rsidRPr="000F458B">
              <w:rPr>
                <w:rFonts w:ascii="Arial Narrow" w:hAnsi="Arial Narrow"/>
                <w:sz w:val="16"/>
                <w:szCs w:val="16"/>
              </w:rPr>
              <w:t>-0,07</w:t>
            </w:r>
          </w:p>
        </w:tc>
        <w:tc>
          <w:tcPr>
            <w:tcW w:w="654" w:type="dxa"/>
            <w:shd w:val="clear" w:color="auto" w:fill="DDEBF7"/>
            <w:vAlign w:val="center"/>
          </w:tcPr>
          <w:p w14:paraId="267A7496" w14:textId="4DA5A08D" w:rsidR="000F458B" w:rsidRPr="000F458B" w:rsidRDefault="000F458B" w:rsidP="003A0B2F">
            <w:pPr>
              <w:jc w:val="center"/>
              <w:rPr>
                <w:rFonts w:ascii="Arial Narrow" w:hAnsi="Arial Narrow"/>
                <w:sz w:val="16"/>
                <w:szCs w:val="16"/>
              </w:rPr>
            </w:pPr>
            <w:r w:rsidRPr="000F458B">
              <w:rPr>
                <w:rFonts w:ascii="Arial Narrow" w:hAnsi="Arial Narrow"/>
                <w:sz w:val="16"/>
                <w:szCs w:val="16"/>
              </w:rPr>
              <w:t>-0,02</w:t>
            </w:r>
          </w:p>
        </w:tc>
      </w:tr>
      <w:tr w:rsidR="003A0B2F" w14:paraId="61BD5839" w14:textId="77777777" w:rsidTr="003A0B2F">
        <w:trPr>
          <w:trHeight w:val="283"/>
        </w:trPr>
        <w:tc>
          <w:tcPr>
            <w:tcW w:w="362" w:type="dxa"/>
            <w:shd w:val="clear" w:color="auto" w:fill="DDEBF7"/>
            <w:vAlign w:val="center"/>
          </w:tcPr>
          <w:p w14:paraId="5A0A7FAC" w14:textId="660D325D"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27</w:t>
            </w:r>
          </w:p>
        </w:tc>
        <w:tc>
          <w:tcPr>
            <w:tcW w:w="4469" w:type="dxa"/>
            <w:shd w:val="clear" w:color="auto" w:fill="DDEBF7"/>
            <w:vAlign w:val="center"/>
          </w:tcPr>
          <w:p w14:paraId="5FD0DBAC" w14:textId="2351FE44" w:rsidR="000F458B" w:rsidRPr="000F458B" w:rsidRDefault="000F458B" w:rsidP="003A0B2F">
            <w:pPr>
              <w:rPr>
                <w:rFonts w:ascii="Arial Narrow" w:hAnsi="Arial Narrow"/>
                <w:b/>
                <w:bCs/>
                <w:sz w:val="16"/>
                <w:szCs w:val="16"/>
              </w:rPr>
            </w:pPr>
            <w:r w:rsidRPr="000F458B">
              <w:rPr>
                <w:rFonts w:ascii="Arial Narrow" w:hAnsi="Arial Narrow"/>
                <w:b/>
                <w:bCs/>
                <w:sz w:val="16"/>
                <w:szCs w:val="16"/>
              </w:rPr>
              <w:t>Zmena sadzieb daní a poplatkov obcí (odpad, ubytovanie, nehnuteľnosti)</w:t>
            </w:r>
          </w:p>
        </w:tc>
        <w:tc>
          <w:tcPr>
            <w:tcW w:w="700" w:type="dxa"/>
            <w:shd w:val="clear" w:color="auto" w:fill="DDEBF7"/>
            <w:vAlign w:val="center"/>
          </w:tcPr>
          <w:p w14:paraId="6A884ECA" w14:textId="1B94406F"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0A439E83" w14:textId="2178B1FA"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5F24B61E" w14:textId="2E507A85" w:rsidR="000F458B" w:rsidRPr="000F458B" w:rsidRDefault="000F458B" w:rsidP="003A0B2F">
            <w:pPr>
              <w:jc w:val="center"/>
              <w:rPr>
                <w:rFonts w:ascii="Arial Narrow" w:hAnsi="Arial Narrow"/>
                <w:sz w:val="16"/>
                <w:szCs w:val="16"/>
              </w:rPr>
            </w:pPr>
            <w:r w:rsidRPr="000F458B">
              <w:rPr>
                <w:rFonts w:ascii="Arial Narrow" w:hAnsi="Arial Narrow"/>
                <w:sz w:val="16"/>
                <w:szCs w:val="16"/>
              </w:rPr>
              <w:t>0,06</w:t>
            </w:r>
          </w:p>
        </w:tc>
        <w:tc>
          <w:tcPr>
            <w:tcW w:w="706" w:type="dxa"/>
            <w:shd w:val="clear" w:color="auto" w:fill="DDEBF7"/>
            <w:vAlign w:val="center"/>
          </w:tcPr>
          <w:p w14:paraId="1E6B9563" w14:textId="60790AB8" w:rsidR="000F458B" w:rsidRPr="000F458B" w:rsidRDefault="000F458B" w:rsidP="003A0B2F">
            <w:pPr>
              <w:jc w:val="center"/>
              <w:rPr>
                <w:rFonts w:ascii="Arial Narrow" w:hAnsi="Arial Narrow"/>
                <w:sz w:val="16"/>
                <w:szCs w:val="16"/>
              </w:rPr>
            </w:pPr>
            <w:r w:rsidRPr="000F458B">
              <w:rPr>
                <w:rFonts w:ascii="Arial Narrow" w:hAnsi="Arial Narrow"/>
                <w:sz w:val="16"/>
                <w:szCs w:val="16"/>
              </w:rPr>
              <w:t>0,13</w:t>
            </w:r>
          </w:p>
        </w:tc>
        <w:tc>
          <w:tcPr>
            <w:tcW w:w="706" w:type="dxa"/>
            <w:shd w:val="clear" w:color="auto" w:fill="DDEBF7"/>
            <w:vAlign w:val="center"/>
          </w:tcPr>
          <w:p w14:paraId="204EAD71" w14:textId="1E9D1CD9" w:rsidR="000F458B" w:rsidRPr="000F458B" w:rsidRDefault="000F458B" w:rsidP="003A0B2F">
            <w:pPr>
              <w:jc w:val="center"/>
              <w:rPr>
                <w:rFonts w:ascii="Arial Narrow" w:hAnsi="Arial Narrow"/>
                <w:sz w:val="16"/>
                <w:szCs w:val="16"/>
              </w:rPr>
            </w:pPr>
            <w:r w:rsidRPr="000F458B">
              <w:rPr>
                <w:rFonts w:ascii="Arial Narrow" w:hAnsi="Arial Narrow"/>
                <w:sz w:val="16"/>
                <w:szCs w:val="16"/>
              </w:rPr>
              <w:t>0,03</w:t>
            </w:r>
          </w:p>
        </w:tc>
        <w:tc>
          <w:tcPr>
            <w:tcW w:w="654" w:type="dxa"/>
            <w:shd w:val="clear" w:color="auto" w:fill="DDEBF7"/>
            <w:vAlign w:val="center"/>
          </w:tcPr>
          <w:p w14:paraId="05607D8E" w14:textId="0C6868CF"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r>
      <w:tr w:rsidR="003A0B2F" w14:paraId="39FE2958" w14:textId="77777777" w:rsidTr="003A0B2F">
        <w:trPr>
          <w:trHeight w:val="283"/>
        </w:trPr>
        <w:tc>
          <w:tcPr>
            <w:tcW w:w="362" w:type="dxa"/>
            <w:shd w:val="clear" w:color="auto" w:fill="DDEBF7"/>
            <w:vAlign w:val="center"/>
          </w:tcPr>
          <w:p w14:paraId="22097D60" w14:textId="1C89749D"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28</w:t>
            </w:r>
          </w:p>
        </w:tc>
        <w:tc>
          <w:tcPr>
            <w:tcW w:w="4469" w:type="dxa"/>
            <w:shd w:val="clear" w:color="auto" w:fill="DDEBF7"/>
            <w:vAlign w:val="center"/>
          </w:tcPr>
          <w:p w14:paraId="611B966D" w14:textId="604B7357" w:rsidR="000F458B" w:rsidRPr="000F458B" w:rsidRDefault="000F458B" w:rsidP="003A0B2F">
            <w:pPr>
              <w:rPr>
                <w:rFonts w:ascii="Arial Narrow" w:hAnsi="Arial Narrow"/>
                <w:b/>
                <w:bCs/>
                <w:sz w:val="16"/>
                <w:szCs w:val="16"/>
              </w:rPr>
            </w:pPr>
            <w:r w:rsidRPr="000F458B">
              <w:rPr>
                <w:rFonts w:ascii="Arial Narrow" w:hAnsi="Arial Narrow"/>
                <w:b/>
                <w:bCs/>
                <w:sz w:val="16"/>
                <w:szCs w:val="16"/>
              </w:rPr>
              <w:t>Navýšenie platby za poistencov štátu</w:t>
            </w:r>
          </w:p>
        </w:tc>
        <w:tc>
          <w:tcPr>
            <w:tcW w:w="700" w:type="dxa"/>
            <w:shd w:val="clear" w:color="auto" w:fill="DDEBF7"/>
            <w:vAlign w:val="center"/>
          </w:tcPr>
          <w:p w14:paraId="7A66C988" w14:textId="4994B54F"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544E62DC" w14:textId="68FC7655"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5E3386E2" w14:textId="38548487"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79CA7AB1" w14:textId="1D6D0D3B" w:rsidR="000F458B" w:rsidRPr="000F458B" w:rsidRDefault="000F458B" w:rsidP="003A0B2F">
            <w:pPr>
              <w:jc w:val="center"/>
              <w:rPr>
                <w:rFonts w:ascii="Arial Narrow" w:hAnsi="Arial Narrow"/>
                <w:sz w:val="16"/>
                <w:szCs w:val="16"/>
              </w:rPr>
            </w:pPr>
            <w:r w:rsidRPr="000F458B">
              <w:rPr>
                <w:rFonts w:ascii="Arial Narrow" w:hAnsi="Arial Narrow"/>
                <w:sz w:val="16"/>
                <w:szCs w:val="16"/>
              </w:rPr>
              <w:t>-0,10</w:t>
            </w:r>
          </w:p>
        </w:tc>
        <w:tc>
          <w:tcPr>
            <w:tcW w:w="706" w:type="dxa"/>
            <w:shd w:val="clear" w:color="auto" w:fill="DDEBF7"/>
            <w:vAlign w:val="center"/>
          </w:tcPr>
          <w:p w14:paraId="67D1DC66" w14:textId="7BA15045" w:rsidR="000F458B" w:rsidRPr="000F458B" w:rsidRDefault="000F458B" w:rsidP="003A0B2F">
            <w:pPr>
              <w:jc w:val="center"/>
              <w:rPr>
                <w:rFonts w:ascii="Arial Narrow" w:hAnsi="Arial Narrow"/>
                <w:sz w:val="16"/>
                <w:szCs w:val="16"/>
              </w:rPr>
            </w:pPr>
            <w:r w:rsidRPr="000F458B">
              <w:rPr>
                <w:rFonts w:ascii="Arial Narrow" w:hAnsi="Arial Narrow"/>
                <w:sz w:val="16"/>
                <w:szCs w:val="16"/>
              </w:rPr>
              <w:t>-0,06</w:t>
            </w:r>
          </w:p>
        </w:tc>
        <w:tc>
          <w:tcPr>
            <w:tcW w:w="654" w:type="dxa"/>
            <w:shd w:val="clear" w:color="auto" w:fill="DDEBF7"/>
            <w:vAlign w:val="center"/>
          </w:tcPr>
          <w:p w14:paraId="790117E2" w14:textId="76915DF9" w:rsidR="000F458B" w:rsidRPr="000F458B" w:rsidRDefault="000F458B" w:rsidP="003A0B2F">
            <w:pPr>
              <w:jc w:val="center"/>
              <w:rPr>
                <w:rFonts w:ascii="Arial Narrow" w:hAnsi="Arial Narrow"/>
                <w:sz w:val="16"/>
                <w:szCs w:val="16"/>
              </w:rPr>
            </w:pPr>
            <w:r w:rsidRPr="000F458B">
              <w:rPr>
                <w:rFonts w:ascii="Arial Narrow" w:hAnsi="Arial Narrow"/>
                <w:sz w:val="16"/>
                <w:szCs w:val="16"/>
              </w:rPr>
              <w:t>-0,26</w:t>
            </w:r>
          </w:p>
        </w:tc>
      </w:tr>
      <w:tr w:rsidR="003A0B2F" w14:paraId="4FFF243D" w14:textId="77777777" w:rsidTr="003A0B2F">
        <w:trPr>
          <w:trHeight w:val="283"/>
        </w:trPr>
        <w:tc>
          <w:tcPr>
            <w:tcW w:w="362" w:type="dxa"/>
            <w:shd w:val="clear" w:color="auto" w:fill="DDEBF7"/>
            <w:vAlign w:val="center"/>
          </w:tcPr>
          <w:p w14:paraId="34BC18A8" w14:textId="3214FC1E"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30</w:t>
            </w:r>
          </w:p>
        </w:tc>
        <w:tc>
          <w:tcPr>
            <w:tcW w:w="4469" w:type="dxa"/>
            <w:shd w:val="clear" w:color="auto" w:fill="DDEBF7"/>
            <w:vAlign w:val="center"/>
          </w:tcPr>
          <w:p w14:paraId="2F0ABD60" w14:textId="6A18CE68" w:rsidR="000F458B" w:rsidRPr="000F458B" w:rsidRDefault="000F458B" w:rsidP="003A0B2F">
            <w:pPr>
              <w:rPr>
                <w:rFonts w:ascii="Arial Narrow" w:hAnsi="Arial Narrow"/>
                <w:b/>
                <w:bCs/>
                <w:sz w:val="16"/>
                <w:szCs w:val="16"/>
              </w:rPr>
            </w:pPr>
            <w:r w:rsidRPr="000F458B">
              <w:rPr>
                <w:rFonts w:ascii="Arial Narrow" w:hAnsi="Arial Narrow"/>
                <w:b/>
                <w:bCs/>
                <w:sz w:val="16"/>
                <w:szCs w:val="16"/>
              </w:rPr>
              <w:t>Ostatné drobné opatrenia na D.2</w:t>
            </w:r>
          </w:p>
        </w:tc>
        <w:tc>
          <w:tcPr>
            <w:tcW w:w="700" w:type="dxa"/>
            <w:shd w:val="clear" w:color="auto" w:fill="DDEBF7"/>
            <w:vAlign w:val="center"/>
          </w:tcPr>
          <w:p w14:paraId="4A0FC545" w14:textId="54B35EDF"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5A0FC726" w14:textId="004B6ADB"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2A57E9E7" w14:textId="684EFEDD"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09B50861" w14:textId="3994640A"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010F3354" w14:textId="0CCEB03F"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654" w:type="dxa"/>
            <w:shd w:val="clear" w:color="auto" w:fill="DDEBF7"/>
            <w:vAlign w:val="center"/>
          </w:tcPr>
          <w:p w14:paraId="3F30D8EF" w14:textId="704C27D7" w:rsidR="000F458B" w:rsidRPr="000F458B" w:rsidRDefault="000F458B" w:rsidP="003A0B2F">
            <w:pPr>
              <w:jc w:val="center"/>
              <w:rPr>
                <w:rFonts w:ascii="Arial Narrow" w:hAnsi="Arial Narrow"/>
                <w:sz w:val="16"/>
                <w:szCs w:val="16"/>
              </w:rPr>
            </w:pPr>
            <w:r w:rsidRPr="000F458B">
              <w:rPr>
                <w:rFonts w:ascii="Arial Narrow" w:hAnsi="Arial Narrow"/>
                <w:sz w:val="16"/>
                <w:szCs w:val="16"/>
              </w:rPr>
              <w:t>0,01</w:t>
            </w:r>
          </w:p>
        </w:tc>
      </w:tr>
      <w:tr w:rsidR="003A0B2F" w14:paraId="51CA1FB6" w14:textId="77777777" w:rsidTr="003A0B2F">
        <w:trPr>
          <w:trHeight w:val="283"/>
        </w:trPr>
        <w:tc>
          <w:tcPr>
            <w:tcW w:w="362" w:type="dxa"/>
            <w:shd w:val="clear" w:color="auto" w:fill="DDEBF7"/>
            <w:vAlign w:val="center"/>
          </w:tcPr>
          <w:p w14:paraId="1843261B" w14:textId="34A163D5"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31</w:t>
            </w:r>
          </w:p>
        </w:tc>
        <w:tc>
          <w:tcPr>
            <w:tcW w:w="4469" w:type="dxa"/>
            <w:shd w:val="clear" w:color="auto" w:fill="DDEBF7"/>
            <w:vAlign w:val="center"/>
          </w:tcPr>
          <w:p w14:paraId="6319A556" w14:textId="2E7FBE9E" w:rsidR="000F458B" w:rsidRPr="000F458B" w:rsidRDefault="000F458B" w:rsidP="003A0B2F">
            <w:pPr>
              <w:rPr>
                <w:rFonts w:ascii="Arial Narrow" w:hAnsi="Arial Narrow"/>
                <w:b/>
                <w:bCs/>
                <w:sz w:val="16"/>
                <w:szCs w:val="16"/>
              </w:rPr>
            </w:pPr>
            <w:r w:rsidRPr="000F458B">
              <w:rPr>
                <w:rFonts w:ascii="Arial Narrow" w:hAnsi="Arial Narrow"/>
                <w:b/>
                <w:bCs/>
                <w:sz w:val="16"/>
                <w:szCs w:val="16"/>
              </w:rPr>
              <w:t>Ostatné drobné opatrenia na D.5</w:t>
            </w:r>
          </w:p>
        </w:tc>
        <w:tc>
          <w:tcPr>
            <w:tcW w:w="700" w:type="dxa"/>
            <w:shd w:val="clear" w:color="auto" w:fill="DDEBF7"/>
            <w:vAlign w:val="center"/>
          </w:tcPr>
          <w:p w14:paraId="69E8B1AD" w14:textId="75C07DE0"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1EF52718" w14:textId="74A9E957"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3DE9971D" w14:textId="3569AF42" w:rsidR="000F458B" w:rsidRPr="000F458B" w:rsidRDefault="000F458B" w:rsidP="003A0B2F">
            <w:pPr>
              <w:jc w:val="center"/>
              <w:rPr>
                <w:rFonts w:ascii="Arial Narrow" w:hAnsi="Arial Narrow"/>
                <w:sz w:val="16"/>
                <w:szCs w:val="16"/>
              </w:rPr>
            </w:pPr>
            <w:r w:rsidRPr="000F458B">
              <w:rPr>
                <w:rFonts w:ascii="Arial Narrow" w:hAnsi="Arial Narrow"/>
                <w:sz w:val="16"/>
                <w:szCs w:val="16"/>
              </w:rPr>
              <w:t>0,02</w:t>
            </w:r>
          </w:p>
        </w:tc>
        <w:tc>
          <w:tcPr>
            <w:tcW w:w="706" w:type="dxa"/>
            <w:shd w:val="clear" w:color="auto" w:fill="DDEBF7"/>
            <w:vAlign w:val="center"/>
          </w:tcPr>
          <w:p w14:paraId="455713BE" w14:textId="32754C2C"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389D428E" w14:textId="58F7FB9D" w:rsidR="000F458B" w:rsidRPr="000F458B" w:rsidRDefault="000F458B" w:rsidP="003A0B2F">
            <w:pPr>
              <w:jc w:val="center"/>
              <w:rPr>
                <w:rFonts w:ascii="Arial Narrow" w:hAnsi="Arial Narrow"/>
                <w:sz w:val="16"/>
                <w:szCs w:val="16"/>
              </w:rPr>
            </w:pPr>
            <w:r w:rsidRPr="000F458B">
              <w:rPr>
                <w:rFonts w:ascii="Arial Narrow" w:hAnsi="Arial Narrow"/>
                <w:sz w:val="16"/>
                <w:szCs w:val="16"/>
              </w:rPr>
              <w:t>-0,01</w:t>
            </w:r>
          </w:p>
        </w:tc>
        <w:tc>
          <w:tcPr>
            <w:tcW w:w="654" w:type="dxa"/>
            <w:shd w:val="clear" w:color="auto" w:fill="DDEBF7"/>
            <w:vAlign w:val="center"/>
          </w:tcPr>
          <w:p w14:paraId="040F15F6" w14:textId="3C7CA8C0" w:rsidR="000F458B" w:rsidRPr="000F458B" w:rsidRDefault="000F458B" w:rsidP="003A0B2F">
            <w:pPr>
              <w:jc w:val="center"/>
              <w:rPr>
                <w:rFonts w:ascii="Arial Narrow" w:hAnsi="Arial Narrow"/>
                <w:sz w:val="16"/>
                <w:szCs w:val="16"/>
              </w:rPr>
            </w:pPr>
            <w:r w:rsidRPr="000F458B">
              <w:rPr>
                <w:rFonts w:ascii="Arial Narrow" w:hAnsi="Arial Narrow"/>
                <w:sz w:val="16"/>
                <w:szCs w:val="16"/>
              </w:rPr>
              <w:t>-0,01</w:t>
            </w:r>
          </w:p>
        </w:tc>
      </w:tr>
      <w:tr w:rsidR="003A0B2F" w14:paraId="6495AE7D" w14:textId="77777777" w:rsidTr="003A0B2F">
        <w:trPr>
          <w:trHeight w:val="283"/>
        </w:trPr>
        <w:tc>
          <w:tcPr>
            <w:tcW w:w="362" w:type="dxa"/>
            <w:shd w:val="clear" w:color="auto" w:fill="DDEBF7"/>
            <w:vAlign w:val="center"/>
          </w:tcPr>
          <w:p w14:paraId="7B61DD38" w14:textId="1562AB1D"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32</w:t>
            </w:r>
          </w:p>
        </w:tc>
        <w:tc>
          <w:tcPr>
            <w:tcW w:w="4469" w:type="dxa"/>
            <w:shd w:val="clear" w:color="auto" w:fill="DDEBF7"/>
            <w:vAlign w:val="center"/>
          </w:tcPr>
          <w:p w14:paraId="7470ADFE" w14:textId="054B3774" w:rsidR="000F458B" w:rsidRPr="000F458B" w:rsidRDefault="000F458B" w:rsidP="003A0B2F">
            <w:pPr>
              <w:rPr>
                <w:rFonts w:ascii="Arial Narrow" w:hAnsi="Arial Narrow"/>
                <w:b/>
                <w:bCs/>
                <w:sz w:val="16"/>
                <w:szCs w:val="16"/>
              </w:rPr>
            </w:pPr>
            <w:r w:rsidRPr="000F458B">
              <w:rPr>
                <w:rFonts w:ascii="Arial Narrow" w:hAnsi="Arial Narrow"/>
                <w:b/>
                <w:bCs/>
                <w:sz w:val="16"/>
                <w:szCs w:val="16"/>
              </w:rPr>
              <w:t>Ostatné drobné opatrenia na D.61</w:t>
            </w:r>
          </w:p>
        </w:tc>
        <w:tc>
          <w:tcPr>
            <w:tcW w:w="700" w:type="dxa"/>
            <w:shd w:val="clear" w:color="auto" w:fill="DDEBF7"/>
            <w:vAlign w:val="center"/>
          </w:tcPr>
          <w:p w14:paraId="21CFE4D5" w14:textId="319B0E4B"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3F8A8716" w14:textId="24803315"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406D2A50" w14:textId="65346C51" w:rsidR="000F458B" w:rsidRPr="000F458B" w:rsidRDefault="000F458B" w:rsidP="003A0B2F">
            <w:pPr>
              <w:jc w:val="center"/>
              <w:rPr>
                <w:rFonts w:ascii="Arial Narrow" w:hAnsi="Arial Narrow"/>
                <w:sz w:val="16"/>
                <w:szCs w:val="16"/>
              </w:rPr>
            </w:pPr>
            <w:r w:rsidRPr="000F458B">
              <w:rPr>
                <w:rFonts w:ascii="Arial Narrow" w:hAnsi="Arial Narrow"/>
                <w:sz w:val="16"/>
                <w:szCs w:val="16"/>
              </w:rPr>
              <w:t>0,02</w:t>
            </w:r>
          </w:p>
        </w:tc>
        <w:tc>
          <w:tcPr>
            <w:tcW w:w="706" w:type="dxa"/>
            <w:shd w:val="clear" w:color="auto" w:fill="DDEBF7"/>
            <w:vAlign w:val="center"/>
          </w:tcPr>
          <w:p w14:paraId="36FD184E" w14:textId="272C4867"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269A28A0" w14:textId="68E25D40" w:rsidR="000F458B" w:rsidRPr="000F458B" w:rsidRDefault="000F458B" w:rsidP="003A0B2F">
            <w:pPr>
              <w:jc w:val="center"/>
              <w:rPr>
                <w:rFonts w:ascii="Arial Narrow" w:hAnsi="Arial Narrow"/>
                <w:sz w:val="16"/>
                <w:szCs w:val="16"/>
              </w:rPr>
            </w:pPr>
            <w:r w:rsidRPr="000F458B">
              <w:rPr>
                <w:rFonts w:ascii="Arial Narrow" w:hAnsi="Arial Narrow"/>
                <w:sz w:val="16"/>
                <w:szCs w:val="16"/>
              </w:rPr>
              <w:t>-0,01</w:t>
            </w:r>
          </w:p>
        </w:tc>
        <w:tc>
          <w:tcPr>
            <w:tcW w:w="654" w:type="dxa"/>
            <w:shd w:val="clear" w:color="auto" w:fill="DDEBF7"/>
            <w:vAlign w:val="center"/>
          </w:tcPr>
          <w:p w14:paraId="03155620" w14:textId="4F20452E"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r>
      <w:tr w:rsidR="003A0B2F" w14:paraId="628ADF22" w14:textId="77777777" w:rsidTr="003A0B2F">
        <w:trPr>
          <w:trHeight w:val="283"/>
        </w:trPr>
        <w:tc>
          <w:tcPr>
            <w:tcW w:w="362" w:type="dxa"/>
            <w:shd w:val="clear" w:color="auto" w:fill="DDEBF7"/>
            <w:vAlign w:val="center"/>
          </w:tcPr>
          <w:p w14:paraId="2480B910" w14:textId="240AC2E4"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33</w:t>
            </w:r>
          </w:p>
        </w:tc>
        <w:tc>
          <w:tcPr>
            <w:tcW w:w="4469" w:type="dxa"/>
            <w:shd w:val="clear" w:color="auto" w:fill="DDEBF7"/>
            <w:vAlign w:val="center"/>
          </w:tcPr>
          <w:p w14:paraId="79485062" w14:textId="4BE35BC0" w:rsidR="000F458B" w:rsidRPr="000F458B" w:rsidRDefault="000F458B" w:rsidP="003A0B2F">
            <w:pPr>
              <w:rPr>
                <w:rFonts w:ascii="Arial Narrow" w:hAnsi="Arial Narrow"/>
                <w:b/>
                <w:bCs/>
                <w:sz w:val="16"/>
                <w:szCs w:val="16"/>
              </w:rPr>
            </w:pPr>
            <w:r w:rsidRPr="000F458B">
              <w:rPr>
                <w:rFonts w:ascii="Arial Narrow" w:hAnsi="Arial Narrow"/>
                <w:b/>
                <w:bCs/>
                <w:sz w:val="16"/>
                <w:szCs w:val="16"/>
              </w:rPr>
              <w:t>Ostatné drobné opatrenia na P.11</w:t>
            </w:r>
          </w:p>
        </w:tc>
        <w:tc>
          <w:tcPr>
            <w:tcW w:w="700" w:type="dxa"/>
            <w:shd w:val="clear" w:color="auto" w:fill="DDEBF7"/>
            <w:vAlign w:val="center"/>
          </w:tcPr>
          <w:p w14:paraId="6640BAEE" w14:textId="6C43B40E"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Nie</w:t>
            </w:r>
          </w:p>
        </w:tc>
        <w:tc>
          <w:tcPr>
            <w:tcW w:w="712" w:type="dxa"/>
            <w:shd w:val="clear" w:color="auto" w:fill="DDEBF7"/>
            <w:vAlign w:val="center"/>
          </w:tcPr>
          <w:p w14:paraId="5C503C10" w14:textId="7C5F7F15"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Príjmy</w:t>
            </w:r>
          </w:p>
        </w:tc>
        <w:tc>
          <w:tcPr>
            <w:tcW w:w="706" w:type="dxa"/>
            <w:shd w:val="clear" w:color="auto" w:fill="DDEBF7"/>
            <w:vAlign w:val="center"/>
          </w:tcPr>
          <w:p w14:paraId="0D1D1878" w14:textId="769B4E86"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3040613A" w14:textId="3F205B4C"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706" w:type="dxa"/>
            <w:shd w:val="clear" w:color="auto" w:fill="DDEBF7"/>
            <w:vAlign w:val="center"/>
          </w:tcPr>
          <w:p w14:paraId="30DEB94D" w14:textId="575B4CBF" w:rsidR="000F458B" w:rsidRPr="000F458B" w:rsidRDefault="000F458B" w:rsidP="003A0B2F">
            <w:pPr>
              <w:jc w:val="center"/>
              <w:rPr>
                <w:rFonts w:ascii="Arial Narrow" w:hAnsi="Arial Narrow"/>
                <w:sz w:val="16"/>
                <w:szCs w:val="16"/>
              </w:rPr>
            </w:pPr>
            <w:r w:rsidRPr="000F458B">
              <w:rPr>
                <w:rFonts w:ascii="Arial Narrow" w:hAnsi="Arial Narrow"/>
                <w:sz w:val="16"/>
                <w:szCs w:val="16"/>
              </w:rPr>
              <w:t>0,00</w:t>
            </w:r>
          </w:p>
        </w:tc>
        <w:tc>
          <w:tcPr>
            <w:tcW w:w="654" w:type="dxa"/>
            <w:shd w:val="clear" w:color="auto" w:fill="DDEBF7"/>
            <w:vAlign w:val="center"/>
          </w:tcPr>
          <w:p w14:paraId="6B778088" w14:textId="649C28EE" w:rsidR="000F458B" w:rsidRPr="000F458B" w:rsidRDefault="000F458B" w:rsidP="003A0B2F">
            <w:pPr>
              <w:jc w:val="center"/>
              <w:rPr>
                <w:rFonts w:ascii="Arial Narrow" w:hAnsi="Arial Narrow"/>
                <w:sz w:val="16"/>
                <w:szCs w:val="16"/>
              </w:rPr>
            </w:pPr>
            <w:r w:rsidRPr="000F458B">
              <w:rPr>
                <w:rFonts w:ascii="Arial Narrow" w:hAnsi="Arial Narrow"/>
                <w:sz w:val="16"/>
                <w:szCs w:val="16"/>
              </w:rPr>
              <w:t>0,01</w:t>
            </w:r>
          </w:p>
        </w:tc>
      </w:tr>
      <w:tr w:rsidR="003A0B2F" w14:paraId="2BD39D6E" w14:textId="77777777" w:rsidTr="003A0B2F">
        <w:trPr>
          <w:trHeight w:val="283"/>
        </w:trPr>
        <w:tc>
          <w:tcPr>
            <w:tcW w:w="362" w:type="dxa"/>
            <w:shd w:val="clear" w:color="auto" w:fill="DDEBF7"/>
            <w:vAlign w:val="center"/>
          </w:tcPr>
          <w:p w14:paraId="75FB8DC0" w14:textId="77777777" w:rsidR="000F458B" w:rsidRPr="000F458B" w:rsidRDefault="000F458B" w:rsidP="003A0B2F">
            <w:pPr>
              <w:jc w:val="center"/>
              <w:rPr>
                <w:rFonts w:ascii="Arial Narrow" w:hAnsi="Arial Narrow"/>
                <w:b/>
                <w:bCs/>
                <w:sz w:val="16"/>
                <w:szCs w:val="16"/>
              </w:rPr>
            </w:pPr>
          </w:p>
        </w:tc>
        <w:tc>
          <w:tcPr>
            <w:tcW w:w="4469" w:type="dxa"/>
            <w:shd w:val="clear" w:color="auto" w:fill="DDEBF7"/>
            <w:vAlign w:val="center"/>
          </w:tcPr>
          <w:p w14:paraId="4E7A0792" w14:textId="55DB21BA" w:rsidR="000F458B" w:rsidRPr="000F458B" w:rsidRDefault="000F458B" w:rsidP="003A0B2F">
            <w:pPr>
              <w:rPr>
                <w:rFonts w:ascii="Arial Narrow" w:hAnsi="Arial Narrow"/>
                <w:b/>
                <w:bCs/>
                <w:sz w:val="16"/>
                <w:szCs w:val="16"/>
              </w:rPr>
            </w:pPr>
            <w:r w:rsidRPr="000F458B">
              <w:rPr>
                <w:rFonts w:ascii="Arial Narrow" w:hAnsi="Arial Narrow"/>
                <w:b/>
                <w:bCs/>
                <w:sz w:val="16"/>
                <w:szCs w:val="16"/>
              </w:rPr>
              <w:t>Spolu</w:t>
            </w:r>
          </w:p>
        </w:tc>
        <w:tc>
          <w:tcPr>
            <w:tcW w:w="700" w:type="dxa"/>
            <w:shd w:val="clear" w:color="auto" w:fill="DDEBF7"/>
            <w:vAlign w:val="center"/>
          </w:tcPr>
          <w:p w14:paraId="3A813997" w14:textId="77777777" w:rsidR="000F458B" w:rsidRPr="000F458B" w:rsidRDefault="000F458B" w:rsidP="003A0B2F">
            <w:pPr>
              <w:jc w:val="center"/>
              <w:rPr>
                <w:rFonts w:ascii="Arial Narrow" w:hAnsi="Arial Narrow"/>
                <w:b/>
                <w:bCs/>
                <w:sz w:val="16"/>
                <w:szCs w:val="16"/>
              </w:rPr>
            </w:pPr>
          </w:p>
        </w:tc>
        <w:tc>
          <w:tcPr>
            <w:tcW w:w="712" w:type="dxa"/>
            <w:shd w:val="clear" w:color="auto" w:fill="DDEBF7"/>
            <w:vAlign w:val="center"/>
          </w:tcPr>
          <w:p w14:paraId="0A8B2FA0" w14:textId="77777777" w:rsidR="000F458B" w:rsidRPr="000F458B" w:rsidRDefault="000F458B" w:rsidP="003A0B2F">
            <w:pPr>
              <w:jc w:val="center"/>
              <w:rPr>
                <w:rFonts w:ascii="Arial Narrow" w:hAnsi="Arial Narrow"/>
                <w:b/>
                <w:bCs/>
                <w:sz w:val="16"/>
                <w:szCs w:val="16"/>
              </w:rPr>
            </w:pPr>
          </w:p>
        </w:tc>
        <w:tc>
          <w:tcPr>
            <w:tcW w:w="706" w:type="dxa"/>
            <w:shd w:val="clear" w:color="auto" w:fill="DDEBF7"/>
            <w:vAlign w:val="center"/>
          </w:tcPr>
          <w:p w14:paraId="18AEB178" w14:textId="52A9D2A8"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-0,17</w:t>
            </w:r>
          </w:p>
        </w:tc>
        <w:tc>
          <w:tcPr>
            <w:tcW w:w="706" w:type="dxa"/>
            <w:shd w:val="clear" w:color="auto" w:fill="DDEBF7"/>
            <w:vAlign w:val="center"/>
          </w:tcPr>
          <w:p w14:paraId="00DAFFBF" w14:textId="58035B0F"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1,01</w:t>
            </w:r>
          </w:p>
        </w:tc>
        <w:tc>
          <w:tcPr>
            <w:tcW w:w="706" w:type="dxa"/>
            <w:shd w:val="clear" w:color="auto" w:fill="DDEBF7"/>
            <w:vAlign w:val="center"/>
          </w:tcPr>
          <w:p w14:paraId="6C91E9DF" w14:textId="13C93B19"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1,06</w:t>
            </w:r>
          </w:p>
        </w:tc>
        <w:tc>
          <w:tcPr>
            <w:tcW w:w="654" w:type="dxa"/>
            <w:shd w:val="clear" w:color="auto" w:fill="DDEBF7"/>
            <w:vAlign w:val="center"/>
          </w:tcPr>
          <w:p w14:paraId="34C605A7" w14:textId="29ECF018" w:rsidR="000F458B" w:rsidRPr="000F458B" w:rsidRDefault="000F458B" w:rsidP="003A0B2F">
            <w:pPr>
              <w:jc w:val="center"/>
              <w:rPr>
                <w:rFonts w:ascii="Arial Narrow" w:hAnsi="Arial Narrow"/>
                <w:b/>
                <w:bCs/>
                <w:sz w:val="16"/>
                <w:szCs w:val="16"/>
              </w:rPr>
            </w:pPr>
            <w:r w:rsidRPr="000F458B">
              <w:rPr>
                <w:rFonts w:ascii="Arial Narrow" w:hAnsi="Arial Narrow"/>
                <w:b/>
                <w:bCs/>
                <w:sz w:val="16"/>
                <w:szCs w:val="16"/>
              </w:rPr>
              <w:t>0,35</w:t>
            </w:r>
          </w:p>
        </w:tc>
      </w:tr>
    </w:tbl>
    <w:p w14:paraId="6D22E561" w14:textId="77777777" w:rsidR="00C24F6F" w:rsidRDefault="00C24F6F" w:rsidP="00C24F6F">
      <w:pPr>
        <w:pStyle w:val="ifptext"/>
        <w:rPr>
          <w:highlight w:val="yellow"/>
        </w:rPr>
      </w:pPr>
    </w:p>
    <w:p w14:paraId="6EC6AE60" w14:textId="77777777" w:rsidR="00C24F6F" w:rsidRDefault="00C24F6F" w:rsidP="00C24F6F">
      <w:pPr>
        <w:pStyle w:val="ifptext"/>
        <w:rPr>
          <w:highlight w:val="yellow"/>
        </w:rPr>
      </w:pPr>
    </w:p>
    <w:p w14:paraId="2A071B9A" w14:textId="77777777" w:rsidR="003A0B2F" w:rsidRDefault="003A0B2F" w:rsidP="00C24F6F">
      <w:pPr>
        <w:pStyle w:val="ifptext"/>
        <w:rPr>
          <w:highlight w:val="yellow"/>
        </w:rPr>
      </w:pPr>
    </w:p>
    <w:p w14:paraId="571C87B1" w14:textId="77777777" w:rsidR="00C24F6F" w:rsidRDefault="00C24F6F" w:rsidP="00C24F6F">
      <w:pPr>
        <w:pStyle w:val="ifptext"/>
        <w:rPr>
          <w:highlight w:val="yellow"/>
        </w:rPr>
      </w:pPr>
    </w:p>
    <w:p w14:paraId="7C8E8403" w14:textId="77777777" w:rsidR="00C24F6F" w:rsidRDefault="00C24F6F" w:rsidP="00C24F6F">
      <w:pPr>
        <w:pStyle w:val="ifptext"/>
        <w:rPr>
          <w:highlight w:val="yellow"/>
        </w:rPr>
      </w:pPr>
    </w:p>
    <w:p w14:paraId="026B6AD1" w14:textId="77777777" w:rsidR="00C24F6F" w:rsidRDefault="00C24F6F" w:rsidP="00C24F6F">
      <w:pPr>
        <w:pStyle w:val="ifptext"/>
        <w:rPr>
          <w:highlight w:val="yellow"/>
        </w:rPr>
      </w:pPr>
    </w:p>
    <w:p w14:paraId="6DED93FD" w14:textId="77777777" w:rsidR="00C24F6F" w:rsidRPr="008E7F52" w:rsidRDefault="00C24F6F" w:rsidP="00C24F6F">
      <w:pPr>
        <w:pStyle w:val="ifptext"/>
        <w:rPr>
          <w:highlight w:val="yellow"/>
        </w:rPr>
      </w:pPr>
    </w:p>
    <w:tbl>
      <w:tblPr>
        <w:tblW w:w="9072" w:type="dxa"/>
        <w:tblCellMar>
          <w:left w:w="70" w:type="dxa"/>
          <w:right w:w="70" w:type="dxa"/>
        </w:tblCellMar>
        <w:tblLook w:val="04A0" w:firstRow="1" w:lastRow="0" w:firstColumn="1" w:lastColumn="0" w:noHBand="0" w:noVBand="1"/>
      </w:tblPr>
      <w:tblGrid>
        <w:gridCol w:w="480"/>
        <w:gridCol w:w="2781"/>
        <w:gridCol w:w="850"/>
        <w:gridCol w:w="851"/>
        <w:gridCol w:w="850"/>
        <w:gridCol w:w="851"/>
        <w:gridCol w:w="850"/>
        <w:gridCol w:w="709"/>
        <w:gridCol w:w="850"/>
      </w:tblGrid>
      <w:tr w:rsidR="00C24F6F" w:rsidRPr="003F4A57" w14:paraId="0845D628" w14:textId="77777777" w:rsidTr="001B0DFB">
        <w:trPr>
          <w:trHeight w:val="289"/>
        </w:trPr>
        <w:tc>
          <w:tcPr>
            <w:tcW w:w="3261" w:type="dxa"/>
            <w:gridSpan w:val="2"/>
            <w:tcBorders>
              <w:top w:val="nil"/>
              <w:left w:val="nil"/>
              <w:bottom w:val="nil"/>
              <w:right w:val="nil"/>
            </w:tcBorders>
            <w:shd w:val="clear" w:color="000000" w:fill="FFFFFF"/>
            <w:vAlign w:val="center"/>
            <w:hideMark/>
          </w:tcPr>
          <w:p w14:paraId="5A36F492" w14:textId="77777777" w:rsidR="001B0DFB" w:rsidRDefault="001B0DFB" w:rsidP="002B1847">
            <w:pPr>
              <w:spacing w:after="0" w:line="240" w:lineRule="auto"/>
              <w:rPr>
                <w:rFonts w:ascii="Arial Narrow" w:eastAsia="Times New Roman" w:hAnsi="Arial Narrow" w:cs="Calibri"/>
                <w:b/>
                <w:bCs/>
                <w:color w:val="2C9ADC"/>
                <w:kern w:val="0"/>
                <w:sz w:val="18"/>
                <w:szCs w:val="18"/>
                <w:lang w:eastAsia="sk-SK"/>
                <w14:ligatures w14:val="none"/>
              </w:rPr>
            </w:pPr>
          </w:p>
          <w:p w14:paraId="11F98C2E" w14:textId="77777777" w:rsidR="001B0DFB" w:rsidRDefault="001B0DFB" w:rsidP="002B1847">
            <w:pPr>
              <w:spacing w:after="0" w:line="240" w:lineRule="auto"/>
              <w:rPr>
                <w:rFonts w:ascii="Arial Narrow" w:eastAsia="Times New Roman" w:hAnsi="Arial Narrow" w:cs="Calibri"/>
                <w:b/>
                <w:bCs/>
                <w:color w:val="2C9ADC"/>
                <w:kern w:val="0"/>
                <w:sz w:val="18"/>
                <w:szCs w:val="18"/>
                <w:lang w:eastAsia="sk-SK"/>
                <w14:ligatures w14:val="none"/>
              </w:rPr>
            </w:pPr>
          </w:p>
          <w:p w14:paraId="4E53365D" w14:textId="095160C1" w:rsidR="00C24F6F" w:rsidRPr="003F4A57" w:rsidRDefault="00C24F6F" w:rsidP="002B1847">
            <w:pPr>
              <w:spacing w:after="0" w:line="240" w:lineRule="auto"/>
              <w:rPr>
                <w:rFonts w:ascii="Arial Narrow" w:eastAsia="Times New Roman" w:hAnsi="Arial Narrow" w:cs="Calibri"/>
                <w:b/>
                <w:bCs/>
                <w:color w:val="2C9ADC"/>
                <w:kern w:val="0"/>
                <w:sz w:val="18"/>
                <w:szCs w:val="18"/>
                <w:lang w:eastAsia="sk-SK"/>
                <w14:ligatures w14:val="none"/>
              </w:rPr>
            </w:pPr>
            <w:r w:rsidRPr="003F4A57">
              <w:rPr>
                <w:rFonts w:ascii="Arial Narrow" w:eastAsia="Times New Roman" w:hAnsi="Arial Narrow" w:cs="Calibri"/>
                <w:b/>
                <w:bCs/>
                <w:color w:val="2C9ADC"/>
                <w:kern w:val="0"/>
                <w:sz w:val="18"/>
                <w:szCs w:val="18"/>
                <w:lang w:eastAsia="sk-SK"/>
                <w14:ligatures w14:val="none"/>
              </w:rPr>
              <w:lastRenderedPageBreak/>
              <w:t>TABUĽKA 6 – Granty z Plánu obnovy (RRF)</w:t>
            </w:r>
          </w:p>
        </w:tc>
        <w:tc>
          <w:tcPr>
            <w:tcW w:w="850" w:type="dxa"/>
            <w:tcBorders>
              <w:top w:val="nil"/>
              <w:left w:val="nil"/>
              <w:bottom w:val="nil"/>
              <w:right w:val="nil"/>
            </w:tcBorders>
            <w:vAlign w:val="center"/>
          </w:tcPr>
          <w:p w14:paraId="69597C74" w14:textId="1F7B07FD" w:rsidR="00C24F6F" w:rsidRPr="003F4A57"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p>
        </w:tc>
        <w:tc>
          <w:tcPr>
            <w:tcW w:w="851" w:type="dxa"/>
            <w:tcBorders>
              <w:top w:val="nil"/>
              <w:left w:val="nil"/>
              <w:bottom w:val="nil"/>
              <w:right w:val="nil"/>
            </w:tcBorders>
            <w:vAlign w:val="center"/>
          </w:tcPr>
          <w:p w14:paraId="290852D9" w14:textId="1F4E7213" w:rsidR="00C24F6F" w:rsidRPr="003F4A57"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p>
        </w:tc>
        <w:tc>
          <w:tcPr>
            <w:tcW w:w="850" w:type="dxa"/>
            <w:tcBorders>
              <w:top w:val="nil"/>
              <w:left w:val="nil"/>
              <w:bottom w:val="nil"/>
              <w:right w:val="nil"/>
            </w:tcBorders>
            <w:vAlign w:val="center"/>
          </w:tcPr>
          <w:p w14:paraId="3F5F071B" w14:textId="60686097" w:rsidR="00C24F6F" w:rsidRPr="003F4A57"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p>
        </w:tc>
        <w:tc>
          <w:tcPr>
            <w:tcW w:w="851" w:type="dxa"/>
            <w:tcBorders>
              <w:top w:val="nil"/>
              <w:left w:val="nil"/>
              <w:bottom w:val="nil"/>
              <w:right w:val="nil"/>
            </w:tcBorders>
            <w:vAlign w:val="center"/>
          </w:tcPr>
          <w:p w14:paraId="3BA05A18" w14:textId="66A4EEC1" w:rsidR="00C24F6F" w:rsidRPr="003F4A57"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p>
        </w:tc>
        <w:tc>
          <w:tcPr>
            <w:tcW w:w="850" w:type="dxa"/>
            <w:tcBorders>
              <w:top w:val="nil"/>
              <w:left w:val="nil"/>
              <w:bottom w:val="nil"/>
              <w:right w:val="nil"/>
            </w:tcBorders>
            <w:vAlign w:val="center"/>
          </w:tcPr>
          <w:p w14:paraId="11AD28E8" w14:textId="063CD430" w:rsidR="00C24F6F" w:rsidRPr="003F4A57"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p>
        </w:tc>
        <w:tc>
          <w:tcPr>
            <w:tcW w:w="709" w:type="dxa"/>
            <w:tcBorders>
              <w:top w:val="nil"/>
              <w:left w:val="nil"/>
              <w:bottom w:val="nil"/>
              <w:right w:val="nil"/>
            </w:tcBorders>
            <w:vAlign w:val="center"/>
          </w:tcPr>
          <w:p w14:paraId="3B070C1F" w14:textId="3F038CC9" w:rsidR="00C24F6F" w:rsidRPr="003F4A57"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p>
        </w:tc>
        <w:tc>
          <w:tcPr>
            <w:tcW w:w="850" w:type="dxa"/>
            <w:tcBorders>
              <w:top w:val="nil"/>
              <w:left w:val="nil"/>
              <w:bottom w:val="nil"/>
              <w:right w:val="nil"/>
            </w:tcBorders>
            <w:vAlign w:val="center"/>
          </w:tcPr>
          <w:p w14:paraId="1868D1D0" w14:textId="5CA848F3" w:rsidR="00C24F6F" w:rsidRPr="003F4A57" w:rsidRDefault="00C24F6F" w:rsidP="002B1847">
            <w:pPr>
              <w:spacing w:after="0" w:line="240" w:lineRule="auto"/>
              <w:jc w:val="center"/>
              <w:rPr>
                <w:rFonts w:ascii="Arial Narrow" w:eastAsia="Times New Roman" w:hAnsi="Arial Narrow" w:cs="Calibri"/>
                <w:b/>
                <w:bCs/>
                <w:color w:val="000000"/>
                <w:kern w:val="0"/>
                <w:sz w:val="16"/>
                <w:szCs w:val="16"/>
                <w:lang w:eastAsia="sk-SK"/>
                <w14:ligatures w14:val="none"/>
              </w:rPr>
            </w:pPr>
          </w:p>
        </w:tc>
      </w:tr>
      <w:tr w:rsidR="001B0DFB" w:rsidRPr="003F4A57" w14:paraId="5ED8AB70" w14:textId="77777777" w:rsidTr="00F42C87">
        <w:trPr>
          <w:trHeight w:val="289"/>
        </w:trPr>
        <w:tc>
          <w:tcPr>
            <w:tcW w:w="480" w:type="dxa"/>
            <w:tcBorders>
              <w:top w:val="nil"/>
              <w:left w:val="nil"/>
              <w:bottom w:val="nil"/>
              <w:right w:val="nil"/>
            </w:tcBorders>
            <w:noWrap/>
            <w:vAlign w:val="bottom"/>
            <w:hideMark/>
          </w:tcPr>
          <w:p w14:paraId="7A357BD8" w14:textId="77777777" w:rsidR="001B0DFB" w:rsidRPr="003F4A57" w:rsidRDefault="001B0DFB" w:rsidP="001B0DFB">
            <w:pPr>
              <w:spacing w:after="0" w:line="240" w:lineRule="auto"/>
              <w:jc w:val="center"/>
              <w:rPr>
                <w:rFonts w:ascii="Arial Narrow" w:eastAsia="Times New Roman" w:hAnsi="Arial Narrow" w:cs="Calibri"/>
                <w:b/>
                <w:bCs/>
                <w:color w:val="000000"/>
                <w:kern w:val="0"/>
                <w:sz w:val="16"/>
                <w:szCs w:val="16"/>
                <w:lang w:eastAsia="sk-SK"/>
                <w14:ligatures w14:val="none"/>
              </w:rPr>
            </w:pPr>
          </w:p>
        </w:tc>
        <w:tc>
          <w:tcPr>
            <w:tcW w:w="2781" w:type="dxa"/>
            <w:tcBorders>
              <w:top w:val="nil"/>
              <w:left w:val="nil"/>
              <w:bottom w:val="single" w:sz="8" w:space="0" w:color="auto"/>
              <w:right w:val="nil"/>
            </w:tcBorders>
            <w:vAlign w:val="center"/>
            <w:hideMark/>
          </w:tcPr>
          <w:p w14:paraId="70DCF9F6" w14:textId="77777777" w:rsidR="001B0DFB" w:rsidRPr="003F4A57" w:rsidRDefault="001B0DFB" w:rsidP="001B0DFB">
            <w:pPr>
              <w:spacing w:after="0" w:line="240" w:lineRule="auto"/>
              <w:jc w:val="right"/>
              <w:rPr>
                <w:rFonts w:ascii="Arial Narrow" w:eastAsia="Times New Roman" w:hAnsi="Arial Narrow" w:cs="Calibri"/>
                <w:b/>
                <w:bCs/>
                <w:color w:val="000000"/>
                <w:kern w:val="0"/>
                <w:sz w:val="16"/>
                <w:szCs w:val="16"/>
                <w:lang w:eastAsia="sk-SK"/>
                <w14:ligatures w14:val="none"/>
              </w:rPr>
            </w:pPr>
            <w:r w:rsidRPr="003F4A57">
              <w:rPr>
                <w:rFonts w:ascii="Arial Narrow" w:eastAsia="Times New Roman" w:hAnsi="Arial Narrow" w:cs="Calibri"/>
                <w:b/>
                <w:bCs/>
                <w:color w:val="000000"/>
                <w:kern w:val="0"/>
                <w:sz w:val="16"/>
                <w:szCs w:val="16"/>
                <w:lang w:eastAsia="sk-SK"/>
                <w14:ligatures w14:val="none"/>
              </w:rPr>
              <w:t> </w:t>
            </w:r>
          </w:p>
        </w:tc>
        <w:tc>
          <w:tcPr>
            <w:tcW w:w="850" w:type="dxa"/>
            <w:tcBorders>
              <w:top w:val="nil"/>
              <w:left w:val="nil"/>
              <w:bottom w:val="single" w:sz="8" w:space="0" w:color="auto"/>
              <w:right w:val="nil"/>
            </w:tcBorders>
            <w:noWrap/>
            <w:vAlign w:val="center"/>
            <w:hideMark/>
          </w:tcPr>
          <w:p w14:paraId="686E532B" w14:textId="214C0E70" w:rsidR="001B0DFB" w:rsidRPr="003F4A57" w:rsidRDefault="001B0DFB" w:rsidP="001B0DFB">
            <w:pPr>
              <w:spacing w:after="0" w:line="240" w:lineRule="auto"/>
              <w:jc w:val="center"/>
              <w:rPr>
                <w:rFonts w:ascii="Arial Narrow" w:eastAsia="Times New Roman" w:hAnsi="Arial Narrow" w:cs="Calibri"/>
                <w:color w:val="000000"/>
                <w:kern w:val="0"/>
                <w:lang w:eastAsia="sk-SK"/>
                <w14:ligatures w14:val="none"/>
              </w:rPr>
            </w:pPr>
            <w:r w:rsidRPr="003F4A57">
              <w:rPr>
                <w:rFonts w:ascii="Arial Narrow" w:eastAsia="Times New Roman" w:hAnsi="Arial Narrow" w:cs="Calibri"/>
                <w:b/>
                <w:bCs/>
                <w:color w:val="000000"/>
                <w:kern w:val="0"/>
                <w:sz w:val="16"/>
                <w:szCs w:val="16"/>
                <w:lang w:eastAsia="sk-SK"/>
                <w14:ligatures w14:val="none"/>
              </w:rPr>
              <w:t>2020</w:t>
            </w:r>
          </w:p>
        </w:tc>
        <w:tc>
          <w:tcPr>
            <w:tcW w:w="851" w:type="dxa"/>
            <w:tcBorders>
              <w:top w:val="nil"/>
              <w:left w:val="nil"/>
              <w:bottom w:val="single" w:sz="8" w:space="0" w:color="auto"/>
              <w:right w:val="nil"/>
            </w:tcBorders>
            <w:noWrap/>
            <w:vAlign w:val="center"/>
            <w:hideMark/>
          </w:tcPr>
          <w:p w14:paraId="6B797BC0" w14:textId="172EEE07" w:rsidR="001B0DFB" w:rsidRPr="003F4A57" w:rsidRDefault="001B0DFB" w:rsidP="001B0DFB">
            <w:pPr>
              <w:spacing w:after="0" w:line="240" w:lineRule="auto"/>
              <w:jc w:val="center"/>
              <w:rPr>
                <w:rFonts w:ascii="Arial Narrow" w:eastAsia="Times New Roman" w:hAnsi="Arial Narrow" w:cs="Calibri"/>
                <w:color w:val="000000"/>
                <w:kern w:val="0"/>
                <w:lang w:eastAsia="sk-SK"/>
                <w14:ligatures w14:val="none"/>
              </w:rPr>
            </w:pPr>
            <w:r w:rsidRPr="003F4A57">
              <w:rPr>
                <w:rFonts w:ascii="Arial Narrow" w:eastAsia="Times New Roman" w:hAnsi="Arial Narrow" w:cs="Calibri"/>
                <w:b/>
                <w:bCs/>
                <w:color w:val="000000"/>
                <w:kern w:val="0"/>
                <w:sz w:val="16"/>
                <w:szCs w:val="16"/>
                <w:lang w:eastAsia="sk-SK"/>
                <w14:ligatures w14:val="none"/>
              </w:rPr>
              <w:t>2021</w:t>
            </w:r>
          </w:p>
        </w:tc>
        <w:tc>
          <w:tcPr>
            <w:tcW w:w="850" w:type="dxa"/>
            <w:tcBorders>
              <w:top w:val="nil"/>
              <w:left w:val="nil"/>
              <w:bottom w:val="single" w:sz="8" w:space="0" w:color="auto"/>
              <w:right w:val="nil"/>
            </w:tcBorders>
            <w:noWrap/>
            <w:vAlign w:val="center"/>
            <w:hideMark/>
          </w:tcPr>
          <w:p w14:paraId="2E8D5A81" w14:textId="69487F60" w:rsidR="001B0DFB" w:rsidRPr="003F4A57" w:rsidRDefault="001B0DFB" w:rsidP="001B0DFB">
            <w:pPr>
              <w:spacing w:after="0" w:line="240" w:lineRule="auto"/>
              <w:jc w:val="center"/>
              <w:rPr>
                <w:rFonts w:ascii="Arial Narrow" w:eastAsia="Times New Roman" w:hAnsi="Arial Narrow" w:cs="Calibri"/>
                <w:color w:val="000000"/>
                <w:kern w:val="0"/>
                <w:lang w:eastAsia="sk-SK"/>
                <w14:ligatures w14:val="none"/>
              </w:rPr>
            </w:pPr>
            <w:r w:rsidRPr="003F4A57">
              <w:rPr>
                <w:rFonts w:ascii="Arial Narrow" w:eastAsia="Times New Roman" w:hAnsi="Arial Narrow" w:cs="Calibri"/>
                <w:b/>
                <w:bCs/>
                <w:color w:val="000000"/>
                <w:kern w:val="0"/>
                <w:sz w:val="16"/>
                <w:szCs w:val="16"/>
                <w:lang w:eastAsia="sk-SK"/>
                <w14:ligatures w14:val="none"/>
              </w:rPr>
              <w:t>2022</w:t>
            </w:r>
          </w:p>
        </w:tc>
        <w:tc>
          <w:tcPr>
            <w:tcW w:w="851" w:type="dxa"/>
            <w:tcBorders>
              <w:top w:val="nil"/>
              <w:left w:val="nil"/>
              <w:bottom w:val="single" w:sz="8" w:space="0" w:color="auto"/>
              <w:right w:val="nil"/>
            </w:tcBorders>
            <w:noWrap/>
            <w:vAlign w:val="center"/>
            <w:hideMark/>
          </w:tcPr>
          <w:p w14:paraId="7FD5D41C" w14:textId="75917CDE" w:rsidR="001B0DFB" w:rsidRPr="003F4A57" w:rsidRDefault="001B0DFB" w:rsidP="001B0DFB">
            <w:pPr>
              <w:spacing w:after="0" w:line="240" w:lineRule="auto"/>
              <w:jc w:val="center"/>
              <w:rPr>
                <w:rFonts w:ascii="Arial Narrow" w:eastAsia="Times New Roman" w:hAnsi="Arial Narrow" w:cs="Calibri"/>
                <w:color w:val="000000"/>
                <w:kern w:val="0"/>
                <w:lang w:eastAsia="sk-SK"/>
                <w14:ligatures w14:val="none"/>
              </w:rPr>
            </w:pPr>
            <w:r w:rsidRPr="003F4A57">
              <w:rPr>
                <w:rFonts w:ascii="Arial Narrow" w:eastAsia="Times New Roman" w:hAnsi="Arial Narrow" w:cs="Calibri"/>
                <w:b/>
                <w:bCs/>
                <w:color w:val="000000"/>
                <w:kern w:val="0"/>
                <w:sz w:val="16"/>
                <w:szCs w:val="16"/>
                <w:lang w:eastAsia="sk-SK"/>
                <w14:ligatures w14:val="none"/>
              </w:rPr>
              <w:t>2023</w:t>
            </w:r>
          </w:p>
        </w:tc>
        <w:tc>
          <w:tcPr>
            <w:tcW w:w="850" w:type="dxa"/>
            <w:tcBorders>
              <w:top w:val="nil"/>
              <w:left w:val="nil"/>
              <w:bottom w:val="single" w:sz="8" w:space="0" w:color="auto"/>
              <w:right w:val="nil"/>
            </w:tcBorders>
            <w:noWrap/>
            <w:vAlign w:val="center"/>
            <w:hideMark/>
          </w:tcPr>
          <w:p w14:paraId="493740CA" w14:textId="10A77D50" w:rsidR="001B0DFB" w:rsidRPr="003F4A57" w:rsidRDefault="001B0DFB" w:rsidP="001B0DFB">
            <w:pPr>
              <w:spacing w:after="0" w:line="240" w:lineRule="auto"/>
              <w:jc w:val="center"/>
              <w:rPr>
                <w:rFonts w:ascii="Arial Narrow" w:eastAsia="Times New Roman" w:hAnsi="Arial Narrow" w:cs="Calibri"/>
                <w:color w:val="000000"/>
                <w:kern w:val="0"/>
                <w:lang w:eastAsia="sk-SK"/>
                <w14:ligatures w14:val="none"/>
              </w:rPr>
            </w:pPr>
            <w:r w:rsidRPr="003F4A57">
              <w:rPr>
                <w:rFonts w:ascii="Arial Narrow" w:eastAsia="Times New Roman" w:hAnsi="Arial Narrow" w:cs="Calibri"/>
                <w:b/>
                <w:bCs/>
                <w:color w:val="000000"/>
                <w:kern w:val="0"/>
                <w:sz w:val="16"/>
                <w:szCs w:val="16"/>
                <w:lang w:eastAsia="sk-SK"/>
                <w14:ligatures w14:val="none"/>
              </w:rPr>
              <w:t>2024</w:t>
            </w:r>
          </w:p>
        </w:tc>
        <w:tc>
          <w:tcPr>
            <w:tcW w:w="709" w:type="dxa"/>
            <w:tcBorders>
              <w:top w:val="nil"/>
              <w:left w:val="nil"/>
              <w:bottom w:val="single" w:sz="8" w:space="0" w:color="auto"/>
              <w:right w:val="nil"/>
            </w:tcBorders>
            <w:noWrap/>
            <w:vAlign w:val="center"/>
            <w:hideMark/>
          </w:tcPr>
          <w:p w14:paraId="67BD60B8" w14:textId="1D005DEB" w:rsidR="001B0DFB" w:rsidRPr="003F4A57" w:rsidRDefault="001B0DFB" w:rsidP="001B0DFB">
            <w:pPr>
              <w:spacing w:after="0" w:line="240" w:lineRule="auto"/>
              <w:jc w:val="center"/>
              <w:rPr>
                <w:rFonts w:ascii="Arial Narrow" w:eastAsia="Times New Roman" w:hAnsi="Arial Narrow" w:cs="Calibri"/>
                <w:color w:val="000000"/>
                <w:kern w:val="0"/>
                <w:lang w:eastAsia="sk-SK"/>
                <w14:ligatures w14:val="none"/>
              </w:rPr>
            </w:pPr>
            <w:r w:rsidRPr="003F4A57">
              <w:rPr>
                <w:rFonts w:ascii="Arial Narrow" w:eastAsia="Times New Roman" w:hAnsi="Arial Narrow" w:cs="Calibri"/>
                <w:b/>
                <w:bCs/>
                <w:color w:val="000000"/>
                <w:kern w:val="0"/>
                <w:sz w:val="16"/>
                <w:szCs w:val="16"/>
                <w:lang w:eastAsia="sk-SK"/>
                <w14:ligatures w14:val="none"/>
              </w:rPr>
              <w:t>2025</w:t>
            </w:r>
          </w:p>
        </w:tc>
        <w:tc>
          <w:tcPr>
            <w:tcW w:w="850" w:type="dxa"/>
            <w:tcBorders>
              <w:top w:val="nil"/>
              <w:left w:val="nil"/>
              <w:bottom w:val="single" w:sz="8" w:space="0" w:color="auto"/>
              <w:right w:val="nil"/>
            </w:tcBorders>
            <w:noWrap/>
            <w:vAlign w:val="center"/>
            <w:hideMark/>
          </w:tcPr>
          <w:p w14:paraId="67345CCA" w14:textId="051DFF30" w:rsidR="001B0DFB" w:rsidRPr="003F4A57" w:rsidRDefault="001B0DFB" w:rsidP="001B0DFB">
            <w:pPr>
              <w:spacing w:after="0" w:line="240" w:lineRule="auto"/>
              <w:jc w:val="center"/>
              <w:rPr>
                <w:rFonts w:ascii="Arial Narrow" w:eastAsia="Times New Roman" w:hAnsi="Arial Narrow" w:cs="Calibri"/>
                <w:color w:val="000000"/>
                <w:kern w:val="0"/>
                <w:lang w:eastAsia="sk-SK"/>
                <w14:ligatures w14:val="none"/>
              </w:rPr>
            </w:pPr>
            <w:r w:rsidRPr="003F4A57">
              <w:rPr>
                <w:rFonts w:ascii="Arial Narrow" w:eastAsia="Times New Roman" w:hAnsi="Arial Narrow" w:cs="Calibri"/>
                <w:b/>
                <w:bCs/>
                <w:color w:val="000000"/>
                <w:kern w:val="0"/>
                <w:sz w:val="16"/>
                <w:szCs w:val="16"/>
                <w:lang w:eastAsia="sk-SK"/>
                <w14:ligatures w14:val="none"/>
              </w:rPr>
              <w:t>2026</w:t>
            </w:r>
          </w:p>
        </w:tc>
      </w:tr>
      <w:tr w:rsidR="001B0DFB" w:rsidRPr="003F4A57" w14:paraId="62E89BEF" w14:textId="77777777" w:rsidTr="002B1847">
        <w:trPr>
          <w:trHeight w:val="289"/>
        </w:trPr>
        <w:tc>
          <w:tcPr>
            <w:tcW w:w="3261" w:type="dxa"/>
            <w:gridSpan w:val="2"/>
            <w:tcBorders>
              <w:top w:val="single" w:sz="8" w:space="0" w:color="auto"/>
              <w:left w:val="nil"/>
              <w:bottom w:val="nil"/>
              <w:right w:val="nil"/>
            </w:tcBorders>
            <w:vAlign w:val="center"/>
            <w:hideMark/>
          </w:tcPr>
          <w:p w14:paraId="3935E3C5" w14:textId="77777777" w:rsidR="001B0DFB" w:rsidRPr="003F4A57" w:rsidRDefault="001B0DFB" w:rsidP="001B0DFB">
            <w:pPr>
              <w:spacing w:after="0" w:line="240" w:lineRule="auto"/>
              <w:rPr>
                <w:rFonts w:ascii="Arial Narrow" w:eastAsia="Times New Roman" w:hAnsi="Arial Narrow" w:cs="Calibri"/>
                <w:i/>
                <w:iCs/>
                <w:color w:val="2C9ADC"/>
                <w:kern w:val="0"/>
                <w:sz w:val="16"/>
                <w:szCs w:val="16"/>
                <w:lang w:eastAsia="sk-SK"/>
                <w14:ligatures w14:val="none"/>
              </w:rPr>
            </w:pPr>
            <w:r w:rsidRPr="003F4A57">
              <w:rPr>
                <w:rFonts w:ascii="Arial Narrow" w:eastAsia="Times New Roman" w:hAnsi="Arial Narrow" w:cs="Calibri"/>
                <w:i/>
                <w:iCs/>
                <w:color w:val="2C9ADC"/>
                <w:kern w:val="0"/>
                <w:sz w:val="16"/>
                <w:szCs w:val="16"/>
                <w:lang w:eastAsia="sk-SK"/>
                <w14:ligatures w14:val="none"/>
              </w:rPr>
              <w:t>Príjmy z RRF grantov</w:t>
            </w:r>
          </w:p>
        </w:tc>
        <w:tc>
          <w:tcPr>
            <w:tcW w:w="850" w:type="dxa"/>
            <w:tcBorders>
              <w:top w:val="nil"/>
              <w:left w:val="nil"/>
              <w:bottom w:val="nil"/>
              <w:right w:val="nil"/>
            </w:tcBorders>
            <w:vAlign w:val="center"/>
            <w:hideMark/>
          </w:tcPr>
          <w:p w14:paraId="636FCE9C" w14:textId="77777777" w:rsidR="001B0DFB" w:rsidRPr="003F4A57" w:rsidRDefault="001B0DFB" w:rsidP="001B0DFB">
            <w:pPr>
              <w:spacing w:after="0" w:line="240" w:lineRule="auto"/>
              <w:jc w:val="center"/>
              <w:rPr>
                <w:rFonts w:ascii="Arial Narrow" w:eastAsia="Times New Roman" w:hAnsi="Arial Narrow" w:cs="Calibri"/>
                <w:color w:val="2C9ADC"/>
                <w:kern w:val="0"/>
                <w:sz w:val="16"/>
                <w:szCs w:val="16"/>
                <w:lang w:eastAsia="sk-SK"/>
                <w14:ligatures w14:val="none"/>
              </w:rPr>
            </w:pPr>
            <w:r w:rsidRPr="003F4A57">
              <w:rPr>
                <w:rFonts w:ascii="Arial Narrow" w:eastAsia="Times New Roman" w:hAnsi="Arial Narrow" w:cs="Calibri"/>
                <w:color w:val="2C9ADC"/>
                <w:kern w:val="0"/>
                <w:sz w:val="16"/>
                <w:szCs w:val="16"/>
                <w:lang w:eastAsia="sk-SK"/>
                <w14:ligatures w14:val="none"/>
              </w:rPr>
              <w:t>% HDP</w:t>
            </w:r>
          </w:p>
        </w:tc>
        <w:tc>
          <w:tcPr>
            <w:tcW w:w="851" w:type="dxa"/>
            <w:tcBorders>
              <w:top w:val="nil"/>
              <w:left w:val="nil"/>
              <w:bottom w:val="nil"/>
              <w:right w:val="nil"/>
            </w:tcBorders>
            <w:vAlign w:val="center"/>
            <w:hideMark/>
          </w:tcPr>
          <w:p w14:paraId="535632E7" w14:textId="77777777" w:rsidR="001B0DFB" w:rsidRPr="003F4A57" w:rsidRDefault="001B0DFB" w:rsidP="001B0DFB">
            <w:pPr>
              <w:spacing w:after="0" w:line="240" w:lineRule="auto"/>
              <w:jc w:val="center"/>
              <w:rPr>
                <w:rFonts w:ascii="Arial Narrow" w:eastAsia="Times New Roman" w:hAnsi="Arial Narrow" w:cs="Calibri"/>
                <w:color w:val="2C9ADC"/>
                <w:kern w:val="0"/>
                <w:sz w:val="16"/>
                <w:szCs w:val="16"/>
                <w:lang w:eastAsia="sk-SK"/>
                <w14:ligatures w14:val="none"/>
              </w:rPr>
            </w:pPr>
            <w:r w:rsidRPr="003F4A57">
              <w:rPr>
                <w:rFonts w:ascii="Arial Narrow" w:eastAsia="Times New Roman" w:hAnsi="Arial Narrow" w:cs="Calibri"/>
                <w:color w:val="2C9ADC"/>
                <w:kern w:val="0"/>
                <w:sz w:val="16"/>
                <w:szCs w:val="16"/>
                <w:lang w:eastAsia="sk-SK"/>
                <w14:ligatures w14:val="none"/>
              </w:rPr>
              <w:t>% HDP</w:t>
            </w:r>
          </w:p>
        </w:tc>
        <w:tc>
          <w:tcPr>
            <w:tcW w:w="850" w:type="dxa"/>
            <w:tcBorders>
              <w:top w:val="nil"/>
              <w:left w:val="nil"/>
              <w:bottom w:val="nil"/>
              <w:right w:val="nil"/>
            </w:tcBorders>
            <w:vAlign w:val="center"/>
            <w:hideMark/>
          </w:tcPr>
          <w:p w14:paraId="2CEBA7E7" w14:textId="77777777" w:rsidR="001B0DFB" w:rsidRPr="003F4A57" w:rsidRDefault="001B0DFB" w:rsidP="001B0DFB">
            <w:pPr>
              <w:spacing w:after="0" w:line="240" w:lineRule="auto"/>
              <w:jc w:val="center"/>
              <w:rPr>
                <w:rFonts w:ascii="Arial Narrow" w:eastAsia="Times New Roman" w:hAnsi="Arial Narrow" w:cs="Calibri"/>
                <w:color w:val="2C9ADC"/>
                <w:kern w:val="0"/>
                <w:sz w:val="16"/>
                <w:szCs w:val="16"/>
                <w:lang w:eastAsia="sk-SK"/>
                <w14:ligatures w14:val="none"/>
              </w:rPr>
            </w:pPr>
            <w:r w:rsidRPr="003F4A57">
              <w:rPr>
                <w:rFonts w:ascii="Arial Narrow" w:eastAsia="Times New Roman" w:hAnsi="Arial Narrow" w:cs="Calibri"/>
                <w:color w:val="2C9ADC"/>
                <w:kern w:val="0"/>
                <w:sz w:val="16"/>
                <w:szCs w:val="16"/>
                <w:lang w:eastAsia="sk-SK"/>
                <w14:ligatures w14:val="none"/>
              </w:rPr>
              <w:t>% HDP</w:t>
            </w:r>
          </w:p>
        </w:tc>
        <w:tc>
          <w:tcPr>
            <w:tcW w:w="851" w:type="dxa"/>
            <w:tcBorders>
              <w:top w:val="nil"/>
              <w:left w:val="nil"/>
              <w:bottom w:val="nil"/>
              <w:right w:val="nil"/>
            </w:tcBorders>
            <w:vAlign w:val="center"/>
            <w:hideMark/>
          </w:tcPr>
          <w:p w14:paraId="6795168B" w14:textId="77777777" w:rsidR="001B0DFB" w:rsidRPr="003F4A57" w:rsidRDefault="001B0DFB" w:rsidP="001B0DFB">
            <w:pPr>
              <w:spacing w:after="0" w:line="240" w:lineRule="auto"/>
              <w:jc w:val="center"/>
              <w:rPr>
                <w:rFonts w:ascii="Arial Narrow" w:eastAsia="Times New Roman" w:hAnsi="Arial Narrow" w:cs="Calibri"/>
                <w:color w:val="2C9ADC"/>
                <w:kern w:val="0"/>
                <w:sz w:val="16"/>
                <w:szCs w:val="16"/>
                <w:lang w:eastAsia="sk-SK"/>
                <w14:ligatures w14:val="none"/>
              </w:rPr>
            </w:pPr>
            <w:r w:rsidRPr="003F4A57">
              <w:rPr>
                <w:rFonts w:ascii="Arial Narrow" w:eastAsia="Times New Roman" w:hAnsi="Arial Narrow" w:cs="Calibri"/>
                <w:color w:val="2C9ADC"/>
                <w:kern w:val="0"/>
                <w:sz w:val="16"/>
                <w:szCs w:val="16"/>
                <w:lang w:eastAsia="sk-SK"/>
                <w14:ligatures w14:val="none"/>
              </w:rPr>
              <w:t>% HDP</w:t>
            </w:r>
          </w:p>
        </w:tc>
        <w:tc>
          <w:tcPr>
            <w:tcW w:w="850" w:type="dxa"/>
            <w:tcBorders>
              <w:top w:val="nil"/>
              <w:left w:val="nil"/>
              <w:bottom w:val="nil"/>
              <w:right w:val="nil"/>
            </w:tcBorders>
            <w:vAlign w:val="center"/>
            <w:hideMark/>
          </w:tcPr>
          <w:p w14:paraId="5D8EB33A" w14:textId="77777777" w:rsidR="001B0DFB" w:rsidRPr="003F4A57" w:rsidRDefault="001B0DFB" w:rsidP="001B0DFB">
            <w:pPr>
              <w:spacing w:after="0" w:line="240" w:lineRule="auto"/>
              <w:jc w:val="center"/>
              <w:rPr>
                <w:rFonts w:ascii="Arial Narrow" w:eastAsia="Times New Roman" w:hAnsi="Arial Narrow" w:cs="Calibri"/>
                <w:color w:val="2C9ADC"/>
                <w:kern w:val="0"/>
                <w:sz w:val="16"/>
                <w:szCs w:val="16"/>
                <w:lang w:eastAsia="sk-SK"/>
                <w14:ligatures w14:val="none"/>
              </w:rPr>
            </w:pPr>
            <w:r w:rsidRPr="003F4A57">
              <w:rPr>
                <w:rFonts w:ascii="Arial Narrow" w:eastAsia="Times New Roman" w:hAnsi="Arial Narrow" w:cs="Calibri"/>
                <w:color w:val="2C9ADC"/>
                <w:kern w:val="0"/>
                <w:sz w:val="16"/>
                <w:szCs w:val="16"/>
                <w:lang w:eastAsia="sk-SK"/>
                <w14:ligatures w14:val="none"/>
              </w:rPr>
              <w:t>% HDP</w:t>
            </w:r>
          </w:p>
        </w:tc>
        <w:tc>
          <w:tcPr>
            <w:tcW w:w="709" w:type="dxa"/>
            <w:tcBorders>
              <w:top w:val="nil"/>
              <w:left w:val="nil"/>
              <w:bottom w:val="nil"/>
              <w:right w:val="nil"/>
            </w:tcBorders>
            <w:vAlign w:val="center"/>
            <w:hideMark/>
          </w:tcPr>
          <w:p w14:paraId="467EA504" w14:textId="77777777" w:rsidR="001B0DFB" w:rsidRPr="003F4A57" w:rsidRDefault="001B0DFB" w:rsidP="001B0DFB">
            <w:pPr>
              <w:spacing w:after="0" w:line="240" w:lineRule="auto"/>
              <w:jc w:val="center"/>
              <w:rPr>
                <w:rFonts w:ascii="Arial Narrow" w:eastAsia="Times New Roman" w:hAnsi="Arial Narrow" w:cs="Calibri"/>
                <w:color w:val="2C9ADC"/>
                <w:kern w:val="0"/>
                <w:sz w:val="16"/>
                <w:szCs w:val="16"/>
                <w:lang w:eastAsia="sk-SK"/>
                <w14:ligatures w14:val="none"/>
              </w:rPr>
            </w:pPr>
            <w:r w:rsidRPr="003F4A57">
              <w:rPr>
                <w:rFonts w:ascii="Arial Narrow" w:eastAsia="Times New Roman" w:hAnsi="Arial Narrow" w:cs="Calibri"/>
                <w:color w:val="2C9ADC"/>
                <w:kern w:val="0"/>
                <w:sz w:val="16"/>
                <w:szCs w:val="16"/>
                <w:lang w:eastAsia="sk-SK"/>
                <w14:ligatures w14:val="none"/>
              </w:rPr>
              <w:t>% HDP</w:t>
            </w:r>
          </w:p>
        </w:tc>
        <w:tc>
          <w:tcPr>
            <w:tcW w:w="850" w:type="dxa"/>
            <w:tcBorders>
              <w:top w:val="nil"/>
              <w:left w:val="nil"/>
              <w:bottom w:val="nil"/>
              <w:right w:val="nil"/>
            </w:tcBorders>
            <w:vAlign w:val="center"/>
            <w:hideMark/>
          </w:tcPr>
          <w:p w14:paraId="038D6858" w14:textId="77777777" w:rsidR="001B0DFB" w:rsidRPr="003F4A57" w:rsidRDefault="001B0DFB" w:rsidP="001B0DFB">
            <w:pPr>
              <w:spacing w:after="0" w:line="240" w:lineRule="auto"/>
              <w:jc w:val="center"/>
              <w:rPr>
                <w:rFonts w:ascii="Arial Narrow" w:eastAsia="Times New Roman" w:hAnsi="Arial Narrow" w:cs="Calibri"/>
                <w:color w:val="2C9ADC"/>
                <w:kern w:val="0"/>
                <w:sz w:val="16"/>
                <w:szCs w:val="16"/>
                <w:lang w:eastAsia="sk-SK"/>
                <w14:ligatures w14:val="none"/>
              </w:rPr>
            </w:pPr>
            <w:r w:rsidRPr="003F4A57">
              <w:rPr>
                <w:rFonts w:ascii="Arial Narrow" w:eastAsia="Times New Roman" w:hAnsi="Arial Narrow" w:cs="Calibri"/>
                <w:color w:val="2C9ADC"/>
                <w:kern w:val="0"/>
                <w:sz w:val="16"/>
                <w:szCs w:val="16"/>
                <w:lang w:eastAsia="sk-SK"/>
                <w14:ligatures w14:val="none"/>
              </w:rPr>
              <w:t>% HDP</w:t>
            </w:r>
          </w:p>
        </w:tc>
      </w:tr>
      <w:tr w:rsidR="001B0DFB" w:rsidRPr="003F4A57" w14:paraId="669AB1B1" w14:textId="77777777" w:rsidTr="002B1847">
        <w:trPr>
          <w:trHeight w:val="289"/>
        </w:trPr>
        <w:tc>
          <w:tcPr>
            <w:tcW w:w="480" w:type="dxa"/>
            <w:tcBorders>
              <w:top w:val="nil"/>
              <w:left w:val="nil"/>
              <w:bottom w:val="nil"/>
              <w:right w:val="nil"/>
            </w:tcBorders>
            <w:shd w:val="clear" w:color="000000" w:fill="DDEBF7"/>
            <w:vAlign w:val="center"/>
            <w:hideMark/>
          </w:tcPr>
          <w:p w14:paraId="10B300DC"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1</w:t>
            </w:r>
          </w:p>
        </w:tc>
        <w:tc>
          <w:tcPr>
            <w:tcW w:w="2781" w:type="dxa"/>
            <w:tcBorders>
              <w:top w:val="nil"/>
              <w:left w:val="nil"/>
              <w:bottom w:val="nil"/>
              <w:right w:val="nil"/>
            </w:tcBorders>
            <w:shd w:val="clear" w:color="000000" w:fill="DDEBF7"/>
            <w:vAlign w:val="center"/>
            <w:hideMark/>
          </w:tcPr>
          <w:p w14:paraId="3E34B404" w14:textId="77777777" w:rsidR="001B0DFB" w:rsidRPr="003F4A57" w:rsidRDefault="001B0DFB" w:rsidP="001B0DFB">
            <w:pPr>
              <w:spacing w:after="0" w:line="240" w:lineRule="auto"/>
              <w:rPr>
                <w:rFonts w:ascii="Arial Narrow" w:eastAsia="Times New Roman" w:hAnsi="Arial Narrow" w:cs="Calibri"/>
                <w:b/>
                <w:bCs/>
                <w:color w:val="000000"/>
                <w:kern w:val="0"/>
                <w:sz w:val="16"/>
                <w:szCs w:val="16"/>
                <w:lang w:eastAsia="sk-SK"/>
                <w14:ligatures w14:val="none"/>
              </w:rPr>
            </w:pPr>
            <w:r w:rsidRPr="003F4A57">
              <w:rPr>
                <w:rFonts w:ascii="Arial Narrow" w:eastAsia="Times New Roman" w:hAnsi="Arial Narrow" w:cs="Calibri"/>
                <w:b/>
                <w:bCs/>
                <w:color w:val="000000"/>
                <w:kern w:val="0"/>
                <w:sz w:val="16"/>
                <w:szCs w:val="16"/>
                <w:lang w:eastAsia="sk-SK"/>
                <w14:ligatures w14:val="none"/>
              </w:rPr>
              <w:t xml:space="preserve"> RRF granty zahrnuté v projekciách</w:t>
            </w:r>
          </w:p>
        </w:tc>
        <w:tc>
          <w:tcPr>
            <w:tcW w:w="850" w:type="dxa"/>
            <w:tcBorders>
              <w:top w:val="nil"/>
              <w:left w:val="nil"/>
              <w:bottom w:val="nil"/>
              <w:right w:val="nil"/>
            </w:tcBorders>
            <w:shd w:val="clear" w:color="000000" w:fill="DDEBF7"/>
            <w:noWrap/>
            <w:hideMark/>
          </w:tcPr>
          <w:p w14:paraId="06EACADC"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w:t>
            </w:r>
          </w:p>
        </w:tc>
        <w:tc>
          <w:tcPr>
            <w:tcW w:w="851" w:type="dxa"/>
            <w:tcBorders>
              <w:top w:val="nil"/>
              <w:left w:val="nil"/>
              <w:bottom w:val="nil"/>
              <w:right w:val="nil"/>
            </w:tcBorders>
            <w:shd w:val="clear" w:color="000000" w:fill="DDEBF7"/>
            <w:noWrap/>
            <w:hideMark/>
          </w:tcPr>
          <w:p w14:paraId="7874FF62"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850" w:type="dxa"/>
            <w:tcBorders>
              <w:top w:val="nil"/>
              <w:left w:val="nil"/>
              <w:bottom w:val="nil"/>
              <w:right w:val="nil"/>
            </w:tcBorders>
            <w:shd w:val="clear" w:color="000000" w:fill="DDEBF7"/>
            <w:noWrap/>
            <w:hideMark/>
          </w:tcPr>
          <w:p w14:paraId="3B764BE9"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851" w:type="dxa"/>
            <w:tcBorders>
              <w:top w:val="nil"/>
              <w:left w:val="nil"/>
              <w:bottom w:val="nil"/>
              <w:right w:val="nil"/>
            </w:tcBorders>
            <w:shd w:val="clear" w:color="000000" w:fill="DDEBF7"/>
            <w:noWrap/>
            <w:hideMark/>
          </w:tcPr>
          <w:p w14:paraId="444B067B"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0,1</w:t>
            </w:r>
          </w:p>
        </w:tc>
        <w:tc>
          <w:tcPr>
            <w:tcW w:w="850" w:type="dxa"/>
            <w:tcBorders>
              <w:top w:val="nil"/>
              <w:left w:val="nil"/>
              <w:bottom w:val="nil"/>
              <w:right w:val="nil"/>
            </w:tcBorders>
            <w:shd w:val="clear" w:color="000000" w:fill="DDEBF7"/>
            <w:noWrap/>
            <w:hideMark/>
          </w:tcPr>
          <w:p w14:paraId="0D44788D"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0,7</w:t>
            </w:r>
          </w:p>
        </w:tc>
        <w:tc>
          <w:tcPr>
            <w:tcW w:w="709" w:type="dxa"/>
            <w:tcBorders>
              <w:top w:val="nil"/>
              <w:left w:val="nil"/>
              <w:bottom w:val="nil"/>
              <w:right w:val="nil"/>
            </w:tcBorders>
            <w:shd w:val="clear" w:color="000000" w:fill="DDEBF7"/>
            <w:noWrap/>
            <w:hideMark/>
          </w:tcPr>
          <w:p w14:paraId="16D160DD"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1,4</w:t>
            </w:r>
          </w:p>
        </w:tc>
        <w:tc>
          <w:tcPr>
            <w:tcW w:w="850" w:type="dxa"/>
            <w:tcBorders>
              <w:top w:val="nil"/>
              <w:left w:val="nil"/>
              <w:bottom w:val="nil"/>
              <w:right w:val="nil"/>
            </w:tcBorders>
            <w:shd w:val="clear" w:color="000000" w:fill="DDEBF7"/>
            <w:noWrap/>
            <w:hideMark/>
          </w:tcPr>
          <w:p w14:paraId="797DB521"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2,1</w:t>
            </w:r>
          </w:p>
        </w:tc>
      </w:tr>
      <w:tr w:rsidR="001B0DFB" w:rsidRPr="003F4A57" w14:paraId="4A1F2549" w14:textId="77777777" w:rsidTr="002B1847">
        <w:trPr>
          <w:trHeight w:val="289"/>
        </w:trPr>
        <w:tc>
          <w:tcPr>
            <w:tcW w:w="480" w:type="dxa"/>
            <w:tcBorders>
              <w:top w:val="nil"/>
              <w:left w:val="nil"/>
              <w:bottom w:val="nil"/>
              <w:right w:val="nil"/>
            </w:tcBorders>
            <w:shd w:val="clear" w:color="000000" w:fill="DDEBF7"/>
            <w:vAlign w:val="center"/>
            <w:hideMark/>
          </w:tcPr>
          <w:p w14:paraId="579FB322"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2</w:t>
            </w:r>
          </w:p>
        </w:tc>
        <w:tc>
          <w:tcPr>
            <w:tcW w:w="2781" w:type="dxa"/>
            <w:tcBorders>
              <w:top w:val="nil"/>
              <w:left w:val="nil"/>
              <w:bottom w:val="nil"/>
              <w:right w:val="nil"/>
            </w:tcBorders>
            <w:shd w:val="clear" w:color="000000" w:fill="DDEBF7"/>
            <w:vAlign w:val="center"/>
            <w:hideMark/>
          </w:tcPr>
          <w:p w14:paraId="24A80568" w14:textId="77777777" w:rsidR="001B0DFB" w:rsidRPr="003F4A57" w:rsidRDefault="001B0DFB" w:rsidP="001B0DFB">
            <w:pPr>
              <w:spacing w:after="0" w:line="240" w:lineRule="auto"/>
              <w:rPr>
                <w:rFonts w:ascii="Arial Narrow" w:eastAsia="Times New Roman" w:hAnsi="Arial Narrow" w:cs="Calibri"/>
                <w:b/>
                <w:bCs/>
                <w:color w:val="000000"/>
                <w:kern w:val="0"/>
                <w:sz w:val="16"/>
                <w:szCs w:val="16"/>
                <w:lang w:eastAsia="sk-SK"/>
                <w14:ligatures w14:val="none"/>
              </w:rPr>
            </w:pPr>
            <w:r w:rsidRPr="003F4A57">
              <w:rPr>
                <w:rFonts w:ascii="Arial Narrow" w:eastAsia="Times New Roman" w:hAnsi="Arial Narrow" w:cs="Calibri"/>
                <w:b/>
                <w:bCs/>
                <w:color w:val="000000"/>
                <w:kern w:val="0"/>
                <w:sz w:val="16"/>
                <w:szCs w:val="16"/>
                <w:lang w:eastAsia="sk-SK"/>
                <w14:ligatures w14:val="none"/>
              </w:rPr>
              <w:t xml:space="preserve"> Vyplatené RRF granty z EÚ</w:t>
            </w:r>
          </w:p>
        </w:tc>
        <w:tc>
          <w:tcPr>
            <w:tcW w:w="850" w:type="dxa"/>
            <w:tcBorders>
              <w:top w:val="nil"/>
              <w:left w:val="nil"/>
              <w:bottom w:val="nil"/>
              <w:right w:val="nil"/>
            </w:tcBorders>
            <w:shd w:val="clear" w:color="000000" w:fill="DDEBF7"/>
            <w:noWrap/>
            <w:hideMark/>
          </w:tcPr>
          <w:p w14:paraId="5CE42964"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w:t>
            </w:r>
          </w:p>
        </w:tc>
        <w:tc>
          <w:tcPr>
            <w:tcW w:w="851" w:type="dxa"/>
            <w:tcBorders>
              <w:top w:val="nil"/>
              <w:left w:val="nil"/>
              <w:bottom w:val="nil"/>
              <w:right w:val="nil"/>
            </w:tcBorders>
            <w:shd w:val="clear" w:color="000000" w:fill="DDEBF7"/>
            <w:noWrap/>
            <w:hideMark/>
          </w:tcPr>
          <w:p w14:paraId="3814CD86"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0,8</w:t>
            </w:r>
          </w:p>
        </w:tc>
        <w:tc>
          <w:tcPr>
            <w:tcW w:w="850" w:type="dxa"/>
            <w:tcBorders>
              <w:top w:val="nil"/>
              <w:left w:val="nil"/>
              <w:bottom w:val="nil"/>
              <w:right w:val="nil"/>
            </w:tcBorders>
            <w:shd w:val="clear" w:color="000000" w:fill="DDEBF7"/>
            <w:noWrap/>
            <w:hideMark/>
          </w:tcPr>
          <w:p w14:paraId="111D729C"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0,4</w:t>
            </w:r>
          </w:p>
        </w:tc>
        <w:tc>
          <w:tcPr>
            <w:tcW w:w="851" w:type="dxa"/>
            <w:tcBorders>
              <w:top w:val="nil"/>
              <w:left w:val="nil"/>
              <w:bottom w:val="nil"/>
              <w:right w:val="nil"/>
            </w:tcBorders>
            <w:shd w:val="clear" w:color="000000" w:fill="DDEBF7"/>
            <w:noWrap/>
            <w:hideMark/>
          </w:tcPr>
          <w:p w14:paraId="31C297D9"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1,2</w:t>
            </w:r>
          </w:p>
        </w:tc>
        <w:tc>
          <w:tcPr>
            <w:tcW w:w="850" w:type="dxa"/>
            <w:tcBorders>
              <w:top w:val="nil"/>
              <w:left w:val="nil"/>
              <w:bottom w:val="nil"/>
              <w:right w:val="nil"/>
            </w:tcBorders>
            <w:shd w:val="clear" w:color="000000" w:fill="DDEBF7"/>
            <w:noWrap/>
            <w:hideMark/>
          </w:tcPr>
          <w:p w14:paraId="11483D1F"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0,6</w:t>
            </w:r>
          </w:p>
        </w:tc>
        <w:tc>
          <w:tcPr>
            <w:tcW w:w="709" w:type="dxa"/>
            <w:tcBorders>
              <w:top w:val="nil"/>
              <w:left w:val="nil"/>
              <w:bottom w:val="nil"/>
              <w:right w:val="nil"/>
            </w:tcBorders>
            <w:shd w:val="clear" w:color="000000" w:fill="DDEBF7"/>
            <w:noWrap/>
            <w:hideMark/>
          </w:tcPr>
          <w:p w14:paraId="1B5D8736"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0,4</w:t>
            </w:r>
          </w:p>
        </w:tc>
        <w:tc>
          <w:tcPr>
            <w:tcW w:w="850" w:type="dxa"/>
            <w:tcBorders>
              <w:top w:val="nil"/>
              <w:left w:val="nil"/>
              <w:bottom w:val="nil"/>
              <w:right w:val="nil"/>
            </w:tcBorders>
            <w:shd w:val="clear" w:color="000000" w:fill="DDEBF7"/>
            <w:noWrap/>
            <w:hideMark/>
          </w:tcPr>
          <w:p w14:paraId="6E18D7E4"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1,7</w:t>
            </w:r>
          </w:p>
        </w:tc>
      </w:tr>
      <w:tr w:rsidR="001B0DFB" w:rsidRPr="003F4A57" w14:paraId="3F2256A0" w14:textId="77777777" w:rsidTr="002B1847">
        <w:trPr>
          <w:trHeight w:val="289"/>
        </w:trPr>
        <w:tc>
          <w:tcPr>
            <w:tcW w:w="3261" w:type="dxa"/>
            <w:gridSpan w:val="2"/>
            <w:tcBorders>
              <w:top w:val="nil"/>
              <w:left w:val="nil"/>
              <w:bottom w:val="nil"/>
              <w:right w:val="nil"/>
            </w:tcBorders>
            <w:vAlign w:val="center"/>
            <w:hideMark/>
          </w:tcPr>
          <w:p w14:paraId="27E64B3F" w14:textId="77777777" w:rsidR="001B0DFB" w:rsidRPr="003F4A57" w:rsidRDefault="001B0DFB" w:rsidP="001B0DFB">
            <w:pPr>
              <w:spacing w:after="0" w:line="240" w:lineRule="auto"/>
              <w:rPr>
                <w:rFonts w:ascii="Arial Narrow" w:eastAsia="Times New Roman" w:hAnsi="Arial Narrow" w:cs="Calibri"/>
                <w:i/>
                <w:iCs/>
                <w:color w:val="2C9ADC"/>
                <w:kern w:val="0"/>
                <w:sz w:val="16"/>
                <w:szCs w:val="16"/>
                <w:lang w:eastAsia="sk-SK"/>
                <w14:ligatures w14:val="none"/>
              </w:rPr>
            </w:pPr>
            <w:r w:rsidRPr="003F4A57">
              <w:rPr>
                <w:rFonts w:ascii="Arial Narrow" w:eastAsia="Times New Roman" w:hAnsi="Arial Narrow" w:cs="Calibri"/>
                <w:i/>
                <w:iCs/>
                <w:color w:val="2C9ADC"/>
                <w:kern w:val="0"/>
                <w:sz w:val="16"/>
                <w:szCs w:val="16"/>
                <w:lang w:eastAsia="sk-SK"/>
                <w14:ligatures w14:val="none"/>
              </w:rPr>
              <w:t>Výdavky financované RRF grantami</w:t>
            </w:r>
          </w:p>
        </w:tc>
        <w:tc>
          <w:tcPr>
            <w:tcW w:w="850" w:type="dxa"/>
            <w:tcBorders>
              <w:top w:val="nil"/>
              <w:left w:val="nil"/>
              <w:bottom w:val="nil"/>
              <w:right w:val="nil"/>
            </w:tcBorders>
            <w:vAlign w:val="center"/>
            <w:hideMark/>
          </w:tcPr>
          <w:p w14:paraId="48E16EAD"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p>
        </w:tc>
        <w:tc>
          <w:tcPr>
            <w:tcW w:w="851" w:type="dxa"/>
            <w:tcBorders>
              <w:top w:val="nil"/>
              <w:left w:val="nil"/>
              <w:bottom w:val="nil"/>
              <w:right w:val="nil"/>
            </w:tcBorders>
            <w:hideMark/>
          </w:tcPr>
          <w:p w14:paraId="0B5FC4EF"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p>
        </w:tc>
        <w:tc>
          <w:tcPr>
            <w:tcW w:w="850" w:type="dxa"/>
            <w:tcBorders>
              <w:top w:val="nil"/>
              <w:left w:val="nil"/>
              <w:bottom w:val="nil"/>
              <w:right w:val="nil"/>
            </w:tcBorders>
            <w:hideMark/>
          </w:tcPr>
          <w:p w14:paraId="7412AF61"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p>
        </w:tc>
        <w:tc>
          <w:tcPr>
            <w:tcW w:w="851" w:type="dxa"/>
            <w:tcBorders>
              <w:top w:val="nil"/>
              <w:left w:val="nil"/>
              <w:bottom w:val="nil"/>
              <w:right w:val="nil"/>
            </w:tcBorders>
            <w:hideMark/>
          </w:tcPr>
          <w:p w14:paraId="0BDF230A"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p>
        </w:tc>
        <w:tc>
          <w:tcPr>
            <w:tcW w:w="850" w:type="dxa"/>
            <w:tcBorders>
              <w:top w:val="nil"/>
              <w:left w:val="nil"/>
              <w:bottom w:val="nil"/>
              <w:right w:val="nil"/>
            </w:tcBorders>
            <w:hideMark/>
          </w:tcPr>
          <w:p w14:paraId="0A4FE16C"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p>
        </w:tc>
        <w:tc>
          <w:tcPr>
            <w:tcW w:w="709" w:type="dxa"/>
            <w:tcBorders>
              <w:top w:val="nil"/>
              <w:left w:val="nil"/>
              <w:bottom w:val="nil"/>
              <w:right w:val="nil"/>
            </w:tcBorders>
            <w:hideMark/>
          </w:tcPr>
          <w:p w14:paraId="358794D9"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p>
        </w:tc>
        <w:tc>
          <w:tcPr>
            <w:tcW w:w="850" w:type="dxa"/>
            <w:tcBorders>
              <w:top w:val="nil"/>
              <w:left w:val="nil"/>
              <w:bottom w:val="nil"/>
              <w:right w:val="nil"/>
            </w:tcBorders>
            <w:hideMark/>
          </w:tcPr>
          <w:p w14:paraId="2D660D8B"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p>
        </w:tc>
      </w:tr>
      <w:tr w:rsidR="001B0DFB" w:rsidRPr="003F4A57" w14:paraId="192BC6BE" w14:textId="77777777" w:rsidTr="002B1847">
        <w:trPr>
          <w:trHeight w:val="289"/>
        </w:trPr>
        <w:tc>
          <w:tcPr>
            <w:tcW w:w="480" w:type="dxa"/>
            <w:tcBorders>
              <w:top w:val="nil"/>
              <w:left w:val="nil"/>
              <w:bottom w:val="nil"/>
              <w:right w:val="nil"/>
            </w:tcBorders>
            <w:shd w:val="clear" w:color="000000" w:fill="DDEBF7"/>
            <w:vAlign w:val="center"/>
            <w:hideMark/>
          </w:tcPr>
          <w:p w14:paraId="23621CC1"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3</w:t>
            </w:r>
          </w:p>
        </w:tc>
        <w:tc>
          <w:tcPr>
            <w:tcW w:w="2781" w:type="dxa"/>
            <w:tcBorders>
              <w:top w:val="nil"/>
              <w:left w:val="nil"/>
              <w:bottom w:val="nil"/>
              <w:right w:val="nil"/>
            </w:tcBorders>
            <w:shd w:val="clear" w:color="000000" w:fill="DDEBF7"/>
            <w:vAlign w:val="center"/>
            <w:hideMark/>
          </w:tcPr>
          <w:p w14:paraId="05F5EFC9" w14:textId="77777777" w:rsidR="001B0DFB" w:rsidRPr="003F4A57" w:rsidRDefault="001B0DFB" w:rsidP="001B0DFB">
            <w:pPr>
              <w:spacing w:after="0" w:line="240" w:lineRule="auto"/>
              <w:rPr>
                <w:rFonts w:ascii="Arial Narrow" w:eastAsia="Times New Roman" w:hAnsi="Arial Narrow" w:cs="Calibri"/>
                <w:b/>
                <w:bCs/>
                <w:color w:val="000000"/>
                <w:kern w:val="0"/>
                <w:sz w:val="16"/>
                <w:szCs w:val="16"/>
                <w:lang w:eastAsia="sk-SK"/>
                <w14:ligatures w14:val="none"/>
              </w:rPr>
            </w:pPr>
            <w:r w:rsidRPr="003F4A57">
              <w:rPr>
                <w:rFonts w:ascii="Arial Narrow" w:eastAsia="Times New Roman" w:hAnsi="Arial Narrow" w:cs="Calibri"/>
                <w:b/>
                <w:bCs/>
                <w:color w:val="000000"/>
                <w:kern w:val="0"/>
                <w:sz w:val="16"/>
                <w:szCs w:val="16"/>
                <w:lang w:eastAsia="sk-SK"/>
                <w14:ligatures w14:val="none"/>
              </w:rPr>
              <w:t>Celkové bežné výdavky</w:t>
            </w:r>
          </w:p>
        </w:tc>
        <w:tc>
          <w:tcPr>
            <w:tcW w:w="850" w:type="dxa"/>
            <w:tcBorders>
              <w:top w:val="nil"/>
              <w:left w:val="nil"/>
              <w:bottom w:val="nil"/>
              <w:right w:val="nil"/>
            </w:tcBorders>
            <w:shd w:val="clear" w:color="000000" w:fill="DDEBF7"/>
            <w:noWrap/>
            <w:hideMark/>
          </w:tcPr>
          <w:p w14:paraId="46FC9310"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w:t>
            </w:r>
          </w:p>
        </w:tc>
        <w:tc>
          <w:tcPr>
            <w:tcW w:w="851" w:type="dxa"/>
            <w:tcBorders>
              <w:top w:val="nil"/>
              <w:left w:val="nil"/>
              <w:bottom w:val="nil"/>
              <w:right w:val="nil"/>
            </w:tcBorders>
            <w:shd w:val="clear" w:color="000000" w:fill="DDEBF7"/>
            <w:noWrap/>
            <w:hideMark/>
          </w:tcPr>
          <w:p w14:paraId="62A2AA9F"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850" w:type="dxa"/>
            <w:tcBorders>
              <w:top w:val="nil"/>
              <w:left w:val="nil"/>
              <w:bottom w:val="nil"/>
              <w:right w:val="nil"/>
            </w:tcBorders>
            <w:shd w:val="clear" w:color="000000" w:fill="DDEBF7"/>
            <w:noWrap/>
            <w:hideMark/>
          </w:tcPr>
          <w:p w14:paraId="15787F7D"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851" w:type="dxa"/>
            <w:tcBorders>
              <w:top w:val="nil"/>
              <w:left w:val="nil"/>
              <w:bottom w:val="nil"/>
              <w:right w:val="nil"/>
            </w:tcBorders>
            <w:shd w:val="clear" w:color="000000" w:fill="DDEBF7"/>
            <w:noWrap/>
            <w:hideMark/>
          </w:tcPr>
          <w:p w14:paraId="4ABF9D33"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0,1</w:t>
            </w:r>
          </w:p>
        </w:tc>
        <w:tc>
          <w:tcPr>
            <w:tcW w:w="850" w:type="dxa"/>
            <w:tcBorders>
              <w:top w:val="nil"/>
              <w:left w:val="nil"/>
              <w:bottom w:val="nil"/>
              <w:right w:val="nil"/>
            </w:tcBorders>
            <w:shd w:val="clear" w:color="000000" w:fill="DDEBF7"/>
            <w:noWrap/>
            <w:hideMark/>
          </w:tcPr>
          <w:p w14:paraId="33FE8F9C"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0,2</w:t>
            </w:r>
          </w:p>
        </w:tc>
        <w:tc>
          <w:tcPr>
            <w:tcW w:w="709" w:type="dxa"/>
            <w:tcBorders>
              <w:top w:val="nil"/>
              <w:left w:val="nil"/>
              <w:bottom w:val="nil"/>
              <w:right w:val="nil"/>
            </w:tcBorders>
            <w:shd w:val="clear" w:color="000000" w:fill="DDEBF7"/>
            <w:noWrap/>
            <w:hideMark/>
          </w:tcPr>
          <w:p w14:paraId="47D82498"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0,3</w:t>
            </w:r>
          </w:p>
        </w:tc>
        <w:tc>
          <w:tcPr>
            <w:tcW w:w="850" w:type="dxa"/>
            <w:tcBorders>
              <w:top w:val="nil"/>
              <w:left w:val="nil"/>
              <w:bottom w:val="nil"/>
              <w:right w:val="nil"/>
            </w:tcBorders>
            <w:shd w:val="clear" w:color="000000" w:fill="DDEBF7"/>
            <w:noWrap/>
            <w:hideMark/>
          </w:tcPr>
          <w:p w14:paraId="4A00BBA7"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0,6</w:t>
            </w:r>
          </w:p>
        </w:tc>
      </w:tr>
      <w:tr w:rsidR="001B0DFB" w:rsidRPr="003F4A57" w14:paraId="7E4C1F82" w14:textId="77777777" w:rsidTr="002B1847">
        <w:trPr>
          <w:trHeight w:val="289"/>
        </w:trPr>
        <w:tc>
          <w:tcPr>
            <w:tcW w:w="480" w:type="dxa"/>
            <w:tcBorders>
              <w:top w:val="nil"/>
              <w:left w:val="nil"/>
              <w:bottom w:val="nil"/>
              <w:right w:val="nil"/>
            </w:tcBorders>
            <w:shd w:val="clear" w:color="000000" w:fill="DDEBF7"/>
            <w:vAlign w:val="center"/>
            <w:hideMark/>
          </w:tcPr>
          <w:p w14:paraId="3F742F08"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4</w:t>
            </w:r>
          </w:p>
        </w:tc>
        <w:tc>
          <w:tcPr>
            <w:tcW w:w="2781" w:type="dxa"/>
            <w:tcBorders>
              <w:top w:val="nil"/>
              <w:left w:val="nil"/>
              <w:bottom w:val="nil"/>
              <w:right w:val="nil"/>
            </w:tcBorders>
            <w:shd w:val="clear" w:color="000000" w:fill="DDEBF7"/>
            <w:vAlign w:val="center"/>
            <w:hideMark/>
          </w:tcPr>
          <w:p w14:paraId="673D0EBC" w14:textId="77777777" w:rsidR="001B0DFB" w:rsidRPr="003F4A57" w:rsidRDefault="001B0DFB" w:rsidP="001B0DFB">
            <w:pPr>
              <w:spacing w:after="0" w:line="240" w:lineRule="auto"/>
              <w:rPr>
                <w:rFonts w:ascii="Arial Narrow" w:eastAsia="Times New Roman" w:hAnsi="Arial Narrow" w:cs="Calibri"/>
                <w:b/>
                <w:bCs/>
                <w:color w:val="000000"/>
                <w:kern w:val="0"/>
                <w:sz w:val="16"/>
                <w:szCs w:val="16"/>
                <w:lang w:eastAsia="sk-SK"/>
                <w14:ligatures w14:val="none"/>
              </w:rPr>
            </w:pPr>
            <w:r w:rsidRPr="003F4A57">
              <w:rPr>
                <w:rFonts w:ascii="Arial Narrow" w:eastAsia="Times New Roman" w:hAnsi="Arial Narrow" w:cs="Calibri"/>
                <w:b/>
                <w:bCs/>
                <w:color w:val="000000"/>
                <w:kern w:val="0"/>
                <w:sz w:val="16"/>
                <w:szCs w:val="16"/>
                <w:lang w:eastAsia="sk-SK"/>
                <w14:ligatures w14:val="none"/>
              </w:rPr>
              <w:t>Tvorba hrubého fixného kapitálu</w:t>
            </w:r>
          </w:p>
        </w:tc>
        <w:tc>
          <w:tcPr>
            <w:tcW w:w="850" w:type="dxa"/>
            <w:tcBorders>
              <w:top w:val="nil"/>
              <w:left w:val="nil"/>
              <w:bottom w:val="nil"/>
              <w:right w:val="nil"/>
            </w:tcBorders>
            <w:shd w:val="clear" w:color="000000" w:fill="DDEBF7"/>
            <w:noWrap/>
            <w:hideMark/>
          </w:tcPr>
          <w:p w14:paraId="2C6B316B"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w:t>
            </w:r>
          </w:p>
        </w:tc>
        <w:tc>
          <w:tcPr>
            <w:tcW w:w="851" w:type="dxa"/>
            <w:tcBorders>
              <w:top w:val="nil"/>
              <w:left w:val="nil"/>
              <w:bottom w:val="nil"/>
              <w:right w:val="nil"/>
            </w:tcBorders>
            <w:shd w:val="clear" w:color="000000" w:fill="DDEBF7"/>
            <w:noWrap/>
            <w:hideMark/>
          </w:tcPr>
          <w:p w14:paraId="275397A9"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850" w:type="dxa"/>
            <w:tcBorders>
              <w:top w:val="nil"/>
              <w:left w:val="nil"/>
              <w:bottom w:val="nil"/>
              <w:right w:val="nil"/>
            </w:tcBorders>
            <w:shd w:val="clear" w:color="000000" w:fill="DDEBF7"/>
            <w:noWrap/>
            <w:hideMark/>
          </w:tcPr>
          <w:p w14:paraId="4CEDF44D"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851" w:type="dxa"/>
            <w:tcBorders>
              <w:top w:val="nil"/>
              <w:left w:val="nil"/>
              <w:bottom w:val="nil"/>
              <w:right w:val="nil"/>
            </w:tcBorders>
            <w:shd w:val="clear" w:color="000000" w:fill="DDEBF7"/>
            <w:noWrap/>
            <w:hideMark/>
          </w:tcPr>
          <w:p w14:paraId="5FC219DE"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0,1</w:t>
            </w:r>
          </w:p>
        </w:tc>
        <w:tc>
          <w:tcPr>
            <w:tcW w:w="850" w:type="dxa"/>
            <w:tcBorders>
              <w:top w:val="nil"/>
              <w:left w:val="nil"/>
              <w:bottom w:val="nil"/>
              <w:right w:val="nil"/>
            </w:tcBorders>
            <w:shd w:val="clear" w:color="000000" w:fill="DDEBF7"/>
            <w:noWrap/>
            <w:hideMark/>
          </w:tcPr>
          <w:p w14:paraId="34674911"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0,2</w:t>
            </w:r>
          </w:p>
        </w:tc>
        <w:tc>
          <w:tcPr>
            <w:tcW w:w="709" w:type="dxa"/>
            <w:tcBorders>
              <w:top w:val="nil"/>
              <w:left w:val="nil"/>
              <w:bottom w:val="nil"/>
              <w:right w:val="nil"/>
            </w:tcBorders>
            <w:shd w:val="clear" w:color="000000" w:fill="DDEBF7"/>
            <w:noWrap/>
            <w:hideMark/>
          </w:tcPr>
          <w:p w14:paraId="796AEED5"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0,9</w:t>
            </w:r>
          </w:p>
        </w:tc>
        <w:tc>
          <w:tcPr>
            <w:tcW w:w="850" w:type="dxa"/>
            <w:tcBorders>
              <w:top w:val="nil"/>
              <w:left w:val="nil"/>
              <w:bottom w:val="nil"/>
              <w:right w:val="nil"/>
            </w:tcBorders>
            <w:shd w:val="clear" w:color="000000" w:fill="DDEBF7"/>
            <w:noWrap/>
            <w:hideMark/>
          </w:tcPr>
          <w:p w14:paraId="16596388"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0,7</w:t>
            </w:r>
          </w:p>
        </w:tc>
      </w:tr>
      <w:tr w:rsidR="001B0DFB" w:rsidRPr="003F4A57" w14:paraId="5C3F0B1F" w14:textId="77777777" w:rsidTr="002B1847">
        <w:trPr>
          <w:trHeight w:val="289"/>
        </w:trPr>
        <w:tc>
          <w:tcPr>
            <w:tcW w:w="480" w:type="dxa"/>
            <w:tcBorders>
              <w:top w:val="nil"/>
              <w:left w:val="nil"/>
              <w:bottom w:val="nil"/>
              <w:right w:val="nil"/>
            </w:tcBorders>
            <w:shd w:val="clear" w:color="000000" w:fill="DDEBF7"/>
            <w:vAlign w:val="center"/>
            <w:hideMark/>
          </w:tcPr>
          <w:p w14:paraId="4961CCE4"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5</w:t>
            </w:r>
          </w:p>
        </w:tc>
        <w:tc>
          <w:tcPr>
            <w:tcW w:w="2781" w:type="dxa"/>
            <w:tcBorders>
              <w:top w:val="nil"/>
              <w:left w:val="nil"/>
              <w:bottom w:val="nil"/>
              <w:right w:val="nil"/>
            </w:tcBorders>
            <w:shd w:val="clear" w:color="000000" w:fill="DDEBF7"/>
            <w:vAlign w:val="center"/>
            <w:hideMark/>
          </w:tcPr>
          <w:p w14:paraId="47FE1AAC" w14:textId="77777777" w:rsidR="001B0DFB" w:rsidRPr="003F4A57" w:rsidRDefault="001B0DFB" w:rsidP="001B0DFB">
            <w:pPr>
              <w:spacing w:after="0" w:line="240" w:lineRule="auto"/>
              <w:rPr>
                <w:rFonts w:ascii="Arial Narrow" w:eastAsia="Times New Roman" w:hAnsi="Arial Narrow" w:cs="Calibri"/>
                <w:b/>
                <w:bCs/>
                <w:color w:val="000000"/>
                <w:kern w:val="0"/>
                <w:sz w:val="16"/>
                <w:szCs w:val="16"/>
                <w:lang w:eastAsia="sk-SK"/>
                <w14:ligatures w14:val="none"/>
              </w:rPr>
            </w:pPr>
            <w:r w:rsidRPr="003F4A57">
              <w:rPr>
                <w:rFonts w:ascii="Arial Narrow" w:eastAsia="Times New Roman" w:hAnsi="Arial Narrow" w:cs="Calibri"/>
                <w:b/>
                <w:bCs/>
                <w:color w:val="000000"/>
                <w:kern w:val="0"/>
                <w:sz w:val="16"/>
                <w:szCs w:val="16"/>
                <w:lang w:eastAsia="sk-SK"/>
                <w14:ligatures w14:val="none"/>
              </w:rPr>
              <w:t>Ostatné kapitálové výdavky</w:t>
            </w:r>
          </w:p>
        </w:tc>
        <w:tc>
          <w:tcPr>
            <w:tcW w:w="850" w:type="dxa"/>
            <w:tcBorders>
              <w:top w:val="nil"/>
              <w:left w:val="nil"/>
              <w:bottom w:val="nil"/>
              <w:right w:val="nil"/>
            </w:tcBorders>
            <w:shd w:val="clear" w:color="000000" w:fill="DDEBF7"/>
            <w:noWrap/>
            <w:hideMark/>
          </w:tcPr>
          <w:p w14:paraId="7A521C23"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w:t>
            </w:r>
          </w:p>
        </w:tc>
        <w:tc>
          <w:tcPr>
            <w:tcW w:w="851" w:type="dxa"/>
            <w:tcBorders>
              <w:top w:val="nil"/>
              <w:left w:val="nil"/>
              <w:bottom w:val="nil"/>
              <w:right w:val="nil"/>
            </w:tcBorders>
            <w:shd w:val="clear" w:color="000000" w:fill="DDEBF7"/>
            <w:noWrap/>
            <w:hideMark/>
          </w:tcPr>
          <w:p w14:paraId="3B0E5AE2"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850" w:type="dxa"/>
            <w:tcBorders>
              <w:top w:val="nil"/>
              <w:left w:val="nil"/>
              <w:bottom w:val="nil"/>
              <w:right w:val="nil"/>
            </w:tcBorders>
            <w:shd w:val="clear" w:color="000000" w:fill="DDEBF7"/>
            <w:noWrap/>
            <w:hideMark/>
          </w:tcPr>
          <w:p w14:paraId="30C166CB"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851" w:type="dxa"/>
            <w:tcBorders>
              <w:top w:val="nil"/>
              <w:left w:val="nil"/>
              <w:bottom w:val="nil"/>
              <w:right w:val="nil"/>
            </w:tcBorders>
            <w:shd w:val="clear" w:color="000000" w:fill="DDEBF7"/>
            <w:noWrap/>
            <w:hideMark/>
          </w:tcPr>
          <w:p w14:paraId="069159A8"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850" w:type="dxa"/>
            <w:tcBorders>
              <w:top w:val="nil"/>
              <w:left w:val="nil"/>
              <w:bottom w:val="nil"/>
              <w:right w:val="nil"/>
            </w:tcBorders>
            <w:shd w:val="clear" w:color="000000" w:fill="DDEBF7"/>
            <w:noWrap/>
            <w:hideMark/>
          </w:tcPr>
          <w:p w14:paraId="112948B1"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0,2</w:t>
            </w:r>
          </w:p>
        </w:tc>
        <w:tc>
          <w:tcPr>
            <w:tcW w:w="709" w:type="dxa"/>
            <w:tcBorders>
              <w:top w:val="nil"/>
              <w:left w:val="nil"/>
              <w:bottom w:val="nil"/>
              <w:right w:val="nil"/>
            </w:tcBorders>
            <w:shd w:val="clear" w:color="000000" w:fill="DDEBF7"/>
            <w:noWrap/>
            <w:hideMark/>
          </w:tcPr>
          <w:p w14:paraId="77D66CCA"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0,2</w:t>
            </w:r>
          </w:p>
        </w:tc>
        <w:tc>
          <w:tcPr>
            <w:tcW w:w="850" w:type="dxa"/>
            <w:tcBorders>
              <w:top w:val="nil"/>
              <w:left w:val="nil"/>
              <w:bottom w:val="nil"/>
              <w:right w:val="nil"/>
            </w:tcBorders>
            <w:shd w:val="clear" w:color="000000" w:fill="DDEBF7"/>
            <w:noWrap/>
            <w:hideMark/>
          </w:tcPr>
          <w:p w14:paraId="78186DF3"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0,8</w:t>
            </w:r>
          </w:p>
        </w:tc>
      </w:tr>
      <w:tr w:rsidR="001B0DFB" w:rsidRPr="003F4A57" w14:paraId="73CB479A" w14:textId="77777777" w:rsidTr="002B1847">
        <w:trPr>
          <w:trHeight w:val="289"/>
        </w:trPr>
        <w:tc>
          <w:tcPr>
            <w:tcW w:w="480" w:type="dxa"/>
            <w:tcBorders>
              <w:top w:val="nil"/>
              <w:left w:val="nil"/>
              <w:bottom w:val="nil"/>
              <w:right w:val="nil"/>
            </w:tcBorders>
            <w:shd w:val="clear" w:color="000000" w:fill="DDEBF7"/>
            <w:vAlign w:val="center"/>
            <w:hideMark/>
          </w:tcPr>
          <w:p w14:paraId="799A8A3C"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6</w:t>
            </w:r>
          </w:p>
        </w:tc>
        <w:tc>
          <w:tcPr>
            <w:tcW w:w="2781" w:type="dxa"/>
            <w:tcBorders>
              <w:top w:val="nil"/>
              <w:left w:val="nil"/>
              <w:bottom w:val="nil"/>
              <w:right w:val="nil"/>
            </w:tcBorders>
            <w:shd w:val="clear" w:color="000000" w:fill="DDEBF7"/>
            <w:vAlign w:val="center"/>
            <w:hideMark/>
          </w:tcPr>
          <w:p w14:paraId="38B6282B" w14:textId="77777777" w:rsidR="001B0DFB" w:rsidRPr="003F4A57" w:rsidRDefault="001B0DFB" w:rsidP="001B0DFB">
            <w:pPr>
              <w:spacing w:after="0" w:line="240" w:lineRule="auto"/>
              <w:rPr>
                <w:rFonts w:ascii="Arial Narrow" w:eastAsia="Times New Roman" w:hAnsi="Arial Narrow" w:cs="Calibri"/>
                <w:b/>
                <w:bCs/>
                <w:color w:val="000000"/>
                <w:kern w:val="0"/>
                <w:sz w:val="16"/>
                <w:szCs w:val="16"/>
                <w:lang w:eastAsia="sk-SK"/>
                <w14:ligatures w14:val="none"/>
              </w:rPr>
            </w:pPr>
            <w:r w:rsidRPr="003F4A57">
              <w:rPr>
                <w:rFonts w:ascii="Arial Narrow" w:eastAsia="Times New Roman" w:hAnsi="Arial Narrow" w:cs="Calibri"/>
                <w:b/>
                <w:bCs/>
                <w:color w:val="000000"/>
                <w:kern w:val="0"/>
                <w:sz w:val="16"/>
                <w:szCs w:val="16"/>
                <w:lang w:eastAsia="sk-SK"/>
                <w14:ligatures w14:val="none"/>
              </w:rPr>
              <w:t>Celkové kapitálové výdavky (= 4+5)</w:t>
            </w:r>
          </w:p>
        </w:tc>
        <w:tc>
          <w:tcPr>
            <w:tcW w:w="850" w:type="dxa"/>
            <w:tcBorders>
              <w:top w:val="nil"/>
              <w:left w:val="nil"/>
              <w:bottom w:val="nil"/>
              <w:right w:val="nil"/>
            </w:tcBorders>
            <w:shd w:val="clear" w:color="000000" w:fill="DDEBF7"/>
            <w:noWrap/>
            <w:hideMark/>
          </w:tcPr>
          <w:p w14:paraId="3F2FC393"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w:t>
            </w:r>
          </w:p>
        </w:tc>
        <w:tc>
          <w:tcPr>
            <w:tcW w:w="851" w:type="dxa"/>
            <w:tcBorders>
              <w:top w:val="nil"/>
              <w:left w:val="nil"/>
              <w:bottom w:val="nil"/>
              <w:right w:val="nil"/>
            </w:tcBorders>
            <w:shd w:val="clear" w:color="000000" w:fill="DDEBF7"/>
            <w:noWrap/>
            <w:hideMark/>
          </w:tcPr>
          <w:p w14:paraId="266EC2F5"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850" w:type="dxa"/>
            <w:tcBorders>
              <w:top w:val="nil"/>
              <w:left w:val="nil"/>
              <w:bottom w:val="nil"/>
              <w:right w:val="nil"/>
            </w:tcBorders>
            <w:shd w:val="clear" w:color="000000" w:fill="DDEBF7"/>
            <w:noWrap/>
            <w:hideMark/>
          </w:tcPr>
          <w:p w14:paraId="023A01B5"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851" w:type="dxa"/>
            <w:tcBorders>
              <w:top w:val="nil"/>
              <w:left w:val="nil"/>
              <w:bottom w:val="nil"/>
              <w:right w:val="nil"/>
            </w:tcBorders>
            <w:shd w:val="clear" w:color="000000" w:fill="DDEBF7"/>
            <w:noWrap/>
            <w:hideMark/>
          </w:tcPr>
          <w:p w14:paraId="066021EC"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0,1</w:t>
            </w:r>
          </w:p>
        </w:tc>
        <w:tc>
          <w:tcPr>
            <w:tcW w:w="850" w:type="dxa"/>
            <w:tcBorders>
              <w:top w:val="nil"/>
              <w:left w:val="nil"/>
              <w:bottom w:val="nil"/>
              <w:right w:val="nil"/>
            </w:tcBorders>
            <w:shd w:val="clear" w:color="000000" w:fill="DDEBF7"/>
            <w:noWrap/>
            <w:hideMark/>
          </w:tcPr>
          <w:p w14:paraId="310211CF"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0,4</w:t>
            </w:r>
          </w:p>
        </w:tc>
        <w:tc>
          <w:tcPr>
            <w:tcW w:w="709" w:type="dxa"/>
            <w:tcBorders>
              <w:top w:val="nil"/>
              <w:left w:val="nil"/>
              <w:bottom w:val="nil"/>
              <w:right w:val="nil"/>
            </w:tcBorders>
            <w:shd w:val="clear" w:color="000000" w:fill="DDEBF7"/>
            <w:noWrap/>
            <w:hideMark/>
          </w:tcPr>
          <w:p w14:paraId="37721013"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1,1</w:t>
            </w:r>
          </w:p>
        </w:tc>
        <w:tc>
          <w:tcPr>
            <w:tcW w:w="850" w:type="dxa"/>
            <w:tcBorders>
              <w:top w:val="nil"/>
              <w:left w:val="nil"/>
              <w:bottom w:val="nil"/>
              <w:right w:val="nil"/>
            </w:tcBorders>
            <w:shd w:val="clear" w:color="000000" w:fill="DDEBF7"/>
            <w:noWrap/>
            <w:hideMark/>
          </w:tcPr>
          <w:p w14:paraId="2DDF8A59"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1,5</w:t>
            </w:r>
          </w:p>
        </w:tc>
      </w:tr>
      <w:tr w:rsidR="001B0DFB" w:rsidRPr="003F4A57" w14:paraId="7113A20C" w14:textId="77777777" w:rsidTr="002B1847">
        <w:trPr>
          <w:trHeight w:val="289"/>
        </w:trPr>
        <w:tc>
          <w:tcPr>
            <w:tcW w:w="3261" w:type="dxa"/>
            <w:gridSpan w:val="2"/>
            <w:tcBorders>
              <w:top w:val="nil"/>
              <w:left w:val="nil"/>
              <w:bottom w:val="nil"/>
              <w:right w:val="nil"/>
            </w:tcBorders>
            <w:vAlign w:val="center"/>
            <w:hideMark/>
          </w:tcPr>
          <w:p w14:paraId="5886E5E4" w14:textId="77777777" w:rsidR="001B0DFB" w:rsidRPr="003F4A57" w:rsidRDefault="001B0DFB" w:rsidP="001B0DFB">
            <w:pPr>
              <w:spacing w:after="0" w:line="240" w:lineRule="auto"/>
              <w:rPr>
                <w:rFonts w:ascii="Arial Narrow" w:eastAsia="Times New Roman" w:hAnsi="Arial Narrow" w:cs="Calibri"/>
                <w:i/>
                <w:iCs/>
                <w:color w:val="2C9ADC"/>
                <w:kern w:val="0"/>
                <w:sz w:val="16"/>
                <w:szCs w:val="16"/>
                <w:lang w:eastAsia="sk-SK"/>
                <w14:ligatures w14:val="none"/>
              </w:rPr>
            </w:pPr>
            <w:r w:rsidRPr="003F4A57">
              <w:rPr>
                <w:rFonts w:ascii="Arial Narrow" w:eastAsia="Times New Roman" w:hAnsi="Arial Narrow" w:cs="Calibri"/>
                <w:i/>
                <w:iCs/>
                <w:color w:val="2C9ADC"/>
                <w:kern w:val="0"/>
                <w:sz w:val="16"/>
                <w:szCs w:val="16"/>
                <w:lang w:eastAsia="sk-SK"/>
                <w14:ligatures w14:val="none"/>
              </w:rPr>
              <w:t>Iné výdavky financované z RRF</w:t>
            </w:r>
          </w:p>
        </w:tc>
        <w:tc>
          <w:tcPr>
            <w:tcW w:w="850" w:type="dxa"/>
            <w:tcBorders>
              <w:top w:val="nil"/>
              <w:left w:val="nil"/>
              <w:bottom w:val="nil"/>
              <w:right w:val="nil"/>
            </w:tcBorders>
            <w:vAlign w:val="center"/>
            <w:hideMark/>
          </w:tcPr>
          <w:p w14:paraId="4A2E3AE9"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p>
        </w:tc>
        <w:tc>
          <w:tcPr>
            <w:tcW w:w="851" w:type="dxa"/>
            <w:tcBorders>
              <w:top w:val="nil"/>
              <w:left w:val="nil"/>
              <w:bottom w:val="nil"/>
              <w:right w:val="nil"/>
            </w:tcBorders>
            <w:hideMark/>
          </w:tcPr>
          <w:p w14:paraId="6A96E9BD"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p>
        </w:tc>
        <w:tc>
          <w:tcPr>
            <w:tcW w:w="850" w:type="dxa"/>
            <w:tcBorders>
              <w:top w:val="nil"/>
              <w:left w:val="nil"/>
              <w:bottom w:val="nil"/>
              <w:right w:val="nil"/>
            </w:tcBorders>
            <w:hideMark/>
          </w:tcPr>
          <w:p w14:paraId="3A91E37C"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p>
        </w:tc>
        <w:tc>
          <w:tcPr>
            <w:tcW w:w="851" w:type="dxa"/>
            <w:tcBorders>
              <w:top w:val="nil"/>
              <w:left w:val="nil"/>
              <w:bottom w:val="nil"/>
              <w:right w:val="nil"/>
            </w:tcBorders>
            <w:hideMark/>
          </w:tcPr>
          <w:p w14:paraId="09D0CE23"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p>
        </w:tc>
        <w:tc>
          <w:tcPr>
            <w:tcW w:w="850" w:type="dxa"/>
            <w:tcBorders>
              <w:top w:val="nil"/>
              <w:left w:val="nil"/>
              <w:bottom w:val="nil"/>
              <w:right w:val="nil"/>
            </w:tcBorders>
            <w:hideMark/>
          </w:tcPr>
          <w:p w14:paraId="2A80D022"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p>
        </w:tc>
        <w:tc>
          <w:tcPr>
            <w:tcW w:w="709" w:type="dxa"/>
            <w:tcBorders>
              <w:top w:val="nil"/>
              <w:left w:val="nil"/>
              <w:bottom w:val="nil"/>
              <w:right w:val="nil"/>
            </w:tcBorders>
            <w:hideMark/>
          </w:tcPr>
          <w:p w14:paraId="2ABD83C4"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p>
        </w:tc>
        <w:tc>
          <w:tcPr>
            <w:tcW w:w="850" w:type="dxa"/>
            <w:tcBorders>
              <w:top w:val="nil"/>
              <w:left w:val="nil"/>
              <w:bottom w:val="nil"/>
              <w:right w:val="nil"/>
            </w:tcBorders>
            <w:hideMark/>
          </w:tcPr>
          <w:p w14:paraId="4374C0C2"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p>
        </w:tc>
      </w:tr>
      <w:tr w:rsidR="001B0DFB" w:rsidRPr="003F4A57" w14:paraId="7C856C37" w14:textId="77777777" w:rsidTr="002B1847">
        <w:trPr>
          <w:trHeight w:val="289"/>
        </w:trPr>
        <w:tc>
          <w:tcPr>
            <w:tcW w:w="480" w:type="dxa"/>
            <w:tcBorders>
              <w:top w:val="nil"/>
              <w:left w:val="nil"/>
              <w:bottom w:val="nil"/>
              <w:right w:val="nil"/>
            </w:tcBorders>
            <w:shd w:val="clear" w:color="000000" w:fill="DDEBF7"/>
            <w:vAlign w:val="center"/>
            <w:hideMark/>
          </w:tcPr>
          <w:p w14:paraId="193CA2D1"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7</w:t>
            </w:r>
          </w:p>
        </w:tc>
        <w:tc>
          <w:tcPr>
            <w:tcW w:w="2781" w:type="dxa"/>
            <w:tcBorders>
              <w:top w:val="nil"/>
              <w:left w:val="nil"/>
              <w:bottom w:val="nil"/>
              <w:right w:val="nil"/>
            </w:tcBorders>
            <w:shd w:val="clear" w:color="000000" w:fill="DDEBF7"/>
            <w:vAlign w:val="center"/>
            <w:hideMark/>
          </w:tcPr>
          <w:p w14:paraId="463EFA87" w14:textId="77777777" w:rsidR="001B0DFB" w:rsidRPr="003F4A57" w:rsidRDefault="001B0DFB" w:rsidP="001B0DFB">
            <w:pPr>
              <w:spacing w:after="0" w:line="240" w:lineRule="auto"/>
              <w:rPr>
                <w:rFonts w:ascii="Arial Narrow" w:eastAsia="Times New Roman" w:hAnsi="Arial Narrow" w:cs="Calibri"/>
                <w:b/>
                <w:bCs/>
                <w:color w:val="000000"/>
                <w:kern w:val="0"/>
                <w:sz w:val="16"/>
                <w:szCs w:val="16"/>
                <w:lang w:eastAsia="sk-SK"/>
                <w14:ligatures w14:val="none"/>
              </w:rPr>
            </w:pPr>
            <w:r w:rsidRPr="003F4A57">
              <w:rPr>
                <w:rFonts w:ascii="Arial Narrow" w:eastAsia="Times New Roman" w:hAnsi="Arial Narrow" w:cs="Calibri"/>
                <w:b/>
                <w:bCs/>
                <w:color w:val="000000"/>
                <w:kern w:val="0"/>
                <w:sz w:val="16"/>
                <w:szCs w:val="16"/>
                <w:lang w:eastAsia="sk-SK"/>
                <w14:ligatures w14:val="none"/>
              </w:rPr>
              <w:t>Zníženie daňových príjmov</w:t>
            </w:r>
          </w:p>
        </w:tc>
        <w:tc>
          <w:tcPr>
            <w:tcW w:w="850" w:type="dxa"/>
            <w:tcBorders>
              <w:top w:val="nil"/>
              <w:left w:val="nil"/>
              <w:bottom w:val="nil"/>
              <w:right w:val="nil"/>
            </w:tcBorders>
            <w:shd w:val="clear" w:color="000000" w:fill="DDEBF7"/>
            <w:noWrap/>
            <w:hideMark/>
          </w:tcPr>
          <w:p w14:paraId="791DD545"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w:t>
            </w:r>
          </w:p>
        </w:tc>
        <w:tc>
          <w:tcPr>
            <w:tcW w:w="851" w:type="dxa"/>
            <w:tcBorders>
              <w:top w:val="nil"/>
              <w:left w:val="nil"/>
              <w:bottom w:val="nil"/>
              <w:right w:val="nil"/>
            </w:tcBorders>
            <w:shd w:val="clear" w:color="000000" w:fill="DDEBF7"/>
            <w:noWrap/>
            <w:hideMark/>
          </w:tcPr>
          <w:p w14:paraId="088BBC2B"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850" w:type="dxa"/>
            <w:tcBorders>
              <w:top w:val="nil"/>
              <w:left w:val="nil"/>
              <w:bottom w:val="nil"/>
              <w:right w:val="nil"/>
            </w:tcBorders>
            <w:shd w:val="clear" w:color="000000" w:fill="DDEBF7"/>
            <w:noWrap/>
            <w:hideMark/>
          </w:tcPr>
          <w:p w14:paraId="73BE7A16"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851" w:type="dxa"/>
            <w:tcBorders>
              <w:top w:val="nil"/>
              <w:left w:val="nil"/>
              <w:bottom w:val="nil"/>
              <w:right w:val="nil"/>
            </w:tcBorders>
            <w:shd w:val="clear" w:color="000000" w:fill="DDEBF7"/>
            <w:noWrap/>
            <w:hideMark/>
          </w:tcPr>
          <w:p w14:paraId="6D5E8E3B"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850" w:type="dxa"/>
            <w:tcBorders>
              <w:top w:val="nil"/>
              <w:left w:val="nil"/>
              <w:bottom w:val="nil"/>
              <w:right w:val="nil"/>
            </w:tcBorders>
            <w:shd w:val="clear" w:color="000000" w:fill="DDEBF7"/>
            <w:noWrap/>
            <w:hideMark/>
          </w:tcPr>
          <w:p w14:paraId="5F837188"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709" w:type="dxa"/>
            <w:tcBorders>
              <w:top w:val="nil"/>
              <w:left w:val="nil"/>
              <w:bottom w:val="nil"/>
              <w:right w:val="nil"/>
            </w:tcBorders>
            <w:shd w:val="clear" w:color="000000" w:fill="DDEBF7"/>
            <w:noWrap/>
            <w:hideMark/>
          </w:tcPr>
          <w:p w14:paraId="50A7513C"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850" w:type="dxa"/>
            <w:tcBorders>
              <w:top w:val="nil"/>
              <w:left w:val="nil"/>
              <w:bottom w:val="nil"/>
              <w:right w:val="nil"/>
            </w:tcBorders>
            <w:shd w:val="clear" w:color="000000" w:fill="DDEBF7"/>
            <w:noWrap/>
            <w:hideMark/>
          </w:tcPr>
          <w:p w14:paraId="3DE45B0A"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r>
      <w:tr w:rsidR="001B0DFB" w:rsidRPr="003F4A57" w14:paraId="05938523" w14:textId="77777777" w:rsidTr="002B1847">
        <w:trPr>
          <w:trHeight w:val="289"/>
        </w:trPr>
        <w:tc>
          <w:tcPr>
            <w:tcW w:w="480" w:type="dxa"/>
            <w:tcBorders>
              <w:top w:val="nil"/>
              <w:left w:val="nil"/>
              <w:bottom w:val="nil"/>
              <w:right w:val="nil"/>
            </w:tcBorders>
            <w:shd w:val="clear" w:color="000000" w:fill="DDEBF7"/>
            <w:vAlign w:val="center"/>
            <w:hideMark/>
          </w:tcPr>
          <w:p w14:paraId="2595752A"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8</w:t>
            </w:r>
          </w:p>
        </w:tc>
        <w:tc>
          <w:tcPr>
            <w:tcW w:w="2781" w:type="dxa"/>
            <w:tcBorders>
              <w:top w:val="nil"/>
              <w:left w:val="nil"/>
              <w:bottom w:val="nil"/>
              <w:right w:val="nil"/>
            </w:tcBorders>
            <w:shd w:val="clear" w:color="000000" w:fill="DDEBF7"/>
            <w:vAlign w:val="center"/>
            <w:hideMark/>
          </w:tcPr>
          <w:p w14:paraId="71BC9768" w14:textId="77777777" w:rsidR="001B0DFB" w:rsidRPr="003F4A57" w:rsidRDefault="001B0DFB" w:rsidP="001B0DFB">
            <w:pPr>
              <w:spacing w:after="0" w:line="240" w:lineRule="auto"/>
              <w:rPr>
                <w:rFonts w:ascii="Arial Narrow" w:eastAsia="Times New Roman" w:hAnsi="Arial Narrow" w:cs="Calibri"/>
                <w:b/>
                <w:bCs/>
                <w:color w:val="000000"/>
                <w:kern w:val="0"/>
                <w:sz w:val="16"/>
                <w:szCs w:val="16"/>
                <w:lang w:eastAsia="sk-SK"/>
                <w14:ligatures w14:val="none"/>
              </w:rPr>
            </w:pPr>
            <w:r w:rsidRPr="003F4A57">
              <w:rPr>
                <w:rFonts w:ascii="Arial Narrow" w:eastAsia="Times New Roman" w:hAnsi="Arial Narrow" w:cs="Calibri"/>
                <w:b/>
                <w:bCs/>
                <w:color w:val="000000"/>
                <w:kern w:val="0"/>
                <w:sz w:val="16"/>
                <w:szCs w:val="16"/>
                <w:lang w:eastAsia="sk-SK"/>
                <w14:ligatures w14:val="none"/>
              </w:rPr>
              <w:t>Iné výdavky s vplyvom na príjmy</w:t>
            </w:r>
          </w:p>
        </w:tc>
        <w:tc>
          <w:tcPr>
            <w:tcW w:w="850" w:type="dxa"/>
            <w:tcBorders>
              <w:top w:val="nil"/>
              <w:left w:val="nil"/>
              <w:bottom w:val="nil"/>
              <w:right w:val="nil"/>
            </w:tcBorders>
            <w:shd w:val="clear" w:color="000000" w:fill="DDEBF7"/>
            <w:noWrap/>
            <w:hideMark/>
          </w:tcPr>
          <w:p w14:paraId="6B097819"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w:t>
            </w:r>
          </w:p>
        </w:tc>
        <w:tc>
          <w:tcPr>
            <w:tcW w:w="851" w:type="dxa"/>
            <w:tcBorders>
              <w:top w:val="nil"/>
              <w:left w:val="nil"/>
              <w:bottom w:val="nil"/>
              <w:right w:val="nil"/>
            </w:tcBorders>
            <w:shd w:val="clear" w:color="000000" w:fill="DDEBF7"/>
            <w:noWrap/>
            <w:hideMark/>
          </w:tcPr>
          <w:p w14:paraId="65515915"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850" w:type="dxa"/>
            <w:tcBorders>
              <w:top w:val="nil"/>
              <w:left w:val="nil"/>
              <w:bottom w:val="nil"/>
              <w:right w:val="nil"/>
            </w:tcBorders>
            <w:shd w:val="clear" w:color="000000" w:fill="DDEBF7"/>
            <w:noWrap/>
            <w:hideMark/>
          </w:tcPr>
          <w:p w14:paraId="7CD35A29"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851" w:type="dxa"/>
            <w:tcBorders>
              <w:top w:val="nil"/>
              <w:left w:val="nil"/>
              <w:bottom w:val="nil"/>
              <w:right w:val="nil"/>
            </w:tcBorders>
            <w:shd w:val="clear" w:color="000000" w:fill="DDEBF7"/>
            <w:noWrap/>
            <w:hideMark/>
          </w:tcPr>
          <w:p w14:paraId="5336C770"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850" w:type="dxa"/>
            <w:tcBorders>
              <w:top w:val="nil"/>
              <w:left w:val="nil"/>
              <w:bottom w:val="nil"/>
              <w:right w:val="nil"/>
            </w:tcBorders>
            <w:shd w:val="clear" w:color="000000" w:fill="DDEBF7"/>
            <w:noWrap/>
            <w:hideMark/>
          </w:tcPr>
          <w:p w14:paraId="778DE6EE"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709" w:type="dxa"/>
            <w:tcBorders>
              <w:top w:val="nil"/>
              <w:left w:val="nil"/>
              <w:bottom w:val="nil"/>
              <w:right w:val="nil"/>
            </w:tcBorders>
            <w:shd w:val="clear" w:color="000000" w:fill="DDEBF7"/>
            <w:noWrap/>
            <w:hideMark/>
          </w:tcPr>
          <w:p w14:paraId="19E13119"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850" w:type="dxa"/>
            <w:tcBorders>
              <w:top w:val="nil"/>
              <w:left w:val="nil"/>
              <w:bottom w:val="nil"/>
              <w:right w:val="nil"/>
            </w:tcBorders>
            <w:shd w:val="clear" w:color="000000" w:fill="DDEBF7"/>
            <w:noWrap/>
            <w:hideMark/>
          </w:tcPr>
          <w:p w14:paraId="6F2550A4"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r>
      <w:tr w:rsidR="001B0DFB" w:rsidRPr="003F4A57" w14:paraId="2EAF55B7" w14:textId="77777777" w:rsidTr="002B1847">
        <w:trPr>
          <w:trHeight w:val="289"/>
        </w:trPr>
        <w:tc>
          <w:tcPr>
            <w:tcW w:w="480" w:type="dxa"/>
            <w:tcBorders>
              <w:top w:val="nil"/>
              <w:left w:val="nil"/>
              <w:bottom w:val="nil"/>
              <w:right w:val="nil"/>
            </w:tcBorders>
            <w:shd w:val="clear" w:color="000000" w:fill="DDEBF7"/>
            <w:vAlign w:val="center"/>
            <w:hideMark/>
          </w:tcPr>
          <w:p w14:paraId="07675660"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9</w:t>
            </w:r>
          </w:p>
        </w:tc>
        <w:tc>
          <w:tcPr>
            <w:tcW w:w="2781" w:type="dxa"/>
            <w:tcBorders>
              <w:top w:val="nil"/>
              <w:left w:val="nil"/>
              <w:bottom w:val="nil"/>
              <w:right w:val="nil"/>
            </w:tcBorders>
            <w:shd w:val="clear" w:color="000000" w:fill="DDEBF7"/>
            <w:vAlign w:val="center"/>
            <w:hideMark/>
          </w:tcPr>
          <w:p w14:paraId="22695F5E" w14:textId="77777777" w:rsidR="001B0DFB" w:rsidRPr="003F4A57" w:rsidRDefault="001B0DFB" w:rsidP="001B0DFB">
            <w:pPr>
              <w:spacing w:after="0" w:line="240" w:lineRule="auto"/>
              <w:rPr>
                <w:rFonts w:ascii="Arial Narrow" w:eastAsia="Times New Roman" w:hAnsi="Arial Narrow" w:cs="Calibri"/>
                <w:b/>
                <w:bCs/>
                <w:color w:val="000000"/>
                <w:kern w:val="0"/>
                <w:sz w:val="16"/>
                <w:szCs w:val="16"/>
                <w:lang w:eastAsia="sk-SK"/>
                <w14:ligatures w14:val="none"/>
              </w:rPr>
            </w:pPr>
            <w:r w:rsidRPr="003F4A57">
              <w:rPr>
                <w:rFonts w:ascii="Arial Narrow" w:eastAsia="Times New Roman" w:hAnsi="Arial Narrow" w:cs="Calibri"/>
                <w:b/>
                <w:bCs/>
                <w:color w:val="000000"/>
                <w:kern w:val="0"/>
                <w:sz w:val="16"/>
                <w:szCs w:val="16"/>
                <w:lang w:eastAsia="sk-SK"/>
                <w14:ligatures w14:val="none"/>
              </w:rPr>
              <w:t>Finančné transakcie</w:t>
            </w:r>
          </w:p>
        </w:tc>
        <w:tc>
          <w:tcPr>
            <w:tcW w:w="850" w:type="dxa"/>
            <w:tcBorders>
              <w:top w:val="nil"/>
              <w:left w:val="nil"/>
              <w:bottom w:val="nil"/>
              <w:right w:val="nil"/>
            </w:tcBorders>
            <w:shd w:val="clear" w:color="000000" w:fill="DDEBF7"/>
            <w:noWrap/>
            <w:hideMark/>
          </w:tcPr>
          <w:p w14:paraId="3F7C5F5B"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w:t>
            </w:r>
          </w:p>
        </w:tc>
        <w:tc>
          <w:tcPr>
            <w:tcW w:w="851" w:type="dxa"/>
            <w:tcBorders>
              <w:top w:val="nil"/>
              <w:left w:val="nil"/>
              <w:bottom w:val="nil"/>
              <w:right w:val="nil"/>
            </w:tcBorders>
            <w:shd w:val="clear" w:color="000000" w:fill="DDEBF7"/>
            <w:noWrap/>
            <w:hideMark/>
          </w:tcPr>
          <w:p w14:paraId="21630778"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850" w:type="dxa"/>
            <w:tcBorders>
              <w:top w:val="nil"/>
              <w:left w:val="nil"/>
              <w:bottom w:val="nil"/>
              <w:right w:val="nil"/>
            </w:tcBorders>
            <w:shd w:val="clear" w:color="000000" w:fill="DDEBF7"/>
            <w:noWrap/>
            <w:hideMark/>
          </w:tcPr>
          <w:p w14:paraId="6F223F29"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851" w:type="dxa"/>
            <w:tcBorders>
              <w:top w:val="nil"/>
              <w:left w:val="nil"/>
              <w:bottom w:val="nil"/>
              <w:right w:val="nil"/>
            </w:tcBorders>
            <w:shd w:val="clear" w:color="000000" w:fill="DDEBF7"/>
            <w:noWrap/>
            <w:hideMark/>
          </w:tcPr>
          <w:p w14:paraId="0FDE0D6C"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850" w:type="dxa"/>
            <w:tcBorders>
              <w:top w:val="nil"/>
              <w:left w:val="nil"/>
              <w:bottom w:val="nil"/>
              <w:right w:val="nil"/>
            </w:tcBorders>
            <w:shd w:val="clear" w:color="000000" w:fill="DDEBF7"/>
            <w:noWrap/>
            <w:hideMark/>
          </w:tcPr>
          <w:p w14:paraId="54B58FB8"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709" w:type="dxa"/>
            <w:tcBorders>
              <w:top w:val="nil"/>
              <w:left w:val="nil"/>
              <w:bottom w:val="nil"/>
              <w:right w:val="nil"/>
            </w:tcBorders>
            <w:shd w:val="clear" w:color="000000" w:fill="DDEBF7"/>
            <w:noWrap/>
            <w:hideMark/>
          </w:tcPr>
          <w:p w14:paraId="54577B7B"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c>
          <w:tcPr>
            <w:tcW w:w="850" w:type="dxa"/>
            <w:tcBorders>
              <w:top w:val="nil"/>
              <w:left w:val="nil"/>
              <w:bottom w:val="nil"/>
              <w:right w:val="nil"/>
            </w:tcBorders>
            <w:shd w:val="clear" w:color="000000" w:fill="DDEBF7"/>
            <w:noWrap/>
            <w:hideMark/>
          </w:tcPr>
          <w:p w14:paraId="3B28FE44" w14:textId="77777777" w:rsidR="001B0DFB" w:rsidRPr="003F4A57" w:rsidRDefault="001B0DFB" w:rsidP="001B0DFB">
            <w:pPr>
              <w:spacing w:after="0" w:line="240" w:lineRule="auto"/>
              <w:jc w:val="center"/>
              <w:rPr>
                <w:rFonts w:ascii="Arial Narrow" w:eastAsia="Times New Roman" w:hAnsi="Arial Narrow" w:cs="Calibri"/>
                <w:kern w:val="0"/>
                <w:sz w:val="16"/>
                <w:szCs w:val="16"/>
                <w:lang w:eastAsia="sk-SK"/>
                <w14:ligatures w14:val="none"/>
              </w:rPr>
            </w:pPr>
            <w:r w:rsidRPr="003F4A57">
              <w:rPr>
                <w:rFonts w:ascii="Arial Narrow" w:eastAsia="Times New Roman" w:hAnsi="Arial Narrow" w:cs="Calibri"/>
                <w:kern w:val="0"/>
                <w:sz w:val="16"/>
                <w:szCs w:val="16"/>
                <w:lang w:eastAsia="sk-SK"/>
                <w14:ligatures w14:val="none"/>
              </w:rPr>
              <w:t>0,0</w:t>
            </w:r>
          </w:p>
        </w:tc>
      </w:tr>
      <w:tr w:rsidR="001B0DFB" w:rsidRPr="003F4A57" w14:paraId="799B2E6C" w14:textId="77777777" w:rsidTr="002B1847">
        <w:trPr>
          <w:trHeight w:val="330"/>
        </w:trPr>
        <w:tc>
          <w:tcPr>
            <w:tcW w:w="480" w:type="dxa"/>
            <w:tcBorders>
              <w:top w:val="nil"/>
              <w:left w:val="nil"/>
              <w:bottom w:val="nil"/>
              <w:right w:val="nil"/>
            </w:tcBorders>
            <w:noWrap/>
            <w:vAlign w:val="bottom"/>
            <w:hideMark/>
          </w:tcPr>
          <w:p w14:paraId="17780D3F" w14:textId="77777777" w:rsidR="001B0DFB" w:rsidRPr="003F4A57" w:rsidRDefault="001B0DFB" w:rsidP="001B0DFB">
            <w:pPr>
              <w:spacing w:after="0" w:line="240" w:lineRule="auto"/>
              <w:jc w:val="center"/>
              <w:rPr>
                <w:rFonts w:ascii="Arial Narrow" w:eastAsia="Times New Roman" w:hAnsi="Arial Narrow" w:cs="Calibri"/>
                <w:color w:val="000000"/>
                <w:kern w:val="0"/>
                <w:sz w:val="16"/>
                <w:szCs w:val="16"/>
                <w:lang w:eastAsia="sk-SK"/>
                <w14:ligatures w14:val="none"/>
              </w:rPr>
            </w:pPr>
          </w:p>
        </w:tc>
        <w:tc>
          <w:tcPr>
            <w:tcW w:w="2781" w:type="dxa"/>
            <w:tcBorders>
              <w:top w:val="nil"/>
              <w:left w:val="nil"/>
              <w:bottom w:val="nil"/>
              <w:right w:val="nil"/>
            </w:tcBorders>
            <w:noWrap/>
            <w:vAlign w:val="bottom"/>
            <w:hideMark/>
          </w:tcPr>
          <w:p w14:paraId="73A0F377" w14:textId="77777777" w:rsidR="001B0DFB" w:rsidRPr="003F4A57" w:rsidRDefault="001B0DFB" w:rsidP="001B0DFB">
            <w:pPr>
              <w:spacing w:after="0" w:line="240" w:lineRule="auto"/>
              <w:rPr>
                <w:rFonts w:ascii="Times New Roman" w:eastAsia="Times New Roman" w:hAnsi="Times New Roman" w:cs="Times New Roman"/>
                <w:kern w:val="0"/>
                <w:sz w:val="20"/>
                <w:szCs w:val="20"/>
                <w:lang w:eastAsia="sk-SK"/>
                <w14:ligatures w14:val="none"/>
              </w:rPr>
            </w:pPr>
          </w:p>
        </w:tc>
        <w:tc>
          <w:tcPr>
            <w:tcW w:w="850" w:type="dxa"/>
            <w:tcBorders>
              <w:top w:val="nil"/>
              <w:left w:val="nil"/>
              <w:bottom w:val="nil"/>
              <w:right w:val="nil"/>
            </w:tcBorders>
            <w:noWrap/>
            <w:vAlign w:val="bottom"/>
            <w:hideMark/>
          </w:tcPr>
          <w:p w14:paraId="00A9044F" w14:textId="77777777" w:rsidR="001B0DFB" w:rsidRPr="003F4A57" w:rsidRDefault="001B0DFB" w:rsidP="001B0DFB">
            <w:pPr>
              <w:spacing w:after="0" w:line="240" w:lineRule="auto"/>
              <w:rPr>
                <w:rFonts w:ascii="Times New Roman" w:eastAsia="Times New Roman" w:hAnsi="Times New Roman" w:cs="Times New Roman"/>
                <w:kern w:val="0"/>
                <w:sz w:val="20"/>
                <w:szCs w:val="20"/>
                <w:lang w:eastAsia="sk-SK"/>
                <w14:ligatures w14:val="none"/>
              </w:rPr>
            </w:pPr>
          </w:p>
        </w:tc>
        <w:tc>
          <w:tcPr>
            <w:tcW w:w="851" w:type="dxa"/>
            <w:tcBorders>
              <w:top w:val="nil"/>
              <w:left w:val="nil"/>
              <w:bottom w:val="nil"/>
              <w:right w:val="nil"/>
            </w:tcBorders>
            <w:noWrap/>
            <w:vAlign w:val="bottom"/>
            <w:hideMark/>
          </w:tcPr>
          <w:p w14:paraId="6F1709B6" w14:textId="77777777" w:rsidR="001B0DFB" w:rsidRPr="003F4A57" w:rsidRDefault="001B0DFB" w:rsidP="001B0DFB">
            <w:pPr>
              <w:spacing w:after="0" w:line="240" w:lineRule="auto"/>
              <w:rPr>
                <w:rFonts w:ascii="Times New Roman" w:eastAsia="Times New Roman" w:hAnsi="Times New Roman" w:cs="Times New Roman"/>
                <w:kern w:val="0"/>
                <w:sz w:val="20"/>
                <w:szCs w:val="20"/>
                <w:lang w:eastAsia="sk-SK"/>
                <w14:ligatures w14:val="none"/>
              </w:rPr>
            </w:pPr>
          </w:p>
        </w:tc>
        <w:tc>
          <w:tcPr>
            <w:tcW w:w="850" w:type="dxa"/>
            <w:tcBorders>
              <w:top w:val="nil"/>
              <w:left w:val="nil"/>
              <w:bottom w:val="nil"/>
              <w:right w:val="nil"/>
            </w:tcBorders>
            <w:noWrap/>
            <w:vAlign w:val="bottom"/>
            <w:hideMark/>
          </w:tcPr>
          <w:p w14:paraId="61DC821A" w14:textId="77777777" w:rsidR="001B0DFB" w:rsidRPr="003F4A57" w:rsidRDefault="001B0DFB" w:rsidP="001B0DFB">
            <w:pPr>
              <w:spacing w:after="0" w:line="240" w:lineRule="auto"/>
              <w:rPr>
                <w:rFonts w:ascii="Times New Roman" w:eastAsia="Times New Roman" w:hAnsi="Times New Roman" w:cs="Times New Roman"/>
                <w:kern w:val="0"/>
                <w:sz w:val="20"/>
                <w:szCs w:val="20"/>
                <w:lang w:eastAsia="sk-SK"/>
                <w14:ligatures w14:val="none"/>
              </w:rPr>
            </w:pPr>
          </w:p>
        </w:tc>
        <w:tc>
          <w:tcPr>
            <w:tcW w:w="851" w:type="dxa"/>
            <w:tcBorders>
              <w:top w:val="nil"/>
              <w:left w:val="nil"/>
              <w:bottom w:val="nil"/>
              <w:right w:val="nil"/>
            </w:tcBorders>
            <w:noWrap/>
            <w:vAlign w:val="bottom"/>
            <w:hideMark/>
          </w:tcPr>
          <w:p w14:paraId="637815E8" w14:textId="77777777" w:rsidR="001B0DFB" w:rsidRPr="003F4A57" w:rsidRDefault="001B0DFB" w:rsidP="001B0DFB">
            <w:pPr>
              <w:spacing w:after="0" w:line="240" w:lineRule="auto"/>
              <w:rPr>
                <w:rFonts w:ascii="Times New Roman" w:eastAsia="Times New Roman" w:hAnsi="Times New Roman" w:cs="Times New Roman"/>
                <w:kern w:val="0"/>
                <w:sz w:val="20"/>
                <w:szCs w:val="20"/>
                <w:lang w:eastAsia="sk-SK"/>
                <w14:ligatures w14:val="none"/>
              </w:rPr>
            </w:pPr>
          </w:p>
        </w:tc>
        <w:tc>
          <w:tcPr>
            <w:tcW w:w="2409" w:type="dxa"/>
            <w:gridSpan w:val="3"/>
            <w:tcBorders>
              <w:top w:val="nil"/>
              <w:left w:val="nil"/>
              <w:bottom w:val="nil"/>
              <w:right w:val="nil"/>
            </w:tcBorders>
            <w:noWrap/>
            <w:hideMark/>
          </w:tcPr>
          <w:p w14:paraId="10ED45CB" w14:textId="77777777" w:rsidR="001B0DFB" w:rsidRPr="003F4A57" w:rsidRDefault="001B0DFB" w:rsidP="001B0DFB">
            <w:pPr>
              <w:spacing w:after="0" w:line="240" w:lineRule="auto"/>
              <w:jc w:val="right"/>
              <w:rPr>
                <w:rFonts w:ascii="Arial Narrow" w:eastAsia="Times New Roman" w:hAnsi="Arial Narrow" w:cs="Calibri"/>
                <w:i/>
                <w:iCs/>
                <w:color w:val="000000"/>
                <w:kern w:val="0"/>
                <w:sz w:val="16"/>
                <w:szCs w:val="16"/>
                <w:lang w:eastAsia="sk-SK"/>
                <w14:ligatures w14:val="none"/>
              </w:rPr>
            </w:pPr>
            <w:r w:rsidRPr="003F4A57">
              <w:rPr>
                <w:rFonts w:ascii="Arial Narrow" w:eastAsia="Times New Roman" w:hAnsi="Arial Narrow" w:cs="Calibri"/>
                <w:i/>
                <w:iCs/>
                <w:color w:val="000000"/>
                <w:kern w:val="0"/>
                <w:sz w:val="16"/>
                <w:szCs w:val="16"/>
                <w:lang w:eastAsia="sk-SK"/>
                <w14:ligatures w14:val="none"/>
              </w:rPr>
              <w:t>Zdroj: MF SR</w:t>
            </w:r>
          </w:p>
        </w:tc>
      </w:tr>
    </w:tbl>
    <w:p w14:paraId="5150CF7B" w14:textId="77777777" w:rsidR="00C24F6F" w:rsidRPr="003F4A57" w:rsidRDefault="00C24F6F" w:rsidP="00C24F6F">
      <w:pPr>
        <w:pStyle w:val="ifptext"/>
      </w:pPr>
    </w:p>
    <w:p w14:paraId="24349167" w14:textId="77777777" w:rsidR="00C24F6F" w:rsidRPr="008E7F52" w:rsidRDefault="00C24F6F" w:rsidP="00C24F6F">
      <w:pPr>
        <w:pStyle w:val="ifptext"/>
        <w:rPr>
          <w:highlight w:val="yellow"/>
        </w:rPr>
      </w:pPr>
    </w:p>
    <w:p w14:paraId="0FBAEF97" w14:textId="77777777" w:rsidR="00C24F6F" w:rsidRPr="008E7F52" w:rsidRDefault="00C24F6F" w:rsidP="00C24F6F">
      <w:pPr>
        <w:pStyle w:val="ifptext"/>
        <w:rPr>
          <w:highlight w:val="yellow"/>
        </w:rPr>
      </w:pPr>
    </w:p>
    <w:p w14:paraId="11863F29" w14:textId="77777777" w:rsidR="00C24F6F" w:rsidRPr="008E7F52" w:rsidRDefault="00C24F6F" w:rsidP="00C24F6F">
      <w:pPr>
        <w:pStyle w:val="ifptext"/>
        <w:rPr>
          <w:highlight w:val="yellow"/>
        </w:rPr>
      </w:pPr>
    </w:p>
    <w:p w14:paraId="6631D06C" w14:textId="77777777" w:rsidR="00C24F6F" w:rsidRPr="008E7F52" w:rsidRDefault="00C24F6F" w:rsidP="00C24F6F">
      <w:pPr>
        <w:pStyle w:val="ifptext"/>
        <w:rPr>
          <w:highlight w:val="yellow"/>
        </w:rPr>
      </w:pPr>
    </w:p>
    <w:p w14:paraId="2015B8D8" w14:textId="77777777" w:rsidR="00C24F6F" w:rsidRPr="008E7F52" w:rsidRDefault="00C24F6F" w:rsidP="00C24F6F">
      <w:pPr>
        <w:pStyle w:val="ifptext"/>
        <w:rPr>
          <w:highlight w:val="yellow"/>
        </w:rPr>
      </w:pPr>
    </w:p>
    <w:p w14:paraId="7C6108BD" w14:textId="77777777" w:rsidR="00C24F6F" w:rsidRPr="008E7F52" w:rsidRDefault="00C24F6F" w:rsidP="00C24F6F">
      <w:pPr>
        <w:pStyle w:val="ifptext"/>
        <w:rPr>
          <w:highlight w:val="yellow"/>
        </w:rPr>
      </w:pPr>
    </w:p>
    <w:p w14:paraId="3199256F" w14:textId="77777777" w:rsidR="00C24F6F" w:rsidRPr="008E7F52" w:rsidRDefault="00C24F6F" w:rsidP="00C24F6F">
      <w:pPr>
        <w:pStyle w:val="ifptext"/>
        <w:rPr>
          <w:highlight w:val="yellow"/>
        </w:rPr>
      </w:pPr>
    </w:p>
    <w:p w14:paraId="5B3DE705" w14:textId="77777777" w:rsidR="00C24F6F" w:rsidRPr="008E7F52" w:rsidRDefault="00C24F6F" w:rsidP="00C24F6F">
      <w:pPr>
        <w:pStyle w:val="ifptext"/>
        <w:rPr>
          <w:b/>
          <w:color w:val="2EAAE1"/>
          <w:sz w:val="24"/>
          <w:highlight w:val="yellow"/>
        </w:rPr>
        <w:sectPr w:rsidR="00C24F6F" w:rsidRPr="008E7F52" w:rsidSect="00C24F6F">
          <w:pgSz w:w="11905" w:h="16837"/>
          <w:pgMar w:top="1440" w:right="1440" w:bottom="1440" w:left="1440" w:header="720" w:footer="397" w:gutter="0"/>
          <w:cols w:space="720"/>
          <w:docGrid w:linePitch="299"/>
        </w:sectPr>
      </w:pPr>
      <w:bookmarkStart w:id="87" w:name="_Hlk196762954"/>
    </w:p>
    <w:p w14:paraId="70D48088" w14:textId="77777777" w:rsidR="00C24F6F" w:rsidRPr="009434CA" w:rsidRDefault="00C24F6F" w:rsidP="00C24F6F">
      <w:pPr>
        <w:pStyle w:val="ifptext"/>
        <w:rPr>
          <w:b/>
          <w:color w:val="2EAAE1"/>
          <w:sz w:val="24"/>
        </w:rPr>
      </w:pPr>
      <w:r w:rsidRPr="00C24F6F">
        <w:rPr>
          <w:b/>
          <w:color w:val="2EAAE1"/>
          <w:sz w:val="24"/>
        </w:rPr>
        <w:lastRenderedPageBreak/>
        <w:t>Príloha 6 – Vykazovanie členského štátu extrahované z CeSaR</w:t>
      </w:r>
    </w:p>
    <w:bookmarkEnd w:id="87"/>
    <w:p w14:paraId="2353D9D1" w14:textId="77777777" w:rsidR="00C24F6F" w:rsidRDefault="00C24F6F" w:rsidP="00C24F6F">
      <w:pPr>
        <w:pStyle w:val="ifptext"/>
      </w:pPr>
    </w:p>
    <w:p w14:paraId="62D7FCDE" w14:textId="77777777" w:rsidR="00C24F6F" w:rsidRDefault="00C24F6F" w:rsidP="00C24F6F">
      <w:r>
        <w:rPr>
          <w:noProof/>
        </w:rPr>
        <w:drawing>
          <wp:anchor distT="0" distB="0" distL="114300" distR="114300" simplePos="0" relativeHeight="251662336" behindDoc="0" locked="0" layoutInCell="1" allowOverlap="1" wp14:anchorId="6953C96F" wp14:editId="4E638A4E">
            <wp:simplePos x="0" y="0"/>
            <wp:positionH relativeFrom="margin">
              <wp:align>left</wp:align>
            </wp:positionH>
            <wp:positionV relativeFrom="line">
              <wp:align>top</wp:align>
            </wp:positionV>
            <wp:extent cx="1029335" cy="508000"/>
            <wp:effectExtent l="0" t="0" r="0" b="6350"/>
            <wp:wrapSquare wrapText="bothSides"/>
            <wp:docPr id="885858198" name="Obrázok 2" descr="Obrázok, na ktorom je zástava, symbol, logo&#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858198" name="Obrázok 2" descr="Obrázok, na ktorom je zástava, symbol, logo&#10;&#10;Obsah vygenerovaný pomocou AI môže byť nesprávny."/>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029335" cy="50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0CB79A" w14:textId="77777777" w:rsidR="00C24F6F" w:rsidRDefault="00C24F6F" w:rsidP="00C24F6F">
      <w:pPr>
        <w:pStyle w:val="subpartParagraphStyle"/>
        <w:rPr>
          <w:rStyle w:val="titleGreyStyle"/>
          <w:rFonts w:ascii="Arial Narrow" w:hAnsi="Arial Narrow"/>
          <w:sz w:val="14"/>
          <w:szCs w:val="14"/>
        </w:rPr>
      </w:pPr>
      <w:r w:rsidRPr="002F5AA0">
        <w:rPr>
          <w:rStyle w:val="titleGreyStyle"/>
          <w:rFonts w:ascii="Arial Narrow" w:hAnsi="Arial Narrow"/>
          <w:sz w:val="14"/>
          <w:szCs w:val="14"/>
        </w:rPr>
        <w:t>CeSaR</w:t>
      </w:r>
    </w:p>
    <w:p w14:paraId="69EC5873" w14:textId="77777777" w:rsidR="00C24F6F" w:rsidRPr="002F5AA0" w:rsidRDefault="00C24F6F" w:rsidP="00C24F6F">
      <w:pPr>
        <w:pStyle w:val="subpartParagraphStyle"/>
        <w:rPr>
          <w:rFonts w:ascii="Arial Narrow" w:hAnsi="Arial Narrow"/>
          <w:sz w:val="14"/>
          <w:szCs w:val="14"/>
        </w:rPr>
      </w:pPr>
    </w:p>
    <w:p w14:paraId="2B0A14E3" w14:textId="77777777" w:rsidR="00C24F6F" w:rsidRPr="002F5AA0" w:rsidRDefault="00C24F6F" w:rsidP="00C24F6F">
      <w:pPr>
        <w:pStyle w:val="titleParagraphStyle"/>
        <w:spacing w:after="0"/>
        <w:rPr>
          <w:rFonts w:ascii="Arial Narrow" w:hAnsi="Arial Narrow"/>
        </w:rPr>
      </w:pPr>
      <w:r w:rsidRPr="002F5AA0">
        <w:rPr>
          <w:rStyle w:val="titleBlueStyle"/>
          <w:rFonts w:ascii="Arial Narrow" w:hAnsi="Arial Narrow"/>
          <w:sz w:val="20"/>
          <w:szCs w:val="20"/>
        </w:rPr>
        <w:t>Slovakia's contribution to the Country-specific recommendations (CSR) assessment</w:t>
      </w:r>
    </w:p>
    <w:p w14:paraId="3CD00B87" w14:textId="77777777" w:rsidR="00C24F6F" w:rsidRPr="002F5AA0" w:rsidRDefault="00C24F6F" w:rsidP="00C24F6F">
      <w:pPr>
        <w:pStyle w:val="subTitleParagraphStyle"/>
        <w:rPr>
          <w:rFonts w:ascii="Arial Narrow" w:hAnsi="Arial Narrow"/>
        </w:rPr>
      </w:pPr>
      <w:r w:rsidRPr="002F5AA0">
        <w:rPr>
          <w:rStyle w:val="blueStyle"/>
          <w:rFonts w:ascii="Arial Narrow" w:hAnsi="Arial Narrow"/>
          <w:sz w:val="20"/>
          <w:szCs w:val="20"/>
        </w:rPr>
        <w:t>Semester Cycle 2026</w:t>
      </w:r>
    </w:p>
    <w:p w14:paraId="14570353" w14:textId="77777777" w:rsidR="00C24F6F" w:rsidRPr="002F5AA0" w:rsidRDefault="00C24F6F" w:rsidP="00C24F6F">
      <w:pPr>
        <w:pStyle w:val="titleParagraphStyle"/>
        <w:rPr>
          <w:rFonts w:ascii="Arial Narrow" w:hAnsi="Arial Narrow"/>
          <w:sz w:val="14"/>
          <w:szCs w:val="14"/>
        </w:rPr>
      </w:pPr>
      <w:r w:rsidRPr="002F5AA0">
        <w:rPr>
          <w:rStyle w:val="titleBlueStyle"/>
          <w:rFonts w:ascii="Arial Narrow" w:hAnsi="Arial Narrow"/>
          <w:sz w:val="14"/>
          <w:szCs w:val="14"/>
        </w:rPr>
        <w:t>CSR.2025.1</w:t>
      </w:r>
    </w:p>
    <w:p w14:paraId="6927535A"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1 Subpart 1: Reinforce overall defence and security spending and readiness while ensuring debt sustainability in line with the European Council conclusions of 6 March 2025.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65CDF233" w14:textId="77777777" w:rsidTr="002B1847">
        <w:trPr>
          <w:tblCellSpacing w:w="50" w:type="dxa"/>
          <w:jc w:val="center"/>
        </w:trPr>
        <w:tc>
          <w:tcPr>
            <w:tcW w:w="10000" w:type="dxa"/>
            <w:gridSpan w:val="2"/>
            <w:tcBorders>
              <w:top w:val="single" w:sz="6" w:space="0" w:color="000000"/>
            </w:tcBorders>
            <w:shd w:val="clear" w:color="auto" w:fill="BBD5ED"/>
            <w:noWrap/>
          </w:tcPr>
          <w:p w14:paraId="24B5997C"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70F4943C" w14:textId="77777777" w:rsidTr="002B1847">
        <w:trPr>
          <w:tblCellSpacing w:w="50" w:type="dxa"/>
          <w:jc w:val="center"/>
        </w:trPr>
        <w:tc>
          <w:tcPr>
            <w:tcW w:w="1500" w:type="dxa"/>
            <w:tcBorders>
              <w:top w:val="single" w:sz="6" w:space="0" w:color="000000"/>
              <w:right w:val="single" w:sz="6" w:space="0" w:color="000000"/>
            </w:tcBorders>
            <w:noWrap/>
          </w:tcPr>
          <w:p w14:paraId="28D18BA9"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09E792E9"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13FBB72F" w14:textId="77777777" w:rsidR="00C24F6F" w:rsidRPr="002F5AA0" w:rsidRDefault="00C24F6F" w:rsidP="002B1847">
            <w:pPr>
              <w:rPr>
                <w:rFonts w:ascii="Arial Narrow" w:hAnsi="Arial Narrow"/>
                <w:sz w:val="14"/>
                <w:szCs w:val="14"/>
              </w:rPr>
            </w:pPr>
          </w:p>
          <w:p w14:paraId="3AAF44F1"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 xml:space="preserve">Strengthening Defence Capabilities: The Long-Term Defence Development Plan until 2035 focuses on the modernisation of Slovakia's military equipment, including combat and cargo vehicles and air defence systems, with the aim of building a heavy mechanised brigade and strengthening capabilities within the North Atlantic Treaty Organization (NATO).  </w:t>
            </w:r>
          </w:p>
        </w:tc>
      </w:tr>
      <w:tr w:rsidR="00C24F6F" w:rsidRPr="002F5AA0" w14:paraId="6116223F" w14:textId="77777777" w:rsidTr="002B1847">
        <w:trPr>
          <w:tblCellSpacing w:w="50" w:type="dxa"/>
          <w:jc w:val="center"/>
        </w:trPr>
        <w:tc>
          <w:tcPr>
            <w:tcW w:w="10000" w:type="dxa"/>
            <w:gridSpan w:val="2"/>
            <w:tcBorders>
              <w:top w:val="single" w:sz="6" w:space="0" w:color="000000"/>
            </w:tcBorders>
            <w:shd w:val="clear" w:color="auto" w:fill="BBD5ED"/>
            <w:noWrap/>
          </w:tcPr>
          <w:p w14:paraId="71E7B4F5"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35AECC15" w14:textId="77777777" w:rsidTr="002B1847">
        <w:trPr>
          <w:tblCellSpacing w:w="50" w:type="dxa"/>
          <w:jc w:val="center"/>
        </w:trPr>
        <w:tc>
          <w:tcPr>
            <w:tcW w:w="10000" w:type="dxa"/>
            <w:gridSpan w:val="2"/>
            <w:tcBorders>
              <w:top w:val="single" w:sz="6" w:space="0" w:color="000000"/>
            </w:tcBorders>
            <w:shd w:val="clear" w:color="auto" w:fill="BBD5ED"/>
            <w:noWrap/>
          </w:tcPr>
          <w:p w14:paraId="292CC5D9"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0DD80897"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CSR 1 Subpart 2: Adhere to the maximum growth rates of net expenditure recommended by the Council on 21 January 2025, with a view to bringing an end to the situation of an excessive deficit while making use of the allowance under the national escape clause for higher defence expenditure.</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0A0179A6" w14:textId="77777777" w:rsidTr="002B1847">
        <w:trPr>
          <w:tblCellSpacing w:w="50" w:type="dxa"/>
          <w:jc w:val="center"/>
        </w:trPr>
        <w:tc>
          <w:tcPr>
            <w:tcW w:w="10000" w:type="dxa"/>
            <w:gridSpan w:val="2"/>
            <w:tcBorders>
              <w:top w:val="single" w:sz="6" w:space="0" w:color="000000"/>
            </w:tcBorders>
            <w:shd w:val="clear" w:color="auto" w:fill="BBD5ED"/>
            <w:noWrap/>
          </w:tcPr>
          <w:p w14:paraId="33CE3CDB"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2BFCA785" w14:textId="77777777" w:rsidTr="002B1847">
        <w:trPr>
          <w:tblCellSpacing w:w="50" w:type="dxa"/>
          <w:jc w:val="center"/>
        </w:trPr>
        <w:tc>
          <w:tcPr>
            <w:tcW w:w="1500" w:type="dxa"/>
            <w:tcBorders>
              <w:top w:val="single" w:sz="6" w:space="0" w:color="000000"/>
              <w:right w:val="single" w:sz="6" w:space="0" w:color="000000"/>
            </w:tcBorders>
            <w:noWrap/>
          </w:tcPr>
          <w:p w14:paraId="75A491D8"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457C02AE"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(14/04/2026 13:30 PM)</w:t>
            </w:r>
          </w:p>
          <w:p w14:paraId="417FA6C0" w14:textId="77777777" w:rsidR="00C24F6F" w:rsidRPr="002F5AA0" w:rsidRDefault="00C24F6F" w:rsidP="002B1847">
            <w:pPr>
              <w:rPr>
                <w:rFonts w:ascii="Arial Narrow" w:hAnsi="Arial Narrow"/>
                <w:sz w:val="14"/>
                <w:szCs w:val="14"/>
              </w:rPr>
            </w:pPr>
          </w:p>
          <w:p w14:paraId="592CEFE9"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Preparation of a draft amendment to the Constitutional Act on Budgetary Responsibility (adjustment of the debt brake): An amendment to the debt brake is necessary to ensure a predictable fiscal policy. Without its adoption, the Government of the Slovak Republic would be required to prepare a balanced budget for 2027, which would imply an abrupt and excessively restrictive fiscal stance with a potentially negative impact on economic growth.  Expert discussions are ongoing in connection with the preparation of the draft amendment to the Constitutional Act, focusing in particular on the calibration of the debt brake parameters, sanction thresholds and corrective measures. The adoption of the amendment requires a constitutional majority.</w:t>
            </w:r>
          </w:p>
        </w:tc>
      </w:tr>
      <w:tr w:rsidR="00C24F6F" w:rsidRPr="002F5AA0" w14:paraId="0D3CF099" w14:textId="77777777" w:rsidTr="002B1847">
        <w:trPr>
          <w:tblCellSpacing w:w="50" w:type="dxa"/>
          <w:jc w:val="center"/>
        </w:trPr>
        <w:tc>
          <w:tcPr>
            <w:tcW w:w="1500" w:type="dxa"/>
            <w:tcBorders>
              <w:top w:val="single" w:sz="6" w:space="0" w:color="000000"/>
              <w:right w:val="single" w:sz="6" w:space="0" w:color="000000"/>
            </w:tcBorders>
            <w:noWrap/>
          </w:tcPr>
          <w:p w14:paraId="16B3660C"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7B5E8DD5"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(14/04/2026 13:28 PM)</w:t>
            </w:r>
          </w:p>
          <w:p w14:paraId="75741C69" w14:textId="77777777" w:rsidR="00C24F6F" w:rsidRPr="002F5AA0" w:rsidRDefault="00C24F6F" w:rsidP="002B1847">
            <w:pPr>
              <w:rPr>
                <w:rFonts w:ascii="Arial Narrow" w:hAnsi="Arial Narrow"/>
                <w:sz w:val="14"/>
                <w:szCs w:val="14"/>
              </w:rPr>
            </w:pPr>
          </w:p>
          <w:p w14:paraId="0272E80D" w14:textId="1374974C"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 xml:space="preserve">Implementation of budgeting based on no-policy-change scenarios: The objective of the measure is the full implementation of budgeting based on no-policy-change (NPC) scenarios as the starting point for the preparation of the general government budget and expenditure limits. NPC scenarios are already being prepared for each stage of the general government budget process and are taken into account when setting the most accurate possible operational baseline for individual chapters of the state budget and other general government entities. In some cases, NPC scenarios are already used directly as the baseline for budget preparation, in particular for the Social Insurance Agency, </w:t>
            </w:r>
            <w:r w:rsidR="006E126B" w:rsidRPr="006E126B">
              <w:rPr>
                <w:rStyle w:val="defaultStyle"/>
                <w:rFonts w:ascii="Arial Narrow" w:hAnsi="Arial Narrow"/>
                <w:sz w:val="14"/>
                <w:szCs w:val="14"/>
              </w:rPr>
              <w:t>public health insurance</w:t>
            </w:r>
            <w:r w:rsidRPr="002F5AA0">
              <w:rPr>
                <w:rStyle w:val="defaultStyle"/>
                <w:rFonts w:ascii="Arial Narrow" w:hAnsi="Arial Narrow"/>
                <w:sz w:val="14"/>
                <w:szCs w:val="14"/>
              </w:rPr>
              <w:t xml:space="preserve"> and railway companies.  Further use of NPC scenarios across the general government budget remains subject to ongoing discussion and will also form part of the technical cooperation with the International Monetary Fund.</w:t>
            </w:r>
          </w:p>
        </w:tc>
      </w:tr>
      <w:tr w:rsidR="00C24F6F" w:rsidRPr="002F5AA0" w14:paraId="36618D6A" w14:textId="77777777" w:rsidTr="002B1847">
        <w:trPr>
          <w:tblCellSpacing w:w="50" w:type="dxa"/>
          <w:jc w:val="center"/>
        </w:trPr>
        <w:tc>
          <w:tcPr>
            <w:tcW w:w="10000" w:type="dxa"/>
            <w:gridSpan w:val="2"/>
            <w:tcBorders>
              <w:top w:val="single" w:sz="6" w:space="0" w:color="000000"/>
            </w:tcBorders>
            <w:shd w:val="clear" w:color="auto" w:fill="BBD5ED"/>
            <w:noWrap/>
          </w:tcPr>
          <w:p w14:paraId="75E6E80F"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lastRenderedPageBreak/>
              <w:t>Comments</w:t>
            </w:r>
          </w:p>
        </w:tc>
      </w:tr>
      <w:tr w:rsidR="00C24F6F" w:rsidRPr="002F5AA0" w14:paraId="1F911222" w14:textId="77777777" w:rsidTr="002B1847">
        <w:trPr>
          <w:tblCellSpacing w:w="50" w:type="dxa"/>
          <w:jc w:val="center"/>
        </w:trPr>
        <w:tc>
          <w:tcPr>
            <w:tcW w:w="10000" w:type="dxa"/>
            <w:gridSpan w:val="2"/>
            <w:tcBorders>
              <w:top w:val="single" w:sz="6" w:space="0" w:color="000000"/>
            </w:tcBorders>
            <w:shd w:val="clear" w:color="auto" w:fill="BBD5ED"/>
            <w:noWrap/>
          </w:tcPr>
          <w:p w14:paraId="577ADD85"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1B715B86"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CSR 1 Subpart 3:  Make the tax mix more efficient, including by reducing disincentives in the labour market, and making stronger use of taxes less detrimental to growth such as environmental and recurrent property taxation.</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7841E404" w14:textId="77777777" w:rsidTr="002B1847">
        <w:trPr>
          <w:tblCellSpacing w:w="50" w:type="dxa"/>
          <w:jc w:val="center"/>
        </w:trPr>
        <w:tc>
          <w:tcPr>
            <w:tcW w:w="10000" w:type="dxa"/>
            <w:gridSpan w:val="2"/>
            <w:tcBorders>
              <w:top w:val="single" w:sz="6" w:space="0" w:color="000000"/>
            </w:tcBorders>
            <w:shd w:val="clear" w:color="auto" w:fill="BBD5ED"/>
            <w:noWrap/>
          </w:tcPr>
          <w:p w14:paraId="66D0EDDB"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3A5FF9F4" w14:textId="77777777" w:rsidTr="002B1847">
        <w:trPr>
          <w:tblCellSpacing w:w="50" w:type="dxa"/>
          <w:jc w:val="center"/>
        </w:trPr>
        <w:tc>
          <w:tcPr>
            <w:tcW w:w="1500" w:type="dxa"/>
            <w:tcBorders>
              <w:top w:val="single" w:sz="6" w:space="0" w:color="000000"/>
              <w:right w:val="single" w:sz="6" w:space="0" w:color="000000"/>
            </w:tcBorders>
            <w:noWrap/>
          </w:tcPr>
          <w:p w14:paraId="12D55827"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1DA39CD2"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Deleted (09/04/2026 10:30 AM)</w:t>
            </w:r>
          </w:p>
          <w:p w14:paraId="28C3F729" w14:textId="77777777" w:rsidR="00C24F6F" w:rsidRPr="002F5AA0" w:rsidRDefault="00C24F6F" w:rsidP="002B1847">
            <w:pPr>
              <w:rPr>
                <w:rFonts w:ascii="Arial Narrow" w:hAnsi="Arial Narrow"/>
                <w:sz w:val="14"/>
                <w:szCs w:val="14"/>
              </w:rPr>
            </w:pPr>
          </w:p>
          <w:p w14:paraId="00EDB5B1" w14:textId="38E8AB21"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 xml:space="preserve">Revision of Water Use Payments and Charges (1): The amendment to the Water Act is intended to introduce fair and targeted pricing of water management services based on the 'user and polluter pays' principle.  The draft amendment to the Water Act </w:t>
            </w:r>
            <w:r w:rsidR="00A46A7C" w:rsidRPr="00A46A7C">
              <w:rPr>
                <w:rStyle w:val="defaultStyle"/>
                <w:rFonts w:ascii="Arial Narrow" w:hAnsi="Arial Narrow"/>
                <w:sz w:val="14"/>
                <w:szCs w:val="14"/>
              </w:rPr>
              <w:t>has been submitted to the inter-ministerial consultation, and the resolution of comments is currently ongoing</w:t>
            </w:r>
            <w:r w:rsidRPr="002F5AA0">
              <w:rPr>
                <w:rStyle w:val="defaultStyle"/>
                <w:rFonts w:ascii="Arial Narrow" w:hAnsi="Arial Narrow"/>
                <w:sz w:val="14"/>
                <w:szCs w:val="14"/>
              </w:rPr>
              <w:t xml:space="preserve">. However, following the assessment of comments received, the originally proposed provisions relating to the reduction of threshold values for charges on water abstraction and discharge are planned to be removed from the draft. </w:t>
            </w:r>
          </w:p>
        </w:tc>
      </w:tr>
      <w:tr w:rsidR="00C24F6F" w:rsidRPr="002F5AA0" w14:paraId="3ADA524A" w14:textId="77777777" w:rsidTr="002B1847">
        <w:trPr>
          <w:tblCellSpacing w:w="50" w:type="dxa"/>
          <w:jc w:val="center"/>
        </w:trPr>
        <w:tc>
          <w:tcPr>
            <w:tcW w:w="1500" w:type="dxa"/>
            <w:tcBorders>
              <w:top w:val="single" w:sz="6" w:space="0" w:color="000000"/>
              <w:right w:val="single" w:sz="6" w:space="0" w:color="000000"/>
            </w:tcBorders>
            <w:noWrap/>
          </w:tcPr>
          <w:p w14:paraId="0F04D764"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47C7DCC9"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10:25 AM)</w:t>
            </w:r>
          </w:p>
          <w:p w14:paraId="596DF378" w14:textId="77777777" w:rsidR="00C24F6F" w:rsidRPr="002F5AA0" w:rsidRDefault="00C24F6F" w:rsidP="002B1847">
            <w:pPr>
              <w:rPr>
                <w:rFonts w:ascii="Arial Narrow" w:hAnsi="Arial Narrow"/>
                <w:sz w:val="14"/>
                <w:szCs w:val="14"/>
              </w:rPr>
            </w:pPr>
          </w:p>
          <w:p w14:paraId="6A22245F"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 xml:space="preserve">Revision of Water Use Payments and Charges (2): In accordance with the Water Policy Concept, an amendment to the Government Regulation on water use charges will be adopted, increasing the extent to which environmental costs are reflected in the charging framework.  The Ministry of Environment of the Slovak Republic is continuing discussions on the draft text of this amendment.  </w:t>
            </w:r>
          </w:p>
        </w:tc>
      </w:tr>
      <w:tr w:rsidR="00C24F6F" w:rsidRPr="002F5AA0" w14:paraId="1024B744" w14:textId="77777777" w:rsidTr="002B1847">
        <w:trPr>
          <w:tblCellSpacing w:w="50" w:type="dxa"/>
          <w:jc w:val="center"/>
        </w:trPr>
        <w:tc>
          <w:tcPr>
            <w:tcW w:w="10000" w:type="dxa"/>
            <w:gridSpan w:val="2"/>
            <w:tcBorders>
              <w:top w:val="single" w:sz="6" w:space="0" w:color="000000"/>
            </w:tcBorders>
            <w:shd w:val="clear" w:color="auto" w:fill="BBD5ED"/>
            <w:noWrap/>
          </w:tcPr>
          <w:p w14:paraId="6493AB6F"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289B7FDA" w14:textId="77777777" w:rsidTr="002B1847">
        <w:trPr>
          <w:tblCellSpacing w:w="50" w:type="dxa"/>
          <w:jc w:val="center"/>
        </w:trPr>
        <w:tc>
          <w:tcPr>
            <w:tcW w:w="10000" w:type="dxa"/>
            <w:gridSpan w:val="2"/>
            <w:tcBorders>
              <w:top w:val="single" w:sz="6" w:space="0" w:color="000000"/>
            </w:tcBorders>
            <w:shd w:val="clear" w:color="auto" w:fill="BBD5ED"/>
            <w:noWrap/>
          </w:tcPr>
          <w:p w14:paraId="6B975B6E"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70848F75"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1 Subpart 4:  Improve spending efficiency by, for example, implementing spending reviews.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5F8A74F3" w14:textId="77777777" w:rsidTr="002B1847">
        <w:trPr>
          <w:tblCellSpacing w:w="50" w:type="dxa"/>
          <w:jc w:val="center"/>
        </w:trPr>
        <w:tc>
          <w:tcPr>
            <w:tcW w:w="10000" w:type="dxa"/>
            <w:gridSpan w:val="2"/>
            <w:tcBorders>
              <w:top w:val="single" w:sz="6" w:space="0" w:color="000000"/>
            </w:tcBorders>
            <w:shd w:val="clear" w:color="auto" w:fill="BBD5ED"/>
            <w:noWrap/>
          </w:tcPr>
          <w:p w14:paraId="28805D5D"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5EE3B42D" w14:textId="77777777" w:rsidTr="002B1847">
        <w:trPr>
          <w:tblCellSpacing w:w="50" w:type="dxa"/>
          <w:jc w:val="center"/>
        </w:trPr>
        <w:tc>
          <w:tcPr>
            <w:tcW w:w="1500" w:type="dxa"/>
            <w:tcBorders>
              <w:top w:val="single" w:sz="6" w:space="0" w:color="000000"/>
              <w:right w:val="single" w:sz="6" w:space="0" w:color="000000"/>
            </w:tcBorders>
            <w:noWrap/>
          </w:tcPr>
          <w:p w14:paraId="5DB58902"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1855FFCD"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Deleted (09/04/2026 10:23 AM)</w:t>
            </w:r>
          </w:p>
          <w:p w14:paraId="3643086E" w14:textId="77777777" w:rsidR="00C24F6F" w:rsidRPr="002F5AA0" w:rsidRDefault="00C24F6F" w:rsidP="002B1847">
            <w:pPr>
              <w:rPr>
                <w:rFonts w:ascii="Arial Narrow" w:hAnsi="Arial Narrow"/>
                <w:sz w:val="14"/>
                <w:szCs w:val="14"/>
              </w:rPr>
            </w:pPr>
          </w:p>
          <w:p w14:paraId="44A73D33"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New Act on Research, Development and Innovation: The new Act on Research, Development and Innovation is intended to improve the legal framework and support the development of research and innovation capacities in order to achieve long-term objectives.  A supplementary draft of the Act on Research, Development and Innovation was submitted for preliminary consultations on 11 February 2025. However, following the conclusion of this stage, the legislative process did not proceed to interministerial consultation, as no agreement was reached among the key stakeholders.</w:t>
            </w:r>
          </w:p>
        </w:tc>
      </w:tr>
      <w:tr w:rsidR="00C24F6F" w:rsidRPr="002F5AA0" w14:paraId="6139A007" w14:textId="77777777" w:rsidTr="002B1847">
        <w:trPr>
          <w:tblCellSpacing w:w="50" w:type="dxa"/>
          <w:jc w:val="center"/>
        </w:trPr>
        <w:tc>
          <w:tcPr>
            <w:tcW w:w="1500" w:type="dxa"/>
            <w:tcBorders>
              <w:top w:val="single" w:sz="6" w:space="0" w:color="000000"/>
              <w:right w:val="single" w:sz="6" w:space="0" w:color="000000"/>
            </w:tcBorders>
            <w:noWrap/>
          </w:tcPr>
          <w:p w14:paraId="60841CB4"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474E16FB"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Implemented (14/04/2026 12:50 PM)</w:t>
            </w:r>
          </w:p>
          <w:p w14:paraId="19D4831D" w14:textId="77777777" w:rsidR="00C24F6F" w:rsidRPr="002F5AA0" w:rsidRDefault="00C24F6F" w:rsidP="002B1847">
            <w:pPr>
              <w:rPr>
                <w:rFonts w:ascii="Arial Narrow" w:hAnsi="Arial Narrow"/>
                <w:sz w:val="14"/>
                <w:szCs w:val="14"/>
              </w:rPr>
            </w:pPr>
          </w:p>
          <w:p w14:paraId="08B6A08B"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Healthcare Budget Council: The intention of the measure is to establish a council that will coordinate budget preparation and its ongoing monitoring, with the aim of flexibly determining the necessary funds for healthcare.  The Healthcare Budget Council was established in the second half of 2025.</w:t>
            </w:r>
          </w:p>
        </w:tc>
      </w:tr>
      <w:tr w:rsidR="00C24F6F" w:rsidRPr="002F5AA0" w14:paraId="0F440856" w14:textId="77777777" w:rsidTr="002B1847">
        <w:trPr>
          <w:tblCellSpacing w:w="50" w:type="dxa"/>
          <w:jc w:val="center"/>
        </w:trPr>
        <w:tc>
          <w:tcPr>
            <w:tcW w:w="1500" w:type="dxa"/>
            <w:tcBorders>
              <w:top w:val="single" w:sz="6" w:space="0" w:color="000000"/>
              <w:right w:val="single" w:sz="6" w:space="0" w:color="000000"/>
            </w:tcBorders>
            <w:noWrap/>
          </w:tcPr>
          <w:p w14:paraId="7ABD1AD6"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3</w:t>
            </w:r>
          </w:p>
        </w:tc>
        <w:tc>
          <w:tcPr>
            <w:tcW w:w="8500" w:type="dxa"/>
            <w:tcBorders>
              <w:top w:val="single" w:sz="6" w:space="0" w:color="000000"/>
            </w:tcBorders>
            <w:noWrap/>
          </w:tcPr>
          <w:p w14:paraId="43BB6BF8"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(14/04/2026 13:31 PM)</w:t>
            </w:r>
          </w:p>
          <w:p w14:paraId="0829D60D" w14:textId="77777777" w:rsidR="00C24F6F" w:rsidRPr="002F5AA0" w:rsidRDefault="00C24F6F" w:rsidP="002B1847">
            <w:pPr>
              <w:rPr>
                <w:rFonts w:ascii="Arial Narrow" w:hAnsi="Arial Narrow"/>
                <w:sz w:val="14"/>
                <w:szCs w:val="14"/>
              </w:rPr>
            </w:pPr>
          </w:p>
          <w:p w14:paraId="480552BD" w14:textId="11488DAD"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 xml:space="preserve">Implementation of budgeting based on no-policy-change scenarios:The objective of the measure is the full implementation of budgeting based on no-policy-change (NPC) scenarios as the starting point for the preparation of the general government budget and expenditure limits. NPC scenarios are already being prepared for each stage of the general government budget process and are taken into account when setting the </w:t>
            </w:r>
            <w:r w:rsidRPr="002F5AA0">
              <w:rPr>
                <w:rStyle w:val="defaultStyle"/>
                <w:rFonts w:ascii="Arial Narrow" w:hAnsi="Arial Narrow"/>
                <w:sz w:val="14"/>
                <w:szCs w:val="14"/>
              </w:rPr>
              <w:lastRenderedPageBreak/>
              <w:t>most accurate possible operational baseline for individual chapters of the state budget and other general government entities. In some cases, NPC scenarios are already used directly as the baseline for budget preparation, in particular for the Social Insurance Agency</w:t>
            </w:r>
            <w:r w:rsidR="006E126B">
              <w:rPr>
                <w:rStyle w:val="defaultStyle"/>
                <w:rFonts w:ascii="Arial Narrow" w:hAnsi="Arial Narrow"/>
                <w:sz w:val="14"/>
                <w:szCs w:val="14"/>
              </w:rPr>
              <w:t>,</w:t>
            </w:r>
            <w:r w:rsidR="006E126B" w:rsidRPr="006E126B">
              <w:rPr>
                <w:rStyle w:val="defaultStyle"/>
                <w:rFonts w:ascii="Arial Narrow" w:hAnsi="Arial Narrow"/>
                <w:sz w:val="14"/>
                <w:szCs w:val="14"/>
              </w:rPr>
              <w:t xml:space="preserve"> public health insurance</w:t>
            </w:r>
            <w:r w:rsidR="006E126B">
              <w:rPr>
                <w:rStyle w:val="defaultStyle"/>
                <w:rFonts w:ascii="Arial Narrow" w:hAnsi="Arial Narrow"/>
                <w:sz w:val="14"/>
                <w:szCs w:val="14"/>
              </w:rPr>
              <w:t xml:space="preserve"> </w:t>
            </w:r>
            <w:r w:rsidR="006E126B">
              <w:rPr>
                <w:rStyle w:val="defaultStyle"/>
                <w:sz w:val="14"/>
                <w:szCs w:val="14"/>
              </w:rPr>
              <w:t xml:space="preserve"> </w:t>
            </w:r>
            <w:r w:rsidRPr="002F5AA0">
              <w:rPr>
                <w:rStyle w:val="defaultStyle"/>
                <w:rFonts w:ascii="Arial Narrow" w:hAnsi="Arial Narrow"/>
                <w:sz w:val="14"/>
                <w:szCs w:val="14"/>
              </w:rPr>
              <w:t>and railway companies.  Further use of NPC scenarios across the general government budget remains subject to ongoing discussion and will also form part of the technical cooperation with the International Monetary Fund.</w:t>
            </w:r>
          </w:p>
        </w:tc>
      </w:tr>
      <w:tr w:rsidR="00C24F6F" w:rsidRPr="002F5AA0" w14:paraId="42651D0E" w14:textId="77777777" w:rsidTr="002B1847">
        <w:trPr>
          <w:tblCellSpacing w:w="50" w:type="dxa"/>
          <w:jc w:val="center"/>
        </w:trPr>
        <w:tc>
          <w:tcPr>
            <w:tcW w:w="1500" w:type="dxa"/>
            <w:tcBorders>
              <w:top w:val="single" w:sz="6" w:space="0" w:color="000000"/>
              <w:right w:val="single" w:sz="6" w:space="0" w:color="000000"/>
            </w:tcBorders>
            <w:noWrap/>
          </w:tcPr>
          <w:p w14:paraId="40007F65"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lastRenderedPageBreak/>
              <w:t>Entry 4</w:t>
            </w:r>
          </w:p>
        </w:tc>
        <w:tc>
          <w:tcPr>
            <w:tcW w:w="8500" w:type="dxa"/>
            <w:tcBorders>
              <w:top w:val="single" w:sz="6" w:space="0" w:color="000000"/>
            </w:tcBorders>
            <w:noWrap/>
          </w:tcPr>
          <w:p w14:paraId="6E240959"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77879C5B" w14:textId="77777777" w:rsidR="00C24F6F" w:rsidRPr="002F5AA0" w:rsidRDefault="00C24F6F" w:rsidP="002B1847">
            <w:pPr>
              <w:rPr>
                <w:rFonts w:ascii="Arial Narrow" w:hAnsi="Arial Narrow"/>
                <w:sz w:val="14"/>
                <w:szCs w:val="14"/>
              </w:rPr>
            </w:pPr>
          </w:p>
          <w:p w14:paraId="2886472C"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Optimisation of the School Network for the Needs of the 21st Century: The optimisation of the school network will enable improvements in the efficiency, effectiveness, and quality of education at the regional level. The measure will introduce transparent criteria for school founders, revise the rules governing the inclusion and removal of schools from the network, and strengthen the role of the State School Inspection, as well as support for schools and teachers.  In 2025, the Final Report of the Spending Review on Primary and Secondary Schools was published, proposing amendments to the rules for the inclusion and removal of schools from the network. An adjustment was also made to the size coefficient used in school funding, with implications for the operation of small schools. In cooperation with relevant stakeholders, in particular representatives of local governments and various school founders, the Ministry of Education, Research, Development and Youth of the Slovak Republic (MoERDY SR) is developing a methodology for rationalisation measures and seeking consensus on new rules for the functioning of the school network.</w:t>
            </w:r>
          </w:p>
        </w:tc>
      </w:tr>
      <w:tr w:rsidR="00C24F6F" w:rsidRPr="002F5AA0" w14:paraId="1106B3E7" w14:textId="77777777" w:rsidTr="002B1847">
        <w:trPr>
          <w:tblCellSpacing w:w="50" w:type="dxa"/>
          <w:jc w:val="center"/>
        </w:trPr>
        <w:tc>
          <w:tcPr>
            <w:tcW w:w="10000" w:type="dxa"/>
            <w:gridSpan w:val="2"/>
            <w:tcBorders>
              <w:top w:val="single" w:sz="6" w:space="0" w:color="000000"/>
            </w:tcBorders>
            <w:shd w:val="clear" w:color="auto" w:fill="BBD5ED"/>
            <w:noWrap/>
          </w:tcPr>
          <w:p w14:paraId="3C187329"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61EF2781" w14:textId="77777777" w:rsidTr="002B1847">
        <w:trPr>
          <w:tblCellSpacing w:w="50" w:type="dxa"/>
          <w:jc w:val="center"/>
        </w:trPr>
        <w:tc>
          <w:tcPr>
            <w:tcW w:w="10000" w:type="dxa"/>
            <w:gridSpan w:val="2"/>
            <w:tcBorders>
              <w:top w:val="single" w:sz="6" w:space="0" w:color="000000"/>
            </w:tcBorders>
            <w:shd w:val="clear" w:color="auto" w:fill="BBD5ED"/>
            <w:noWrap/>
          </w:tcPr>
          <w:p w14:paraId="49306DBF"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2ECB6804"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1 Subpart 5: Continue to strengthen tax compliance, including by further digitalising the tax administration.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6C8CE051" w14:textId="77777777" w:rsidTr="002B1847">
        <w:trPr>
          <w:tblCellSpacing w:w="50" w:type="dxa"/>
          <w:jc w:val="center"/>
        </w:trPr>
        <w:tc>
          <w:tcPr>
            <w:tcW w:w="10000" w:type="dxa"/>
            <w:gridSpan w:val="2"/>
            <w:tcBorders>
              <w:top w:val="single" w:sz="6" w:space="0" w:color="000000"/>
            </w:tcBorders>
            <w:shd w:val="clear" w:color="auto" w:fill="BBD5ED"/>
            <w:noWrap/>
          </w:tcPr>
          <w:p w14:paraId="4C62275C"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1191D395" w14:textId="77777777" w:rsidTr="002B1847">
        <w:trPr>
          <w:tblCellSpacing w:w="50" w:type="dxa"/>
          <w:jc w:val="center"/>
        </w:trPr>
        <w:tc>
          <w:tcPr>
            <w:tcW w:w="1500" w:type="dxa"/>
            <w:tcBorders>
              <w:top w:val="single" w:sz="6" w:space="0" w:color="000000"/>
              <w:right w:val="single" w:sz="6" w:space="0" w:color="000000"/>
            </w:tcBorders>
            <w:noWrap/>
          </w:tcPr>
          <w:p w14:paraId="738672D7"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07F0A635"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Deleted (09/04/2026 10:23 AM)</w:t>
            </w:r>
          </w:p>
          <w:p w14:paraId="3624FBB9" w14:textId="77777777" w:rsidR="00C24F6F" w:rsidRPr="002F5AA0" w:rsidRDefault="00C24F6F" w:rsidP="002B1847">
            <w:pPr>
              <w:rPr>
                <w:rFonts w:ascii="Arial Narrow" w:hAnsi="Arial Narrow"/>
                <w:sz w:val="14"/>
                <w:szCs w:val="14"/>
              </w:rPr>
            </w:pPr>
          </w:p>
          <w:p w14:paraId="43D9B216"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Improving the Efficiency of VAT Collection (Part 2): The legislative definition of tax fraud is intended to facilitate the assessment of participation in fraudulent schemes.  Following an evaluation of the proposal for the legislative definition of tax fraud, the Ministry of Finance of the Slovak Republic decided not to proceed with the preparation of this legislative amendment.</w:t>
            </w:r>
          </w:p>
        </w:tc>
      </w:tr>
      <w:tr w:rsidR="00C24F6F" w:rsidRPr="002F5AA0" w14:paraId="31B8DA85" w14:textId="77777777" w:rsidTr="002B1847">
        <w:trPr>
          <w:tblCellSpacing w:w="50" w:type="dxa"/>
          <w:jc w:val="center"/>
        </w:trPr>
        <w:tc>
          <w:tcPr>
            <w:tcW w:w="1500" w:type="dxa"/>
            <w:tcBorders>
              <w:top w:val="single" w:sz="6" w:space="0" w:color="000000"/>
              <w:right w:val="single" w:sz="6" w:space="0" w:color="000000"/>
            </w:tcBorders>
            <w:noWrap/>
          </w:tcPr>
          <w:p w14:paraId="226EA996"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0A6CAAA6"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05DB5CE7" w14:textId="77777777" w:rsidR="00C24F6F" w:rsidRPr="002F5AA0" w:rsidRDefault="00C24F6F" w:rsidP="002B1847">
            <w:pPr>
              <w:rPr>
                <w:rFonts w:ascii="Arial Narrow" w:hAnsi="Arial Narrow"/>
                <w:sz w:val="14"/>
                <w:szCs w:val="14"/>
              </w:rPr>
            </w:pPr>
          </w:p>
          <w:p w14:paraId="4B87BF0B"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Improving the Efficiency of VAT Collection (Part 1): The introduction of software-based "three-strikes" alerts is intended to reinforce the psychological effect of voluntary tax compliance.  An expansion of the analytical competences of the Financial Administration of the Slovak Republic within the Act on Financial Administration is being prepared. This expansion will enable further targeted notifications concerning the risk of non-compliance with tax regulations, with a planned entry into force of 1 June 2026.</w:t>
            </w:r>
          </w:p>
        </w:tc>
      </w:tr>
      <w:tr w:rsidR="00C24F6F" w:rsidRPr="002F5AA0" w14:paraId="4B3AFA61" w14:textId="77777777" w:rsidTr="002B1847">
        <w:trPr>
          <w:tblCellSpacing w:w="50" w:type="dxa"/>
          <w:jc w:val="center"/>
        </w:trPr>
        <w:tc>
          <w:tcPr>
            <w:tcW w:w="1500" w:type="dxa"/>
            <w:tcBorders>
              <w:top w:val="single" w:sz="6" w:space="0" w:color="000000"/>
              <w:right w:val="single" w:sz="6" w:space="0" w:color="000000"/>
            </w:tcBorders>
            <w:noWrap/>
          </w:tcPr>
          <w:p w14:paraId="1BA3EBC6"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3</w:t>
            </w:r>
          </w:p>
        </w:tc>
        <w:tc>
          <w:tcPr>
            <w:tcW w:w="8500" w:type="dxa"/>
            <w:tcBorders>
              <w:top w:val="single" w:sz="6" w:space="0" w:color="000000"/>
            </w:tcBorders>
            <w:noWrap/>
          </w:tcPr>
          <w:p w14:paraId="7A98BB08"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504C1346" w14:textId="77777777" w:rsidR="00C24F6F" w:rsidRPr="002F5AA0" w:rsidRDefault="00C24F6F" w:rsidP="002B1847">
            <w:pPr>
              <w:rPr>
                <w:rFonts w:ascii="Arial Narrow" w:hAnsi="Arial Narrow"/>
                <w:sz w:val="14"/>
                <w:szCs w:val="14"/>
              </w:rPr>
            </w:pPr>
          </w:p>
          <w:p w14:paraId="118C3787"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Measures to Enhance System Efficiency and Combat Fraud: The package of measures aims to increase the efficiency of tax collection and eliminate tax fraud through the introduction of ex officio group registration for VAT purposes, a flat-rate VAT deduction for motor vehicles (50%), QR payments, a software-based certified cash register (ORP), the opening of the e-Kasa system to third parties, a reduction of the cash payment limit (EUR 5,000), and the legislative entrenchment of the analytical competences of the Financial Administration of the Slovak Republic (fraud prevention and identification of the risk of legal non-compliance).  The VAT measures and adjustments concerning the recording of revenues, cash payments and the introduction of QR payments entered into force on 1 January 2026. In cooperation with the academic and IT sectors, the Financial Administration prepared an instant payment notification system, which was in a testing phase in the second half of 2025, with its launch into production planned for the first quarter of 2026. Concurrently, the expansion of the analytical competences of the Financial Administration of the Slovak Republic within the Act on Financial Administration is being prepared.</w:t>
            </w:r>
          </w:p>
        </w:tc>
      </w:tr>
      <w:tr w:rsidR="00C24F6F" w:rsidRPr="002F5AA0" w14:paraId="65AA9F15" w14:textId="77777777" w:rsidTr="002B1847">
        <w:trPr>
          <w:tblCellSpacing w:w="50" w:type="dxa"/>
          <w:jc w:val="center"/>
        </w:trPr>
        <w:tc>
          <w:tcPr>
            <w:tcW w:w="1500" w:type="dxa"/>
            <w:tcBorders>
              <w:top w:val="single" w:sz="6" w:space="0" w:color="000000"/>
              <w:right w:val="single" w:sz="6" w:space="0" w:color="000000"/>
            </w:tcBorders>
            <w:noWrap/>
          </w:tcPr>
          <w:p w14:paraId="30A427E4"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4</w:t>
            </w:r>
          </w:p>
        </w:tc>
        <w:tc>
          <w:tcPr>
            <w:tcW w:w="8500" w:type="dxa"/>
            <w:tcBorders>
              <w:top w:val="single" w:sz="6" w:space="0" w:color="000000"/>
            </w:tcBorders>
            <w:noWrap/>
          </w:tcPr>
          <w:p w14:paraId="249B28B3"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6F7530D1" w14:textId="77777777" w:rsidR="00C24F6F" w:rsidRPr="002F5AA0" w:rsidRDefault="00C24F6F" w:rsidP="002B1847">
            <w:pPr>
              <w:rPr>
                <w:rFonts w:ascii="Arial Narrow" w:hAnsi="Arial Narrow"/>
                <w:sz w:val="14"/>
                <w:szCs w:val="14"/>
              </w:rPr>
            </w:pPr>
          </w:p>
          <w:p w14:paraId="7DDEC14D"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 xml:space="preserve">Improving Electronic Services of the Financial Administration and Promoting a Client-Oriented Approach (Part 2): Pre-filling of tax returns will be carried out by means of an AI assistant based on the processing of data from certificates of taxable income.  The planned analysis of tax return pre-filling using an AI assistant, scheduled for 2025, was cancelled on grounds of sensitive data protection. In 2026, the Financial </w:t>
            </w:r>
            <w:r w:rsidRPr="002F5AA0">
              <w:rPr>
                <w:rStyle w:val="defaultStyle"/>
                <w:rFonts w:ascii="Arial Narrow" w:hAnsi="Arial Narrow"/>
                <w:sz w:val="14"/>
                <w:szCs w:val="14"/>
              </w:rPr>
              <w:lastRenderedPageBreak/>
              <w:t>Administration of the Slovak Republic will carry out an analysis of tax return pre-filling using optical character recognition (OCR). Accordingly, implementation of this measure is anticipated in the course of 2027.</w:t>
            </w:r>
          </w:p>
        </w:tc>
      </w:tr>
      <w:tr w:rsidR="00C24F6F" w:rsidRPr="002F5AA0" w14:paraId="58306323" w14:textId="77777777" w:rsidTr="002B1847">
        <w:trPr>
          <w:tblCellSpacing w:w="50" w:type="dxa"/>
          <w:jc w:val="center"/>
        </w:trPr>
        <w:tc>
          <w:tcPr>
            <w:tcW w:w="1500" w:type="dxa"/>
            <w:tcBorders>
              <w:top w:val="single" w:sz="6" w:space="0" w:color="000000"/>
              <w:right w:val="single" w:sz="6" w:space="0" w:color="000000"/>
            </w:tcBorders>
            <w:noWrap/>
          </w:tcPr>
          <w:p w14:paraId="5DA5C90F"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lastRenderedPageBreak/>
              <w:t>Entry 5</w:t>
            </w:r>
          </w:p>
        </w:tc>
        <w:tc>
          <w:tcPr>
            <w:tcW w:w="8500" w:type="dxa"/>
            <w:tcBorders>
              <w:top w:val="single" w:sz="6" w:space="0" w:color="000000"/>
            </w:tcBorders>
            <w:noWrap/>
          </w:tcPr>
          <w:p w14:paraId="3C1F3BE3"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15493B79" w14:textId="77777777" w:rsidR="00C24F6F" w:rsidRPr="002F5AA0" w:rsidRDefault="00C24F6F" w:rsidP="002B1847">
            <w:pPr>
              <w:rPr>
                <w:rFonts w:ascii="Arial Narrow" w:hAnsi="Arial Narrow"/>
                <w:sz w:val="14"/>
                <w:szCs w:val="14"/>
              </w:rPr>
            </w:pPr>
          </w:p>
          <w:p w14:paraId="357B59CA"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Transmission of Invoice Data by Taxable Persons (eInvoicing): The introduction of electronic invoicing and real-time transmission of invoice data aims to combat tax evasion, reduce the tax gap and improve the efficiency of tax collection, while simultaneously reducing the administrative burden on businesses.  In 2025, the Ministry of Finance of the Slovak Republic prepared legislation adapting the applicable rules to the European standard. Infrastructure components for the introduction of electronic invoicing are concurrently being procured. The legislation on a mandatory basis will enter into force on 1 January 2027, in order to allow sufficient time for both the affected persons and the Financial Administration of the Slovak Republic to develop new information systems or to integrate the required changes into existing ones. In 2025, the Financial Administration of the Slovak Republic also organised a range of awareness-raising activities in support of the introduction of electronic invoicing — including webinars, presentations and bilateral meetings — which will continue throughout 2026.</w:t>
            </w:r>
          </w:p>
        </w:tc>
      </w:tr>
      <w:tr w:rsidR="00C24F6F" w:rsidRPr="002F5AA0" w14:paraId="143BD32F" w14:textId="77777777" w:rsidTr="002B1847">
        <w:trPr>
          <w:tblCellSpacing w:w="50" w:type="dxa"/>
          <w:jc w:val="center"/>
        </w:trPr>
        <w:tc>
          <w:tcPr>
            <w:tcW w:w="1500" w:type="dxa"/>
            <w:tcBorders>
              <w:top w:val="single" w:sz="6" w:space="0" w:color="000000"/>
              <w:right w:val="single" w:sz="6" w:space="0" w:color="000000"/>
            </w:tcBorders>
            <w:noWrap/>
          </w:tcPr>
          <w:p w14:paraId="53581DDD"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6</w:t>
            </w:r>
          </w:p>
        </w:tc>
        <w:tc>
          <w:tcPr>
            <w:tcW w:w="8500" w:type="dxa"/>
            <w:tcBorders>
              <w:top w:val="single" w:sz="6" w:space="0" w:color="000000"/>
            </w:tcBorders>
            <w:noWrap/>
          </w:tcPr>
          <w:p w14:paraId="767E938E"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Adopted (09/04/2026 10:23 AM)</w:t>
            </w:r>
          </w:p>
          <w:p w14:paraId="70EF9A7B" w14:textId="77777777" w:rsidR="00C24F6F" w:rsidRPr="002F5AA0" w:rsidRDefault="00C24F6F" w:rsidP="002B1847">
            <w:pPr>
              <w:rPr>
                <w:rFonts w:ascii="Arial Narrow" w:hAnsi="Arial Narrow"/>
                <w:sz w:val="14"/>
                <w:szCs w:val="14"/>
              </w:rPr>
            </w:pPr>
          </w:p>
          <w:p w14:paraId="3306501A"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Streamlining Tax Arrears Recovery Processes: The Tax Administration Act is being amended with a view to increasing the efficiency of arrears recovery through the introduction of innovative statutory instruments and the modernisation of existing ones.  With effect from 1 January 2026, an amendment to the Tax Code entered into force, introducing an exception to the territorial jurisdiction of the tax administrator in the conduct of tax enforcement proceedings and in the establishment of liens. This amendment enables more flexible redistribution of arrears recovery cases among the offices of the Financial Administration of the Slovak Republic in accordance with their respective capacities and recovery potential, thereby targeting an increase in the overall efficiency of arrears recovery. The measure is further supported on an ongoing basis by non-legislative instruments, in particular through the specialisation of enforcement teams and the development of IT support for recovery processes. In relation to the Tax Administration Act, a preliminary inter-ministerial comment procedure was conducted in December 2025, in the course of which the Financial Administration of the Slovak Republic submitted proactive proposals aimed at further enhancing the efficiency of arrears recovery.</w:t>
            </w:r>
          </w:p>
        </w:tc>
      </w:tr>
      <w:tr w:rsidR="00C24F6F" w:rsidRPr="002F5AA0" w14:paraId="5B97B481" w14:textId="77777777" w:rsidTr="002B1847">
        <w:trPr>
          <w:tblCellSpacing w:w="50" w:type="dxa"/>
          <w:jc w:val="center"/>
        </w:trPr>
        <w:tc>
          <w:tcPr>
            <w:tcW w:w="10000" w:type="dxa"/>
            <w:gridSpan w:val="2"/>
            <w:tcBorders>
              <w:top w:val="single" w:sz="6" w:space="0" w:color="000000"/>
            </w:tcBorders>
            <w:shd w:val="clear" w:color="auto" w:fill="BBD5ED"/>
            <w:noWrap/>
          </w:tcPr>
          <w:p w14:paraId="56216E77"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73DAA77B" w14:textId="77777777" w:rsidTr="002B1847">
        <w:trPr>
          <w:tblCellSpacing w:w="50" w:type="dxa"/>
          <w:jc w:val="center"/>
        </w:trPr>
        <w:tc>
          <w:tcPr>
            <w:tcW w:w="10000" w:type="dxa"/>
            <w:gridSpan w:val="2"/>
            <w:tcBorders>
              <w:top w:val="single" w:sz="6" w:space="0" w:color="000000"/>
            </w:tcBorders>
            <w:shd w:val="clear" w:color="auto" w:fill="BBD5ED"/>
            <w:noWrap/>
          </w:tcPr>
          <w:p w14:paraId="65F49A91"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26580EB9"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1 Subpart 6: Wind down the emergency energy support measures in force and ensure that these are targeted at protecting vulnerable households and firms, and are fiscally affordable, and preserve incentives for energy savings.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9046"/>
      </w:tblGrid>
      <w:tr w:rsidR="00C24F6F" w:rsidRPr="002F5AA0" w14:paraId="0C849524" w14:textId="77777777" w:rsidTr="002B1847">
        <w:trPr>
          <w:tblCellSpacing w:w="50" w:type="dxa"/>
          <w:jc w:val="center"/>
        </w:trPr>
        <w:tc>
          <w:tcPr>
            <w:tcW w:w="10000" w:type="dxa"/>
            <w:tcBorders>
              <w:top w:val="single" w:sz="6" w:space="0" w:color="000000"/>
            </w:tcBorders>
            <w:shd w:val="clear" w:color="auto" w:fill="BBD5ED"/>
            <w:noWrap/>
          </w:tcPr>
          <w:p w14:paraId="1B399E8F"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01870C74" w14:textId="77777777" w:rsidTr="002B1847">
        <w:trPr>
          <w:tblCellSpacing w:w="50" w:type="dxa"/>
          <w:jc w:val="center"/>
        </w:trPr>
        <w:tc>
          <w:tcPr>
            <w:tcW w:w="10000" w:type="dxa"/>
            <w:tcBorders>
              <w:top w:val="single" w:sz="6" w:space="0" w:color="000000"/>
            </w:tcBorders>
            <w:shd w:val="clear" w:color="auto" w:fill="BBD5ED"/>
            <w:noWrap/>
          </w:tcPr>
          <w:p w14:paraId="555A3A9A"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441DAE37" w14:textId="77777777" w:rsidTr="002B1847">
        <w:trPr>
          <w:tblCellSpacing w:w="50" w:type="dxa"/>
          <w:jc w:val="center"/>
        </w:trPr>
        <w:tc>
          <w:tcPr>
            <w:tcW w:w="10000" w:type="dxa"/>
            <w:tcBorders>
              <w:top w:val="single" w:sz="6" w:space="0" w:color="000000"/>
            </w:tcBorders>
            <w:shd w:val="clear" w:color="auto" w:fill="BBD5ED"/>
            <w:noWrap/>
          </w:tcPr>
          <w:p w14:paraId="34F55DD6"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41B1404C"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CSR 1 Subpart 7: Support housing supply and expand the rental market by accelerating residential construction</w:t>
      </w:r>
      <w:r>
        <w:rPr>
          <w:rStyle w:val="blueStyle"/>
          <w:rFonts w:ascii="Arial Narrow" w:hAnsi="Arial Narrow"/>
          <w:sz w:val="14"/>
          <w:szCs w:val="14"/>
        </w:rPr>
        <w:t>.</w:t>
      </w:r>
      <w:r w:rsidRPr="002F5AA0">
        <w:rPr>
          <w:rStyle w:val="blueStyle"/>
          <w:rFonts w:ascii="Arial Narrow" w:hAnsi="Arial Narrow"/>
          <w:sz w:val="14"/>
          <w:szCs w:val="14"/>
        </w:rPr>
        <w:t xml:space="preserve">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3988776E" w14:textId="77777777" w:rsidTr="002B1847">
        <w:trPr>
          <w:tblCellSpacing w:w="50" w:type="dxa"/>
          <w:jc w:val="center"/>
        </w:trPr>
        <w:tc>
          <w:tcPr>
            <w:tcW w:w="10000" w:type="dxa"/>
            <w:gridSpan w:val="2"/>
            <w:tcBorders>
              <w:top w:val="single" w:sz="6" w:space="0" w:color="000000"/>
            </w:tcBorders>
            <w:shd w:val="clear" w:color="auto" w:fill="BBD5ED"/>
            <w:noWrap/>
          </w:tcPr>
          <w:p w14:paraId="47FC6A57"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107C5C98" w14:textId="77777777" w:rsidTr="002B1847">
        <w:trPr>
          <w:tblCellSpacing w:w="50" w:type="dxa"/>
          <w:jc w:val="center"/>
        </w:trPr>
        <w:tc>
          <w:tcPr>
            <w:tcW w:w="1500" w:type="dxa"/>
            <w:tcBorders>
              <w:top w:val="single" w:sz="6" w:space="0" w:color="000000"/>
              <w:right w:val="single" w:sz="6" w:space="0" w:color="000000"/>
            </w:tcBorders>
            <w:noWrap/>
          </w:tcPr>
          <w:p w14:paraId="435A790C"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00E2A325"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1199777E" w14:textId="77777777" w:rsidR="00C24F6F" w:rsidRPr="002F5AA0" w:rsidRDefault="00C24F6F" w:rsidP="002B1847">
            <w:pPr>
              <w:rPr>
                <w:rFonts w:ascii="Arial Narrow" w:hAnsi="Arial Narrow"/>
                <w:sz w:val="14"/>
                <w:szCs w:val="14"/>
              </w:rPr>
            </w:pPr>
          </w:p>
          <w:p w14:paraId="4789E754"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Expansion of the Rental Housing Supply: The implementation of the Act on State Support for Rental Housing aims to increase the availability of affordable housing through private investment, with a functional agency responsible for the approval and oversight of projects playing a central role.  The Government of the Slovak Republic approved the criteria and the proposal for the selection of investment partners. The first contracts with investors (KOOPERATIVA and WBG) have already entered into force and the fulfilment of contractual obligations has commenced. In February 2025, registration was launched for prospective tenants for 70 rental units in the first project. In April 2025, the Government of the Slovak Republic approved an investment agreement with a new partner, Slovak Affordable Living SICAV, which plans to construct, acquire and operate at least 3,000 dwelling units. An amendment to the investment partner selection criteria is currently under preparation, which will enable the participation of a broader range of entities.</w:t>
            </w:r>
          </w:p>
        </w:tc>
      </w:tr>
      <w:tr w:rsidR="00C24F6F" w:rsidRPr="002F5AA0" w14:paraId="2257D996" w14:textId="77777777" w:rsidTr="002B1847">
        <w:trPr>
          <w:tblCellSpacing w:w="50" w:type="dxa"/>
          <w:jc w:val="center"/>
        </w:trPr>
        <w:tc>
          <w:tcPr>
            <w:tcW w:w="10000" w:type="dxa"/>
            <w:gridSpan w:val="2"/>
            <w:tcBorders>
              <w:top w:val="single" w:sz="6" w:space="0" w:color="000000"/>
            </w:tcBorders>
            <w:shd w:val="clear" w:color="auto" w:fill="BBD5ED"/>
            <w:noWrap/>
          </w:tcPr>
          <w:p w14:paraId="0DF8F190"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lastRenderedPageBreak/>
              <w:t>Comments</w:t>
            </w:r>
          </w:p>
        </w:tc>
      </w:tr>
      <w:tr w:rsidR="00C24F6F" w:rsidRPr="002F5AA0" w14:paraId="6B343A7A" w14:textId="77777777" w:rsidTr="002B1847">
        <w:trPr>
          <w:tblCellSpacing w:w="50" w:type="dxa"/>
          <w:jc w:val="center"/>
        </w:trPr>
        <w:tc>
          <w:tcPr>
            <w:tcW w:w="10000" w:type="dxa"/>
            <w:gridSpan w:val="2"/>
            <w:tcBorders>
              <w:top w:val="single" w:sz="6" w:space="0" w:color="000000"/>
            </w:tcBorders>
            <w:shd w:val="clear" w:color="auto" w:fill="BBD5ED"/>
            <w:noWrap/>
          </w:tcPr>
          <w:p w14:paraId="1F4312C8"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4DB44086"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1 Subpart 8: and by promoting social housing, taking into account regional disparities.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2DCD0607" w14:textId="77777777" w:rsidTr="002B1847">
        <w:trPr>
          <w:tblCellSpacing w:w="50" w:type="dxa"/>
          <w:jc w:val="center"/>
        </w:trPr>
        <w:tc>
          <w:tcPr>
            <w:tcW w:w="10000" w:type="dxa"/>
            <w:gridSpan w:val="2"/>
            <w:tcBorders>
              <w:top w:val="single" w:sz="6" w:space="0" w:color="000000"/>
            </w:tcBorders>
            <w:shd w:val="clear" w:color="auto" w:fill="BBD5ED"/>
            <w:noWrap/>
          </w:tcPr>
          <w:p w14:paraId="171C253B"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5C6B9014" w14:textId="77777777" w:rsidTr="002B1847">
        <w:trPr>
          <w:tblCellSpacing w:w="50" w:type="dxa"/>
          <w:jc w:val="center"/>
        </w:trPr>
        <w:tc>
          <w:tcPr>
            <w:tcW w:w="1500" w:type="dxa"/>
            <w:tcBorders>
              <w:top w:val="single" w:sz="6" w:space="0" w:color="000000"/>
              <w:right w:val="single" w:sz="6" w:space="0" w:color="000000"/>
            </w:tcBorders>
            <w:noWrap/>
          </w:tcPr>
          <w:p w14:paraId="2D6CF9DC"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48BA330E"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2A457A87" w14:textId="77777777" w:rsidR="00C24F6F" w:rsidRPr="002F5AA0" w:rsidRDefault="00C24F6F" w:rsidP="002B1847">
            <w:pPr>
              <w:rPr>
                <w:rFonts w:ascii="Arial Narrow" w:hAnsi="Arial Narrow"/>
                <w:sz w:val="14"/>
                <w:szCs w:val="14"/>
              </w:rPr>
            </w:pPr>
          </w:p>
          <w:p w14:paraId="467A49BC"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Social Climate Fund: The Fund aims to compensate the social impacts of the introduction of emissions trading in the buildings and road transport sectors (ETS 2) from 2027 for the most vulnerable groups. Member States must submit a Social Climate Plan by end of June 2025 in order to access funding. Implementation of the Fund is planned for the period 2026–2032, and access to its resources will be conditional on the transposition of all parts of the relevant EU Directive.  The draft Social Climate Plan is currently being prepared. Since July 2025, informal consultations with the European Commission on the draft have been ongoing. Approval of the Plan by the European Commission is a prerequisite for accessing resources from the Social Climate Fund, and is contingent on the completion of the transposition of the EU ETS 2 Directive, which has not yet been finalised at national level.</w:t>
            </w:r>
          </w:p>
        </w:tc>
      </w:tr>
      <w:tr w:rsidR="00C24F6F" w:rsidRPr="002F5AA0" w14:paraId="0640B83C" w14:textId="77777777" w:rsidTr="002B1847">
        <w:trPr>
          <w:tblCellSpacing w:w="50" w:type="dxa"/>
          <w:jc w:val="center"/>
        </w:trPr>
        <w:tc>
          <w:tcPr>
            <w:tcW w:w="1500" w:type="dxa"/>
            <w:tcBorders>
              <w:top w:val="single" w:sz="6" w:space="0" w:color="000000"/>
              <w:right w:val="single" w:sz="6" w:space="0" w:color="000000"/>
            </w:tcBorders>
            <w:noWrap/>
          </w:tcPr>
          <w:p w14:paraId="258346DA"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3841EF24"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547FF8AA" w14:textId="77777777" w:rsidR="00C24F6F" w:rsidRPr="002F5AA0" w:rsidRDefault="00C24F6F" w:rsidP="002B1847">
            <w:pPr>
              <w:rPr>
                <w:rFonts w:ascii="Arial Narrow" w:hAnsi="Arial Narrow"/>
                <w:sz w:val="14"/>
                <w:szCs w:val="14"/>
              </w:rPr>
            </w:pPr>
          </w:p>
          <w:p w14:paraId="4C7381A0"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Establishment of the Register of Land Use Rights in Respect of Agricultural Land: The Register of Land Use Rights constitutes an interim solution to the fragmentation and inconsistency of land ownership in the Slovak Republic. Its purpose is to increase transparency in land use, strengthen legal certainty in use-right relationships, and simplify data sharing between state institutions through the recording of actual land users.  In 2025, the Act on the Register of Land Use Rights was adopted. The Act is set to enter into force on 1 January 2028, with selected provisions applicable from 1 April 2029. Implementing regulations governing the operation of the register are currently being prepared.</w:t>
            </w:r>
          </w:p>
        </w:tc>
      </w:tr>
      <w:tr w:rsidR="00C24F6F" w:rsidRPr="002F5AA0" w14:paraId="73635B60" w14:textId="77777777" w:rsidTr="002B1847">
        <w:trPr>
          <w:tblCellSpacing w:w="50" w:type="dxa"/>
          <w:jc w:val="center"/>
        </w:trPr>
        <w:tc>
          <w:tcPr>
            <w:tcW w:w="1500" w:type="dxa"/>
            <w:tcBorders>
              <w:top w:val="single" w:sz="6" w:space="0" w:color="000000"/>
              <w:right w:val="single" w:sz="6" w:space="0" w:color="000000"/>
            </w:tcBorders>
            <w:noWrap/>
          </w:tcPr>
          <w:p w14:paraId="7BE898DB"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3</w:t>
            </w:r>
          </w:p>
        </w:tc>
        <w:tc>
          <w:tcPr>
            <w:tcW w:w="8500" w:type="dxa"/>
            <w:tcBorders>
              <w:top w:val="single" w:sz="6" w:space="0" w:color="000000"/>
            </w:tcBorders>
            <w:noWrap/>
          </w:tcPr>
          <w:p w14:paraId="253CF934"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2F310C3E" w14:textId="77777777" w:rsidR="00C24F6F" w:rsidRPr="002F5AA0" w:rsidRDefault="00C24F6F" w:rsidP="002B1847">
            <w:pPr>
              <w:rPr>
                <w:rFonts w:ascii="Arial Narrow" w:hAnsi="Arial Narrow"/>
                <w:sz w:val="14"/>
                <w:szCs w:val="14"/>
              </w:rPr>
            </w:pPr>
          </w:p>
          <w:p w14:paraId="07AF83E3"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Expansion of the Rental Housing Supply: The implementation of the Act on State Support for Rental Housing aims to increase the availability of affordable housing through private investment, with a functional agency responsible for the approval and oversight of projects playing a central role.  The Government of the Slovak Republic approved the criteria and the proposal for the selection of investment partners. The first contracts with investors (KOOPERATIVA and WBG) have already entered into force and the fulfilment of contractual obligations has commenced. In February 2025, registration was launched for prospective tenants for 70 rental units in the first project. In April 2025, the Government of the Slovak Republic approved an investment agreement with a new partner, Slovak Affordable Living SICAV, which plans to construct, acquire and operate at least 3,000 dwelling units. An amendment to the investment partner selection criteria is currently under preparation, which will enable the participation of a broader range of entities.</w:t>
            </w:r>
          </w:p>
        </w:tc>
      </w:tr>
      <w:tr w:rsidR="00C24F6F" w:rsidRPr="002F5AA0" w14:paraId="69626896" w14:textId="77777777" w:rsidTr="002B1847">
        <w:trPr>
          <w:tblCellSpacing w:w="50" w:type="dxa"/>
          <w:jc w:val="center"/>
        </w:trPr>
        <w:tc>
          <w:tcPr>
            <w:tcW w:w="1500" w:type="dxa"/>
            <w:tcBorders>
              <w:top w:val="single" w:sz="6" w:space="0" w:color="000000"/>
              <w:right w:val="single" w:sz="6" w:space="0" w:color="000000"/>
            </w:tcBorders>
            <w:noWrap/>
          </w:tcPr>
          <w:p w14:paraId="45B56FC1"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4</w:t>
            </w:r>
          </w:p>
        </w:tc>
        <w:tc>
          <w:tcPr>
            <w:tcW w:w="8500" w:type="dxa"/>
            <w:tcBorders>
              <w:top w:val="single" w:sz="6" w:space="0" w:color="000000"/>
            </w:tcBorders>
            <w:noWrap/>
          </w:tcPr>
          <w:p w14:paraId="5C8D1EF2"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2CE90FF8" w14:textId="77777777" w:rsidR="00C24F6F" w:rsidRPr="002F5AA0" w:rsidRDefault="00C24F6F" w:rsidP="002B1847">
            <w:pPr>
              <w:rPr>
                <w:rFonts w:ascii="Arial Narrow" w:hAnsi="Arial Narrow"/>
                <w:sz w:val="14"/>
                <w:szCs w:val="14"/>
              </w:rPr>
            </w:pPr>
          </w:p>
          <w:p w14:paraId="04165FB6"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Support for Social Inclusion and Housing: (1) Support for housing loss prevention and ending homelessness focuses on accessible and sustainable housing for vulnerable groups through housing-led approaches combined with social support. (2) The Outreach Social Work and Community Centres national project (EUR 250 million) provides individualised assistance to persons at risk of poverty and social exclusion.  (1) A call (EUR 14.2 million) was closed in April 2024, under which 44 projects are being implemented to provide supported rental housing for approximately 643 persons across the entire territory of the Slovak Republic. (2) The project is implemented through calls, and in 2025 a specific call for the provision of outreach social work for homeless persons was announced.</w:t>
            </w:r>
          </w:p>
        </w:tc>
      </w:tr>
      <w:tr w:rsidR="00C24F6F" w:rsidRPr="002F5AA0" w14:paraId="623DF97C" w14:textId="77777777" w:rsidTr="002B1847">
        <w:trPr>
          <w:tblCellSpacing w:w="50" w:type="dxa"/>
          <w:jc w:val="center"/>
        </w:trPr>
        <w:tc>
          <w:tcPr>
            <w:tcW w:w="1500" w:type="dxa"/>
            <w:tcBorders>
              <w:top w:val="single" w:sz="6" w:space="0" w:color="000000"/>
              <w:right w:val="single" w:sz="6" w:space="0" w:color="000000"/>
            </w:tcBorders>
            <w:noWrap/>
          </w:tcPr>
          <w:p w14:paraId="7F53276B"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5</w:t>
            </w:r>
          </w:p>
        </w:tc>
        <w:tc>
          <w:tcPr>
            <w:tcW w:w="8500" w:type="dxa"/>
            <w:tcBorders>
              <w:top w:val="single" w:sz="6" w:space="0" w:color="000000"/>
            </w:tcBorders>
            <w:noWrap/>
          </w:tcPr>
          <w:p w14:paraId="341C2769"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3720C495" w14:textId="77777777" w:rsidR="00C24F6F" w:rsidRPr="002F5AA0" w:rsidRDefault="00C24F6F" w:rsidP="002B1847">
            <w:pPr>
              <w:rPr>
                <w:rFonts w:ascii="Arial Narrow" w:hAnsi="Arial Narrow"/>
                <w:sz w:val="14"/>
                <w:szCs w:val="14"/>
              </w:rPr>
            </w:pPr>
          </w:p>
          <w:p w14:paraId="7F224F02"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Coordination of Public Policies on Homelessness Prevention and Ending Homelessness: The objective of the measure is to establish a cross-ministerial coordination unit in the field of homelessness, which will ensure cooperation between ministries, local governments, and non-governmental organisations.  The submission of a proposal to establish an independent cross-ministerial unit for the coordination and financing of measures to combat homelessness is expected in 2026, in accordance with the Action Plan of the National Concept for the Prevention and Ending of Homelessness for 2024-2026.</w:t>
            </w:r>
          </w:p>
        </w:tc>
      </w:tr>
      <w:tr w:rsidR="00C24F6F" w:rsidRPr="002F5AA0" w14:paraId="4B628204" w14:textId="77777777" w:rsidTr="002B1847">
        <w:trPr>
          <w:tblCellSpacing w:w="50" w:type="dxa"/>
          <w:jc w:val="center"/>
        </w:trPr>
        <w:tc>
          <w:tcPr>
            <w:tcW w:w="10000" w:type="dxa"/>
            <w:gridSpan w:val="2"/>
            <w:tcBorders>
              <w:top w:val="single" w:sz="6" w:space="0" w:color="000000"/>
            </w:tcBorders>
            <w:shd w:val="clear" w:color="auto" w:fill="BBD5ED"/>
            <w:noWrap/>
          </w:tcPr>
          <w:p w14:paraId="7E98EA54"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lastRenderedPageBreak/>
              <w:t>Comments</w:t>
            </w:r>
          </w:p>
        </w:tc>
      </w:tr>
      <w:tr w:rsidR="00C24F6F" w:rsidRPr="002F5AA0" w14:paraId="54EEF878" w14:textId="77777777" w:rsidTr="002B1847">
        <w:trPr>
          <w:tblCellSpacing w:w="50" w:type="dxa"/>
          <w:jc w:val="center"/>
        </w:trPr>
        <w:tc>
          <w:tcPr>
            <w:tcW w:w="10000" w:type="dxa"/>
            <w:gridSpan w:val="2"/>
            <w:tcBorders>
              <w:top w:val="single" w:sz="6" w:space="0" w:color="000000"/>
            </w:tcBorders>
            <w:shd w:val="clear" w:color="auto" w:fill="BBD5ED"/>
            <w:noWrap/>
          </w:tcPr>
          <w:p w14:paraId="1D22A3B4"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6EBF09C1" w14:textId="77777777" w:rsidR="00C24F6F" w:rsidRPr="002F5AA0" w:rsidRDefault="00C24F6F" w:rsidP="00C24F6F">
      <w:pPr>
        <w:rPr>
          <w:rFonts w:ascii="Arial Narrow" w:hAnsi="Arial Narrow"/>
          <w:sz w:val="14"/>
          <w:szCs w:val="14"/>
        </w:rPr>
      </w:pPr>
      <w:r w:rsidRPr="002F5AA0">
        <w:rPr>
          <w:rFonts w:ascii="Arial Narrow" w:hAnsi="Arial Narrow"/>
          <w:sz w:val="14"/>
          <w:szCs w:val="14"/>
        </w:rPr>
        <w:br w:type="page"/>
      </w:r>
    </w:p>
    <w:p w14:paraId="31E61C1D" w14:textId="77777777" w:rsidR="00C24F6F" w:rsidRPr="002F5AA0" w:rsidRDefault="00C24F6F" w:rsidP="00C24F6F">
      <w:pPr>
        <w:pStyle w:val="titleParagraphStyle"/>
        <w:rPr>
          <w:rFonts w:ascii="Arial Narrow" w:hAnsi="Arial Narrow"/>
          <w:sz w:val="14"/>
          <w:szCs w:val="14"/>
        </w:rPr>
      </w:pPr>
      <w:r w:rsidRPr="002F5AA0">
        <w:rPr>
          <w:rStyle w:val="titleBlueStyle"/>
          <w:rFonts w:ascii="Arial Narrow" w:hAnsi="Arial Narrow"/>
          <w:sz w:val="14"/>
          <w:szCs w:val="14"/>
        </w:rPr>
        <w:lastRenderedPageBreak/>
        <w:t>CSR.2025.2</w:t>
      </w:r>
    </w:p>
    <w:p w14:paraId="63D146B2"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2 Subpart 1: In view of the applicable deadlines for the timely completion of reforms and investments under Regulation (EU) 2021/241, accelerate the implementation of the recovery and resilience plan, including the REPowerEU chapter. Accelerate the implementation of the cohesion policy programme (ERDF, JTF, ESF+, CF), building, where appropriate, on the opportunities offered by the mid-term review. Make optimal use of EU instruments, including the opportunities provided by InvestEU programme and the Strategic Technologies for Europe Platform, to improve competitiveness.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7299D0CC" w14:textId="77777777" w:rsidTr="002B1847">
        <w:trPr>
          <w:tblCellSpacing w:w="50" w:type="dxa"/>
          <w:jc w:val="center"/>
        </w:trPr>
        <w:tc>
          <w:tcPr>
            <w:tcW w:w="10000" w:type="dxa"/>
            <w:gridSpan w:val="2"/>
            <w:tcBorders>
              <w:top w:val="single" w:sz="6" w:space="0" w:color="000000"/>
            </w:tcBorders>
            <w:shd w:val="clear" w:color="auto" w:fill="BBD5ED"/>
            <w:noWrap/>
          </w:tcPr>
          <w:p w14:paraId="6E920369"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18D03F28" w14:textId="77777777" w:rsidTr="002B1847">
        <w:trPr>
          <w:tblCellSpacing w:w="50" w:type="dxa"/>
          <w:jc w:val="center"/>
        </w:trPr>
        <w:tc>
          <w:tcPr>
            <w:tcW w:w="1500" w:type="dxa"/>
            <w:tcBorders>
              <w:top w:val="single" w:sz="6" w:space="0" w:color="000000"/>
              <w:right w:val="single" w:sz="6" w:space="0" w:color="000000"/>
            </w:tcBorders>
            <w:noWrap/>
          </w:tcPr>
          <w:p w14:paraId="11EC137B"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28B4026B"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Deleted (09/04/2026 10:23 AM)</w:t>
            </w:r>
          </w:p>
          <w:p w14:paraId="1CCD8735" w14:textId="77777777" w:rsidR="00C24F6F" w:rsidRPr="002F5AA0" w:rsidRDefault="00C24F6F" w:rsidP="002B1847">
            <w:pPr>
              <w:rPr>
                <w:rFonts w:ascii="Arial Narrow" w:hAnsi="Arial Narrow"/>
                <w:sz w:val="14"/>
                <w:szCs w:val="14"/>
              </w:rPr>
            </w:pPr>
          </w:p>
          <w:p w14:paraId="13C8C8E9"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New Act on Research, Development and Innovation: The new Act on Research, Development and Innovation is intended to improve the legal framework and support the development of research and innovation capacities in order to achieve long-term objectives.  A supplementary draft of the Act on Research, Development and Innovation was submitted for preliminary consultations on 11 February 2025. However, following the conclusion of this stage, the legislative process did not proceed to interministerial consultation, as no agreement was reached among the key stakeholders.</w:t>
            </w:r>
          </w:p>
        </w:tc>
      </w:tr>
      <w:tr w:rsidR="00C24F6F" w:rsidRPr="002F5AA0" w14:paraId="049A3548" w14:textId="77777777" w:rsidTr="002B1847">
        <w:trPr>
          <w:tblCellSpacing w:w="50" w:type="dxa"/>
          <w:jc w:val="center"/>
        </w:trPr>
        <w:tc>
          <w:tcPr>
            <w:tcW w:w="1500" w:type="dxa"/>
            <w:tcBorders>
              <w:top w:val="single" w:sz="6" w:space="0" w:color="000000"/>
              <w:right w:val="single" w:sz="6" w:space="0" w:color="000000"/>
            </w:tcBorders>
            <w:noWrap/>
          </w:tcPr>
          <w:p w14:paraId="081390F7"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71AD0661"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15DAAF5A" w14:textId="77777777" w:rsidR="00C24F6F" w:rsidRPr="002F5AA0" w:rsidRDefault="00C24F6F" w:rsidP="002B1847">
            <w:pPr>
              <w:rPr>
                <w:rFonts w:ascii="Arial Narrow" w:hAnsi="Arial Narrow"/>
                <w:sz w:val="14"/>
                <w:szCs w:val="14"/>
              </w:rPr>
            </w:pPr>
          </w:p>
          <w:p w14:paraId="0185C9C5"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The objective of the plan is to strengthen the stability and predictability of the investment environment, ensure better and timelier preparation for the upcoming programming period, and thereby improve the efficiency of the use of EU funds. At the same time, the plan is intended to provide clear and up-to-date information on the state of preparation and implementation of priority strategic investment projects.  On 10 December 2025, the Government of the Slovak Republic approved the proposal to establish the Investment Plan for Slovakia. The preparation of the plan is proceeding in two steps: the identification of priority investment needs and project intentions in the first quarter of 2026, followed by their prioritisation in the second quarter of 2026. The final document is expected to be submitted to the Government of the Slovak Republic by 31 March 2027.</w:t>
            </w:r>
          </w:p>
        </w:tc>
      </w:tr>
      <w:tr w:rsidR="00C24F6F" w:rsidRPr="002F5AA0" w14:paraId="6DC408CC" w14:textId="77777777" w:rsidTr="002B1847">
        <w:trPr>
          <w:tblCellSpacing w:w="50" w:type="dxa"/>
          <w:jc w:val="center"/>
        </w:trPr>
        <w:tc>
          <w:tcPr>
            <w:tcW w:w="10000" w:type="dxa"/>
            <w:gridSpan w:val="2"/>
            <w:tcBorders>
              <w:top w:val="single" w:sz="6" w:space="0" w:color="000000"/>
            </w:tcBorders>
            <w:shd w:val="clear" w:color="auto" w:fill="BBD5ED"/>
            <w:noWrap/>
          </w:tcPr>
          <w:p w14:paraId="2AFAACCD"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50E8823E" w14:textId="77777777" w:rsidTr="002B1847">
        <w:trPr>
          <w:tblCellSpacing w:w="50" w:type="dxa"/>
          <w:jc w:val="center"/>
        </w:trPr>
        <w:tc>
          <w:tcPr>
            <w:tcW w:w="10000" w:type="dxa"/>
            <w:gridSpan w:val="2"/>
            <w:tcBorders>
              <w:top w:val="single" w:sz="6" w:space="0" w:color="000000"/>
            </w:tcBorders>
            <w:shd w:val="clear" w:color="auto" w:fill="BBD5ED"/>
            <w:noWrap/>
          </w:tcPr>
          <w:p w14:paraId="1492703D"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02D95334" w14:textId="77777777" w:rsidR="00C24F6F" w:rsidRPr="002F5AA0" w:rsidRDefault="00C24F6F" w:rsidP="00C24F6F">
      <w:pPr>
        <w:rPr>
          <w:rFonts w:ascii="Arial Narrow" w:hAnsi="Arial Narrow"/>
          <w:sz w:val="14"/>
          <w:szCs w:val="14"/>
        </w:rPr>
      </w:pPr>
      <w:r w:rsidRPr="002F5AA0">
        <w:rPr>
          <w:rFonts w:ascii="Arial Narrow" w:hAnsi="Arial Narrow"/>
          <w:sz w:val="14"/>
          <w:szCs w:val="14"/>
        </w:rPr>
        <w:br w:type="page"/>
      </w:r>
    </w:p>
    <w:p w14:paraId="66599AB9" w14:textId="77777777" w:rsidR="00C24F6F" w:rsidRPr="002F5AA0" w:rsidRDefault="00C24F6F" w:rsidP="00C24F6F">
      <w:pPr>
        <w:pStyle w:val="titleParagraphStyle"/>
        <w:rPr>
          <w:rFonts w:ascii="Arial Narrow" w:hAnsi="Arial Narrow"/>
          <w:sz w:val="14"/>
          <w:szCs w:val="14"/>
        </w:rPr>
      </w:pPr>
      <w:r w:rsidRPr="002F5AA0">
        <w:rPr>
          <w:rStyle w:val="titleBlueStyle"/>
          <w:rFonts w:ascii="Arial Narrow" w:hAnsi="Arial Narrow"/>
          <w:sz w:val="14"/>
          <w:szCs w:val="14"/>
        </w:rPr>
        <w:lastRenderedPageBreak/>
        <w:t>CSR.2025.3</w:t>
      </w:r>
    </w:p>
    <w:p w14:paraId="1691AB31"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3 Subpart 1: Ensure a favourable business environment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42B6E1F1" w14:textId="77777777" w:rsidTr="002B1847">
        <w:trPr>
          <w:tblCellSpacing w:w="50" w:type="dxa"/>
          <w:jc w:val="center"/>
        </w:trPr>
        <w:tc>
          <w:tcPr>
            <w:tcW w:w="10000" w:type="dxa"/>
            <w:gridSpan w:val="2"/>
            <w:tcBorders>
              <w:top w:val="single" w:sz="6" w:space="0" w:color="000000"/>
            </w:tcBorders>
            <w:shd w:val="clear" w:color="auto" w:fill="BBD5ED"/>
            <w:noWrap/>
          </w:tcPr>
          <w:p w14:paraId="6D612434"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6C9CE42F" w14:textId="77777777" w:rsidTr="002B1847">
        <w:trPr>
          <w:tblCellSpacing w:w="50" w:type="dxa"/>
          <w:jc w:val="center"/>
        </w:trPr>
        <w:tc>
          <w:tcPr>
            <w:tcW w:w="1500" w:type="dxa"/>
            <w:tcBorders>
              <w:top w:val="single" w:sz="6" w:space="0" w:color="000000"/>
              <w:right w:val="single" w:sz="6" w:space="0" w:color="000000"/>
            </w:tcBorders>
            <w:noWrap/>
          </w:tcPr>
          <w:p w14:paraId="7D06A88C"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037D0670"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Deleted (09/04/2026 10:23 AM)</w:t>
            </w:r>
          </w:p>
          <w:p w14:paraId="6E6CA8AA" w14:textId="77777777" w:rsidR="00C24F6F" w:rsidRPr="002F5AA0" w:rsidRDefault="00C24F6F" w:rsidP="002B1847">
            <w:pPr>
              <w:rPr>
                <w:rFonts w:ascii="Arial Narrow" w:hAnsi="Arial Narrow"/>
                <w:sz w:val="14"/>
                <w:szCs w:val="14"/>
              </w:rPr>
            </w:pPr>
          </w:p>
          <w:p w14:paraId="598F6184"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Recodification of Company Law: The objective of the recodification is to simplify the involvement of partners in company management, including the digitalisation of decision-making, to strengthen the protection of affected parties, and to increase transparency in the identification of beneficial owners.  Implementation of the reform is currently not progressing, as the recodification of company law is not a current priority of the legislative activity of the Government of the Slovak Republic.</w:t>
            </w:r>
          </w:p>
        </w:tc>
      </w:tr>
      <w:tr w:rsidR="00C24F6F" w:rsidRPr="002F5AA0" w14:paraId="7A88BC9B" w14:textId="77777777" w:rsidTr="002B1847">
        <w:trPr>
          <w:tblCellSpacing w:w="50" w:type="dxa"/>
          <w:jc w:val="center"/>
        </w:trPr>
        <w:tc>
          <w:tcPr>
            <w:tcW w:w="1500" w:type="dxa"/>
            <w:tcBorders>
              <w:top w:val="single" w:sz="6" w:space="0" w:color="000000"/>
              <w:right w:val="single" w:sz="6" w:space="0" w:color="000000"/>
            </w:tcBorders>
            <w:noWrap/>
          </w:tcPr>
          <w:p w14:paraId="59EADA1B"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21BE218A"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16197BE9" w14:textId="77777777" w:rsidR="00C24F6F" w:rsidRPr="002F5AA0" w:rsidRDefault="00C24F6F" w:rsidP="002B1847">
            <w:pPr>
              <w:rPr>
                <w:rFonts w:ascii="Arial Narrow" w:hAnsi="Arial Narrow"/>
                <w:sz w:val="14"/>
                <w:szCs w:val="14"/>
              </w:rPr>
            </w:pPr>
          </w:p>
          <w:p w14:paraId="6AB345C6"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Implementation of the Action Plan of the National Concept for the Informatization of Public Administration 2025 for the period 2026–2030 (NKIVS): The achievement of the objectives of the National Concept for the Informatization of Public Administration 2025 for the period 2026–2030 (NKIVS) is based on the implementation of its Action Plan, which is structured around three pillars: digital transformation, data-driven public administration, and open e-Government.  NKIVS 2025, including its Action Plan, was approved by the Government of the Slovak Republic on 17 December 2025. Updates to the NKIVS Action Plan will be submitted to the Government for consideration annually by the end of March, starting in 2027 and continuing until 2030. Throughout 2026, the implementation of the approved measures will be underway, with the first formal update of the Action Plan to be submitted to the Government by the end of March 2027.</w:t>
            </w:r>
          </w:p>
        </w:tc>
      </w:tr>
      <w:tr w:rsidR="00C24F6F" w:rsidRPr="002F5AA0" w14:paraId="70748169" w14:textId="77777777" w:rsidTr="002B1847">
        <w:trPr>
          <w:tblCellSpacing w:w="50" w:type="dxa"/>
          <w:jc w:val="center"/>
        </w:trPr>
        <w:tc>
          <w:tcPr>
            <w:tcW w:w="1500" w:type="dxa"/>
            <w:tcBorders>
              <w:top w:val="single" w:sz="6" w:space="0" w:color="000000"/>
              <w:right w:val="single" w:sz="6" w:space="0" w:color="000000"/>
            </w:tcBorders>
            <w:noWrap/>
          </w:tcPr>
          <w:p w14:paraId="6AB873ED"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3</w:t>
            </w:r>
          </w:p>
        </w:tc>
        <w:tc>
          <w:tcPr>
            <w:tcW w:w="8500" w:type="dxa"/>
            <w:tcBorders>
              <w:top w:val="single" w:sz="6" w:space="0" w:color="000000"/>
            </w:tcBorders>
            <w:noWrap/>
          </w:tcPr>
          <w:p w14:paraId="41444169"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728E2BB6" w14:textId="77777777" w:rsidR="00C24F6F" w:rsidRPr="002F5AA0" w:rsidRDefault="00C24F6F" w:rsidP="002B1847">
            <w:pPr>
              <w:rPr>
                <w:rFonts w:ascii="Arial Narrow" w:hAnsi="Arial Narrow"/>
                <w:sz w:val="14"/>
                <w:szCs w:val="14"/>
              </w:rPr>
            </w:pPr>
          </w:p>
          <w:p w14:paraId="532FEBC3"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Industrial Policy of the Slovak Republic 2027–2035: The measure responds to geopolitical developments and new legislative initiatives affecting Slovakia’s competitiveness. A key step will be an analysis of industrial potential, needs and challenges. The draft industrial strategy will build on Mario Draghi’s report and the forthcoming European Industrial Deal, while taking into account the needs of the national economy and geopolitical resilience.  The Ministry of Economy of the Slovak Republic is continuing the preparation of the industrial policy through the development of the Stabilisation Framework 2026–2028, aimed at the short-term stabilisation of the industrial environment. In parallel, the Vision and Strategy of Slovakia 2040 is being prepared as an overarching document for future measures and sectoral policies, while separate sectoral strategies are also being developed for selected areas. The document will be prepared in 2026, with its approval expected in the second quarter of 2027</w:t>
            </w:r>
          </w:p>
        </w:tc>
      </w:tr>
      <w:tr w:rsidR="00C24F6F" w:rsidRPr="002F5AA0" w14:paraId="52CBDD71" w14:textId="77777777" w:rsidTr="002B1847">
        <w:trPr>
          <w:tblCellSpacing w:w="50" w:type="dxa"/>
          <w:jc w:val="center"/>
        </w:trPr>
        <w:tc>
          <w:tcPr>
            <w:tcW w:w="1500" w:type="dxa"/>
            <w:tcBorders>
              <w:top w:val="single" w:sz="6" w:space="0" w:color="000000"/>
              <w:right w:val="single" w:sz="6" w:space="0" w:color="000000"/>
            </w:tcBorders>
            <w:noWrap/>
          </w:tcPr>
          <w:p w14:paraId="409596BA"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4</w:t>
            </w:r>
          </w:p>
        </w:tc>
        <w:tc>
          <w:tcPr>
            <w:tcW w:w="8500" w:type="dxa"/>
            <w:tcBorders>
              <w:top w:val="single" w:sz="6" w:space="0" w:color="000000"/>
            </w:tcBorders>
            <w:noWrap/>
          </w:tcPr>
          <w:p w14:paraId="45C42188"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Adopted (09/04/2026 10:23 AM)</w:t>
            </w:r>
          </w:p>
          <w:p w14:paraId="10472E95" w14:textId="77777777" w:rsidR="00C24F6F" w:rsidRPr="002F5AA0" w:rsidRDefault="00C24F6F" w:rsidP="002B1847">
            <w:pPr>
              <w:rPr>
                <w:rFonts w:ascii="Arial Narrow" w:hAnsi="Arial Narrow"/>
                <w:sz w:val="14"/>
                <w:szCs w:val="14"/>
              </w:rPr>
            </w:pPr>
          </w:p>
          <w:p w14:paraId="15D2CB3F"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Modernisation of the Business Register (Legislation): The legislative adjustment will take into account the new requirements of the modern business register information system being developed under the Recovery and Resilience Plan investments.  A new Business Register Act was adopted in February 2026, with full effect from 17 August 2026. The development of the related business register information system is proceeding separately under the Recovery and Resilience Plan.</w:t>
            </w:r>
          </w:p>
        </w:tc>
      </w:tr>
      <w:tr w:rsidR="00C24F6F" w:rsidRPr="002F5AA0" w14:paraId="4A6E0C88" w14:textId="77777777" w:rsidTr="002B1847">
        <w:trPr>
          <w:tblCellSpacing w:w="50" w:type="dxa"/>
          <w:jc w:val="center"/>
        </w:trPr>
        <w:tc>
          <w:tcPr>
            <w:tcW w:w="10000" w:type="dxa"/>
            <w:gridSpan w:val="2"/>
            <w:tcBorders>
              <w:top w:val="single" w:sz="6" w:space="0" w:color="000000"/>
            </w:tcBorders>
            <w:shd w:val="clear" w:color="auto" w:fill="BBD5ED"/>
            <w:noWrap/>
          </w:tcPr>
          <w:p w14:paraId="71FB22AC"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07C6A238" w14:textId="77777777" w:rsidTr="002B1847">
        <w:trPr>
          <w:tblCellSpacing w:w="50" w:type="dxa"/>
          <w:jc w:val="center"/>
        </w:trPr>
        <w:tc>
          <w:tcPr>
            <w:tcW w:w="10000" w:type="dxa"/>
            <w:gridSpan w:val="2"/>
            <w:tcBorders>
              <w:top w:val="single" w:sz="6" w:space="0" w:color="000000"/>
            </w:tcBorders>
            <w:shd w:val="clear" w:color="auto" w:fill="BBD5ED"/>
            <w:noWrap/>
          </w:tcPr>
          <w:p w14:paraId="7AE3948B"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6A49EC6C"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CSR 3 Subpart 2: by creating a more predictable regulatory environment,</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9046"/>
      </w:tblGrid>
      <w:tr w:rsidR="00C24F6F" w:rsidRPr="002F5AA0" w14:paraId="634BACA1" w14:textId="77777777" w:rsidTr="002B1847">
        <w:trPr>
          <w:tblCellSpacing w:w="50" w:type="dxa"/>
          <w:jc w:val="center"/>
        </w:trPr>
        <w:tc>
          <w:tcPr>
            <w:tcW w:w="10000" w:type="dxa"/>
            <w:tcBorders>
              <w:top w:val="single" w:sz="6" w:space="0" w:color="000000"/>
            </w:tcBorders>
            <w:shd w:val="clear" w:color="auto" w:fill="BBD5ED"/>
            <w:noWrap/>
          </w:tcPr>
          <w:p w14:paraId="30FFE046"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1D01A694" w14:textId="77777777" w:rsidTr="002B1847">
        <w:trPr>
          <w:tblCellSpacing w:w="50" w:type="dxa"/>
          <w:jc w:val="center"/>
        </w:trPr>
        <w:tc>
          <w:tcPr>
            <w:tcW w:w="10000" w:type="dxa"/>
            <w:tcBorders>
              <w:top w:val="single" w:sz="6" w:space="0" w:color="000000"/>
            </w:tcBorders>
            <w:shd w:val="clear" w:color="auto" w:fill="BBD5ED"/>
            <w:noWrap/>
          </w:tcPr>
          <w:p w14:paraId="692A761A"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7DCA3AA1" w14:textId="77777777" w:rsidTr="002B1847">
        <w:trPr>
          <w:tblCellSpacing w:w="50" w:type="dxa"/>
          <w:jc w:val="center"/>
        </w:trPr>
        <w:tc>
          <w:tcPr>
            <w:tcW w:w="10000" w:type="dxa"/>
            <w:tcBorders>
              <w:top w:val="single" w:sz="6" w:space="0" w:color="000000"/>
            </w:tcBorders>
            <w:shd w:val="clear" w:color="auto" w:fill="BBD5ED"/>
            <w:noWrap/>
          </w:tcPr>
          <w:p w14:paraId="63603B27"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52382F2B"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lastRenderedPageBreak/>
        <w:t xml:space="preserve">CSR 3 Subpart 3:  through improving the better regulation framework,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9046"/>
      </w:tblGrid>
      <w:tr w:rsidR="00C24F6F" w:rsidRPr="002F5AA0" w14:paraId="698295FC" w14:textId="77777777" w:rsidTr="002B1847">
        <w:trPr>
          <w:tblCellSpacing w:w="50" w:type="dxa"/>
          <w:jc w:val="center"/>
        </w:trPr>
        <w:tc>
          <w:tcPr>
            <w:tcW w:w="10000" w:type="dxa"/>
            <w:tcBorders>
              <w:top w:val="single" w:sz="6" w:space="0" w:color="000000"/>
            </w:tcBorders>
            <w:shd w:val="clear" w:color="auto" w:fill="BBD5ED"/>
            <w:noWrap/>
          </w:tcPr>
          <w:p w14:paraId="5076680D"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6BB35DDB" w14:textId="77777777" w:rsidTr="002B1847">
        <w:trPr>
          <w:tblCellSpacing w:w="50" w:type="dxa"/>
          <w:jc w:val="center"/>
        </w:trPr>
        <w:tc>
          <w:tcPr>
            <w:tcW w:w="10000" w:type="dxa"/>
            <w:tcBorders>
              <w:top w:val="single" w:sz="6" w:space="0" w:color="000000"/>
            </w:tcBorders>
            <w:shd w:val="clear" w:color="auto" w:fill="BBD5ED"/>
            <w:noWrap/>
          </w:tcPr>
          <w:p w14:paraId="51C0C787"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25A58459" w14:textId="77777777" w:rsidTr="002B1847">
        <w:trPr>
          <w:tblCellSpacing w:w="50" w:type="dxa"/>
          <w:jc w:val="center"/>
        </w:trPr>
        <w:tc>
          <w:tcPr>
            <w:tcW w:w="10000" w:type="dxa"/>
            <w:tcBorders>
              <w:top w:val="single" w:sz="6" w:space="0" w:color="000000"/>
            </w:tcBorders>
            <w:shd w:val="clear" w:color="auto" w:fill="BBD5ED"/>
            <w:noWrap/>
          </w:tcPr>
          <w:p w14:paraId="5B249644"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59D31569"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CSR 3 Subpart 4: ensuring that impact assessment and stakeholder consultations are integrated into the legislative process.</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9046"/>
      </w:tblGrid>
      <w:tr w:rsidR="00C24F6F" w:rsidRPr="002F5AA0" w14:paraId="3AF4F2F6" w14:textId="77777777" w:rsidTr="002B1847">
        <w:trPr>
          <w:tblCellSpacing w:w="50" w:type="dxa"/>
          <w:jc w:val="center"/>
        </w:trPr>
        <w:tc>
          <w:tcPr>
            <w:tcW w:w="10000" w:type="dxa"/>
            <w:tcBorders>
              <w:top w:val="single" w:sz="6" w:space="0" w:color="000000"/>
            </w:tcBorders>
            <w:shd w:val="clear" w:color="auto" w:fill="BBD5ED"/>
            <w:noWrap/>
          </w:tcPr>
          <w:p w14:paraId="11E93723"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0AFCCEEE" w14:textId="77777777" w:rsidTr="002B1847">
        <w:trPr>
          <w:tblCellSpacing w:w="50" w:type="dxa"/>
          <w:jc w:val="center"/>
        </w:trPr>
        <w:tc>
          <w:tcPr>
            <w:tcW w:w="10000" w:type="dxa"/>
            <w:tcBorders>
              <w:top w:val="single" w:sz="6" w:space="0" w:color="000000"/>
            </w:tcBorders>
            <w:shd w:val="clear" w:color="auto" w:fill="BBD5ED"/>
            <w:noWrap/>
          </w:tcPr>
          <w:p w14:paraId="62199883"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22B9721E" w14:textId="77777777" w:rsidTr="002B1847">
        <w:trPr>
          <w:tblCellSpacing w:w="50" w:type="dxa"/>
          <w:jc w:val="center"/>
        </w:trPr>
        <w:tc>
          <w:tcPr>
            <w:tcW w:w="10000" w:type="dxa"/>
            <w:tcBorders>
              <w:top w:val="single" w:sz="6" w:space="0" w:color="000000"/>
            </w:tcBorders>
            <w:shd w:val="clear" w:color="auto" w:fill="BBD5ED"/>
            <w:noWrap/>
          </w:tcPr>
          <w:p w14:paraId="1F9B452C"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3F5BA72A"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3 Subpart 5:  Address the fragmentation of governance structures, including by preparing a reform of the local governance.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9046"/>
      </w:tblGrid>
      <w:tr w:rsidR="00C24F6F" w:rsidRPr="002F5AA0" w14:paraId="4A70C481" w14:textId="77777777" w:rsidTr="002B1847">
        <w:trPr>
          <w:tblCellSpacing w:w="50" w:type="dxa"/>
          <w:jc w:val="center"/>
        </w:trPr>
        <w:tc>
          <w:tcPr>
            <w:tcW w:w="10000" w:type="dxa"/>
            <w:tcBorders>
              <w:top w:val="single" w:sz="6" w:space="0" w:color="000000"/>
            </w:tcBorders>
            <w:shd w:val="clear" w:color="auto" w:fill="BBD5ED"/>
            <w:noWrap/>
          </w:tcPr>
          <w:p w14:paraId="3A28CDED"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2C82BE36" w14:textId="77777777" w:rsidTr="002B1847">
        <w:trPr>
          <w:tblCellSpacing w:w="50" w:type="dxa"/>
          <w:jc w:val="center"/>
        </w:trPr>
        <w:tc>
          <w:tcPr>
            <w:tcW w:w="10000" w:type="dxa"/>
            <w:tcBorders>
              <w:top w:val="single" w:sz="6" w:space="0" w:color="000000"/>
            </w:tcBorders>
            <w:shd w:val="clear" w:color="auto" w:fill="BBD5ED"/>
            <w:noWrap/>
          </w:tcPr>
          <w:p w14:paraId="632F66AC"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445F63DD" w14:textId="77777777" w:rsidTr="002B1847">
        <w:trPr>
          <w:tblCellSpacing w:w="50" w:type="dxa"/>
          <w:jc w:val="center"/>
        </w:trPr>
        <w:tc>
          <w:tcPr>
            <w:tcW w:w="10000" w:type="dxa"/>
            <w:tcBorders>
              <w:top w:val="single" w:sz="6" w:space="0" w:color="000000"/>
            </w:tcBorders>
            <w:shd w:val="clear" w:color="auto" w:fill="BBD5ED"/>
            <w:noWrap/>
          </w:tcPr>
          <w:p w14:paraId="2EC7DC69"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1A86E636"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CSR 3 Subpart 6: Ensure quality public services through better coordination and policymaking.</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0E75B403" w14:textId="77777777" w:rsidTr="002B1847">
        <w:trPr>
          <w:tblCellSpacing w:w="50" w:type="dxa"/>
          <w:jc w:val="center"/>
        </w:trPr>
        <w:tc>
          <w:tcPr>
            <w:tcW w:w="10000" w:type="dxa"/>
            <w:gridSpan w:val="2"/>
            <w:tcBorders>
              <w:top w:val="single" w:sz="6" w:space="0" w:color="000000"/>
            </w:tcBorders>
            <w:shd w:val="clear" w:color="auto" w:fill="BBD5ED"/>
            <w:noWrap/>
          </w:tcPr>
          <w:p w14:paraId="443A5FB0"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7686290D" w14:textId="77777777" w:rsidTr="002B1847">
        <w:trPr>
          <w:tblCellSpacing w:w="50" w:type="dxa"/>
          <w:jc w:val="center"/>
        </w:trPr>
        <w:tc>
          <w:tcPr>
            <w:tcW w:w="1500" w:type="dxa"/>
            <w:tcBorders>
              <w:top w:val="single" w:sz="6" w:space="0" w:color="000000"/>
              <w:right w:val="single" w:sz="6" w:space="0" w:color="000000"/>
            </w:tcBorders>
            <w:noWrap/>
          </w:tcPr>
          <w:p w14:paraId="54879F18"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71EF4AE9"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Implemented (14/04/2026 12:51 PM)</w:t>
            </w:r>
          </w:p>
          <w:p w14:paraId="0419BBC4" w14:textId="77777777" w:rsidR="00C24F6F" w:rsidRPr="002F5AA0" w:rsidRDefault="00C24F6F" w:rsidP="002B1847">
            <w:pPr>
              <w:rPr>
                <w:rFonts w:ascii="Arial Narrow" w:hAnsi="Arial Narrow"/>
                <w:sz w:val="14"/>
                <w:szCs w:val="14"/>
              </w:rPr>
            </w:pPr>
          </w:p>
          <w:p w14:paraId="6A451010"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Healthcare Budget Council: The intention of the measure is to establish a council that will coordinate budget preparation and its ongoing monitoring, with the aim of flexibly determining the necessary funds for healthcare.  The Healthcare Budget Council was established in the second half of 2025.</w:t>
            </w:r>
          </w:p>
        </w:tc>
      </w:tr>
      <w:tr w:rsidR="00C24F6F" w:rsidRPr="002F5AA0" w14:paraId="7830002B" w14:textId="77777777" w:rsidTr="002B1847">
        <w:trPr>
          <w:tblCellSpacing w:w="50" w:type="dxa"/>
          <w:jc w:val="center"/>
        </w:trPr>
        <w:tc>
          <w:tcPr>
            <w:tcW w:w="1500" w:type="dxa"/>
            <w:tcBorders>
              <w:top w:val="single" w:sz="6" w:space="0" w:color="000000"/>
              <w:right w:val="single" w:sz="6" w:space="0" w:color="000000"/>
            </w:tcBorders>
            <w:noWrap/>
          </w:tcPr>
          <w:p w14:paraId="13E1BF80"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567C5B01"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7BBC1678" w14:textId="77777777" w:rsidR="00C24F6F" w:rsidRPr="002F5AA0" w:rsidRDefault="00C24F6F" w:rsidP="002B1847">
            <w:pPr>
              <w:rPr>
                <w:rFonts w:ascii="Arial Narrow" w:hAnsi="Arial Narrow"/>
                <w:sz w:val="14"/>
                <w:szCs w:val="14"/>
              </w:rPr>
            </w:pPr>
          </w:p>
          <w:p w14:paraId="79B6E304"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Improving the Accessibility and Quality of Public Transport: This measure aims to improve the accessibility and quality of public transport by introducing demand-responsive transport services in sparsely populated areas, adapting rail replacement services during line closures, and establishing quality standards for bus terminals and stops. The measure also encompasses the development of centralised permit and stop databases within the framework of the Electronic National Register of Transport Information (eNRI DOP), with provision for the fully electronic administration of the entire procedure.  The legislative framework is being prepared through amendments to the Act on Public Passenger Transport and the relevant implementing decree. The permit and stop databases are being developed within the eNRI DOP project.</w:t>
            </w:r>
          </w:p>
        </w:tc>
      </w:tr>
      <w:tr w:rsidR="00C24F6F" w:rsidRPr="002F5AA0" w14:paraId="3A5268C4" w14:textId="77777777" w:rsidTr="002B1847">
        <w:trPr>
          <w:tblCellSpacing w:w="50" w:type="dxa"/>
          <w:jc w:val="center"/>
        </w:trPr>
        <w:tc>
          <w:tcPr>
            <w:tcW w:w="1500" w:type="dxa"/>
            <w:tcBorders>
              <w:top w:val="single" w:sz="6" w:space="0" w:color="000000"/>
              <w:right w:val="single" w:sz="6" w:space="0" w:color="000000"/>
            </w:tcBorders>
            <w:noWrap/>
          </w:tcPr>
          <w:p w14:paraId="64836B3A"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3</w:t>
            </w:r>
          </w:p>
        </w:tc>
        <w:tc>
          <w:tcPr>
            <w:tcW w:w="8500" w:type="dxa"/>
            <w:tcBorders>
              <w:top w:val="single" w:sz="6" w:space="0" w:color="000000"/>
            </w:tcBorders>
            <w:noWrap/>
          </w:tcPr>
          <w:p w14:paraId="20B588C8"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6F4D2C08" w14:textId="77777777" w:rsidR="00C24F6F" w:rsidRPr="002F5AA0" w:rsidRDefault="00C24F6F" w:rsidP="002B1847">
            <w:pPr>
              <w:rPr>
                <w:rFonts w:ascii="Arial Narrow" w:hAnsi="Arial Narrow"/>
                <w:sz w:val="14"/>
                <w:szCs w:val="14"/>
              </w:rPr>
            </w:pPr>
          </w:p>
          <w:p w14:paraId="7E9F24C4"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 xml:space="preserve">Update of the National Strategy for Research, Development and Innovation: The updated strategy builds on the RRP, which is coming to an end, and focuses on three areas: support for business research and development, the development of strategic initiatives (robotics, artificial intelligence and the Mission Health programme), and the strengthening of the innovation ecosystem, including breakthrough research and the </w:t>
            </w:r>
            <w:r w:rsidRPr="002F5AA0">
              <w:rPr>
                <w:rStyle w:val="defaultStyle"/>
                <w:rFonts w:ascii="Arial Narrow" w:hAnsi="Arial Narrow"/>
                <w:sz w:val="14"/>
                <w:szCs w:val="14"/>
              </w:rPr>
              <w:lastRenderedPageBreak/>
              <w:t>transfer of knowledge into practice.  The draft update of the strategy, together with a new action plan, was submitted for interministerial consultation in February 2026. The comments received are currently being assessed.</w:t>
            </w:r>
          </w:p>
        </w:tc>
      </w:tr>
      <w:tr w:rsidR="00C24F6F" w:rsidRPr="002F5AA0" w14:paraId="1F0BC6E3" w14:textId="77777777" w:rsidTr="002B1847">
        <w:trPr>
          <w:tblCellSpacing w:w="50" w:type="dxa"/>
          <w:jc w:val="center"/>
        </w:trPr>
        <w:tc>
          <w:tcPr>
            <w:tcW w:w="1500" w:type="dxa"/>
            <w:tcBorders>
              <w:top w:val="single" w:sz="6" w:space="0" w:color="000000"/>
              <w:right w:val="single" w:sz="6" w:space="0" w:color="000000"/>
            </w:tcBorders>
            <w:noWrap/>
          </w:tcPr>
          <w:p w14:paraId="068A00E5"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lastRenderedPageBreak/>
              <w:t>Entry 4</w:t>
            </w:r>
          </w:p>
        </w:tc>
        <w:tc>
          <w:tcPr>
            <w:tcW w:w="8500" w:type="dxa"/>
            <w:tcBorders>
              <w:top w:val="single" w:sz="6" w:space="0" w:color="000000"/>
            </w:tcBorders>
            <w:noWrap/>
          </w:tcPr>
          <w:p w14:paraId="775114EC"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7C9CA9BA" w14:textId="77777777" w:rsidR="00C24F6F" w:rsidRPr="002F5AA0" w:rsidRDefault="00C24F6F" w:rsidP="002B1847">
            <w:pPr>
              <w:rPr>
                <w:rFonts w:ascii="Arial Narrow" w:hAnsi="Arial Narrow"/>
                <w:sz w:val="14"/>
                <w:szCs w:val="14"/>
              </w:rPr>
            </w:pPr>
          </w:p>
          <w:p w14:paraId="2128387D"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The objective of the plan is to strengthen the stability and predictability of the investment environment, ensure better and timelier preparation for the upcoming programming period, and thereby improve the efficiency of the use of EU funds. At the same time, the plan is intended to provide clear and up-to-date information on the state of preparation and implementation of priority strategic investment projects.  On 10 December 2025, the Government of the Slovak Republic approved the proposal to establish the Investment Plan for Slovakia. The preparation of the plan is proceeding in two steps: the identification of priority investment needs and project intentions in the first quarter of 2026, followed by their prioritisation in the second quarter of 2026. The final document is expected to be submitted to the Government of the Slovak Republic by 31 March 2027.</w:t>
            </w:r>
          </w:p>
        </w:tc>
      </w:tr>
      <w:tr w:rsidR="00C24F6F" w:rsidRPr="002F5AA0" w14:paraId="129BC929" w14:textId="77777777" w:rsidTr="002B1847">
        <w:trPr>
          <w:tblCellSpacing w:w="50" w:type="dxa"/>
          <w:jc w:val="center"/>
        </w:trPr>
        <w:tc>
          <w:tcPr>
            <w:tcW w:w="1500" w:type="dxa"/>
            <w:tcBorders>
              <w:top w:val="single" w:sz="6" w:space="0" w:color="000000"/>
              <w:right w:val="single" w:sz="6" w:space="0" w:color="000000"/>
            </w:tcBorders>
            <w:noWrap/>
          </w:tcPr>
          <w:p w14:paraId="21D9C424"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5</w:t>
            </w:r>
          </w:p>
        </w:tc>
        <w:tc>
          <w:tcPr>
            <w:tcW w:w="8500" w:type="dxa"/>
            <w:tcBorders>
              <w:top w:val="single" w:sz="6" w:space="0" w:color="000000"/>
            </w:tcBorders>
            <w:noWrap/>
          </w:tcPr>
          <w:p w14:paraId="3A464C1B"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35E27609" w14:textId="77777777" w:rsidR="00C24F6F" w:rsidRPr="002F5AA0" w:rsidRDefault="00C24F6F" w:rsidP="002B1847">
            <w:pPr>
              <w:rPr>
                <w:rFonts w:ascii="Arial Narrow" w:hAnsi="Arial Narrow"/>
                <w:sz w:val="14"/>
                <w:szCs w:val="14"/>
              </w:rPr>
            </w:pPr>
          </w:p>
          <w:p w14:paraId="4BD70306"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Supporting Innovation in Education: The objective is to mainstream proven innovative educational approaches in schools through a stable cooperation mechanism with strategic partners and financing for their systematic implementation.  Additional grant calls were carried out in 2023 and 2024 (EUR 950,000 in 2023 and EUR 1.4 million in 2024). In February 2026, a directive on the support of innovation in upbringing and education was approved, replacing the previous framework of memoranda with strategic partners and establishing a systematic framework for supporting innovative approaches in schools. MoERDY SR will launch a call for registration in the official list in the first quarter of 2026, followed by a financial call for registered entities in the second quarter of 2026.</w:t>
            </w:r>
          </w:p>
        </w:tc>
      </w:tr>
      <w:tr w:rsidR="00C24F6F" w:rsidRPr="002F5AA0" w14:paraId="220956F2" w14:textId="77777777" w:rsidTr="002B1847">
        <w:trPr>
          <w:tblCellSpacing w:w="50" w:type="dxa"/>
          <w:jc w:val="center"/>
        </w:trPr>
        <w:tc>
          <w:tcPr>
            <w:tcW w:w="1500" w:type="dxa"/>
            <w:tcBorders>
              <w:top w:val="single" w:sz="6" w:space="0" w:color="000000"/>
              <w:right w:val="single" w:sz="6" w:space="0" w:color="000000"/>
            </w:tcBorders>
            <w:noWrap/>
          </w:tcPr>
          <w:p w14:paraId="7D80E469"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6</w:t>
            </w:r>
          </w:p>
        </w:tc>
        <w:tc>
          <w:tcPr>
            <w:tcW w:w="8500" w:type="dxa"/>
            <w:tcBorders>
              <w:top w:val="single" w:sz="6" w:space="0" w:color="000000"/>
            </w:tcBorders>
            <w:noWrap/>
          </w:tcPr>
          <w:p w14:paraId="54C78B07"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062D6131" w14:textId="77777777" w:rsidR="00C24F6F" w:rsidRPr="002F5AA0" w:rsidRDefault="00C24F6F" w:rsidP="002B1847">
            <w:pPr>
              <w:rPr>
                <w:rFonts w:ascii="Arial Narrow" w:hAnsi="Arial Narrow"/>
                <w:sz w:val="14"/>
                <w:szCs w:val="14"/>
              </w:rPr>
            </w:pPr>
          </w:p>
          <w:p w14:paraId="15F63985"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Optimisation of the School Network for the Needs of the 21st Century: The optimisation of the school network will enable improvements in the efficiency, effectiveness, and quality of education at the regional level. The measure will introduce transparent criteria for school founders, revise the rules governing the inclusion and removal of schools from the network, and strengthen the role of the State School Inspection, as well as support for schools and teachers.  In 2025, the Final Report of the Spending Review on Primary and Secondary Schools was published, proposing amendments to the rules for the inclusion and removal of schools from the network. An adjustment was also made to the size coefficient used in school funding, with implications for the operation of small schools. In cooperation with relevant stakeholders, in particular representatives of local governments and various school founders, the Ministry of Education, Research, Development and Youth of the Slovak Republic (MoERDY SR) is developing a methodology for rationalisation measures and seeking consensus on new rules for the functioning of the school network.</w:t>
            </w:r>
          </w:p>
        </w:tc>
      </w:tr>
      <w:tr w:rsidR="00C24F6F" w:rsidRPr="002F5AA0" w14:paraId="5584E8C0" w14:textId="77777777" w:rsidTr="002B1847">
        <w:trPr>
          <w:tblCellSpacing w:w="50" w:type="dxa"/>
          <w:jc w:val="center"/>
        </w:trPr>
        <w:tc>
          <w:tcPr>
            <w:tcW w:w="1500" w:type="dxa"/>
            <w:tcBorders>
              <w:top w:val="single" w:sz="6" w:space="0" w:color="000000"/>
              <w:right w:val="single" w:sz="6" w:space="0" w:color="000000"/>
            </w:tcBorders>
            <w:noWrap/>
          </w:tcPr>
          <w:p w14:paraId="5B593B28"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7</w:t>
            </w:r>
          </w:p>
        </w:tc>
        <w:tc>
          <w:tcPr>
            <w:tcW w:w="8500" w:type="dxa"/>
            <w:tcBorders>
              <w:top w:val="single" w:sz="6" w:space="0" w:color="000000"/>
            </w:tcBorders>
            <w:noWrap/>
          </w:tcPr>
          <w:p w14:paraId="093F650C"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601425F8" w14:textId="77777777" w:rsidR="00C24F6F" w:rsidRPr="002F5AA0" w:rsidRDefault="00C24F6F" w:rsidP="002B1847">
            <w:pPr>
              <w:rPr>
                <w:rFonts w:ascii="Arial Narrow" w:hAnsi="Arial Narrow"/>
                <w:sz w:val="14"/>
                <w:szCs w:val="14"/>
              </w:rPr>
            </w:pPr>
          </w:p>
          <w:p w14:paraId="0001862C"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Implementation of the Action Plan of the National Concept for the Informatization of Public Administration 2025 for the period 2026–2030 (NKIVS): The achievement of the objectives of the National Concept for the Informatization of Public Administration 2025 for the period 2026–2030 (NKIVS) is based on the implementation of its Action Plan, which is structured around three pillars: digital transformation, data-driven public administration, and open e-Government.  NKIVS 2025, including its Action Plan, was approved by the Government of the Slovak Republic on 17 December 2025. Updates to the NKIVS Action Plan will be submitted to the Government for consideration annually by the end of March, starting in 2027 and continuing until 2030. Throughout 2026, the implementation of the approved measures will be underway, with the first formal update of the Action Plan to be submitted to the Government by the end of March 2027.</w:t>
            </w:r>
          </w:p>
        </w:tc>
      </w:tr>
      <w:tr w:rsidR="00C24F6F" w:rsidRPr="002F5AA0" w14:paraId="05EF3CA0" w14:textId="77777777" w:rsidTr="002B1847">
        <w:trPr>
          <w:tblCellSpacing w:w="50" w:type="dxa"/>
          <w:jc w:val="center"/>
        </w:trPr>
        <w:tc>
          <w:tcPr>
            <w:tcW w:w="1500" w:type="dxa"/>
            <w:tcBorders>
              <w:top w:val="single" w:sz="6" w:space="0" w:color="000000"/>
              <w:right w:val="single" w:sz="6" w:space="0" w:color="000000"/>
            </w:tcBorders>
            <w:noWrap/>
          </w:tcPr>
          <w:p w14:paraId="66E1F261"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8</w:t>
            </w:r>
          </w:p>
        </w:tc>
        <w:tc>
          <w:tcPr>
            <w:tcW w:w="8500" w:type="dxa"/>
            <w:tcBorders>
              <w:top w:val="single" w:sz="6" w:space="0" w:color="000000"/>
            </w:tcBorders>
            <w:noWrap/>
          </w:tcPr>
          <w:p w14:paraId="051C58C5"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2B8635C4" w14:textId="77777777" w:rsidR="00C24F6F" w:rsidRPr="002F5AA0" w:rsidRDefault="00C24F6F" w:rsidP="002B1847">
            <w:pPr>
              <w:rPr>
                <w:rFonts w:ascii="Arial Narrow" w:hAnsi="Arial Narrow"/>
                <w:sz w:val="14"/>
                <w:szCs w:val="14"/>
              </w:rPr>
            </w:pPr>
          </w:p>
          <w:p w14:paraId="56C95C85"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Coordination of Public Policies on Homelessness Prevention and Ending Homelessness: The objective of the measure is to establish a cross-ministerial coordination unit in the field of homelessness, which will ensure cooperation between ministries, local governments, and non-governmental organisations.  The submission of a proposal to establish an independent cross-ministerial unit for the coordination and financing of measures to combat homelessness is expected in 2026, in accordance with the Action Plan of the National Concept for the Prevention and Ending of Homelessness for 2024-2026.</w:t>
            </w:r>
          </w:p>
        </w:tc>
      </w:tr>
      <w:tr w:rsidR="00C24F6F" w:rsidRPr="002F5AA0" w14:paraId="7712C5EC" w14:textId="77777777" w:rsidTr="002B1847">
        <w:trPr>
          <w:tblCellSpacing w:w="50" w:type="dxa"/>
          <w:jc w:val="center"/>
        </w:trPr>
        <w:tc>
          <w:tcPr>
            <w:tcW w:w="10000" w:type="dxa"/>
            <w:gridSpan w:val="2"/>
            <w:tcBorders>
              <w:top w:val="single" w:sz="6" w:space="0" w:color="000000"/>
            </w:tcBorders>
            <w:shd w:val="clear" w:color="auto" w:fill="BBD5ED"/>
            <w:noWrap/>
          </w:tcPr>
          <w:p w14:paraId="45F58597"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7C990C1F" w14:textId="77777777" w:rsidTr="002B1847">
        <w:trPr>
          <w:tblCellSpacing w:w="50" w:type="dxa"/>
          <w:jc w:val="center"/>
        </w:trPr>
        <w:tc>
          <w:tcPr>
            <w:tcW w:w="10000" w:type="dxa"/>
            <w:gridSpan w:val="2"/>
            <w:tcBorders>
              <w:top w:val="single" w:sz="6" w:space="0" w:color="000000"/>
            </w:tcBorders>
            <w:shd w:val="clear" w:color="auto" w:fill="BBD5ED"/>
            <w:noWrap/>
          </w:tcPr>
          <w:p w14:paraId="263FE74C"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16730656"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lastRenderedPageBreak/>
        <w:t xml:space="preserve">CSR 3 Subpart 7:  Ensure transparency and competition in public procurement processes to promote good governance and improve the effectiveness of public spending,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9046"/>
      </w:tblGrid>
      <w:tr w:rsidR="00C24F6F" w:rsidRPr="002F5AA0" w14:paraId="48DF7133" w14:textId="77777777" w:rsidTr="002B1847">
        <w:trPr>
          <w:tblCellSpacing w:w="50" w:type="dxa"/>
          <w:jc w:val="center"/>
        </w:trPr>
        <w:tc>
          <w:tcPr>
            <w:tcW w:w="10000" w:type="dxa"/>
            <w:tcBorders>
              <w:top w:val="single" w:sz="6" w:space="0" w:color="000000"/>
            </w:tcBorders>
            <w:shd w:val="clear" w:color="auto" w:fill="BBD5ED"/>
            <w:noWrap/>
          </w:tcPr>
          <w:p w14:paraId="55C6DB7F"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7B0610D5" w14:textId="77777777" w:rsidTr="002B1847">
        <w:trPr>
          <w:tblCellSpacing w:w="50" w:type="dxa"/>
          <w:jc w:val="center"/>
        </w:trPr>
        <w:tc>
          <w:tcPr>
            <w:tcW w:w="10000" w:type="dxa"/>
            <w:tcBorders>
              <w:top w:val="single" w:sz="6" w:space="0" w:color="000000"/>
            </w:tcBorders>
            <w:shd w:val="clear" w:color="auto" w:fill="BBD5ED"/>
            <w:noWrap/>
          </w:tcPr>
          <w:p w14:paraId="3F06981B"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2556A6FC" w14:textId="77777777" w:rsidTr="002B1847">
        <w:trPr>
          <w:tblCellSpacing w:w="50" w:type="dxa"/>
          <w:jc w:val="center"/>
        </w:trPr>
        <w:tc>
          <w:tcPr>
            <w:tcW w:w="10000" w:type="dxa"/>
            <w:tcBorders>
              <w:top w:val="single" w:sz="6" w:space="0" w:color="000000"/>
            </w:tcBorders>
            <w:shd w:val="clear" w:color="auto" w:fill="BBD5ED"/>
            <w:noWrap/>
          </w:tcPr>
          <w:p w14:paraId="32C0B118"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0850CD0B"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3 Subpart 8: and increase the use of quality-related and life cycle cost criteria in public procurement operations.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9046"/>
      </w:tblGrid>
      <w:tr w:rsidR="00C24F6F" w:rsidRPr="002F5AA0" w14:paraId="339CEEE3" w14:textId="77777777" w:rsidTr="002B1847">
        <w:trPr>
          <w:tblCellSpacing w:w="50" w:type="dxa"/>
          <w:jc w:val="center"/>
        </w:trPr>
        <w:tc>
          <w:tcPr>
            <w:tcW w:w="10000" w:type="dxa"/>
            <w:tcBorders>
              <w:top w:val="single" w:sz="6" w:space="0" w:color="000000"/>
            </w:tcBorders>
            <w:shd w:val="clear" w:color="auto" w:fill="BBD5ED"/>
            <w:noWrap/>
          </w:tcPr>
          <w:p w14:paraId="1ED6DB04"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62849714" w14:textId="77777777" w:rsidTr="002B1847">
        <w:trPr>
          <w:tblCellSpacing w:w="50" w:type="dxa"/>
          <w:jc w:val="center"/>
        </w:trPr>
        <w:tc>
          <w:tcPr>
            <w:tcW w:w="10000" w:type="dxa"/>
            <w:tcBorders>
              <w:top w:val="single" w:sz="6" w:space="0" w:color="000000"/>
            </w:tcBorders>
            <w:shd w:val="clear" w:color="auto" w:fill="BBD5ED"/>
            <w:noWrap/>
          </w:tcPr>
          <w:p w14:paraId="26854A6A"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3195765C" w14:textId="77777777" w:rsidTr="002B1847">
        <w:trPr>
          <w:tblCellSpacing w:w="50" w:type="dxa"/>
          <w:jc w:val="center"/>
        </w:trPr>
        <w:tc>
          <w:tcPr>
            <w:tcW w:w="10000" w:type="dxa"/>
            <w:tcBorders>
              <w:top w:val="single" w:sz="6" w:space="0" w:color="000000"/>
            </w:tcBorders>
            <w:shd w:val="clear" w:color="auto" w:fill="BBD5ED"/>
            <w:noWrap/>
          </w:tcPr>
          <w:p w14:paraId="13A4BA8D"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4DEA77AB"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3 Subpart 9: Strengthen the judicial system and enhance the effectiveness of the anti-corruption system,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9046"/>
      </w:tblGrid>
      <w:tr w:rsidR="00C24F6F" w:rsidRPr="002F5AA0" w14:paraId="412A8F7A" w14:textId="77777777" w:rsidTr="002B1847">
        <w:trPr>
          <w:tblCellSpacing w:w="50" w:type="dxa"/>
          <w:jc w:val="center"/>
        </w:trPr>
        <w:tc>
          <w:tcPr>
            <w:tcW w:w="10000" w:type="dxa"/>
            <w:tcBorders>
              <w:top w:val="single" w:sz="6" w:space="0" w:color="000000"/>
            </w:tcBorders>
            <w:shd w:val="clear" w:color="auto" w:fill="BBD5ED"/>
            <w:noWrap/>
          </w:tcPr>
          <w:p w14:paraId="36FDC991"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583E1C2A" w14:textId="77777777" w:rsidTr="002B1847">
        <w:trPr>
          <w:tblCellSpacing w:w="50" w:type="dxa"/>
          <w:jc w:val="center"/>
        </w:trPr>
        <w:tc>
          <w:tcPr>
            <w:tcW w:w="10000" w:type="dxa"/>
            <w:tcBorders>
              <w:top w:val="single" w:sz="6" w:space="0" w:color="000000"/>
            </w:tcBorders>
            <w:shd w:val="clear" w:color="auto" w:fill="BBD5ED"/>
            <w:noWrap/>
          </w:tcPr>
          <w:p w14:paraId="18CEFFF5"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522F0404" w14:textId="77777777" w:rsidTr="002B1847">
        <w:trPr>
          <w:tblCellSpacing w:w="50" w:type="dxa"/>
          <w:jc w:val="center"/>
        </w:trPr>
        <w:tc>
          <w:tcPr>
            <w:tcW w:w="10000" w:type="dxa"/>
            <w:tcBorders>
              <w:top w:val="single" w:sz="6" w:space="0" w:color="000000"/>
            </w:tcBorders>
            <w:shd w:val="clear" w:color="auto" w:fill="BBD5ED"/>
            <w:noWrap/>
          </w:tcPr>
          <w:p w14:paraId="61CB6001"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70B9FEBE"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CSR 3 Subpart 10: including by ensuring adequate, autonomous and effective investigations and prosecutions of high-level corruption cases</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7399FD9C" w14:textId="77777777" w:rsidTr="002B1847">
        <w:trPr>
          <w:tblCellSpacing w:w="50" w:type="dxa"/>
          <w:jc w:val="center"/>
        </w:trPr>
        <w:tc>
          <w:tcPr>
            <w:tcW w:w="10000" w:type="dxa"/>
            <w:gridSpan w:val="2"/>
            <w:tcBorders>
              <w:top w:val="single" w:sz="6" w:space="0" w:color="000000"/>
            </w:tcBorders>
            <w:shd w:val="clear" w:color="auto" w:fill="BBD5ED"/>
            <w:noWrap/>
          </w:tcPr>
          <w:p w14:paraId="2A6EB171"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238005B2" w14:textId="77777777" w:rsidTr="002B1847">
        <w:trPr>
          <w:tblCellSpacing w:w="50" w:type="dxa"/>
          <w:jc w:val="center"/>
        </w:trPr>
        <w:tc>
          <w:tcPr>
            <w:tcW w:w="1500" w:type="dxa"/>
            <w:tcBorders>
              <w:top w:val="single" w:sz="6" w:space="0" w:color="000000"/>
              <w:right w:val="single" w:sz="6" w:space="0" w:color="000000"/>
            </w:tcBorders>
            <w:noWrap/>
          </w:tcPr>
          <w:p w14:paraId="75A34766"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13F70C78"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07A6072D" w14:textId="77777777" w:rsidR="00C24F6F" w:rsidRPr="002F5AA0" w:rsidRDefault="00C24F6F" w:rsidP="002B1847">
            <w:pPr>
              <w:rPr>
                <w:rFonts w:ascii="Arial Narrow" w:hAnsi="Arial Narrow"/>
                <w:sz w:val="14"/>
                <w:szCs w:val="14"/>
              </w:rPr>
            </w:pPr>
          </w:p>
          <w:p w14:paraId="076E09F1"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Modernisation of information systems to improve international police cooperation: In order to strengthen the fight against international crime, the relevant EU Directive will be transposed and the information systems for police cooperation and search activities, including their connection to the INTERPOL database, will be modernised.  The transposition of the EU Directive was ensured through the adoption of an amendment to the Act on the Police Force, which entered into force on 12 December 2024. At the same time, technical modifications to the information system for international police cooperation are ongoing. Implementation is being carried out in cooperation with the supplier of the technical solution and under the coordination of the Ministry of the Interior of the Slovak Republic and the Police Force, with the technical completion of the project expected by June 2027.</w:t>
            </w:r>
          </w:p>
        </w:tc>
      </w:tr>
      <w:tr w:rsidR="00C24F6F" w:rsidRPr="002F5AA0" w14:paraId="65852FF6" w14:textId="77777777" w:rsidTr="002B1847">
        <w:trPr>
          <w:tblCellSpacing w:w="50" w:type="dxa"/>
          <w:jc w:val="center"/>
        </w:trPr>
        <w:tc>
          <w:tcPr>
            <w:tcW w:w="1500" w:type="dxa"/>
            <w:tcBorders>
              <w:top w:val="single" w:sz="6" w:space="0" w:color="000000"/>
              <w:right w:val="single" w:sz="6" w:space="0" w:color="000000"/>
            </w:tcBorders>
            <w:noWrap/>
          </w:tcPr>
          <w:p w14:paraId="01673869"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6FEBD734"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45ABD589" w14:textId="77777777" w:rsidR="00C24F6F" w:rsidRPr="002F5AA0" w:rsidRDefault="00C24F6F" w:rsidP="002B1847">
            <w:pPr>
              <w:rPr>
                <w:rFonts w:ascii="Arial Narrow" w:hAnsi="Arial Narrow"/>
                <w:sz w:val="14"/>
                <w:szCs w:val="14"/>
              </w:rPr>
            </w:pPr>
          </w:p>
          <w:p w14:paraId="6C2BC082"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Ensuring direct access for the Police Force to specific registers of public authorities: In order to strengthen the investigation of money laundering, online access for the Police Force to selected state databases will be introduced.  The Central Register of Accounts, administered by the Ministry of Finance of the Slovak Republic, was made accessible to the Police Force on 15 August 2024. The integration of access to the databases of the Social Insurance Agency has been technically prepared, with its launch into live operation expected in the second quarter of 2026.</w:t>
            </w:r>
          </w:p>
        </w:tc>
      </w:tr>
      <w:tr w:rsidR="00C24F6F" w:rsidRPr="002F5AA0" w14:paraId="7D52E2B5" w14:textId="77777777" w:rsidTr="002B1847">
        <w:trPr>
          <w:tblCellSpacing w:w="50" w:type="dxa"/>
          <w:jc w:val="center"/>
        </w:trPr>
        <w:tc>
          <w:tcPr>
            <w:tcW w:w="10000" w:type="dxa"/>
            <w:gridSpan w:val="2"/>
            <w:tcBorders>
              <w:top w:val="single" w:sz="6" w:space="0" w:color="000000"/>
            </w:tcBorders>
            <w:shd w:val="clear" w:color="auto" w:fill="BBD5ED"/>
            <w:noWrap/>
          </w:tcPr>
          <w:p w14:paraId="418DF092"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223AFE87" w14:textId="77777777" w:rsidTr="002B1847">
        <w:trPr>
          <w:tblCellSpacing w:w="50" w:type="dxa"/>
          <w:jc w:val="center"/>
        </w:trPr>
        <w:tc>
          <w:tcPr>
            <w:tcW w:w="10000" w:type="dxa"/>
            <w:gridSpan w:val="2"/>
            <w:tcBorders>
              <w:top w:val="single" w:sz="6" w:space="0" w:color="000000"/>
            </w:tcBorders>
            <w:shd w:val="clear" w:color="auto" w:fill="BBD5ED"/>
            <w:noWrap/>
          </w:tcPr>
          <w:p w14:paraId="6FD03981"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lastRenderedPageBreak/>
              <w:t>State of play</w:t>
            </w:r>
          </w:p>
        </w:tc>
      </w:tr>
    </w:tbl>
    <w:p w14:paraId="4C4353D7"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3 Subpart 11:  and sufficient, specialised capacity at police and prosecution level.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9046"/>
      </w:tblGrid>
      <w:tr w:rsidR="00C24F6F" w:rsidRPr="002F5AA0" w14:paraId="2B92E099" w14:textId="77777777" w:rsidTr="002B1847">
        <w:trPr>
          <w:tblCellSpacing w:w="50" w:type="dxa"/>
          <w:jc w:val="center"/>
        </w:trPr>
        <w:tc>
          <w:tcPr>
            <w:tcW w:w="10000" w:type="dxa"/>
            <w:tcBorders>
              <w:top w:val="single" w:sz="6" w:space="0" w:color="000000"/>
            </w:tcBorders>
            <w:shd w:val="clear" w:color="auto" w:fill="BBD5ED"/>
            <w:noWrap/>
          </w:tcPr>
          <w:p w14:paraId="4DF42DEE"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0B135A86" w14:textId="77777777" w:rsidTr="002B1847">
        <w:trPr>
          <w:tblCellSpacing w:w="50" w:type="dxa"/>
          <w:jc w:val="center"/>
        </w:trPr>
        <w:tc>
          <w:tcPr>
            <w:tcW w:w="10000" w:type="dxa"/>
            <w:tcBorders>
              <w:top w:val="single" w:sz="6" w:space="0" w:color="000000"/>
            </w:tcBorders>
            <w:shd w:val="clear" w:color="auto" w:fill="BBD5ED"/>
            <w:noWrap/>
          </w:tcPr>
          <w:p w14:paraId="3CBF1EF4"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7609F9CB" w14:textId="77777777" w:rsidTr="002B1847">
        <w:trPr>
          <w:tblCellSpacing w:w="50" w:type="dxa"/>
          <w:jc w:val="center"/>
        </w:trPr>
        <w:tc>
          <w:tcPr>
            <w:tcW w:w="10000" w:type="dxa"/>
            <w:tcBorders>
              <w:top w:val="single" w:sz="6" w:space="0" w:color="000000"/>
            </w:tcBorders>
            <w:shd w:val="clear" w:color="auto" w:fill="BBD5ED"/>
            <w:noWrap/>
          </w:tcPr>
          <w:p w14:paraId="00847F08"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77C0E12C" w14:textId="77777777" w:rsidR="00C24F6F" w:rsidRPr="002F5AA0" w:rsidRDefault="00C24F6F" w:rsidP="00C24F6F">
      <w:pPr>
        <w:rPr>
          <w:rFonts w:ascii="Arial Narrow" w:hAnsi="Arial Narrow"/>
          <w:sz w:val="14"/>
          <w:szCs w:val="14"/>
        </w:rPr>
      </w:pPr>
      <w:r w:rsidRPr="002F5AA0">
        <w:rPr>
          <w:rFonts w:ascii="Arial Narrow" w:hAnsi="Arial Narrow"/>
          <w:sz w:val="14"/>
          <w:szCs w:val="14"/>
        </w:rPr>
        <w:br w:type="page"/>
      </w:r>
    </w:p>
    <w:p w14:paraId="3D8B471A" w14:textId="77777777" w:rsidR="00C24F6F" w:rsidRPr="002F5AA0" w:rsidRDefault="00C24F6F" w:rsidP="00C24F6F">
      <w:pPr>
        <w:pStyle w:val="titleParagraphStyle"/>
        <w:rPr>
          <w:rFonts w:ascii="Arial Narrow" w:hAnsi="Arial Narrow"/>
          <w:sz w:val="14"/>
          <w:szCs w:val="14"/>
        </w:rPr>
      </w:pPr>
      <w:r w:rsidRPr="002F5AA0">
        <w:rPr>
          <w:rStyle w:val="titleBlueStyle"/>
          <w:rFonts w:ascii="Arial Narrow" w:hAnsi="Arial Narrow"/>
          <w:sz w:val="14"/>
          <w:szCs w:val="14"/>
        </w:rPr>
        <w:lastRenderedPageBreak/>
        <w:t>CSR.2025.4</w:t>
      </w:r>
    </w:p>
    <w:p w14:paraId="23337C80"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4 Subpart 1: Bolster digital infrastructure by closing the investment gap for gigabit connectivity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5D3EE94F" w14:textId="77777777" w:rsidTr="002B1847">
        <w:trPr>
          <w:tblCellSpacing w:w="50" w:type="dxa"/>
          <w:jc w:val="center"/>
        </w:trPr>
        <w:tc>
          <w:tcPr>
            <w:tcW w:w="10000" w:type="dxa"/>
            <w:gridSpan w:val="2"/>
            <w:tcBorders>
              <w:top w:val="single" w:sz="6" w:space="0" w:color="000000"/>
            </w:tcBorders>
            <w:shd w:val="clear" w:color="auto" w:fill="BBD5ED"/>
            <w:noWrap/>
          </w:tcPr>
          <w:p w14:paraId="093BFBFE"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0712C28C" w14:textId="77777777" w:rsidTr="002B1847">
        <w:trPr>
          <w:tblCellSpacing w:w="50" w:type="dxa"/>
          <w:jc w:val="center"/>
        </w:trPr>
        <w:tc>
          <w:tcPr>
            <w:tcW w:w="1500" w:type="dxa"/>
            <w:tcBorders>
              <w:top w:val="single" w:sz="6" w:space="0" w:color="000000"/>
              <w:right w:val="single" w:sz="6" w:space="0" w:color="000000"/>
            </w:tcBorders>
            <w:noWrap/>
          </w:tcPr>
          <w:p w14:paraId="518951B7"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1C10C767"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Implemented (09/04/2026 10:23 AM)</w:t>
            </w:r>
          </w:p>
          <w:p w14:paraId="4ABE7FCD" w14:textId="77777777" w:rsidR="00C24F6F" w:rsidRPr="002F5AA0" w:rsidRDefault="00C24F6F" w:rsidP="002B1847">
            <w:pPr>
              <w:rPr>
                <w:rFonts w:ascii="Arial Narrow" w:hAnsi="Arial Narrow"/>
                <w:sz w:val="14"/>
                <w:szCs w:val="14"/>
              </w:rPr>
            </w:pPr>
          </w:p>
          <w:p w14:paraId="0939BCF5"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Implementation of Measures under the Strategy and Action Plan to Improve Slovakia's Position in the Digital Economy and Society Index (DESI): The objective of the measures is to improve Slovakia's position in the DESI index so that it is at least in the middle of the ranking.  Implementation of the DESI Strategy measures has been completed, and most measures have been implemented in accordance with the set targets and milestones. The measures have contributed to creating the preconditions for improving Slovakia's position in the DESI index, particularly in the areas of human capital and connectivity, although a more significant shift in overall ranking has not yet materialised, partly due to changes in EU methodology and data collection delays. The final report on the implementation of the strategy was submitted in October 2025. In the area of connectivity, for example, a geographical survey of infrastructure was carried out, while in the area of human capital, a digital skills project for seniors was implemented (training more than 30,000 persons), which also resulted in the development of an educational application for developing digital skills of seniors and disadvantaged persons. The European Commission has integrated the DESI index methodology into Digital Decade Goals monitoring. Further progress monitoring will take place within the framework of the National Digital Decade Plan reform.</w:t>
            </w:r>
          </w:p>
        </w:tc>
      </w:tr>
      <w:tr w:rsidR="00C24F6F" w:rsidRPr="002F5AA0" w14:paraId="4F282098" w14:textId="77777777" w:rsidTr="002B1847">
        <w:trPr>
          <w:tblCellSpacing w:w="50" w:type="dxa"/>
          <w:jc w:val="center"/>
        </w:trPr>
        <w:tc>
          <w:tcPr>
            <w:tcW w:w="1500" w:type="dxa"/>
            <w:tcBorders>
              <w:top w:val="single" w:sz="6" w:space="0" w:color="000000"/>
              <w:right w:val="single" w:sz="6" w:space="0" w:color="000000"/>
            </w:tcBorders>
            <w:noWrap/>
          </w:tcPr>
          <w:p w14:paraId="75BE2988"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1B4C3AD9"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567A54CC" w14:textId="77777777" w:rsidR="00C24F6F" w:rsidRPr="002F5AA0" w:rsidRDefault="00C24F6F" w:rsidP="002B1847">
            <w:pPr>
              <w:rPr>
                <w:rFonts w:ascii="Arial Narrow" w:hAnsi="Arial Narrow"/>
                <w:sz w:val="14"/>
                <w:szCs w:val="14"/>
              </w:rPr>
            </w:pPr>
          </w:p>
          <w:p w14:paraId="2E13F844"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Action Plan for the Informatisation and Digital Transformation of Education in the Slovak Republic for the Period 2025–2027: The objective of the Action Plan is the modernisation of Slovak education through the systematic digitalisation of the learning environment. The Plan builds on the School Informatisation Programme to 2030 and forms part of the broader Digital Transformation Strategy of Slovakia to 2030. It focuses on the introduction of uniform digital equipment standards across all levels of education, while supporting the development of sustainable digitalisation plans, the enhancement of digital skills among pupils and teachers, the use of assistive technologies, and the accessibility of digital outputs.  The Action Plan was published on 15 January 2025 and implementation of its measures commenced in the first quarter of 2025. Work is currently under way on the development of digital equipment standards and planning of projects for the modernisation of school infrastructure. Methodological and training activities are being prepared in parallel, including a pilot scheme for digital coordinators and the publication of digital educational materials.</w:t>
            </w:r>
          </w:p>
        </w:tc>
      </w:tr>
      <w:tr w:rsidR="00C24F6F" w:rsidRPr="002F5AA0" w14:paraId="09F93820" w14:textId="77777777" w:rsidTr="002B1847">
        <w:trPr>
          <w:tblCellSpacing w:w="50" w:type="dxa"/>
          <w:jc w:val="center"/>
        </w:trPr>
        <w:tc>
          <w:tcPr>
            <w:tcW w:w="1500" w:type="dxa"/>
            <w:tcBorders>
              <w:top w:val="single" w:sz="6" w:space="0" w:color="000000"/>
              <w:right w:val="single" w:sz="6" w:space="0" w:color="000000"/>
            </w:tcBorders>
            <w:noWrap/>
          </w:tcPr>
          <w:p w14:paraId="51774388"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3</w:t>
            </w:r>
          </w:p>
        </w:tc>
        <w:tc>
          <w:tcPr>
            <w:tcW w:w="8500" w:type="dxa"/>
            <w:tcBorders>
              <w:top w:val="single" w:sz="6" w:space="0" w:color="000000"/>
            </w:tcBorders>
            <w:noWrap/>
          </w:tcPr>
          <w:p w14:paraId="676689DA"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63C35B0B" w14:textId="77777777" w:rsidR="00C24F6F" w:rsidRPr="002F5AA0" w:rsidRDefault="00C24F6F" w:rsidP="002B1847">
            <w:pPr>
              <w:rPr>
                <w:rFonts w:ascii="Arial Narrow" w:hAnsi="Arial Narrow"/>
                <w:sz w:val="14"/>
                <w:szCs w:val="14"/>
              </w:rPr>
            </w:pPr>
          </w:p>
          <w:p w14:paraId="58888F95"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Building Digital Infrastructure in Schools: The objective is to develop modern digital infrastructure in schools, including its operation and central management, through the installation of school networks connected to the National Central Node (NCN) for the administration and security of the entire network.  Investments of over EUR 100 million are financed from European funds and the state budget, with operation guaranteed for a minimum of five years. As of 24 February 2026, 30% of digital infrastructure installations and school connections to the NCN have been completed, while the NCN itself is being built in parallel to enable centralised network management and security. The immediate priority is the completion of the basic DigiEdu standard, after which higher standards will be implemented and the concept extended to all levels of education.</w:t>
            </w:r>
          </w:p>
        </w:tc>
      </w:tr>
      <w:tr w:rsidR="00C24F6F" w:rsidRPr="002F5AA0" w14:paraId="51345CB0" w14:textId="77777777" w:rsidTr="002B1847">
        <w:trPr>
          <w:tblCellSpacing w:w="50" w:type="dxa"/>
          <w:jc w:val="center"/>
        </w:trPr>
        <w:tc>
          <w:tcPr>
            <w:tcW w:w="1500" w:type="dxa"/>
            <w:tcBorders>
              <w:top w:val="single" w:sz="6" w:space="0" w:color="000000"/>
              <w:right w:val="single" w:sz="6" w:space="0" w:color="000000"/>
            </w:tcBorders>
            <w:noWrap/>
          </w:tcPr>
          <w:p w14:paraId="38EAD3CE"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4</w:t>
            </w:r>
          </w:p>
        </w:tc>
        <w:tc>
          <w:tcPr>
            <w:tcW w:w="8500" w:type="dxa"/>
            <w:tcBorders>
              <w:top w:val="single" w:sz="6" w:space="0" w:color="000000"/>
            </w:tcBorders>
            <w:noWrap/>
          </w:tcPr>
          <w:p w14:paraId="23CC57CF"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71516F19" w14:textId="77777777" w:rsidR="00C24F6F" w:rsidRPr="002F5AA0" w:rsidRDefault="00C24F6F" w:rsidP="002B1847">
            <w:pPr>
              <w:rPr>
                <w:rFonts w:ascii="Arial Narrow" w:hAnsi="Arial Narrow"/>
                <w:sz w:val="14"/>
                <w:szCs w:val="14"/>
              </w:rPr>
            </w:pPr>
          </w:p>
          <w:p w14:paraId="5C1FF62F"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National Digital Decade Plan of the Slovak Republic: The National Digital Decade Plan of the Slovak Republic is an overarching strategic document that consolidates the activities of the Slovak Republic aimed at achieving the European Union’s digital targets.  On 17 December 2025, the Government of the Slovak Republic approved an information report on the implementation of the Plan’s measures. The implementation of these measures is progressing in line with the Plan, with a number of measures already in the implementation phase (e.g. in the areas of digital skills for vulnerable groups and the digitalisation of youth work), while others are in preparatory stages. For long-term measures, the commencement of implementation is scheduled for 2027. Progress is continuously monitored through regular reporting to the Government of the Slovak Republic. In accordance with the requirements of the European Commission, a regular update of the National Plan is being prepared, which will take into account developments to date and the recommendations of the European Commission.</w:t>
            </w:r>
          </w:p>
        </w:tc>
      </w:tr>
      <w:tr w:rsidR="00C24F6F" w:rsidRPr="002F5AA0" w14:paraId="5A7822FD" w14:textId="77777777" w:rsidTr="002B1847">
        <w:trPr>
          <w:tblCellSpacing w:w="50" w:type="dxa"/>
          <w:jc w:val="center"/>
        </w:trPr>
        <w:tc>
          <w:tcPr>
            <w:tcW w:w="10000" w:type="dxa"/>
            <w:gridSpan w:val="2"/>
            <w:tcBorders>
              <w:top w:val="single" w:sz="6" w:space="0" w:color="000000"/>
            </w:tcBorders>
            <w:shd w:val="clear" w:color="auto" w:fill="BBD5ED"/>
            <w:noWrap/>
          </w:tcPr>
          <w:p w14:paraId="60D4B031"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1D4C7CAD" w14:textId="77777777" w:rsidTr="002B1847">
        <w:trPr>
          <w:tblCellSpacing w:w="50" w:type="dxa"/>
          <w:jc w:val="center"/>
        </w:trPr>
        <w:tc>
          <w:tcPr>
            <w:tcW w:w="10000" w:type="dxa"/>
            <w:gridSpan w:val="2"/>
            <w:tcBorders>
              <w:top w:val="single" w:sz="6" w:space="0" w:color="000000"/>
            </w:tcBorders>
            <w:shd w:val="clear" w:color="auto" w:fill="BBD5ED"/>
            <w:noWrap/>
          </w:tcPr>
          <w:p w14:paraId="4DE31FEC"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1A57A775" w14:textId="77777777" w:rsidR="00C24F6F" w:rsidRDefault="00C24F6F" w:rsidP="00C24F6F">
      <w:pPr>
        <w:pStyle w:val="subpartParagraphStyle"/>
        <w:rPr>
          <w:rStyle w:val="blueStyle"/>
          <w:rFonts w:ascii="Arial Narrow" w:hAnsi="Arial Narrow"/>
          <w:sz w:val="14"/>
          <w:szCs w:val="14"/>
        </w:rPr>
      </w:pPr>
    </w:p>
    <w:p w14:paraId="2FBFE63B"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lastRenderedPageBreak/>
        <w:t xml:space="preserve">CSR 4 Subpart 2: and streamlining regulation for infrastructure roll-out.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9046"/>
      </w:tblGrid>
      <w:tr w:rsidR="00C24F6F" w:rsidRPr="002F5AA0" w14:paraId="6E8D140A" w14:textId="77777777" w:rsidTr="002B1847">
        <w:trPr>
          <w:tblCellSpacing w:w="50" w:type="dxa"/>
          <w:jc w:val="center"/>
        </w:trPr>
        <w:tc>
          <w:tcPr>
            <w:tcW w:w="10000" w:type="dxa"/>
            <w:tcBorders>
              <w:top w:val="single" w:sz="6" w:space="0" w:color="000000"/>
            </w:tcBorders>
            <w:shd w:val="clear" w:color="auto" w:fill="BBD5ED"/>
            <w:noWrap/>
          </w:tcPr>
          <w:p w14:paraId="6FF03E25"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748954DE" w14:textId="77777777" w:rsidTr="002B1847">
        <w:trPr>
          <w:tblCellSpacing w:w="50" w:type="dxa"/>
          <w:jc w:val="center"/>
        </w:trPr>
        <w:tc>
          <w:tcPr>
            <w:tcW w:w="10000" w:type="dxa"/>
            <w:tcBorders>
              <w:top w:val="single" w:sz="6" w:space="0" w:color="000000"/>
            </w:tcBorders>
            <w:shd w:val="clear" w:color="auto" w:fill="BBD5ED"/>
            <w:noWrap/>
          </w:tcPr>
          <w:p w14:paraId="3546B48D"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6866BF74" w14:textId="77777777" w:rsidTr="002B1847">
        <w:trPr>
          <w:tblCellSpacing w:w="50" w:type="dxa"/>
          <w:jc w:val="center"/>
        </w:trPr>
        <w:tc>
          <w:tcPr>
            <w:tcW w:w="10000" w:type="dxa"/>
            <w:tcBorders>
              <w:top w:val="single" w:sz="6" w:space="0" w:color="000000"/>
            </w:tcBorders>
            <w:shd w:val="clear" w:color="auto" w:fill="BBD5ED"/>
            <w:noWrap/>
          </w:tcPr>
          <w:p w14:paraId="5389CC12"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48CBBB14"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4 Subpart 3: Increase the adoption of digital technologies, particularly among SMEs, by removing bottlenecks in their roll-out.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5F7DCBF2" w14:textId="77777777" w:rsidTr="002B1847">
        <w:trPr>
          <w:tblCellSpacing w:w="50" w:type="dxa"/>
          <w:jc w:val="center"/>
        </w:trPr>
        <w:tc>
          <w:tcPr>
            <w:tcW w:w="10000" w:type="dxa"/>
            <w:gridSpan w:val="2"/>
            <w:tcBorders>
              <w:top w:val="single" w:sz="6" w:space="0" w:color="000000"/>
            </w:tcBorders>
            <w:shd w:val="clear" w:color="auto" w:fill="BBD5ED"/>
            <w:noWrap/>
          </w:tcPr>
          <w:p w14:paraId="4AD4C45C"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29B6CEF1" w14:textId="77777777" w:rsidTr="002B1847">
        <w:trPr>
          <w:tblCellSpacing w:w="50" w:type="dxa"/>
          <w:jc w:val="center"/>
        </w:trPr>
        <w:tc>
          <w:tcPr>
            <w:tcW w:w="1500" w:type="dxa"/>
            <w:tcBorders>
              <w:top w:val="single" w:sz="6" w:space="0" w:color="000000"/>
              <w:right w:val="single" w:sz="6" w:space="0" w:color="000000"/>
            </w:tcBorders>
            <w:noWrap/>
          </w:tcPr>
          <w:p w14:paraId="7805EA89"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160391FE"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22047971" w14:textId="77777777" w:rsidR="00C24F6F" w:rsidRPr="002F5AA0" w:rsidRDefault="00C24F6F" w:rsidP="002B1847">
            <w:pPr>
              <w:rPr>
                <w:rFonts w:ascii="Arial Narrow" w:hAnsi="Arial Narrow"/>
                <w:sz w:val="14"/>
                <w:szCs w:val="14"/>
              </w:rPr>
            </w:pPr>
          </w:p>
          <w:p w14:paraId="20B3B86C"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Action Plan for the Informatisation and Digital Transformation of Education in the Slovak Republic for the Period 2025–2027: The objective of the Action Plan is the modernisation of Slovak education through the systematic digitalisation of the learning environment. The Plan builds on the School Informatisation Programme to 2030 and forms part of the broader Digital Transformation Strategy of Slovakia to 2030. It focuses on the introduction of uniform digital equipment standards across all levels of education, while supporting the development of sustainable digitalisation plans, the enhancement of digital skills among pupils and teachers, the use of assistive technologies, and the accessibility of digital outputs.  The Action Plan was published on 15 January 2025 and implementation of its measures commenced in the first quarter of 2025. Work is currently under way on the development of digital equipment standards and planning of projects for the modernisation of school infrastructure. Methodological and training activities are being prepared in parallel, including a pilot scheme for digital coordinators and the publication of digital educational materials.</w:t>
            </w:r>
          </w:p>
        </w:tc>
      </w:tr>
      <w:tr w:rsidR="00C24F6F" w:rsidRPr="002F5AA0" w14:paraId="2633083D" w14:textId="77777777" w:rsidTr="002B1847">
        <w:trPr>
          <w:tblCellSpacing w:w="50" w:type="dxa"/>
          <w:jc w:val="center"/>
        </w:trPr>
        <w:tc>
          <w:tcPr>
            <w:tcW w:w="1500" w:type="dxa"/>
            <w:tcBorders>
              <w:top w:val="single" w:sz="6" w:space="0" w:color="000000"/>
              <w:right w:val="single" w:sz="6" w:space="0" w:color="000000"/>
            </w:tcBorders>
            <w:noWrap/>
          </w:tcPr>
          <w:p w14:paraId="652DC6DE"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28333241"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4F1BA7E7" w14:textId="77777777" w:rsidR="00C24F6F" w:rsidRPr="002F5AA0" w:rsidRDefault="00C24F6F" w:rsidP="002B1847">
            <w:pPr>
              <w:rPr>
                <w:rFonts w:ascii="Arial Narrow" w:hAnsi="Arial Narrow"/>
                <w:sz w:val="14"/>
                <w:szCs w:val="14"/>
              </w:rPr>
            </w:pPr>
          </w:p>
          <w:p w14:paraId="73051CE9"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Implementation of the Action Plan of the National Concept for the Informatization of Public Administration 2025 for the period 2026–2030 (NKIVS): The achievement of the objectives of the National Concept for the Informatization of Public Administration 2025 for the period 2026–2030 (NKIVS) is based on the implementation of its Action Plan, which is structured around three pillars: digital transformation, data-driven public administration, and open e-Government.  NKIVS 2025, including its Action Plan, was approved by the Government of the Slovak Republic on 17 December 2025. Updates to the NKIVS Action Plan will be submitted to the Government for consideration annually by the end of March, starting in 2027 and continuing until 2030. Throughout 2026, the implementation of the approved measures will be underway, with the first formal update of the Action Plan to be submitted to the Government by the end of March 2027.</w:t>
            </w:r>
          </w:p>
        </w:tc>
      </w:tr>
      <w:tr w:rsidR="00C24F6F" w:rsidRPr="002F5AA0" w14:paraId="3A088125" w14:textId="77777777" w:rsidTr="002B1847">
        <w:trPr>
          <w:tblCellSpacing w:w="50" w:type="dxa"/>
          <w:jc w:val="center"/>
        </w:trPr>
        <w:tc>
          <w:tcPr>
            <w:tcW w:w="1500" w:type="dxa"/>
            <w:tcBorders>
              <w:top w:val="single" w:sz="6" w:space="0" w:color="000000"/>
              <w:right w:val="single" w:sz="6" w:space="0" w:color="000000"/>
            </w:tcBorders>
            <w:noWrap/>
          </w:tcPr>
          <w:p w14:paraId="0ECFCDBA"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3</w:t>
            </w:r>
          </w:p>
        </w:tc>
        <w:tc>
          <w:tcPr>
            <w:tcW w:w="8500" w:type="dxa"/>
            <w:tcBorders>
              <w:top w:val="single" w:sz="6" w:space="0" w:color="000000"/>
            </w:tcBorders>
            <w:noWrap/>
          </w:tcPr>
          <w:p w14:paraId="55140993"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7CC01E4C" w14:textId="77777777" w:rsidR="00C24F6F" w:rsidRPr="002F5AA0" w:rsidRDefault="00C24F6F" w:rsidP="002B1847">
            <w:pPr>
              <w:rPr>
                <w:rFonts w:ascii="Arial Narrow" w:hAnsi="Arial Narrow"/>
                <w:sz w:val="14"/>
                <w:szCs w:val="14"/>
              </w:rPr>
            </w:pPr>
          </w:p>
          <w:p w14:paraId="715737E7"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National Digital Decade Plan of the Slovak Republic: The National Digital Decade Plan of the Slovak Republic is an overarching strategic document that consolidates the activities of the Slovak Republic aimed at achieving the European Union’s digital targets.  On 17 December 2025, the Government of the Slovak Republic approved an information report on the implementation of the Plan’s measures. The implementation of these measures is progressing in line with the Plan, with a number of measures already in the implementation phase (e.g. in the areas of digital skills for vulnerable groups and the digitalisation of youth work), while others are in preparatory stages. For long-term measures, the commencement of implementation is scheduled for 2027. Progress is continuously monitored through regular reporting to the Government of the Slovak Republic. In accordance with the requirements of the European Commission, a regular update of the National Plan is being prepared, which will take into account developments to date and the recommendations of the European Commission.</w:t>
            </w:r>
          </w:p>
        </w:tc>
      </w:tr>
      <w:tr w:rsidR="00C24F6F" w:rsidRPr="002F5AA0" w14:paraId="3D3083CB" w14:textId="77777777" w:rsidTr="002B1847">
        <w:trPr>
          <w:tblCellSpacing w:w="50" w:type="dxa"/>
          <w:jc w:val="center"/>
        </w:trPr>
        <w:tc>
          <w:tcPr>
            <w:tcW w:w="1500" w:type="dxa"/>
            <w:tcBorders>
              <w:top w:val="single" w:sz="6" w:space="0" w:color="000000"/>
              <w:right w:val="single" w:sz="6" w:space="0" w:color="000000"/>
            </w:tcBorders>
            <w:noWrap/>
          </w:tcPr>
          <w:p w14:paraId="734F3564"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4</w:t>
            </w:r>
          </w:p>
        </w:tc>
        <w:tc>
          <w:tcPr>
            <w:tcW w:w="8500" w:type="dxa"/>
            <w:tcBorders>
              <w:top w:val="single" w:sz="6" w:space="0" w:color="000000"/>
            </w:tcBorders>
            <w:noWrap/>
          </w:tcPr>
          <w:p w14:paraId="40C02C13"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27679A5D" w14:textId="77777777" w:rsidR="00C24F6F" w:rsidRPr="002F5AA0" w:rsidRDefault="00C24F6F" w:rsidP="002B1847">
            <w:pPr>
              <w:rPr>
                <w:rFonts w:ascii="Arial Narrow" w:hAnsi="Arial Narrow"/>
                <w:sz w:val="14"/>
                <w:szCs w:val="14"/>
              </w:rPr>
            </w:pPr>
          </w:p>
          <w:p w14:paraId="4C99A3DF"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 xml:space="preserve">Support for innovation, business development and internationalisation of enterprises: The objective of the Ministry of Economy of the Slovak Republic and the organisations under its remit is to provide support to enterprises in order to strengthen their competitiveness through: (1) support for industrial research, experimental development and innovation in the form of demand-driven calls, innovation vouchers and expert services; (2) support for the internationalisation and development of SMEs in the form of vouchers and expert services; and (3) support for investments in enterprises in the form of repayable assistance.  (1) Under three calls launched by the Ministry of Economy of the Slovak Republic (EUR 77 million) to support industrial research and experimental development, a total of 227 applications for non-repayable financial contributions were submitted, amounting to approximately EUR 263 million. In addition, the Slovak Innovation and Energy Agency (SIEA), through the project Increasing the Innovation Performance of the Slovak Economy 2, launched several calls for innovation vouchers (EUR 8.3 million) aimed, inter alia, at the protection of intellectual property, product certification, advisory support for applications under the EIC Accelerator scheme, and support for robotisation and automation in industry.  (2) Under the project Horizontal Support for Small and Medium-Sized Entrepreneurship (EUR 7 million), the Slovak Business Agency launched several calls for vouchers aimed, inter alia, at company audits, the participation of SMEs in EU programmes, management development, the circular economy and family businesses. Under the </w:t>
            </w:r>
            <w:r w:rsidRPr="002F5AA0">
              <w:rPr>
                <w:rStyle w:val="defaultStyle"/>
                <w:rFonts w:ascii="Arial Narrow" w:hAnsi="Arial Narrow"/>
                <w:sz w:val="14"/>
                <w:szCs w:val="14"/>
              </w:rPr>
              <w:lastRenderedPageBreak/>
              <w:t>project Support for the Internationalisation of SMEs 2 (EUR 12.7 million), the Slovak Investment and Trade Development Agency provides vouchers to support the participation of SMEs in promotional events.  (3) Since 2025, Slovak Investment Holding has been providing support to enterprises through guaranteed loans with a grant component. As of 31 December 2025, a total of 296 loans had been concluded, with a total contracted amount of approximately EUR 85 million.</w:t>
            </w:r>
          </w:p>
        </w:tc>
      </w:tr>
      <w:tr w:rsidR="00C24F6F" w:rsidRPr="002F5AA0" w14:paraId="7F239572" w14:textId="77777777" w:rsidTr="002B1847">
        <w:trPr>
          <w:tblCellSpacing w:w="50" w:type="dxa"/>
          <w:jc w:val="center"/>
        </w:trPr>
        <w:tc>
          <w:tcPr>
            <w:tcW w:w="10000" w:type="dxa"/>
            <w:gridSpan w:val="2"/>
            <w:tcBorders>
              <w:top w:val="single" w:sz="6" w:space="0" w:color="000000"/>
            </w:tcBorders>
            <w:shd w:val="clear" w:color="auto" w:fill="BBD5ED"/>
            <w:noWrap/>
          </w:tcPr>
          <w:p w14:paraId="093CDE2A"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lastRenderedPageBreak/>
              <w:t>Comments</w:t>
            </w:r>
          </w:p>
        </w:tc>
      </w:tr>
      <w:tr w:rsidR="00C24F6F" w:rsidRPr="002F5AA0" w14:paraId="2D974EF0" w14:textId="77777777" w:rsidTr="002B1847">
        <w:trPr>
          <w:tblCellSpacing w:w="50" w:type="dxa"/>
          <w:jc w:val="center"/>
        </w:trPr>
        <w:tc>
          <w:tcPr>
            <w:tcW w:w="10000" w:type="dxa"/>
            <w:gridSpan w:val="2"/>
            <w:tcBorders>
              <w:top w:val="single" w:sz="6" w:space="0" w:color="000000"/>
            </w:tcBorders>
            <w:shd w:val="clear" w:color="auto" w:fill="BBD5ED"/>
            <w:noWrap/>
          </w:tcPr>
          <w:p w14:paraId="13292C5B"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20BC29A7"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4 Subpart 4: Improve research and innovation policy by incentivising collaboration between business and the research sector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4738D68B" w14:textId="77777777" w:rsidTr="002B1847">
        <w:trPr>
          <w:tblCellSpacing w:w="50" w:type="dxa"/>
          <w:jc w:val="center"/>
        </w:trPr>
        <w:tc>
          <w:tcPr>
            <w:tcW w:w="10000" w:type="dxa"/>
            <w:gridSpan w:val="2"/>
            <w:tcBorders>
              <w:top w:val="single" w:sz="6" w:space="0" w:color="000000"/>
            </w:tcBorders>
            <w:shd w:val="clear" w:color="auto" w:fill="BBD5ED"/>
            <w:noWrap/>
          </w:tcPr>
          <w:p w14:paraId="6D96A4B0"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7F0F4547" w14:textId="77777777" w:rsidTr="002B1847">
        <w:trPr>
          <w:tblCellSpacing w:w="50" w:type="dxa"/>
          <w:jc w:val="center"/>
        </w:trPr>
        <w:tc>
          <w:tcPr>
            <w:tcW w:w="1500" w:type="dxa"/>
            <w:tcBorders>
              <w:top w:val="single" w:sz="6" w:space="0" w:color="000000"/>
              <w:right w:val="single" w:sz="6" w:space="0" w:color="000000"/>
            </w:tcBorders>
            <w:noWrap/>
          </w:tcPr>
          <w:p w14:paraId="6A8B6DD5"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02016E55"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Deleted (09/04/2026 10:23 AM)</w:t>
            </w:r>
          </w:p>
          <w:p w14:paraId="0BF26037" w14:textId="77777777" w:rsidR="00C24F6F" w:rsidRPr="002F5AA0" w:rsidRDefault="00C24F6F" w:rsidP="002B1847">
            <w:pPr>
              <w:rPr>
                <w:rFonts w:ascii="Arial Narrow" w:hAnsi="Arial Narrow"/>
                <w:sz w:val="14"/>
                <w:szCs w:val="14"/>
              </w:rPr>
            </w:pPr>
          </w:p>
          <w:p w14:paraId="6C61CD56"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New Act on Research, Development and Innovation: The new Act on Research, Development and Innovation is intended to improve the legal framework and support the development of research and innovation capacities in order to achieve long-term objectives.  A supplementary draft of the Act on Research, Development and Innovation was submitted for preliminary consultations on 11 February 2025. However, following the conclusion of this stage, the legislative process did not proceed to interministerial consultation, as no agreement was reached among the key stakeholders.</w:t>
            </w:r>
          </w:p>
        </w:tc>
      </w:tr>
      <w:tr w:rsidR="00C24F6F" w:rsidRPr="002F5AA0" w14:paraId="6F902602" w14:textId="77777777" w:rsidTr="002B1847">
        <w:trPr>
          <w:tblCellSpacing w:w="50" w:type="dxa"/>
          <w:jc w:val="center"/>
        </w:trPr>
        <w:tc>
          <w:tcPr>
            <w:tcW w:w="1500" w:type="dxa"/>
            <w:tcBorders>
              <w:top w:val="single" w:sz="6" w:space="0" w:color="000000"/>
              <w:right w:val="single" w:sz="6" w:space="0" w:color="000000"/>
            </w:tcBorders>
            <w:noWrap/>
          </w:tcPr>
          <w:p w14:paraId="07E1BF30"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7A705ACB"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43580D17" w14:textId="77777777" w:rsidR="00C24F6F" w:rsidRPr="002F5AA0" w:rsidRDefault="00C24F6F" w:rsidP="002B1847">
            <w:pPr>
              <w:rPr>
                <w:rFonts w:ascii="Arial Narrow" w:hAnsi="Arial Narrow"/>
                <w:sz w:val="14"/>
                <w:szCs w:val="14"/>
              </w:rPr>
            </w:pPr>
          </w:p>
          <w:p w14:paraId="23FB0233"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Update of the National Strategy for Research, Development and Innovation: The updated strategy builds on the RRP, which is coming to an end, and focuses on three areas: support for business research and development, the development of strategic initiatives (robotics, artificial intelligence and the Mission Health programme), and the strengthening of the innovation ecosystem, including breakthrough research and the transfer of knowledge into practice.  The draft update of the strategy, together with a new action plan, was submitted for interministerial consultation in February 2026. The comments received are currently being assessed.</w:t>
            </w:r>
          </w:p>
        </w:tc>
      </w:tr>
      <w:tr w:rsidR="00C24F6F" w:rsidRPr="002F5AA0" w14:paraId="76977426" w14:textId="77777777" w:rsidTr="002B1847">
        <w:trPr>
          <w:tblCellSpacing w:w="50" w:type="dxa"/>
          <w:jc w:val="center"/>
        </w:trPr>
        <w:tc>
          <w:tcPr>
            <w:tcW w:w="1500" w:type="dxa"/>
            <w:tcBorders>
              <w:top w:val="single" w:sz="6" w:space="0" w:color="000000"/>
              <w:right w:val="single" w:sz="6" w:space="0" w:color="000000"/>
            </w:tcBorders>
            <w:noWrap/>
          </w:tcPr>
          <w:p w14:paraId="080EFF82"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3</w:t>
            </w:r>
          </w:p>
        </w:tc>
        <w:tc>
          <w:tcPr>
            <w:tcW w:w="8500" w:type="dxa"/>
            <w:tcBorders>
              <w:top w:val="single" w:sz="6" w:space="0" w:color="000000"/>
            </w:tcBorders>
            <w:noWrap/>
          </w:tcPr>
          <w:p w14:paraId="426CDD8B"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657BE3A1" w14:textId="77777777" w:rsidR="00C24F6F" w:rsidRPr="002F5AA0" w:rsidRDefault="00C24F6F" w:rsidP="002B1847">
            <w:pPr>
              <w:rPr>
                <w:rFonts w:ascii="Arial Narrow" w:hAnsi="Arial Narrow"/>
                <w:sz w:val="14"/>
                <w:szCs w:val="14"/>
              </w:rPr>
            </w:pPr>
          </w:p>
          <w:p w14:paraId="5CD871ED"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Support for innovation, business development and internationalisation of enterprises: The objective of the Ministry of Economy of the Slovak Republic and the organisations under its remit is to provide support to enterprises in order to strengthen their competitiveness through: (1) support for industrial research, experimental development and innovation in the form of demand-driven calls, innovation vouchers and expert services; (2) support for the internationalisation and development of SMEs in the form of vouchers and expert services; and (3) support for investments in enterprises in the form of repayable assistance.  (1) Under three calls launched by the Ministry of Economy of the Slovak Republic (EUR 77 million) to support industrial research and experimental development, a total of 227 applications for non-repayable financial contributions were submitted, amounting to approximately EUR 263 million. In addition, the Slovak Innovation and Energy Agency (SIEA), through the project Increasing the Innovation Performance of the Slovak Economy 2, launched several calls for innovation vouchers (EUR 8.3 million) aimed, inter alia, at the protection of intellectual property, product certification, advisory support for applications under the EIC Accelerator scheme, and support for robotisation and automation in industry.  (2) Under the project Horizontal Support for Small and Medium-Sized Entrepreneurship (EUR 7 million), the Slovak Business Agency launched several calls for vouchers aimed, inter alia, at company audits, the participation of SMEs in EU programmes, management development, the circular economy and family businesses. Under the project Support for the Internationalisation of SMEs 2 (EUR 12.7 million), the Slovak Investment and Trade Development Agency provides vouchers to support the participation of SMEs in promotional events.  (3) Since 2025, Slovak Investment Holding has been providing support to enterprises through guaranteed loans with a grant component. As of 31 December 2025, a total of 296 loans had been concluded, with a total contracted amount of approximately EUR 85 million.</w:t>
            </w:r>
          </w:p>
        </w:tc>
      </w:tr>
      <w:tr w:rsidR="00C24F6F" w:rsidRPr="002F5AA0" w14:paraId="318F93F0" w14:textId="77777777" w:rsidTr="002B1847">
        <w:trPr>
          <w:tblCellSpacing w:w="50" w:type="dxa"/>
          <w:jc w:val="center"/>
        </w:trPr>
        <w:tc>
          <w:tcPr>
            <w:tcW w:w="10000" w:type="dxa"/>
            <w:gridSpan w:val="2"/>
            <w:tcBorders>
              <w:top w:val="single" w:sz="6" w:space="0" w:color="000000"/>
            </w:tcBorders>
            <w:shd w:val="clear" w:color="auto" w:fill="BBD5ED"/>
            <w:noWrap/>
          </w:tcPr>
          <w:p w14:paraId="2B4FDAF4"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518710E9" w14:textId="77777777" w:rsidTr="002B1847">
        <w:trPr>
          <w:tblCellSpacing w:w="50" w:type="dxa"/>
          <w:jc w:val="center"/>
        </w:trPr>
        <w:tc>
          <w:tcPr>
            <w:tcW w:w="10000" w:type="dxa"/>
            <w:gridSpan w:val="2"/>
            <w:tcBorders>
              <w:top w:val="single" w:sz="6" w:space="0" w:color="000000"/>
            </w:tcBorders>
            <w:shd w:val="clear" w:color="auto" w:fill="BBD5ED"/>
            <w:noWrap/>
          </w:tcPr>
          <w:p w14:paraId="6C2B3B19"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45A0AAF6" w14:textId="77777777" w:rsidR="00C24F6F" w:rsidRDefault="00C24F6F" w:rsidP="00C24F6F">
      <w:pPr>
        <w:pStyle w:val="subpartParagraphStyle"/>
        <w:spacing w:after="0"/>
        <w:rPr>
          <w:rStyle w:val="blueStyle"/>
          <w:rFonts w:ascii="Arial Narrow" w:hAnsi="Arial Narrow"/>
          <w:sz w:val="14"/>
          <w:szCs w:val="14"/>
        </w:rPr>
      </w:pPr>
    </w:p>
    <w:p w14:paraId="3FCB83EC" w14:textId="77777777" w:rsidR="00C24F6F" w:rsidRDefault="00C24F6F" w:rsidP="00C24F6F">
      <w:pPr>
        <w:pStyle w:val="subpartParagraphStyle"/>
        <w:spacing w:after="0"/>
        <w:rPr>
          <w:rStyle w:val="blueStyle"/>
          <w:rFonts w:ascii="Arial Narrow" w:hAnsi="Arial Narrow"/>
          <w:sz w:val="14"/>
          <w:szCs w:val="14"/>
        </w:rPr>
      </w:pPr>
    </w:p>
    <w:p w14:paraId="7D90C56E"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lastRenderedPageBreak/>
        <w:t>CSR 4 Subpart 5: and by revising the R&amp;D tax incentive scheme to provide greater support to SMEs.</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4627CEA1" w14:textId="77777777" w:rsidTr="002B1847">
        <w:trPr>
          <w:tblCellSpacing w:w="50" w:type="dxa"/>
          <w:jc w:val="center"/>
        </w:trPr>
        <w:tc>
          <w:tcPr>
            <w:tcW w:w="10000" w:type="dxa"/>
            <w:gridSpan w:val="2"/>
            <w:tcBorders>
              <w:top w:val="single" w:sz="6" w:space="0" w:color="000000"/>
            </w:tcBorders>
            <w:shd w:val="clear" w:color="auto" w:fill="BBD5ED"/>
            <w:noWrap/>
          </w:tcPr>
          <w:p w14:paraId="35F2FEDA"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67BFFB03" w14:textId="77777777" w:rsidTr="002B1847">
        <w:trPr>
          <w:tblCellSpacing w:w="50" w:type="dxa"/>
          <w:jc w:val="center"/>
        </w:trPr>
        <w:tc>
          <w:tcPr>
            <w:tcW w:w="1500" w:type="dxa"/>
            <w:tcBorders>
              <w:top w:val="single" w:sz="6" w:space="0" w:color="000000"/>
              <w:right w:val="single" w:sz="6" w:space="0" w:color="000000"/>
            </w:tcBorders>
            <w:noWrap/>
          </w:tcPr>
          <w:p w14:paraId="002EE3BD"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21E376B2"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2E4D4483" w14:textId="77777777" w:rsidR="00C24F6F" w:rsidRPr="002F5AA0" w:rsidRDefault="00C24F6F" w:rsidP="002B1847">
            <w:pPr>
              <w:rPr>
                <w:rFonts w:ascii="Arial Narrow" w:hAnsi="Arial Narrow"/>
                <w:sz w:val="14"/>
                <w:szCs w:val="14"/>
              </w:rPr>
            </w:pPr>
          </w:p>
          <w:p w14:paraId="654A2024"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Update of the National Strategy for Research, Development and Innovation: The updated strategy builds on the RRP, which is coming to an end, and focuses on three areas: support for business research and development, the development of strategic initiatives (robotics, artificial intelligence and the Mission Health programme), and the strengthening of the innovation ecosystem, including breakthrough research and the transfer of knowledge into practice.  The draft update of the strategy, together with a new action plan, was submitted for interministerial consultation in February 2026. The comments received are currently being assessed.</w:t>
            </w:r>
          </w:p>
        </w:tc>
      </w:tr>
      <w:tr w:rsidR="00C24F6F" w:rsidRPr="002F5AA0" w14:paraId="64882F62" w14:textId="77777777" w:rsidTr="002B1847">
        <w:trPr>
          <w:tblCellSpacing w:w="50" w:type="dxa"/>
          <w:jc w:val="center"/>
        </w:trPr>
        <w:tc>
          <w:tcPr>
            <w:tcW w:w="10000" w:type="dxa"/>
            <w:gridSpan w:val="2"/>
            <w:tcBorders>
              <w:top w:val="single" w:sz="6" w:space="0" w:color="000000"/>
            </w:tcBorders>
            <w:shd w:val="clear" w:color="auto" w:fill="BBD5ED"/>
            <w:noWrap/>
          </w:tcPr>
          <w:p w14:paraId="4B0D9E8C"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172554EE" w14:textId="77777777" w:rsidTr="002B1847">
        <w:trPr>
          <w:tblCellSpacing w:w="50" w:type="dxa"/>
          <w:jc w:val="center"/>
        </w:trPr>
        <w:tc>
          <w:tcPr>
            <w:tcW w:w="10000" w:type="dxa"/>
            <w:gridSpan w:val="2"/>
            <w:tcBorders>
              <w:top w:val="single" w:sz="6" w:space="0" w:color="000000"/>
            </w:tcBorders>
            <w:shd w:val="clear" w:color="auto" w:fill="BBD5ED"/>
            <w:noWrap/>
          </w:tcPr>
          <w:p w14:paraId="578EAA3A"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0E37EA7B" w14:textId="77777777" w:rsidR="00C24F6F" w:rsidRPr="002F5AA0" w:rsidRDefault="00C24F6F" w:rsidP="00C24F6F">
      <w:pPr>
        <w:rPr>
          <w:rFonts w:ascii="Arial Narrow" w:hAnsi="Arial Narrow"/>
          <w:sz w:val="14"/>
          <w:szCs w:val="14"/>
        </w:rPr>
      </w:pPr>
      <w:r w:rsidRPr="002F5AA0">
        <w:rPr>
          <w:rFonts w:ascii="Arial Narrow" w:hAnsi="Arial Narrow"/>
          <w:sz w:val="14"/>
          <w:szCs w:val="14"/>
        </w:rPr>
        <w:br w:type="page"/>
      </w:r>
    </w:p>
    <w:p w14:paraId="122B371F" w14:textId="77777777" w:rsidR="00C24F6F" w:rsidRPr="002F5AA0" w:rsidRDefault="00C24F6F" w:rsidP="00C24F6F">
      <w:pPr>
        <w:pStyle w:val="titleParagraphStyle"/>
        <w:rPr>
          <w:rFonts w:ascii="Arial Narrow" w:hAnsi="Arial Narrow"/>
          <w:sz w:val="14"/>
          <w:szCs w:val="14"/>
        </w:rPr>
      </w:pPr>
      <w:r w:rsidRPr="002F5AA0">
        <w:rPr>
          <w:rStyle w:val="titleBlueStyle"/>
          <w:rFonts w:ascii="Arial Narrow" w:hAnsi="Arial Narrow"/>
          <w:sz w:val="14"/>
          <w:szCs w:val="14"/>
        </w:rPr>
        <w:lastRenderedPageBreak/>
        <w:t>CSR.2025.5</w:t>
      </w:r>
    </w:p>
    <w:p w14:paraId="1EEE49D9"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5 Subpart 1: Prioritise investments in clean and efficient production and in the use of energy and resources.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617B3BB3" w14:textId="77777777" w:rsidTr="002B1847">
        <w:trPr>
          <w:tblCellSpacing w:w="50" w:type="dxa"/>
          <w:jc w:val="center"/>
        </w:trPr>
        <w:tc>
          <w:tcPr>
            <w:tcW w:w="10000" w:type="dxa"/>
            <w:gridSpan w:val="2"/>
            <w:tcBorders>
              <w:top w:val="single" w:sz="6" w:space="0" w:color="000000"/>
            </w:tcBorders>
            <w:shd w:val="clear" w:color="auto" w:fill="BBD5ED"/>
            <w:noWrap/>
          </w:tcPr>
          <w:p w14:paraId="3693DC67"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5EBF350F" w14:textId="77777777" w:rsidTr="002B1847">
        <w:trPr>
          <w:tblCellSpacing w:w="50" w:type="dxa"/>
          <w:jc w:val="center"/>
        </w:trPr>
        <w:tc>
          <w:tcPr>
            <w:tcW w:w="1500" w:type="dxa"/>
            <w:tcBorders>
              <w:top w:val="single" w:sz="6" w:space="0" w:color="000000"/>
              <w:right w:val="single" w:sz="6" w:space="0" w:color="000000"/>
            </w:tcBorders>
            <w:noWrap/>
          </w:tcPr>
          <w:p w14:paraId="4FAE2B87"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67C8AA4A"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1839C754" w14:textId="77777777" w:rsidR="00C24F6F" w:rsidRPr="002F5AA0" w:rsidRDefault="00C24F6F" w:rsidP="002B1847">
            <w:pPr>
              <w:rPr>
                <w:rFonts w:ascii="Arial Narrow" w:hAnsi="Arial Narrow"/>
                <w:sz w:val="14"/>
                <w:szCs w:val="14"/>
              </w:rPr>
            </w:pPr>
          </w:p>
          <w:p w14:paraId="7BA0B150"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Social Climate Fund: The Fund aims to compensate the social impacts of the introduction of emissions trading in the buildings and road transport sectors (ETS 2) from 2027 for the most vulnerable groups. Member States must submit a Social Climate Plan by end of June 2025 in order to access funding. Implementation of the Fund is planned for the period 2026–2032, and access to its resources will be conditional on the transposition of all parts of the relevant EU Directive.  The draft Social Climate Plan is currently being prepared. Since July 2025, informal consultations with the European Commission on the draft have been ongoing. Approval of the Plan by the European Commission is a prerequisite for accessing resources from the Social Climate Fund, and is contingent on the completion of the transposition of the EU ETS 2 Directive, which has not yet been finalised at national level.</w:t>
            </w:r>
          </w:p>
        </w:tc>
      </w:tr>
      <w:tr w:rsidR="00C24F6F" w:rsidRPr="002F5AA0" w14:paraId="4429AF6F" w14:textId="77777777" w:rsidTr="002B1847">
        <w:trPr>
          <w:tblCellSpacing w:w="50" w:type="dxa"/>
          <w:jc w:val="center"/>
        </w:trPr>
        <w:tc>
          <w:tcPr>
            <w:tcW w:w="1500" w:type="dxa"/>
            <w:tcBorders>
              <w:top w:val="single" w:sz="6" w:space="0" w:color="000000"/>
              <w:right w:val="single" w:sz="6" w:space="0" w:color="000000"/>
            </w:tcBorders>
            <w:noWrap/>
          </w:tcPr>
          <w:p w14:paraId="686368F9"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48BF0135"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629E258B" w14:textId="77777777" w:rsidR="00C24F6F" w:rsidRPr="002F5AA0" w:rsidRDefault="00C24F6F" w:rsidP="002B1847">
            <w:pPr>
              <w:rPr>
                <w:rFonts w:ascii="Arial Narrow" w:hAnsi="Arial Narrow"/>
                <w:sz w:val="14"/>
                <w:szCs w:val="14"/>
              </w:rPr>
            </w:pPr>
          </w:p>
          <w:p w14:paraId="681336C9"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Reducing the Energy Intensity of Public Buildings: The SIEA calls aim at the renovation of public buildings with a focus on energy efficiency, including the possible integration of RES and green adaptation measures.  Several calls with a total allocation exceeding EUR 300 million targeting the reduction of energy intensity of public buildings have been launched. The evaluation and contracting of projects is currently ongoing. Based on the applications submitted, the renovation of approximately 595,000 m² of public buildings, primary energy savings of approximately 71,000 MWh per year, and an increase in installed RES capacity of approximately 13 MW can be anticipated.</w:t>
            </w:r>
          </w:p>
        </w:tc>
      </w:tr>
      <w:tr w:rsidR="00C24F6F" w:rsidRPr="002F5AA0" w14:paraId="2B33E7FE" w14:textId="77777777" w:rsidTr="002B1847">
        <w:trPr>
          <w:tblCellSpacing w:w="50" w:type="dxa"/>
          <w:jc w:val="center"/>
        </w:trPr>
        <w:tc>
          <w:tcPr>
            <w:tcW w:w="1500" w:type="dxa"/>
            <w:tcBorders>
              <w:top w:val="single" w:sz="6" w:space="0" w:color="000000"/>
              <w:right w:val="single" w:sz="6" w:space="0" w:color="000000"/>
            </w:tcBorders>
            <w:noWrap/>
          </w:tcPr>
          <w:p w14:paraId="0E3C1D2E"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3</w:t>
            </w:r>
          </w:p>
        </w:tc>
        <w:tc>
          <w:tcPr>
            <w:tcW w:w="8500" w:type="dxa"/>
            <w:tcBorders>
              <w:top w:val="single" w:sz="6" w:space="0" w:color="000000"/>
            </w:tcBorders>
            <w:noWrap/>
          </w:tcPr>
          <w:p w14:paraId="333817BF"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09F3D068" w14:textId="77777777" w:rsidR="00C24F6F" w:rsidRPr="002F5AA0" w:rsidRDefault="00C24F6F" w:rsidP="002B1847">
            <w:pPr>
              <w:rPr>
                <w:rFonts w:ascii="Arial Narrow" w:hAnsi="Arial Narrow"/>
                <w:sz w:val="14"/>
                <w:szCs w:val="14"/>
              </w:rPr>
            </w:pPr>
          </w:p>
          <w:p w14:paraId="698EED56"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Strengthening Capacities and Data Infrastructure for Regional Energy: 1) The Capacities for Regions project (EUR 47.1 million) supports the establishment of expert teams and a network of regional sustainable energy centres, which will coordinate measures to reduce energy intensity and increase energy self-sufficiency at the level of self-governing regions. 2) The Extension of the Energy Efficiency Information System project (EUR 18.7 million) supports tools for the collection, analysis, and use of data from various sectors to enable informed energy and decarbonisation planning at regional level.  The launch of both projects has been delayed. A review of their scope is currently under way with the aim of reflecting the new tasks and obligations arising from the EU Energy Efficiency Directive.</w:t>
            </w:r>
          </w:p>
        </w:tc>
      </w:tr>
      <w:tr w:rsidR="00C24F6F" w:rsidRPr="002F5AA0" w14:paraId="5E08453B" w14:textId="77777777" w:rsidTr="002B1847">
        <w:trPr>
          <w:tblCellSpacing w:w="50" w:type="dxa"/>
          <w:jc w:val="center"/>
        </w:trPr>
        <w:tc>
          <w:tcPr>
            <w:tcW w:w="1500" w:type="dxa"/>
            <w:tcBorders>
              <w:top w:val="single" w:sz="6" w:space="0" w:color="000000"/>
              <w:right w:val="single" w:sz="6" w:space="0" w:color="000000"/>
            </w:tcBorders>
            <w:noWrap/>
          </w:tcPr>
          <w:p w14:paraId="0157B665"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4</w:t>
            </w:r>
          </w:p>
        </w:tc>
        <w:tc>
          <w:tcPr>
            <w:tcW w:w="8500" w:type="dxa"/>
            <w:tcBorders>
              <w:top w:val="single" w:sz="6" w:space="0" w:color="000000"/>
            </w:tcBorders>
            <w:noWrap/>
          </w:tcPr>
          <w:p w14:paraId="1CFD003C"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30FEB279" w14:textId="77777777" w:rsidR="00C24F6F" w:rsidRPr="002F5AA0" w:rsidRDefault="00C24F6F" w:rsidP="002B1847">
            <w:pPr>
              <w:rPr>
                <w:rFonts w:ascii="Arial Narrow" w:hAnsi="Arial Narrow"/>
                <w:sz w:val="14"/>
                <w:szCs w:val="14"/>
              </w:rPr>
            </w:pPr>
          </w:p>
          <w:p w14:paraId="3611A589"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Green Energy for Households and Businesses: Support for the installation of renewable energy sources (RES) is provided in the form of vouchers for both households and businesses: 1) The Green for Households project (EUR 107.7 million) enables households to obtain a 50% contribution towards green technologies such as heat pumps, photovoltaics, and wind turbines. 2) The Green Solidarity project (EUR 28.4 million) is designed for low-income households, which may receive support of up to 90% for photovoltaics, solar collectors, and biomass. 3) The Green for Businesses project (EUR 66.6 million) provides support to SMEs for installations producing heat, cooling, or electricity, as well as for energy audits with recommendations for energy savings and RES utilisation.  1) Under the Green for Households project, more than 32,000 installations of renewable energy devices in households had been supported by Q1 2026, increasing installed capacity by more than 253 MW. All funds earmarked for household contributions have already been contracted. 2) Under the Green Solidarity project, more than 1,000 installations of RES devices in low-income households had been supported by Q1 2026, with a total installed capacity of 6.8 MW. The receipt, assessment, and contracting of applications is ongoing. 3) Under the Green for Businesses project, the first phase of support for RES installations in enterprises was launched in 2025. More than 1,200 applications from SMEs for the installation of devices with a total capacity exceeding 154 MW were submitted. In Q1 2026, the evaluation and gradual contracting of these applications is under way.</w:t>
            </w:r>
          </w:p>
        </w:tc>
      </w:tr>
      <w:tr w:rsidR="00C24F6F" w:rsidRPr="002F5AA0" w14:paraId="400C2E34" w14:textId="77777777" w:rsidTr="002B1847">
        <w:trPr>
          <w:tblCellSpacing w:w="50" w:type="dxa"/>
          <w:jc w:val="center"/>
        </w:trPr>
        <w:tc>
          <w:tcPr>
            <w:tcW w:w="1500" w:type="dxa"/>
            <w:tcBorders>
              <w:top w:val="single" w:sz="6" w:space="0" w:color="000000"/>
              <w:right w:val="single" w:sz="6" w:space="0" w:color="000000"/>
            </w:tcBorders>
            <w:noWrap/>
          </w:tcPr>
          <w:p w14:paraId="7E54E376"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5</w:t>
            </w:r>
          </w:p>
        </w:tc>
        <w:tc>
          <w:tcPr>
            <w:tcW w:w="8500" w:type="dxa"/>
            <w:tcBorders>
              <w:top w:val="single" w:sz="6" w:space="0" w:color="000000"/>
            </w:tcBorders>
            <w:noWrap/>
          </w:tcPr>
          <w:p w14:paraId="19A72FD0"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3DE20179" w14:textId="77777777" w:rsidR="00C24F6F" w:rsidRPr="002F5AA0" w:rsidRDefault="00C24F6F" w:rsidP="002B1847">
            <w:pPr>
              <w:rPr>
                <w:rFonts w:ascii="Arial Narrow" w:hAnsi="Arial Narrow"/>
                <w:sz w:val="14"/>
                <w:szCs w:val="14"/>
              </w:rPr>
            </w:pPr>
          </w:p>
          <w:p w14:paraId="225F60AA" w14:textId="5330C561"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 xml:space="preserve">State Aid Scheme for Industrial Decarbonisation: The Modernisation Fund scheme aims to contribute to the reduction of greenhouse gas emissions by supporting projects that will deliver primary energy savings, reduce final energy consumption, and introduce advanced environmental technologies into industrial production.  Under the first call, contracts were signed with 4 beneficiaries for a total amount of nearly EUR 141 million. </w:t>
            </w:r>
            <w:r w:rsidR="00993AB3" w:rsidRPr="00993AB3">
              <w:rPr>
                <w:rStyle w:val="defaultStyle"/>
                <w:rFonts w:ascii="Arial Narrow" w:hAnsi="Arial Narrow"/>
                <w:sz w:val="14"/>
                <w:szCs w:val="14"/>
              </w:rPr>
              <w:t>Under the second call, contracts were signed with five beneficiaries totalling approximately EUR 242 million. The third call was launched on 1 April 2026, with a submission deadline set for 1 June 2026</w:t>
            </w:r>
            <w:r w:rsidRPr="002F5AA0">
              <w:rPr>
                <w:rStyle w:val="defaultStyle"/>
                <w:rFonts w:ascii="Arial Narrow" w:hAnsi="Arial Narrow"/>
                <w:sz w:val="14"/>
                <w:szCs w:val="14"/>
              </w:rPr>
              <w:t>.</w:t>
            </w:r>
          </w:p>
        </w:tc>
      </w:tr>
      <w:tr w:rsidR="00C24F6F" w:rsidRPr="002F5AA0" w14:paraId="2CC74463" w14:textId="77777777" w:rsidTr="002B1847">
        <w:trPr>
          <w:tblCellSpacing w:w="50" w:type="dxa"/>
          <w:jc w:val="center"/>
        </w:trPr>
        <w:tc>
          <w:tcPr>
            <w:tcW w:w="1500" w:type="dxa"/>
            <w:tcBorders>
              <w:top w:val="single" w:sz="6" w:space="0" w:color="000000"/>
              <w:right w:val="single" w:sz="6" w:space="0" w:color="000000"/>
            </w:tcBorders>
            <w:noWrap/>
          </w:tcPr>
          <w:p w14:paraId="2E554F91"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6</w:t>
            </w:r>
          </w:p>
        </w:tc>
        <w:tc>
          <w:tcPr>
            <w:tcW w:w="8500" w:type="dxa"/>
            <w:tcBorders>
              <w:top w:val="single" w:sz="6" w:space="0" w:color="000000"/>
            </w:tcBorders>
            <w:noWrap/>
          </w:tcPr>
          <w:p w14:paraId="19DA3CE1"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645E36FD" w14:textId="77777777" w:rsidR="00C24F6F" w:rsidRPr="002F5AA0" w:rsidRDefault="00C24F6F" w:rsidP="002B1847">
            <w:pPr>
              <w:rPr>
                <w:rFonts w:ascii="Arial Narrow" w:hAnsi="Arial Narrow"/>
                <w:sz w:val="14"/>
                <w:szCs w:val="14"/>
              </w:rPr>
            </w:pPr>
          </w:p>
          <w:p w14:paraId="0D706B0B" w14:textId="2AE0774B"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lastRenderedPageBreak/>
              <w:t xml:space="preserve">Improving the Effectiveness of Support Provided through the Environmental Fund: The amendment to the Environmental Fund Act will improve the efficiency of its operations and enable a more flexible response to the needs of support beneficiaries.  The Government of the Slovak Republic approved the draft new Environmental Fund Act on 1 October 2025. The draft act is currently under consideration in the National Council of the Slovak Republic at second reading, and its adoption is expected in the course of the </w:t>
            </w:r>
            <w:r w:rsidR="00EE67CA">
              <w:rPr>
                <w:rStyle w:val="defaultStyle"/>
                <w:rFonts w:ascii="Arial Narrow" w:hAnsi="Arial Narrow"/>
                <w:sz w:val="14"/>
                <w:szCs w:val="14"/>
              </w:rPr>
              <w:t>second</w:t>
            </w:r>
            <w:r w:rsidRPr="002F5AA0">
              <w:rPr>
                <w:rStyle w:val="defaultStyle"/>
                <w:rFonts w:ascii="Arial Narrow" w:hAnsi="Arial Narrow"/>
                <w:sz w:val="14"/>
                <w:szCs w:val="14"/>
              </w:rPr>
              <w:t xml:space="preserve"> quarter of 2026.</w:t>
            </w:r>
          </w:p>
        </w:tc>
      </w:tr>
      <w:tr w:rsidR="00C24F6F" w:rsidRPr="002F5AA0" w14:paraId="3205A726" w14:textId="77777777" w:rsidTr="002B1847">
        <w:trPr>
          <w:tblCellSpacing w:w="50" w:type="dxa"/>
          <w:jc w:val="center"/>
        </w:trPr>
        <w:tc>
          <w:tcPr>
            <w:tcW w:w="1500" w:type="dxa"/>
            <w:tcBorders>
              <w:top w:val="single" w:sz="6" w:space="0" w:color="000000"/>
              <w:right w:val="single" w:sz="6" w:space="0" w:color="000000"/>
            </w:tcBorders>
            <w:noWrap/>
          </w:tcPr>
          <w:p w14:paraId="73975710"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lastRenderedPageBreak/>
              <w:t>Entry 7</w:t>
            </w:r>
          </w:p>
        </w:tc>
        <w:tc>
          <w:tcPr>
            <w:tcW w:w="8500" w:type="dxa"/>
            <w:tcBorders>
              <w:top w:val="single" w:sz="6" w:space="0" w:color="000000"/>
            </w:tcBorders>
            <w:noWrap/>
          </w:tcPr>
          <w:p w14:paraId="0FF3FD7F"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1E50AE35" w14:textId="77777777" w:rsidR="00C24F6F" w:rsidRPr="002F5AA0" w:rsidRDefault="00C24F6F" w:rsidP="002B1847">
            <w:pPr>
              <w:rPr>
                <w:rFonts w:ascii="Arial Narrow" w:hAnsi="Arial Narrow"/>
                <w:sz w:val="14"/>
                <w:szCs w:val="14"/>
              </w:rPr>
            </w:pPr>
          </w:p>
          <w:p w14:paraId="1837DC28"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Support for Renewable Energy Sources and Energy Efficiency: The package of measures aims to increase the share of renewable energy sources (RES) in the energy mix and to promote energy efficiency. Support is focused in particular on the development of geothermal energy (exploration, drilling), biomethane production (municipal biodegradable waste processing facilities), and high-efficiency combined heat and power (HE CHP) in district heating systems.  The Slovak Innovation and Energy Agency (SIEA) is preparing demand-driven calls for support for geothermal energy and biomethane. A call for tenders for HE CHP installations is currently being prepared.</w:t>
            </w:r>
          </w:p>
        </w:tc>
      </w:tr>
      <w:tr w:rsidR="00C24F6F" w:rsidRPr="002F5AA0" w14:paraId="34B09771" w14:textId="77777777" w:rsidTr="002B1847">
        <w:trPr>
          <w:tblCellSpacing w:w="50" w:type="dxa"/>
          <w:jc w:val="center"/>
        </w:trPr>
        <w:tc>
          <w:tcPr>
            <w:tcW w:w="1500" w:type="dxa"/>
            <w:tcBorders>
              <w:top w:val="single" w:sz="6" w:space="0" w:color="000000"/>
              <w:right w:val="single" w:sz="6" w:space="0" w:color="000000"/>
            </w:tcBorders>
            <w:noWrap/>
          </w:tcPr>
          <w:p w14:paraId="1DEA34A0"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8</w:t>
            </w:r>
          </w:p>
        </w:tc>
        <w:tc>
          <w:tcPr>
            <w:tcW w:w="8500" w:type="dxa"/>
            <w:tcBorders>
              <w:top w:val="single" w:sz="6" w:space="0" w:color="000000"/>
            </w:tcBorders>
            <w:noWrap/>
          </w:tcPr>
          <w:p w14:paraId="3CF18D1B"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Adopted (09/04/2026 10:23 AM)</w:t>
            </w:r>
          </w:p>
          <w:p w14:paraId="19BF1A61" w14:textId="77777777" w:rsidR="00C24F6F" w:rsidRPr="002F5AA0" w:rsidRDefault="00C24F6F" w:rsidP="002B1847">
            <w:pPr>
              <w:rPr>
                <w:rFonts w:ascii="Arial Narrow" w:hAnsi="Arial Narrow"/>
                <w:sz w:val="14"/>
                <w:szCs w:val="14"/>
              </w:rPr>
            </w:pPr>
          </w:p>
          <w:p w14:paraId="5363BF59"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Hydrogen Ecosystem: The measure will strengthen Slovakia's energy security and accelerate the transition to a low-carbon economy through the integrated use of hydrogen, with priority given to legislative adjustments and the harmonisation of technical standards in line with EU requirements and national priorities.  The Ministry of Economy of the Slovak Republic has prepared a legislative framework to support the hydrogen ecosystem, including the identification of relevant legislation and technical standards. The first package of legislative and standardisation amendments entered into force on 1 January 2026. The elaboration of an Action Plan for the Development of the Hydrogen Ecosystem is envisaged by end of September 2026, and the update of the National Hydrogen Strategy by end of 2026.</w:t>
            </w:r>
          </w:p>
        </w:tc>
      </w:tr>
      <w:tr w:rsidR="00C24F6F" w:rsidRPr="002F5AA0" w14:paraId="48A12A30" w14:textId="77777777" w:rsidTr="002B1847">
        <w:trPr>
          <w:tblCellSpacing w:w="50" w:type="dxa"/>
          <w:jc w:val="center"/>
        </w:trPr>
        <w:tc>
          <w:tcPr>
            <w:tcW w:w="10000" w:type="dxa"/>
            <w:gridSpan w:val="2"/>
            <w:tcBorders>
              <w:top w:val="single" w:sz="6" w:space="0" w:color="000000"/>
            </w:tcBorders>
            <w:shd w:val="clear" w:color="auto" w:fill="BBD5ED"/>
            <w:noWrap/>
          </w:tcPr>
          <w:p w14:paraId="75AEA948"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4508DD65" w14:textId="77777777" w:rsidTr="002B1847">
        <w:trPr>
          <w:tblCellSpacing w:w="50" w:type="dxa"/>
          <w:jc w:val="center"/>
        </w:trPr>
        <w:tc>
          <w:tcPr>
            <w:tcW w:w="10000" w:type="dxa"/>
            <w:gridSpan w:val="2"/>
            <w:tcBorders>
              <w:top w:val="single" w:sz="6" w:space="0" w:color="000000"/>
            </w:tcBorders>
            <w:shd w:val="clear" w:color="auto" w:fill="BBD5ED"/>
            <w:noWrap/>
          </w:tcPr>
          <w:p w14:paraId="69DC572A"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00223E31"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5 Subpart 2: Strengthen the legislative framework to support green technologies and products,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0F960360" w14:textId="77777777" w:rsidTr="002B1847">
        <w:trPr>
          <w:tblCellSpacing w:w="50" w:type="dxa"/>
          <w:jc w:val="center"/>
        </w:trPr>
        <w:tc>
          <w:tcPr>
            <w:tcW w:w="10000" w:type="dxa"/>
            <w:gridSpan w:val="2"/>
            <w:tcBorders>
              <w:top w:val="single" w:sz="6" w:space="0" w:color="000000"/>
            </w:tcBorders>
            <w:shd w:val="clear" w:color="auto" w:fill="BBD5ED"/>
            <w:noWrap/>
          </w:tcPr>
          <w:p w14:paraId="3CB890C1"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38D62E05" w14:textId="77777777" w:rsidTr="002B1847">
        <w:trPr>
          <w:tblCellSpacing w:w="50" w:type="dxa"/>
          <w:jc w:val="center"/>
        </w:trPr>
        <w:tc>
          <w:tcPr>
            <w:tcW w:w="1500" w:type="dxa"/>
            <w:tcBorders>
              <w:top w:val="single" w:sz="6" w:space="0" w:color="000000"/>
              <w:right w:val="single" w:sz="6" w:space="0" w:color="000000"/>
            </w:tcBorders>
            <w:noWrap/>
          </w:tcPr>
          <w:p w14:paraId="090C31C6"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33DE3FBD"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70400216" w14:textId="77777777" w:rsidR="00C24F6F" w:rsidRPr="002F5AA0" w:rsidRDefault="00C24F6F" w:rsidP="002B1847">
            <w:pPr>
              <w:rPr>
                <w:rFonts w:ascii="Arial Narrow" w:hAnsi="Arial Narrow"/>
                <w:sz w:val="14"/>
                <w:szCs w:val="14"/>
              </w:rPr>
            </w:pPr>
          </w:p>
          <w:p w14:paraId="629CEA52" w14:textId="1AB80EE4"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 xml:space="preserve">Improving the Effectiveness of Support Provided through the Environmental Fund: The amendment to the Environmental Fund Act will improve the efficiency of its operations and enable a more flexible response to the needs of support beneficiaries.  The Government of the Slovak Republic approved the draft new Environmental Fund Act on 1 October 2025. The draft act is currently under consideration in the National Council of the Slovak Republic at second reading, and its adoption is expected in the course of the </w:t>
            </w:r>
            <w:r w:rsidR="00EE67CA">
              <w:rPr>
                <w:rStyle w:val="defaultStyle"/>
                <w:rFonts w:ascii="Arial Narrow" w:hAnsi="Arial Narrow"/>
                <w:sz w:val="14"/>
                <w:szCs w:val="14"/>
              </w:rPr>
              <w:t>second</w:t>
            </w:r>
            <w:r w:rsidRPr="002F5AA0">
              <w:rPr>
                <w:rStyle w:val="defaultStyle"/>
                <w:rFonts w:ascii="Arial Narrow" w:hAnsi="Arial Narrow"/>
                <w:sz w:val="14"/>
                <w:szCs w:val="14"/>
              </w:rPr>
              <w:t xml:space="preserve"> quarter of 2026.</w:t>
            </w:r>
          </w:p>
        </w:tc>
      </w:tr>
      <w:tr w:rsidR="00C24F6F" w:rsidRPr="002F5AA0" w14:paraId="606A4C93" w14:textId="77777777" w:rsidTr="002B1847">
        <w:trPr>
          <w:tblCellSpacing w:w="50" w:type="dxa"/>
          <w:jc w:val="center"/>
        </w:trPr>
        <w:tc>
          <w:tcPr>
            <w:tcW w:w="1500" w:type="dxa"/>
            <w:tcBorders>
              <w:top w:val="single" w:sz="6" w:space="0" w:color="000000"/>
              <w:right w:val="single" w:sz="6" w:space="0" w:color="000000"/>
            </w:tcBorders>
            <w:noWrap/>
          </w:tcPr>
          <w:p w14:paraId="0BB054AE"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06AD490B"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Adopted (09/04/2026 10:23 AM)</w:t>
            </w:r>
          </w:p>
          <w:p w14:paraId="40D7D674" w14:textId="77777777" w:rsidR="00C24F6F" w:rsidRPr="002F5AA0" w:rsidRDefault="00C24F6F" w:rsidP="002B1847">
            <w:pPr>
              <w:rPr>
                <w:rFonts w:ascii="Arial Narrow" w:hAnsi="Arial Narrow"/>
                <w:sz w:val="14"/>
                <w:szCs w:val="14"/>
              </w:rPr>
            </w:pPr>
          </w:p>
          <w:p w14:paraId="334B0778"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Hydrogen Ecosystem: The measure will strengthen Slovakia's energy security and accelerate the transition to a low-carbon economy through the integrated use of hydrogen, with priority given to legislative adjustments and the harmonisation of technical standards in line with EU requirements and national priorities.  The Ministry of Economy of the Slovak Republic has prepared a legislative framework to support the hydrogen ecosystem, including the identification of relevant legislation and technical standards. The first package of legislative and standardisation amendments entered into force on 1 January 2026. The elaboration of an Action Plan for the Development of the Hydrogen Ecosystem is envisaged by end of September 2026, and the update of the National Hydrogen Strategy by end of 2026.</w:t>
            </w:r>
          </w:p>
        </w:tc>
      </w:tr>
      <w:tr w:rsidR="00C24F6F" w:rsidRPr="002F5AA0" w14:paraId="09799A01" w14:textId="77777777" w:rsidTr="002B1847">
        <w:trPr>
          <w:tblCellSpacing w:w="50" w:type="dxa"/>
          <w:jc w:val="center"/>
        </w:trPr>
        <w:tc>
          <w:tcPr>
            <w:tcW w:w="10000" w:type="dxa"/>
            <w:gridSpan w:val="2"/>
            <w:tcBorders>
              <w:top w:val="single" w:sz="6" w:space="0" w:color="000000"/>
            </w:tcBorders>
            <w:shd w:val="clear" w:color="auto" w:fill="BBD5ED"/>
            <w:noWrap/>
          </w:tcPr>
          <w:p w14:paraId="69089644"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74DAC188" w14:textId="77777777" w:rsidTr="002B1847">
        <w:trPr>
          <w:tblCellSpacing w:w="50" w:type="dxa"/>
          <w:jc w:val="center"/>
        </w:trPr>
        <w:tc>
          <w:tcPr>
            <w:tcW w:w="10000" w:type="dxa"/>
            <w:gridSpan w:val="2"/>
            <w:tcBorders>
              <w:top w:val="single" w:sz="6" w:space="0" w:color="000000"/>
            </w:tcBorders>
            <w:shd w:val="clear" w:color="auto" w:fill="BBD5ED"/>
            <w:noWrap/>
          </w:tcPr>
          <w:p w14:paraId="1915D00A"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073F7D90" w14:textId="77777777" w:rsidR="00C24F6F" w:rsidRDefault="00C24F6F" w:rsidP="00C24F6F">
      <w:pPr>
        <w:pStyle w:val="subpartParagraphStyle"/>
        <w:spacing w:after="0"/>
        <w:rPr>
          <w:rStyle w:val="blueStyle"/>
          <w:rFonts w:ascii="Arial Narrow" w:hAnsi="Arial Narrow"/>
          <w:sz w:val="14"/>
          <w:szCs w:val="14"/>
        </w:rPr>
      </w:pPr>
    </w:p>
    <w:p w14:paraId="29C0BA3B"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lastRenderedPageBreak/>
        <w:t xml:space="preserve">CSR 5 Subpart 3: and promote investments to advance industrial competitiveness and economic diversification.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00029BB4" w14:textId="77777777" w:rsidTr="002B1847">
        <w:trPr>
          <w:tblCellSpacing w:w="50" w:type="dxa"/>
          <w:jc w:val="center"/>
        </w:trPr>
        <w:tc>
          <w:tcPr>
            <w:tcW w:w="10000" w:type="dxa"/>
            <w:gridSpan w:val="2"/>
            <w:tcBorders>
              <w:top w:val="single" w:sz="6" w:space="0" w:color="000000"/>
            </w:tcBorders>
            <w:shd w:val="clear" w:color="auto" w:fill="BBD5ED"/>
            <w:noWrap/>
          </w:tcPr>
          <w:p w14:paraId="61B536C2"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1EE985EF" w14:textId="77777777" w:rsidTr="002B1847">
        <w:trPr>
          <w:tblCellSpacing w:w="50" w:type="dxa"/>
          <w:jc w:val="center"/>
        </w:trPr>
        <w:tc>
          <w:tcPr>
            <w:tcW w:w="1500" w:type="dxa"/>
            <w:tcBorders>
              <w:top w:val="single" w:sz="6" w:space="0" w:color="000000"/>
              <w:right w:val="single" w:sz="6" w:space="0" w:color="000000"/>
            </w:tcBorders>
            <w:noWrap/>
          </w:tcPr>
          <w:p w14:paraId="7F1BF917"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6F2FEA1B"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1C34F417" w14:textId="77777777" w:rsidR="00C24F6F" w:rsidRPr="002F5AA0" w:rsidRDefault="00C24F6F" w:rsidP="002B1847">
            <w:pPr>
              <w:rPr>
                <w:rFonts w:ascii="Arial Narrow" w:hAnsi="Arial Narrow"/>
                <w:sz w:val="14"/>
                <w:szCs w:val="14"/>
              </w:rPr>
            </w:pPr>
          </w:p>
          <w:p w14:paraId="3684C796"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Social Climate Fund: The Fund aims to compensate the social impacts of the introduction of emissions trading in the buildings and road transport sectors (ETS 2) from 2027 for the most vulnerable groups. Member States must submit a Social Climate Plan by end of June 2025 in order to access funding. Implementation of the Fund is planned for the period 2026–2032, and access to its resources will be conditional on the transposition of all parts of the relevant EU Directive.  The draft Social Climate Plan is currently being prepared. Since July 2025, informal consultations with the European Commission on the draft have been ongoing. Approval of the Plan by the European Commission is a prerequisite for accessing resources from the Social Climate Fund, and is contingent on the completion of the transposition of the EU ETS 2 Directive, which has not yet been finalised at national level.</w:t>
            </w:r>
          </w:p>
        </w:tc>
      </w:tr>
      <w:tr w:rsidR="00C24F6F" w:rsidRPr="002F5AA0" w14:paraId="6A8F1D31" w14:textId="77777777" w:rsidTr="002B1847">
        <w:trPr>
          <w:tblCellSpacing w:w="50" w:type="dxa"/>
          <w:jc w:val="center"/>
        </w:trPr>
        <w:tc>
          <w:tcPr>
            <w:tcW w:w="1500" w:type="dxa"/>
            <w:tcBorders>
              <w:top w:val="single" w:sz="6" w:space="0" w:color="000000"/>
              <w:right w:val="single" w:sz="6" w:space="0" w:color="000000"/>
            </w:tcBorders>
            <w:noWrap/>
          </w:tcPr>
          <w:p w14:paraId="7FC3DD63"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18112EAE"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66388BAC" w14:textId="77777777" w:rsidR="00C24F6F" w:rsidRPr="002F5AA0" w:rsidRDefault="00C24F6F" w:rsidP="002B1847">
            <w:pPr>
              <w:rPr>
                <w:rFonts w:ascii="Arial Narrow" w:hAnsi="Arial Narrow"/>
                <w:sz w:val="14"/>
                <w:szCs w:val="14"/>
              </w:rPr>
            </w:pPr>
          </w:p>
          <w:p w14:paraId="225323BF"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Update of the National Strategy for Research, Development and Innovation: The updated strategy builds on the RRP, which is coming to an end, and focuses on three areas: support for business research and development, the development of strategic initiatives (robotics, artificial intelligence and the Mission Health programme), and the strengthening of the innovation ecosystem, including breakthrough research and the transfer of knowledge into practice.  The draft update of the strategy, together with a new action plan, was submitted for interministerial consultation in February 2026. The comments received are currently being assessed.</w:t>
            </w:r>
          </w:p>
        </w:tc>
      </w:tr>
      <w:tr w:rsidR="00C24F6F" w:rsidRPr="002F5AA0" w14:paraId="574BD08A" w14:textId="77777777" w:rsidTr="002B1847">
        <w:trPr>
          <w:tblCellSpacing w:w="50" w:type="dxa"/>
          <w:jc w:val="center"/>
        </w:trPr>
        <w:tc>
          <w:tcPr>
            <w:tcW w:w="1500" w:type="dxa"/>
            <w:tcBorders>
              <w:top w:val="single" w:sz="6" w:space="0" w:color="000000"/>
              <w:right w:val="single" w:sz="6" w:space="0" w:color="000000"/>
            </w:tcBorders>
            <w:noWrap/>
          </w:tcPr>
          <w:p w14:paraId="0F5FD398"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3</w:t>
            </w:r>
          </w:p>
        </w:tc>
        <w:tc>
          <w:tcPr>
            <w:tcW w:w="8500" w:type="dxa"/>
            <w:tcBorders>
              <w:top w:val="single" w:sz="6" w:space="0" w:color="000000"/>
            </w:tcBorders>
            <w:noWrap/>
          </w:tcPr>
          <w:p w14:paraId="6A452C2F"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7ABCE93A" w14:textId="77777777" w:rsidR="00C24F6F" w:rsidRPr="002F5AA0" w:rsidRDefault="00C24F6F" w:rsidP="002B1847">
            <w:pPr>
              <w:rPr>
                <w:rFonts w:ascii="Arial Narrow" w:hAnsi="Arial Narrow"/>
                <w:sz w:val="14"/>
                <w:szCs w:val="14"/>
              </w:rPr>
            </w:pPr>
          </w:p>
          <w:p w14:paraId="3C4C5453"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Support for innovation, business development and internationalisation of enterprises: The objective of the Ministry of Economy of the Slovak Republic and the organisations under its remit is to provide support to enterprises in order to strengthen their competitiveness through: (1) support for industrial research, experimental development and innovation in the form of demand-driven calls, innovation vouchers and expert services; (2) support for the internationalisation and development of SMEs in the form of vouchers and expert services; and (3) support for investments in enterprises in the form of repayable assistance.  (1) Under three calls launched by the Ministry of Economy of the Slovak Republic (EUR 77 million) to support industrial research and experimental development, a total of 227 applications for non-repayable financial contributions were submitted, amounting to approximately EUR 263 million. In addition, the Slovak Innovation and Energy Agency (SIEA), through the project Increasing the Innovation Performance of the Slovak Economy 2, launched several calls for innovation vouchers (EUR 8.3 million) aimed, inter alia, at the protection of intellectual property, product certification, advisory support for applications under the EIC Accelerator scheme, and support for robotisation and automation in industry.  (2) Under the project Horizontal Support for Small and Medium-Sized Entrepreneurship (EUR 7 million), the Slovak Business Agency launched several calls for vouchers aimed, inter alia, at company audits, the participation of SMEs in EU programmes, management development, the circular economy and family businesses. Under the project Support for the Internationalisation of SMEs 2 (EUR 12.7 million), the Slovak Investment and Trade Development Agency provides vouchers to support the participation of SMEs in promotional events.  (3) Since 2025, Slovak Investment Holding has been providing support to enterprises through guaranteed loans with a grant component. As of 31 December 2025, a total of 296 loans had been concluded, with a total contracted amount of approximately EUR 85 million.</w:t>
            </w:r>
          </w:p>
        </w:tc>
      </w:tr>
      <w:tr w:rsidR="00C24F6F" w:rsidRPr="002F5AA0" w14:paraId="780913F8" w14:textId="77777777" w:rsidTr="002B1847">
        <w:trPr>
          <w:tblCellSpacing w:w="50" w:type="dxa"/>
          <w:jc w:val="center"/>
        </w:trPr>
        <w:tc>
          <w:tcPr>
            <w:tcW w:w="1500" w:type="dxa"/>
            <w:tcBorders>
              <w:top w:val="single" w:sz="6" w:space="0" w:color="000000"/>
              <w:right w:val="single" w:sz="6" w:space="0" w:color="000000"/>
            </w:tcBorders>
            <w:noWrap/>
          </w:tcPr>
          <w:p w14:paraId="128C168D"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4</w:t>
            </w:r>
          </w:p>
        </w:tc>
        <w:tc>
          <w:tcPr>
            <w:tcW w:w="8500" w:type="dxa"/>
            <w:tcBorders>
              <w:top w:val="single" w:sz="6" w:space="0" w:color="000000"/>
            </w:tcBorders>
            <w:noWrap/>
          </w:tcPr>
          <w:p w14:paraId="2349DF97"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64135874" w14:textId="77777777" w:rsidR="00C24F6F" w:rsidRPr="002F5AA0" w:rsidRDefault="00C24F6F" w:rsidP="002B1847">
            <w:pPr>
              <w:rPr>
                <w:rFonts w:ascii="Arial Narrow" w:hAnsi="Arial Narrow"/>
                <w:sz w:val="14"/>
                <w:szCs w:val="14"/>
              </w:rPr>
            </w:pPr>
          </w:p>
          <w:p w14:paraId="5535479C"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Idustrial Policy of the Slovak Republic 2027–2035: The measure responds to geopolitical developments and new legislative initiatives affecting Slovakia’s competitiveness. A key step will be an analysis of industrial potential, needs and challenges. The draft industrial strategy will build on Mario Draghi’s report and the forthcoming European Industrial Deal, while taking into account the needs of the national economy and geopolitical resilience.  The Ministry of Economy of the Slovak Republic is continuing the preparation of the industrial policy through the development of the Stabilisation Framework 2026–2028, aimed at the short-term stabilisation of the industrial environment. In parallel, the Vision and Strategy of Slovakia 2040 is being prepared as an overarching document for future measures and sectoral policies, while separate sectoral strategies are also being developed for selected areas. The document will be prepared in 2026, with its approval expected in the second quarter of 2028</w:t>
            </w:r>
          </w:p>
        </w:tc>
      </w:tr>
      <w:tr w:rsidR="00C24F6F" w:rsidRPr="002F5AA0" w14:paraId="3831046E" w14:textId="77777777" w:rsidTr="002B1847">
        <w:trPr>
          <w:tblCellSpacing w:w="50" w:type="dxa"/>
          <w:jc w:val="center"/>
        </w:trPr>
        <w:tc>
          <w:tcPr>
            <w:tcW w:w="1500" w:type="dxa"/>
            <w:tcBorders>
              <w:top w:val="single" w:sz="6" w:space="0" w:color="000000"/>
              <w:right w:val="single" w:sz="6" w:space="0" w:color="000000"/>
            </w:tcBorders>
            <w:noWrap/>
          </w:tcPr>
          <w:p w14:paraId="0F500B4E"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5</w:t>
            </w:r>
          </w:p>
        </w:tc>
        <w:tc>
          <w:tcPr>
            <w:tcW w:w="8500" w:type="dxa"/>
            <w:tcBorders>
              <w:top w:val="single" w:sz="6" w:space="0" w:color="000000"/>
            </w:tcBorders>
            <w:noWrap/>
          </w:tcPr>
          <w:p w14:paraId="0CCE6CB5"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662D0629" w14:textId="77777777" w:rsidR="00C24F6F" w:rsidRPr="002F5AA0" w:rsidRDefault="00C24F6F" w:rsidP="002B1847">
            <w:pPr>
              <w:rPr>
                <w:rFonts w:ascii="Arial Narrow" w:hAnsi="Arial Narrow"/>
                <w:sz w:val="14"/>
                <w:szCs w:val="14"/>
              </w:rPr>
            </w:pPr>
          </w:p>
          <w:p w14:paraId="68524BC0"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 xml:space="preserve">Green Energy for Households and Businesses: Support for the installation of renewable energy sources (RES) is provided in the form of vouchers for both households and businesses: 1) The Green for Households project (EUR 107.7 million) enables households to obtain a 50% contribution towards green technologies such as heat pumps, photovoltaics, and wind turbines. 2) The Green Solidarity project (EUR 28.4 million) is designed for low-income households, which may receive support of up to 90% for photovoltaics, solar collectors, and biomass. 3) The Green for Businesses project (EUR 66.6 million) provides support to SMEs for installations producing heat, cooling, or electricity, as well as for energy audits with recommendations for energy savings and RES utilisation.  1) Under the Green for Households project, more than 32,000 installations of renewable energy devices in households had been supported by Q1 2026, increasing installed capacity by more than 253 MW. All funds earmarked for household contributions have already been contracted. 2) Under the Green Solidarity project, more than </w:t>
            </w:r>
            <w:r w:rsidRPr="002F5AA0">
              <w:rPr>
                <w:rStyle w:val="defaultStyle"/>
                <w:rFonts w:ascii="Arial Narrow" w:hAnsi="Arial Narrow"/>
                <w:sz w:val="14"/>
                <w:szCs w:val="14"/>
              </w:rPr>
              <w:lastRenderedPageBreak/>
              <w:t>1,000 installations of RES devices in low-income households had been supported by Q1 2026, with a total installed capacity of 6.8 MW. The receipt, assessment, and contracting of applications is ongoing. 3) Under the Green for Businesses project, the first phase of support for RES installations in enterprises was launched in 2025. More than 1,200 applications from SMEs for the installation of devices with a total capacity exceeding 154 MW were submitted. In Q1 2026, the evaluation and gradual contracting of these applications is under way.</w:t>
            </w:r>
          </w:p>
        </w:tc>
      </w:tr>
      <w:tr w:rsidR="00C24F6F" w:rsidRPr="002F5AA0" w14:paraId="396CE68D" w14:textId="77777777" w:rsidTr="002B1847">
        <w:trPr>
          <w:tblCellSpacing w:w="50" w:type="dxa"/>
          <w:jc w:val="center"/>
        </w:trPr>
        <w:tc>
          <w:tcPr>
            <w:tcW w:w="1500" w:type="dxa"/>
            <w:tcBorders>
              <w:top w:val="single" w:sz="6" w:space="0" w:color="000000"/>
              <w:right w:val="single" w:sz="6" w:space="0" w:color="000000"/>
            </w:tcBorders>
            <w:noWrap/>
          </w:tcPr>
          <w:p w14:paraId="4B83B738"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lastRenderedPageBreak/>
              <w:t>Entry 6</w:t>
            </w:r>
          </w:p>
        </w:tc>
        <w:tc>
          <w:tcPr>
            <w:tcW w:w="8500" w:type="dxa"/>
            <w:tcBorders>
              <w:top w:val="single" w:sz="6" w:space="0" w:color="000000"/>
            </w:tcBorders>
            <w:noWrap/>
          </w:tcPr>
          <w:p w14:paraId="1718AF38"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2906C2F3" w14:textId="77777777" w:rsidR="00C24F6F" w:rsidRPr="002F5AA0" w:rsidRDefault="00C24F6F" w:rsidP="002B1847">
            <w:pPr>
              <w:rPr>
                <w:rFonts w:ascii="Arial Narrow" w:hAnsi="Arial Narrow"/>
                <w:sz w:val="14"/>
                <w:szCs w:val="14"/>
              </w:rPr>
            </w:pPr>
          </w:p>
          <w:p w14:paraId="0371A252" w14:textId="58AADD70"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 xml:space="preserve">State Aid Scheme for Industrial Decarbonisation: The Modernisation Fund scheme aims to contribute to the reduction of greenhouse gas emissions by supporting projects that will deliver primary energy savings, reduce final energy consumption, and introduce advanced environmental technologies into industrial production.  Under the first call, contracts were signed with 4 beneficiaries for a total amount of nearly EUR 141 million. </w:t>
            </w:r>
            <w:r w:rsidR="00993AB3" w:rsidRPr="00993AB3">
              <w:rPr>
                <w:rStyle w:val="defaultStyle"/>
                <w:rFonts w:ascii="Arial Narrow" w:hAnsi="Arial Narrow"/>
                <w:sz w:val="14"/>
                <w:szCs w:val="14"/>
              </w:rPr>
              <w:t>Under the second call, contracts were signed with five beneficiaries totalling approximately EUR 242 million. The third call was launched on 1 April 2026, with a submission deadline set for 1 June 2026</w:t>
            </w:r>
            <w:r w:rsidRPr="002F5AA0">
              <w:rPr>
                <w:rStyle w:val="defaultStyle"/>
                <w:rFonts w:ascii="Arial Narrow" w:hAnsi="Arial Narrow"/>
                <w:sz w:val="14"/>
                <w:szCs w:val="14"/>
              </w:rPr>
              <w:t>.</w:t>
            </w:r>
          </w:p>
        </w:tc>
      </w:tr>
      <w:tr w:rsidR="00C24F6F" w:rsidRPr="002F5AA0" w14:paraId="3AEA7FDF" w14:textId="77777777" w:rsidTr="002B1847">
        <w:trPr>
          <w:tblCellSpacing w:w="50" w:type="dxa"/>
          <w:jc w:val="center"/>
        </w:trPr>
        <w:tc>
          <w:tcPr>
            <w:tcW w:w="1500" w:type="dxa"/>
            <w:tcBorders>
              <w:top w:val="single" w:sz="6" w:space="0" w:color="000000"/>
              <w:right w:val="single" w:sz="6" w:space="0" w:color="000000"/>
            </w:tcBorders>
            <w:noWrap/>
          </w:tcPr>
          <w:p w14:paraId="21D582FF"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7</w:t>
            </w:r>
          </w:p>
        </w:tc>
        <w:tc>
          <w:tcPr>
            <w:tcW w:w="8500" w:type="dxa"/>
            <w:tcBorders>
              <w:top w:val="single" w:sz="6" w:space="0" w:color="000000"/>
            </w:tcBorders>
            <w:noWrap/>
          </w:tcPr>
          <w:p w14:paraId="170F26F6"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3B56794B" w14:textId="77777777" w:rsidR="00C24F6F" w:rsidRPr="002F5AA0" w:rsidRDefault="00C24F6F" w:rsidP="002B1847">
            <w:pPr>
              <w:rPr>
                <w:rFonts w:ascii="Arial Narrow" w:hAnsi="Arial Narrow"/>
                <w:sz w:val="14"/>
                <w:szCs w:val="14"/>
              </w:rPr>
            </w:pPr>
          </w:p>
          <w:p w14:paraId="7F78087C" w14:textId="4A20DBC1"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Improving the Effectiveness of Support Provided through the Environmental Fund: The amendment to the Environmental Fund Act will improve the efficiency of its operations and enable a more flexible response to the needs of support beneficiaries.  The Government of the Slovak Republic approved the draft new Environmental Fund Act on 1 October 2025. The draft act is currently under consideration in the National Council of the Slovak Republic at second reading, and its adoption is expected in the course of the</w:t>
            </w:r>
            <w:r w:rsidR="00001F10">
              <w:rPr>
                <w:rStyle w:val="defaultStyle"/>
                <w:rFonts w:ascii="Arial Narrow" w:hAnsi="Arial Narrow"/>
                <w:sz w:val="14"/>
                <w:szCs w:val="14"/>
              </w:rPr>
              <w:t xml:space="preserve"> second</w:t>
            </w:r>
            <w:r w:rsidRPr="002F5AA0">
              <w:rPr>
                <w:rStyle w:val="defaultStyle"/>
                <w:rFonts w:ascii="Arial Narrow" w:hAnsi="Arial Narrow"/>
                <w:sz w:val="14"/>
                <w:szCs w:val="14"/>
              </w:rPr>
              <w:t xml:space="preserve"> quarter of 2026.</w:t>
            </w:r>
          </w:p>
        </w:tc>
      </w:tr>
      <w:tr w:rsidR="00C24F6F" w:rsidRPr="002F5AA0" w14:paraId="712C9D96" w14:textId="77777777" w:rsidTr="002B1847">
        <w:trPr>
          <w:tblCellSpacing w:w="50" w:type="dxa"/>
          <w:jc w:val="center"/>
        </w:trPr>
        <w:tc>
          <w:tcPr>
            <w:tcW w:w="1500" w:type="dxa"/>
            <w:tcBorders>
              <w:top w:val="single" w:sz="6" w:space="0" w:color="000000"/>
              <w:right w:val="single" w:sz="6" w:space="0" w:color="000000"/>
            </w:tcBorders>
            <w:noWrap/>
          </w:tcPr>
          <w:p w14:paraId="51386D8B"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8</w:t>
            </w:r>
          </w:p>
        </w:tc>
        <w:tc>
          <w:tcPr>
            <w:tcW w:w="8500" w:type="dxa"/>
            <w:tcBorders>
              <w:top w:val="single" w:sz="6" w:space="0" w:color="000000"/>
            </w:tcBorders>
            <w:noWrap/>
          </w:tcPr>
          <w:p w14:paraId="7CCF5E09"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Adopted (09/04/2026 10:23 AM)</w:t>
            </w:r>
          </w:p>
          <w:p w14:paraId="3A5778BB" w14:textId="77777777" w:rsidR="00C24F6F" w:rsidRPr="002F5AA0" w:rsidRDefault="00C24F6F" w:rsidP="002B1847">
            <w:pPr>
              <w:rPr>
                <w:rFonts w:ascii="Arial Narrow" w:hAnsi="Arial Narrow"/>
                <w:sz w:val="14"/>
                <w:szCs w:val="14"/>
              </w:rPr>
            </w:pPr>
          </w:p>
          <w:p w14:paraId="48BF6258"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Hydrogen Ecosystem: The measure will strengthen Slovakia's energy security and accelerate the transition to a low-carbon economy through the integrated use of hydrogen, with priority given to legislative adjustments and the harmonisation of technical standards in line with EU requirements and national priorities.  The Ministry of Economy of the Slovak Republic has prepared a legislative framework to support the hydrogen ecosystem, including the identification of relevant legislation and technical standards. The first package of legislative and standardisation amendments entered into force on 1 January 2026. The elaboration of an Action Plan for the Development of the Hydrogen Ecosystem is envisaged by end of September 2026, and the update of the National Hydrogen Strategy by end of 2026.</w:t>
            </w:r>
          </w:p>
        </w:tc>
      </w:tr>
      <w:tr w:rsidR="00C24F6F" w:rsidRPr="002F5AA0" w14:paraId="286DA88E" w14:textId="77777777" w:rsidTr="002B1847">
        <w:trPr>
          <w:tblCellSpacing w:w="50" w:type="dxa"/>
          <w:jc w:val="center"/>
        </w:trPr>
        <w:tc>
          <w:tcPr>
            <w:tcW w:w="10000" w:type="dxa"/>
            <w:gridSpan w:val="2"/>
            <w:tcBorders>
              <w:top w:val="single" w:sz="6" w:space="0" w:color="000000"/>
            </w:tcBorders>
            <w:shd w:val="clear" w:color="auto" w:fill="BBD5ED"/>
            <w:noWrap/>
          </w:tcPr>
          <w:p w14:paraId="57A6789B"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0D2EE9F6" w14:textId="77777777" w:rsidTr="002B1847">
        <w:trPr>
          <w:tblCellSpacing w:w="50" w:type="dxa"/>
          <w:jc w:val="center"/>
        </w:trPr>
        <w:tc>
          <w:tcPr>
            <w:tcW w:w="10000" w:type="dxa"/>
            <w:gridSpan w:val="2"/>
            <w:tcBorders>
              <w:top w:val="single" w:sz="6" w:space="0" w:color="000000"/>
            </w:tcBorders>
            <w:shd w:val="clear" w:color="auto" w:fill="BBD5ED"/>
            <w:noWrap/>
          </w:tcPr>
          <w:p w14:paraId="11E805B0"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5BD23E9C"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CSR 5 Subpart 4: Accelerate the diversification of fossil fuel supply to phase out dependence on Russian sources.</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9046"/>
      </w:tblGrid>
      <w:tr w:rsidR="00C24F6F" w:rsidRPr="002F5AA0" w14:paraId="69F7B0AC" w14:textId="77777777" w:rsidTr="002B1847">
        <w:trPr>
          <w:tblCellSpacing w:w="50" w:type="dxa"/>
          <w:jc w:val="center"/>
        </w:trPr>
        <w:tc>
          <w:tcPr>
            <w:tcW w:w="10000" w:type="dxa"/>
            <w:tcBorders>
              <w:top w:val="single" w:sz="6" w:space="0" w:color="000000"/>
            </w:tcBorders>
            <w:shd w:val="clear" w:color="auto" w:fill="BBD5ED"/>
            <w:noWrap/>
          </w:tcPr>
          <w:p w14:paraId="2BB8C203"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191E9A37" w14:textId="77777777" w:rsidTr="002B1847">
        <w:trPr>
          <w:tblCellSpacing w:w="50" w:type="dxa"/>
          <w:jc w:val="center"/>
        </w:trPr>
        <w:tc>
          <w:tcPr>
            <w:tcW w:w="10000" w:type="dxa"/>
            <w:tcBorders>
              <w:top w:val="single" w:sz="6" w:space="0" w:color="000000"/>
            </w:tcBorders>
            <w:shd w:val="clear" w:color="auto" w:fill="BBD5ED"/>
            <w:noWrap/>
          </w:tcPr>
          <w:p w14:paraId="5E41B08B"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48CD9C69" w14:textId="77777777" w:rsidTr="002B1847">
        <w:trPr>
          <w:tblCellSpacing w:w="50" w:type="dxa"/>
          <w:jc w:val="center"/>
        </w:trPr>
        <w:tc>
          <w:tcPr>
            <w:tcW w:w="10000" w:type="dxa"/>
            <w:tcBorders>
              <w:top w:val="single" w:sz="6" w:space="0" w:color="000000"/>
            </w:tcBorders>
            <w:shd w:val="clear" w:color="auto" w:fill="BBD5ED"/>
            <w:noWrap/>
          </w:tcPr>
          <w:p w14:paraId="460F0207"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12F64821"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5 Subpart 5:  Accelerate the roll-out of renewables, while making the procedures for connecting renewables to the grid more efficient and less burdensome.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017752C6" w14:textId="77777777" w:rsidTr="002B1847">
        <w:trPr>
          <w:tblCellSpacing w:w="50" w:type="dxa"/>
          <w:jc w:val="center"/>
        </w:trPr>
        <w:tc>
          <w:tcPr>
            <w:tcW w:w="10000" w:type="dxa"/>
            <w:gridSpan w:val="2"/>
            <w:tcBorders>
              <w:top w:val="single" w:sz="6" w:space="0" w:color="000000"/>
            </w:tcBorders>
            <w:shd w:val="clear" w:color="auto" w:fill="BBD5ED"/>
            <w:noWrap/>
          </w:tcPr>
          <w:p w14:paraId="0D39E79E"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339B080B" w14:textId="77777777" w:rsidTr="002B1847">
        <w:trPr>
          <w:tblCellSpacing w:w="50" w:type="dxa"/>
          <w:jc w:val="center"/>
        </w:trPr>
        <w:tc>
          <w:tcPr>
            <w:tcW w:w="1500" w:type="dxa"/>
            <w:tcBorders>
              <w:top w:val="single" w:sz="6" w:space="0" w:color="000000"/>
              <w:right w:val="single" w:sz="6" w:space="0" w:color="000000"/>
            </w:tcBorders>
            <w:noWrap/>
          </w:tcPr>
          <w:p w14:paraId="59AF1626"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2CF18DB1"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Implemented (09/04/2026 10:23 AM)</w:t>
            </w:r>
          </w:p>
          <w:p w14:paraId="49D59518" w14:textId="77777777" w:rsidR="00C24F6F" w:rsidRPr="002F5AA0" w:rsidRDefault="00C24F6F" w:rsidP="002B1847">
            <w:pPr>
              <w:rPr>
                <w:rFonts w:ascii="Arial Narrow" w:hAnsi="Arial Narrow"/>
                <w:sz w:val="14"/>
                <w:szCs w:val="14"/>
              </w:rPr>
            </w:pPr>
          </w:p>
          <w:p w14:paraId="21C592BC"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Acceleration and streamlining of the environmental impact assessment process: The amendment to the Act accelerates and enhances the efficiency of the environmental impact assessment process by integrating it with permitting procedures.  The Act entered into force on 1 January 2025.</w:t>
            </w:r>
          </w:p>
        </w:tc>
      </w:tr>
      <w:tr w:rsidR="00C24F6F" w:rsidRPr="002F5AA0" w14:paraId="53695F83" w14:textId="77777777" w:rsidTr="002B1847">
        <w:trPr>
          <w:tblCellSpacing w:w="50" w:type="dxa"/>
          <w:jc w:val="center"/>
        </w:trPr>
        <w:tc>
          <w:tcPr>
            <w:tcW w:w="1500" w:type="dxa"/>
            <w:tcBorders>
              <w:top w:val="single" w:sz="6" w:space="0" w:color="000000"/>
              <w:right w:val="single" w:sz="6" w:space="0" w:color="000000"/>
            </w:tcBorders>
            <w:noWrap/>
          </w:tcPr>
          <w:p w14:paraId="5D906E5A"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lastRenderedPageBreak/>
              <w:t>Entry 2</w:t>
            </w:r>
          </w:p>
        </w:tc>
        <w:tc>
          <w:tcPr>
            <w:tcW w:w="8500" w:type="dxa"/>
            <w:tcBorders>
              <w:top w:val="single" w:sz="6" w:space="0" w:color="000000"/>
            </w:tcBorders>
            <w:noWrap/>
          </w:tcPr>
          <w:p w14:paraId="08E6632B"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09770E63" w14:textId="77777777" w:rsidR="00C24F6F" w:rsidRPr="002F5AA0" w:rsidRDefault="00C24F6F" w:rsidP="002B1847">
            <w:pPr>
              <w:rPr>
                <w:rFonts w:ascii="Arial Narrow" w:hAnsi="Arial Narrow"/>
                <w:sz w:val="14"/>
                <w:szCs w:val="14"/>
              </w:rPr>
            </w:pPr>
          </w:p>
          <w:p w14:paraId="376FB46C"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Reducing the Energy Intensity of Public Buildings: The SIEA calls aim at the renovation of public buildings with a focus on energy efficiency, including the possible integration of RES and green adaptation measures.  Several calls with a total allocation exceeding EUR 300 million targeting the reduction of energy intensity of public buildings have been launched. The evaluation and contracting of projects is currently ongoing. Based on the applications submitted, the renovation of approximately 595,000 m² of public buildings, primary energy savings of approximately 71,000 MWh per year, and an increase in installed RES capacity of approximately 13 MW can be anticipated.</w:t>
            </w:r>
          </w:p>
        </w:tc>
      </w:tr>
      <w:tr w:rsidR="00C24F6F" w:rsidRPr="002F5AA0" w14:paraId="47AF7566" w14:textId="77777777" w:rsidTr="002B1847">
        <w:trPr>
          <w:tblCellSpacing w:w="50" w:type="dxa"/>
          <w:jc w:val="center"/>
        </w:trPr>
        <w:tc>
          <w:tcPr>
            <w:tcW w:w="1500" w:type="dxa"/>
            <w:tcBorders>
              <w:top w:val="single" w:sz="6" w:space="0" w:color="000000"/>
              <w:right w:val="single" w:sz="6" w:space="0" w:color="000000"/>
            </w:tcBorders>
            <w:noWrap/>
          </w:tcPr>
          <w:p w14:paraId="0C81FAFC"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3</w:t>
            </w:r>
          </w:p>
        </w:tc>
        <w:tc>
          <w:tcPr>
            <w:tcW w:w="8500" w:type="dxa"/>
            <w:tcBorders>
              <w:top w:val="single" w:sz="6" w:space="0" w:color="000000"/>
            </w:tcBorders>
            <w:noWrap/>
          </w:tcPr>
          <w:p w14:paraId="71865994"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4A278045" w14:textId="77777777" w:rsidR="00C24F6F" w:rsidRPr="002F5AA0" w:rsidRDefault="00C24F6F" w:rsidP="002B1847">
            <w:pPr>
              <w:rPr>
                <w:rFonts w:ascii="Arial Narrow" w:hAnsi="Arial Narrow"/>
                <w:sz w:val="14"/>
                <w:szCs w:val="14"/>
              </w:rPr>
            </w:pPr>
          </w:p>
          <w:p w14:paraId="6870BA7E"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Strengthening Capacities and Data Infrastructure for Regional Energy: 1) The Capacities for Regions project (EUR 47.1 million) supports the establishment of expert teams and a network of regional sustainable energy centres, which will coordinate measures to reduce energy intensity and increase energy self-sufficiency at the level of self-governing regions. 2) The Extension of the Energy Efficiency Information System project (EUR 18.7 million) supports tools for the collection, analysis, and use of data from various sectors to enable informed energy and decarbonisation planning at regional level.  The launch of both projects has been delayed. A review of their scope is currently under way with the aim of reflecting the new tasks and obligations arising from the EU Energy Efficiency Directive.</w:t>
            </w:r>
          </w:p>
        </w:tc>
      </w:tr>
      <w:tr w:rsidR="00C24F6F" w:rsidRPr="002F5AA0" w14:paraId="4178E2AC" w14:textId="77777777" w:rsidTr="002B1847">
        <w:trPr>
          <w:tblCellSpacing w:w="50" w:type="dxa"/>
          <w:jc w:val="center"/>
        </w:trPr>
        <w:tc>
          <w:tcPr>
            <w:tcW w:w="1500" w:type="dxa"/>
            <w:tcBorders>
              <w:top w:val="single" w:sz="6" w:space="0" w:color="000000"/>
              <w:right w:val="single" w:sz="6" w:space="0" w:color="000000"/>
            </w:tcBorders>
            <w:noWrap/>
          </w:tcPr>
          <w:p w14:paraId="3137AD09"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4</w:t>
            </w:r>
          </w:p>
        </w:tc>
        <w:tc>
          <w:tcPr>
            <w:tcW w:w="8500" w:type="dxa"/>
            <w:tcBorders>
              <w:top w:val="single" w:sz="6" w:space="0" w:color="000000"/>
            </w:tcBorders>
            <w:noWrap/>
          </w:tcPr>
          <w:p w14:paraId="3FF60A16"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5CEDC356" w14:textId="77777777" w:rsidR="00C24F6F" w:rsidRPr="002F5AA0" w:rsidRDefault="00C24F6F" w:rsidP="002B1847">
            <w:pPr>
              <w:rPr>
                <w:rFonts w:ascii="Arial Narrow" w:hAnsi="Arial Narrow"/>
                <w:sz w:val="14"/>
                <w:szCs w:val="14"/>
              </w:rPr>
            </w:pPr>
          </w:p>
          <w:p w14:paraId="286B8FD0"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Green Energy for Households and Businesses: Support for the installation of renewable energy sources (RES) is provided in the form of vouchers for both households and businesses: 1) The Green for Households project (EUR 107.7 million) enables households to obtain a 50% contribution towards green technologies such as heat pumps, photovoltaics, and wind turbines. 2) The Green Solidarity project (EUR 28.4 million) is designed for low-income households, which may receive support of up to 90% for photovoltaics, solar collectors, and biomass. 3) The Green for Businesses project (EUR 66.6 million) provides support to SMEs for installations producing heat, cooling, or electricity, as well as for energy audits with recommendations for energy savings and RES utilisation.  1) Under the Green for Households project, more than 32,000 installations of renewable energy devices in households had been supported by Q1 2026, increasing installed capacity by more than 253 MW. All funds earmarked for household contributions have already been contracted. 2) Under the Green Solidarity project, more than 1,000 installations of RES devices in low-income households had been supported by Q1 2026, with a total installed capacity of 6.8 MW. The receipt, assessment, and contracting of applications is ongoing. 3) Under the Green for Businesses project, the first phase of support for RES installations in enterprises was launched in 2025. More than 1,200 applications from SMEs for the installation of devices with a total capacity exceeding 154 MW were submitted. In Q1 2026, the evaluation and gradual contracting of these applications is under way.</w:t>
            </w:r>
          </w:p>
        </w:tc>
      </w:tr>
      <w:tr w:rsidR="00C24F6F" w:rsidRPr="002F5AA0" w14:paraId="49F5854F" w14:textId="77777777" w:rsidTr="002B1847">
        <w:trPr>
          <w:tblCellSpacing w:w="50" w:type="dxa"/>
          <w:jc w:val="center"/>
        </w:trPr>
        <w:tc>
          <w:tcPr>
            <w:tcW w:w="1500" w:type="dxa"/>
            <w:tcBorders>
              <w:top w:val="single" w:sz="6" w:space="0" w:color="000000"/>
              <w:right w:val="single" w:sz="6" w:space="0" w:color="000000"/>
            </w:tcBorders>
            <w:noWrap/>
          </w:tcPr>
          <w:p w14:paraId="559CBE98"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5</w:t>
            </w:r>
          </w:p>
        </w:tc>
        <w:tc>
          <w:tcPr>
            <w:tcW w:w="8500" w:type="dxa"/>
            <w:tcBorders>
              <w:top w:val="single" w:sz="6" w:space="0" w:color="000000"/>
            </w:tcBorders>
            <w:noWrap/>
          </w:tcPr>
          <w:p w14:paraId="7948AC73"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740CB2CF" w14:textId="77777777" w:rsidR="00C24F6F" w:rsidRPr="002F5AA0" w:rsidRDefault="00C24F6F" w:rsidP="002B1847">
            <w:pPr>
              <w:rPr>
                <w:rFonts w:ascii="Arial Narrow" w:hAnsi="Arial Narrow"/>
                <w:sz w:val="14"/>
                <w:szCs w:val="14"/>
              </w:rPr>
            </w:pPr>
          </w:p>
          <w:p w14:paraId="263492EE" w14:textId="77906D61"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 xml:space="preserve">Improving the Effectiveness of Support Provided through the Environmental Fund: The amendment to the Environmental Fund Act will improve the efficiency of its operations and enable a more flexible response to the needs of support beneficiaries.  The Government of the Slovak Republic approved the draft new Environmental Fund Act on 1 October 2025. The draft act is currently under consideration in the National Council of the Slovak Republic at second reading, and its adoption is expected in the course of the </w:t>
            </w:r>
            <w:r w:rsidR="00001F10">
              <w:rPr>
                <w:rStyle w:val="defaultStyle"/>
                <w:rFonts w:ascii="Arial Narrow" w:hAnsi="Arial Narrow"/>
                <w:sz w:val="14"/>
                <w:szCs w:val="14"/>
              </w:rPr>
              <w:t>second</w:t>
            </w:r>
            <w:r w:rsidRPr="002F5AA0">
              <w:rPr>
                <w:rStyle w:val="defaultStyle"/>
                <w:rFonts w:ascii="Arial Narrow" w:hAnsi="Arial Narrow"/>
                <w:sz w:val="14"/>
                <w:szCs w:val="14"/>
              </w:rPr>
              <w:t xml:space="preserve"> quarter of 2026.</w:t>
            </w:r>
          </w:p>
        </w:tc>
      </w:tr>
      <w:tr w:rsidR="00C24F6F" w:rsidRPr="002F5AA0" w14:paraId="6DDE4B68" w14:textId="77777777" w:rsidTr="002B1847">
        <w:trPr>
          <w:tblCellSpacing w:w="50" w:type="dxa"/>
          <w:jc w:val="center"/>
        </w:trPr>
        <w:tc>
          <w:tcPr>
            <w:tcW w:w="1500" w:type="dxa"/>
            <w:tcBorders>
              <w:top w:val="single" w:sz="6" w:space="0" w:color="000000"/>
              <w:right w:val="single" w:sz="6" w:space="0" w:color="000000"/>
            </w:tcBorders>
            <w:noWrap/>
          </w:tcPr>
          <w:p w14:paraId="6B080129"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6</w:t>
            </w:r>
          </w:p>
        </w:tc>
        <w:tc>
          <w:tcPr>
            <w:tcW w:w="8500" w:type="dxa"/>
            <w:tcBorders>
              <w:top w:val="single" w:sz="6" w:space="0" w:color="000000"/>
            </w:tcBorders>
            <w:noWrap/>
          </w:tcPr>
          <w:p w14:paraId="2D217D74"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78D692D8" w14:textId="77777777" w:rsidR="00C24F6F" w:rsidRPr="002F5AA0" w:rsidRDefault="00C24F6F" w:rsidP="002B1847">
            <w:pPr>
              <w:rPr>
                <w:rFonts w:ascii="Arial Narrow" w:hAnsi="Arial Narrow"/>
                <w:sz w:val="14"/>
                <w:szCs w:val="14"/>
              </w:rPr>
            </w:pPr>
          </w:p>
          <w:p w14:paraId="5ACC6227"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Support for Renewable Energy Sources and Energy Efficiency: The package of measures aims to increase the share of renewable energy sources (RES) in the energy mix and to promote energy efficiency. Support is focused in particular on the development of geothermal energy (exploration, drilling), biomethane production (municipal biodegradable waste processing facilities), and high-efficiency combined heat and power (HE CHP) in district heating systems.  The Slovak Innovation and Energy Agency (SIEA) is preparing demand-driven calls for support for geothermal energy and biomethane. A call for tenders for HE CHP installations is currently being prepared.</w:t>
            </w:r>
          </w:p>
        </w:tc>
      </w:tr>
      <w:tr w:rsidR="00C24F6F" w:rsidRPr="002F5AA0" w14:paraId="04C66579" w14:textId="77777777" w:rsidTr="002B1847">
        <w:trPr>
          <w:tblCellSpacing w:w="50" w:type="dxa"/>
          <w:jc w:val="center"/>
        </w:trPr>
        <w:tc>
          <w:tcPr>
            <w:tcW w:w="10000" w:type="dxa"/>
            <w:gridSpan w:val="2"/>
            <w:tcBorders>
              <w:top w:val="single" w:sz="6" w:space="0" w:color="000000"/>
            </w:tcBorders>
            <w:shd w:val="clear" w:color="auto" w:fill="BBD5ED"/>
            <w:noWrap/>
          </w:tcPr>
          <w:p w14:paraId="03FFBB70"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1C2B432A" w14:textId="77777777" w:rsidTr="002B1847">
        <w:trPr>
          <w:tblCellSpacing w:w="50" w:type="dxa"/>
          <w:jc w:val="center"/>
        </w:trPr>
        <w:tc>
          <w:tcPr>
            <w:tcW w:w="10000" w:type="dxa"/>
            <w:gridSpan w:val="2"/>
            <w:tcBorders>
              <w:top w:val="single" w:sz="6" w:space="0" w:color="000000"/>
            </w:tcBorders>
            <w:shd w:val="clear" w:color="auto" w:fill="BBD5ED"/>
            <w:noWrap/>
          </w:tcPr>
          <w:p w14:paraId="4A2F85C2"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42BC5403"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5 Subpart 6: Support further investments in grids, in particular electricity networks,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01F02601" w14:textId="77777777" w:rsidTr="002B1847">
        <w:trPr>
          <w:tblCellSpacing w:w="50" w:type="dxa"/>
          <w:jc w:val="center"/>
        </w:trPr>
        <w:tc>
          <w:tcPr>
            <w:tcW w:w="10000" w:type="dxa"/>
            <w:gridSpan w:val="2"/>
            <w:tcBorders>
              <w:top w:val="single" w:sz="6" w:space="0" w:color="000000"/>
            </w:tcBorders>
            <w:shd w:val="clear" w:color="auto" w:fill="BBD5ED"/>
            <w:noWrap/>
          </w:tcPr>
          <w:p w14:paraId="4DEFC1F1"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5A29F6DD" w14:textId="77777777" w:rsidTr="002B1847">
        <w:trPr>
          <w:tblCellSpacing w:w="50" w:type="dxa"/>
          <w:jc w:val="center"/>
        </w:trPr>
        <w:tc>
          <w:tcPr>
            <w:tcW w:w="1500" w:type="dxa"/>
            <w:tcBorders>
              <w:top w:val="single" w:sz="6" w:space="0" w:color="000000"/>
              <w:right w:val="single" w:sz="6" w:space="0" w:color="000000"/>
            </w:tcBorders>
            <w:noWrap/>
          </w:tcPr>
          <w:p w14:paraId="74EE939B"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lastRenderedPageBreak/>
              <w:t>Entry 1</w:t>
            </w:r>
          </w:p>
        </w:tc>
        <w:tc>
          <w:tcPr>
            <w:tcW w:w="8500" w:type="dxa"/>
            <w:tcBorders>
              <w:top w:val="single" w:sz="6" w:space="0" w:color="000000"/>
            </w:tcBorders>
            <w:noWrap/>
          </w:tcPr>
          <w:p w14:paraId="7FA197B2"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75457847" w14:textId="77777777" w:rsidR="00C24F6F" w:rsidRPr="002F5AA0" w:rsidRDefault="00C24F6F" w:rsidP="002B1847">
            <w:pPr>
              <w:rPr>
                <w:rFonts w:ascii="Arial Narrow" w:hAnsi="Arial Narrow"/>
                <w:sz w:val="14"/>
                <w:szCs w:val="14"/>
              </w:rPr>
            </w:pPr>
          </w:p>
          <w:p w14:paraId="05243C4D"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Social Climate Fund: The Fund aims to compensate the social impacts of the introduction of emissions trading in the buildings and road transport sectors (ETS 2) from 2027 for the most vulnerable groups. Member States must submit a Social Climate Plan by end of June 2025 in order to access funding. Implementation of the Fund is planned for the period 2026–2032, and access to its resources will be conditional on the transposition of all parts of the relevant EU Directive.  The draft Social Climate Plan is currently being prepared. Since July 2025, informal consultations with the European Commission on the draft have been ongoing. Approval of the Plan by the European Commission is a prerequisite for accessing resources from the Social Climate Fund, and is contingent on the completion of the transposition of the EU ETS 2 Directive, which has not yet been finalised at national level.</w:t>
            </w:r>
          </w:p>
        </w:tc>
      </w:tr>
      <w:tr w:rsidR="00C24F6F" w:rsidRPr="002F5AA0" w14:paraId="21664A49" w14:textId="77777777" w:rsidTr="002B1847">
        <w:trPr>
          <w:tblCellSpacing w:w="50" w:type="dxa"/>
          <w:jc w:val="center"/>
        </w:trPr>
        <w:tc>
          <w:tcPr>
            <w:tcW w:w="10000" w:type="dxa"/>
            <w:gridSpan w:val="2"/>
            <w:tcBorders>
              <w:top w:val="single" w:sz="6" w:space="0" w:color="000000"/>
            </w:tcBorders>
            <w:shd w:val="clear" w:color="auto" w:fill="BBD5ED"/>
            <w:noWrap/>
          </w:tcPr>
          <w:p w14:paraId="16F07286"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6A82A712" w14:textId="77777777" w:rsidTr="002B1847">
        <w:trPr>
          <w:tblCellSpacing w:w="50" w:type="dxa"/>
          <w:jc w:val="center"/>
        </w:trPr>
        <w:tc>
          <w:tcPr>
            <w:tcW w:w="10000" w:type="dxa"/>
            <w:gridSpan w:val="2"/>
            <w:tcBorders>
              <w:top w:val="single" w:sz="6" w:space="0" w:color="000000"/>
            </w:tcBorders>
            <w:shd w:val="clear" w:color="auto" w:fill="BBD5ED"/>
            <w:noWrap/>
          </w:tcPr>
          <w:p w14:paraId="6C3C908F"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315057C0"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5 Subpart 7: as well as in decarbonisation of the heating sector.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13E455CE" w14:textId="77777777" w:rsidTr="002B1847">
        <w:trPr>
          <w:tblCellSpacing w:w="50" w:type="dxa"/>
          <w:jc w:val="center"/>
        </w:trPr>
        <w:tc>
          <w:tcPr>
            <w:tcW w:w="10000" w:type="dxa"/>
            <w:gridSpan w:val="2"/>
            <w:tcBorders>
              <w:top w:val="single" w:sz="6" w:space="0" w:color="000000"/>
            </w:tcBorders>
            <w:shd w:val="clear" w:color="auto" w:fill="BBD5ED"/>
            <w:noWrap/>
          </w:tcPr>
          <w:p w14:paraId="72431E0A"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11304D84" w14:textId="77777777" w:rsidTr="002B1847">
        <w:trPr>
          <w:tblCellSpacing w:w="50" w:type="dxa"/>
          <w:jc w:val="center"/>
        </w:trPr>
        <w:tc>
          <w:tcPr>
            <w:tcW w:w="1500" w:type="dxa"/>
            <w:tcBorders>
              <w:top w:val="single" w:sz="6" w:space="0" w:color="000000"/>
              <w:right w:val="single" w:sz="6" w:space="0" w:color="000000"/>
            </w:tcBorders>
            <w:noWrap/>
          </w:tcPr>
          <w:p w14:paraId="39BC702A"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0D27DB2B"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4D0FC747" w14:textId="77777777" w:rsidR="00C24F6F" w:rsidRPr="002F5AA0" w:rsidRDefault="00C24F6F" w:rsidP="002B1847">
            <w:pPr>
              <w:rPr>
                <w:rFonts w:ascii="Arial Narrow" w:hAnsi="Arial Narrow"/>
                <w:sz w:val="14"/>
                <w:szCs w:val="14"/>
              </w:rPr>
            </w:pPr>
          </w:p>
          <w:p w14:paraId="715CD3A5"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Social Climate Fund: The Fund aims to compensate the social impacts of the introduction of emissions trading in the buildings and road transport sectors (ETS 2) from 2027 for the most vulnerable groups. Member States must submit a Social Climate Plan by end of June 2025 in order to access funding. Implementation of the Fund is planned for the period 2026–2032, and access to its resources will be conditional on the transposition of all parts of the relevant EU Directive.  The draft Social Climate Plan is currently being prepared. Since July 2025, informal consultations with the European Commission on the draft have been ongoing. Approval of the Plan by the European Commission is a prerequisite for accessing resources from the Social Climate Fund, and is contingent on the completion of the transposition of the EU ETS 2 Directive, which has not yet been finalised at national level.</w:t>
            </w:r>
          </w:p>
        </w:tc>
      </w:tr>
      <w:tr w:rsidR="00C24F6F" w:rsidRPr="002F5AA0" w14:paraId="289B6E24" w14:textId="77777777" w:rsidTr="002B1847">
        <w:trPr>
          <w:tblCellSpacing w:w="50" w:type="dxa"/>
          <w:jc w:val="center"/>
        </w:trPr>
        <w:tc>
          <w:tcPr>
            <w:tcW w:w="1500" w:type="dxa"/>
            <w:tcBorders>
              <w:top w:val="single" w:sz="6" w:space="0" w:color="000000"/>
              <w:right w:val="single" w:sz="6" w:space="0" w:color="000000"/>
            </w:tcBorders>
            <w:noWrap/>
          </w:tcPr>
          <w:p w14:paraId="051A7C13"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6416A471"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53AF5E16" w14:textId="77777777" w:rsidR="00C24F6F" w:rsidRPr="002F5AA0" w:rsidRDefault="00C24F6F" w:rsidP="002B1847">
            <w:pPr>
              <w:rPr>
                <w:rFonts w:ascii="Arial Narrow" w:hAnsi="Arial Narrow"/>
                <w:sz w:val="14"/>
                <w:szCs w:val="14"/>
              </w:rPr>
            </w:pPr>
          </w:p>
          <w:p w14:paraId="09B9666F"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Reducing the Energy Intensity of Public Buildings: The SIEA calls aim at the renovation of public buildings with a focus on energy efficiency, including the possible integration of RES and green adaptation measures.  Several calls with a total allocation exceeding EUR 300 million targeting the reduction of energy intensity of public buildings have been launched. The evaluation and contracting of projects is currently ongoing. Based on the applications submitted, the renovation of approximately 595,000 m² of public buildings, primary energy savings of approximately 71,000 MWh per year, and an increase in installed RES capacity of approximately 13 MW can be anticipated.</w:t>
            </w:r>
          </w:p>
        </w:tc>
      </w:tr>
      <w:tr w:rsidR="00C24F6F" w:rsidRPr="002F5AA0" w14:paraId="6A3E60C4" w14:textId="77777777" w:rsidTr="002B1847">
        <w:trPr>
          <w:tblCellSpacing w:w="50" w:type="dxa"/>
          <w:jc w:val="center"/>
        </w:trPr>
        <w:tc>
          <w:tcPr>
            <w:tcW w:w="1500" w:type="dxa"/>
            <w:tcBorders>
              <w:top w:val="single" w:sz="6" w:space="0" w:color="000000"/>
              <w:right w:val="single" w:sz="6" w:space="0" w:color="000000"/>
            </w:tcBorders>
            <w:noWrap/>
          </w:tcPr>
          <w:p w14:paraId="6DDD2F4C"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3</w:t>
            </w:r>
          </w:p>
        </w:tc>
        <w:tc>
          <w:tcPr>
            <w:tcW w:w="8500" w:type="dxa"/>
            <w:tcBorders>
              <w:top w:val="single" w:sz="6" w:space="0" w:color="000000"/>
            </w:tcBorders>
            <w:noWrap/>
          </w:tcPr>
          <w:p w14:paraId="596C56BE"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2C4892AA" w14:textId="77777777" w:rsidR="00C24F6F" w:rsidRPr="002F5AA0" w:rsidRDefault="00C24F6F" w:rsidP="002B1847">
            <w:pPr>
              <w:rPr>
                <w:rFonts w:ascii="Arial Narrow" w:hAnsi="Arial Narrow"/>
                <w:sz w:val="14"/>
                <w:szCs w:val="14"/>
              </w:rPr>
            </w:pPr>
          </w:p>
          <w:p w14:paraId="772F3CDA"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Strengthening Capacities and Data Infrastructure for Regional Energy: 1) The Capacities for Regions project (EUR 47.1 million) supports the establishment of expert teams and a network of regional sustainable energy centres, which will coordinate measures to reduce energy intensity and increase energy self-sufficiency at the level of self-governing regions. 2) The Extension of the Energy Efficiency Information System project (EUR 18.7 million) supports tools for the collection, analysis, and use of data from various sectors to enable informed energy and decarbonisation planning at regional level.  The launch of both projects has been delayed. A review of their scope is currently under way with the aim of reflecting the new tasks and obligations arising from the EU Energy Efficiency Directive.</w:t>
            </w:r>
          </w:p>
        </w:tc>
      </w:tr>
      <w:tr w:rsidR="00C24F6F" w:rsidRPr="002F5AA0" w14:paraId="44315035" w14:textId="77777777" w:rsidTr="002B1847">
        <w:trPr>
          <w:tblCellSpacing w:w="50" w:type="dxa"/>
          <w:jc w:val="center"/>
        </w:trPr>
        <w:tc>
          <w:tcPr>
            <w:tcW w:w="1500" w:type="dxa"/>
            <w:tcBorders>
              <w:top w:val="single" w:sz="6" w:space="0" w:color="000000"/>
              <w:right w:val="single" w:sz="6" w:space="0" w:color="000000"/>
            </w:tcBorders>
            <w:noWrap/>
          </w:tcPr>
          <w:p w14:paraId="76133CDB"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4</w:t>
            </w:r>
          </w:p>
        </w:tc>
        <w:tc>
          <w:tcPr>
            <w:tcW w:w="8500" w:type="dxa"/>
            <w:tcBorders>
              <w:top w:val="single" w:sz="6" w:space="0" w:color="000000"/>
            </w:tcBorders>
            <w:noWrap/>
          </w:tcPr>
          <w:p w14:paraId="5B128ED9"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71FF0D3F" w14:textId="77777777" w:rsidR="00C24F6F" w:rsidRPr="002F5AA0" w:rsidRDefault="00C24F6F" w:rsidP="002B1847">
            <w:pPr>
              <w:rPr>
                <w:rFonts w:ascii="Arial Narrow" w:hAnsi="Arial Narrow"/>
                <w:sz w:val="14"/>
                <w:szCs w:val="14"/>
              </w:rPr>
            </w:pPr>
          </w:p>
          <w:p w14:paraId="60AC11BC"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 xml:space="preserve">Green Energy for Households and Businesses: Support for the installation of renewable energy sources (RES) is provided in the form of vouchers for both households and businesses: 1) The Green for Households project (EUR 107.7 million) enables households to obtain a 50% contribution towards green technologies such as heat pumps, photovoltaics, and wind turbines. 2) The Green Solidarity project (EUR 28.4 million) is designed for low-income households, which may receive support of up to 90% for photovoltaics, solar collectors, and biomass. 3) The Green for Businesses project (EUR 66.6 million) provides support to SMEs for installations producing heat, cooling, or electricity, as well as for energy audits with recommendations for energy savings and RES utilisation.  1) Under the Green for Households project, more than 32,000 installations of renewable energy devices in households had been supported by Q1 2026, increasing installed capacity by more than 253 MW. All funds earmarked for household contributions have already been contracted. 2) Under the Green Solidarity project, more than 1,000 installations of RES devices in low-income households had been supported by Q1 2026, with a total installed capacity of 6.8 MW. The receipt, assessment, and contracting of applications is ongoing. 3) Under the Green for Businesses project, the first phase of support for RES </w:t>
            </w:r>
            <w:r w:rsidRPr="002F5AA0">
              <w:rPr>
                <w:rStyle w:val="defaultStyle"/>
                <w:rFonts w:ascii="Arial Narrow" w:hAnsi="Arial Narrow"/>
                <w:sz w:val="14"/>
                <w:szCs w:val="14"/>
              </w:rPr>
              <w:lastRenderedPageBreak/>
              <w:t>installations in enterprises was launched in 2025. More than 1,200 applications from SMEs for the installation of devices with a total capacity exceeding 154 MW were submitted. In Q1 2026, the evaluation and gradual contracting of these applications is under way.</w:t>
            </w:r>
          </w:p>
        </w:tc>
      </w:tr>
      <w:tr w:rsidR="00C24F6F" w:rsidRPr="002F5AA0" w14:paraId="003D681C" w14:textId="77777777" w:rsidTr="002B1847">
        <w:trPr>
          <w:tblCellSpacing w:w="50" w:type="dxa"/>
          <w:jc w:val="center"/>
        </w:trPr>
        <w:tc>
          <w:tcPr>
            <w:tcW w:w="1500" w:type="dxa"/>
            <w:tcBorders>
              <w:top w:val="single" w:sz="6" w:space="0" w:color="000000"/>
              <w:right w:val="single" w:sz="6" w:space="0" w:color="000000"/>
            </w:tcBorders>
            <w:noWrap/>
          </w:tcPr>
          <w:p w14:paraId="32DEE536"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lastRenderedPageBreak/>
              <w:t>Entry 5</w:t>
            </w:r>
          </w:p>
        </w:tc>
        <w:tc>
          <w:tcPr>
            <w:tcW w:w="8500" w:type="dxa"/>
            <w:tcBorders>
              <w:top w:val="single" w:sz="6" w:space="0" w:color="000000"/>
            </w:tcBorders>
            <w:noWrap/>
          </w:tcPr>
          <w:p w14:paraId="2C0C07EF"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649921F5" w14:textId="77777777" w:rsidR="00C24F6F" w:rsidRPr="002F5AA0" w:rsidRDefault="00C24F6F" w:rsidP="002B1847">
            <w:pPr>
              <w:rPr>
                <w:rFonts w:ascii="Arial Narrow" w:hAnsi="Arial Narrow"/>
                <w:sz w:val="14"/>
                <w:szCs w:val="14"/>
              </w:rPr>
            </w:pPr>
          </w:p>
          <w:p w14:paraId="61B88E71" w14:textId="56FA9D2A"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Improving the Effectiveness of Support Provided through the Environmental Fund: The amendment to the Environmental Fund Act will improve the efficiency of its operations and enable a more flexible response to the needs of support beneficiaries.  The Government of the Slovak Republic approved the draft new Environmental Fund Act on 1 October 2025. The draft act is currently under consideration in the National Council of the Slovak Republic at second reading, and its adoption is expected in the course of the</w:t>
            </w:r>
            <w:r w:rsidR="00001F10">
              <w:rPr>
                <w:rStyle w:val="defaultStyle"/>
                <w:rFonts w:ascii="Arial Narrow" w:hAnsi="Arial Narrow"/>
                <w:sz w:val="14"/>
                <w:szCs w:val="14"/>
              </w:rPr>
              <w:t xml:space="preserve"> second</w:t>
            </w:r>
            <w:r w:rsidRPr="002F5AA0">
              <w:rPr>
                <w:rStyle w:val="defaultStyle"/>
                <w:rFonts w:ascii="Arial Narrow" w:hAnsi="Arial Narrow"/>
                <w:sz w:val="14"/>
                <w:szCs w:val="14"/>
              </w:rPr>
              <w:t xml:space="preserve"> quarter of 2026.</w:t>
            </w:r>
          </w:p>
        </w:tc>
      </w:tr>
      <w:tr w:rsidR="00C24F6F" w:rsidRPr="002F5AA0" w14:paraId="08C5CE96" w14:textId="77777777" w:rsidTr="002B1847">
        <w:trPr>
          <w:tblCellSpacing w:w="50" w:type="dxa"/>
          <w:jc w:val="center"/>
        </w:trPr>
        <w:tc>
          <w:tcPr>
            <w:tcW w:w="1500" w:type="dxa"/>
            <w:tcBorders>
              <w:top w:val="single" w:sz="6" w:space="0" w:color="000000"/>
              <w:right w:val="single" w:sz="6" w:space="0" w:color="000000"/>
            </w:tcBorders>
            <w:noWrap/>
          </w:tcPr>
          <w:p w14:paraId="4ECFB298"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6</w:t>
            </w:r>
          </w:p>
        </w:tc>
        <w:tc>
          <w:tcPr>
            <w:tcW w:w="8500" w:type="dxa"/>
            <w:tcBorders>
              <w:top w:val="single" w:sz="6" w:space="0" w:color="000000"/>
            </w:tcBorders>
            <w:noWrap/>
          </w:tcPr>
          <w:p w14:paraId="11034272"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4518CD61" w14:textId="77777777" w:rsidR="00C24F6F" w:rsidRPr="002F5AA0" w:rsidRDefault="00C24F6F" w:rsidP="002B1847">
            <w:pPr>
              <w:rPr>
                <w:rFonts w:ascii="Arial Narrow" w:hAnsi="Arial Narrow"/>
                <w:sz w:val="14"/>
                <w:szCs w:val="14"/>
              </w:rPr>
            </w:pPr>
          </w:p>
          <w:p w14:paraId="638BE464"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Support for Renewable Energy Sources and Energy Efficiency: The package of measures aims to increase the share of renewable energy sources (RES) in the energy mix and to promote energy efficiency. Support is focused in particular on the development of geothermal energy (exploration, drilling), biomethane production (municipal biodegradable waste processing facilities), and high-efficiency combined heat and power (HE CHP) in district heating systems.  The Slovak Innovation and Energy Agency (SIEA) is preparing demand-driven calls for support for geothermal energy and biomethane. A call for tenders for HE CHP installations is currently being prepared.</w:t>
            </w:r>
          </w:p>
        </w:tc>
      </w:tr>
      <w:tr w:rsidR="00C24F6F" w:rsidRPr="002F5AA0" w14:paraId="4E6AEE7F" w14:textId="77777777" w:rsidTr="002B1847">
        <w:trPr>
          <w:tblCellSpacing w:w="50" w:type="dxa"/>
          <w:jc w:val="center"/>
        </w:trPr>
        <w:tc>
          <w:tcPr>
            <w:tcW w:w="10000" w:type="dxa"/>
            <w:gridSpan w:val="2"/>
            <w:tcBorders>
              <w:top w:val="single" w:sz="6" w:space="0" w:color="000000"/>
            </w:tcBorders>
            <w:shd w:val="clear" w:color="auto" w:fill="BBD5ED"/>
            <w:noWrap/>
          </w:tcPr>
          <w:p w14:paraId="27930671"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49646623" w14:textId="77777777" w:rsidTr="002B1847">
        <w:trPr>
          <w:tblCellSpacing w:w="50" w:type="dxa"/>
          <w:jc w:val="center"/>
        </w:trPr>
        <w:tc>
          <w:tcPr>
            <w:tcW w:w="10000" w:type="dxa"/>
            <w:gridSpan w:val="2"/>
            <w:tcBorders>
              <w:top w:val="single" w:sz="6" w:space="0" w:color="000000"/>
            </w:tcBorders>
            <w:shd w:val="clear" w:color="auto" w:fill="BBD5ED"/>
            <w:noWrap/>
          </w:tcPr>
          <w:p w14:paraId="774C68FB"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2BAF176B"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5 Subpart 8: Support further roll-out of zero-emission mobility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78331A73" w14:textId="77777777" w:rsidTr="002B1847">
        <w:trPr>
          <w:tblCellSpacing w:w="50" w:type="dxa"/>
          <w:jc w:val="center"/>
        </w:trPr>
        <w:tc>
          <w:tcPr>
            <w:tcW w:w="10000" w:type="dxa"/>
            <w:gridSpan w:val="2"/>
            <w:tcBorders>
              <w:top w:val="single" w:sz="6" w:space="0" w:color="000000"/>
            </w:tcBorders>
            <w:shd w:val="clear" w:color="auto" w:fill="BBD5ED"/>
            <w:noWrap/>
          </w:tcPr>
          <w:p w14:paraId="77224161"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50C89DFA" w14:textId="77777777" w:rsidTr="002B1847">
        <w:trPr>
          <w:tblCellSpacing w:w="50" w:type="dxa"/>
          <w:jc w:val="center"/>
        </w:trPr>
        <w:tc>
          <w:tcPr>
            <w:tcW w:w="1500" w:type="dxa"/>
            <w:tcBorders>
              <w:top w:val="single" w:sz="6" w:space="0" w:color="000000"/>
              <w:right w:val="single" w:sz="6" w:space="0" w:color="000000"/>
            </w:tcBorders>
            <w:noWrap/>
          </w:tcPr>
          <w:p w14:paraId="5B8AA37D"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70AEDA09"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7EEF6D1F" w14:textId="77777777" w:rsidR="00C24F6F" w:rsidRPr="002F5AA0" w:rsidRDefault="00C24F6F" w:rsidP="002B1847">
            <w:pPr>
              <w:rPr>
                <w:rFonts w:ascii="Arial Narrow" w:hAnsi="Arial Narrow"/>
                <w:sz w:val="14"/>
                <w:szCs w:val="14"/>
              </w:rPr>
            </w:pPr>
          </w:p>
          <w:p w14:paraId="423A4728"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Social Climate Fund: The Fund aims to compensate the social impacts of the introduction of emissions trading in the buildings and road transport sectors (ETS 2) from 2027 for the most vulnerable groups. Member States must submit a Social Climate Plan by end of June 2025 in order to access funding. Implementation of the Fund is planned for the period 2026–2032, and access to its resources will be conditional on the transposition of all parts of the relevant EU Directive.  The draft Social Climate Plan is currently being prepared. Since July 2025, informal consultations with the European Commission on the draft have been ongoing. Approval of the Plan by the European Commission is a prerequisite for accessing resources from the Social Climate Fund, and is contingent on the completion of the transposition of the EU ETS 2 Directive, which has not yet been finalised at national level.</w:t>
            </w:r>
          </w:p>
        </w:tc>
      </w:tr>
      <w:tr w:rsidR="00C24F6F" w:rsidRPr="002F5AA0" w14:paraId="4BE426B1" w14:textId="77777777" w:rsidTr="002B1847">
        <w:trPr>
          <w:tblCellSpacing w:w="50" w:type="dxa"/>
          <w:jc w:val="center"/>
        </w:trPr>
        <w:tc>
          <w:tcPr>
            <w:tcW w:w="1500" w:type="dxa"/>
            <w:tcBorders>
              <w:top w:val="single" w:sz="6" w:space="0" w:color="000000"/>
              <w:right w:val="single" w:sz="6" w:space="0" w:color="000000"/>
            </w:tcBorders>
            <w:noWrap/>
          </w:tcPr>
          <w:p w14:paraId="3B614E7F"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1F0D2D57"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579115DB" w14:textId="77777777" w:rsidR="00C24F6F" w:rsidRPr="002F5AA0" w:rsidRDefault="00C24F6F" w:rsidP="002B1847">
            <w:pPr>
              <w:rPr>
                <w:rFonts w:ascii="Arial Narrow" w:hAnsi="Arial Narrow"/>
                <w:sz w:val="14"/>
                <w:szCs w:val="14"/>
              </w:rPr>
            </w:pPr>
          </w:p>
          <w:p w14:paraId="740055B0"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Improving the Accessibility and Quality of Public Transport: This measure aims to improve the accessibility and quality of public transport by introducing demand-responsive transport services in sparsely populated areas, adapting rail replacement services during line closures, and establishing quality standards for bus terminals and stops. The measure also encompasses the development of centralised permit and stop databases within the framework of the Electronic National Register of Transport Information (eNRI DOP), with provision for the fully electronic administration of the entire procedure.  The legislative framework is being prepared through amendments to the Act on Public Passenger Transport and the relevant implementing decree. The permit and stop databases are being developed within the eNRI DOP project.</w:t>
            </w:r>
          </w:p>
        </w:tc>
      </w:tr>
      <w:tr w:rsidR="00C24F6F" w:rsidRPr="002F5AA0" w14:paraId="623A2018" w14:textId="77777777" w:rsidTr="002B1847">
        <w:trPr>
          <w:tblCellSpacing w:w="50" w:type="dxa"/>
          <w:jc w:val="center"/>
        </w:trPr>
        <w:tc>
          <w:tcPr>
            <w:tcW w:w="1500" w:type="dxa"/>
            <w:tcBorders>
              <w:top w:val="single" w:sz="6" w:space="0" w:color="000000"/>
              <w:right w:val="single" w:sz="6" w:space="0" w:color="000000"/>
            </w:tcBorders>
            <w:noWrap/>
          </w:tcPr>
          <w:p w14:paraId="0AAD218E"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3</w:t>
            </w:r>
          </w:p>
        </w:tc>
        <w:tc>
          <w:tcPr>
            <w:tcW w:w="8500" w:type="dxa"/>
            <w:tcBorders>
              <w:top w:val="single" w:sz="6" w:space="0" w:color="000000"/>
            </w:tcBorders>
            <w:noWrap/>
          </w:tcPr>
          <w:p w14:paraId="2EED027A"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5584DD82" w14:textId="77777777" w:rsidR="00C24F6F" w:rsidRPr="002F5AA0" w:rsidRDefault="00C24F6F" w:rsidP="002B1847">
            <w:pPr>
              <w:rPr>
                <w:rFonts w:ascii="Arial Narrow" w:hAnsi="Arial Narrow"/>
                <w:sz w:val="14"/>
                <w:szCs w:val="14"/>
              </w:rPr>
            </w:pPr>
          </w:p>
          <w:p w14:paraId="6532A03D"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Promotion of Sustainable Transport: Under the Slovakia Programme, an allocation of EUR 891 million has been earmarked for the promotion of sustainable multimodal urban mobility, while EUR 686 million is directed towards the development of rail passenger transport.  In support of sustainable transport, the Ministry of Transport of the Slovak Republic had, by February 2026, launched a total of 16 calls for proposals with a combined value of nearly EUR 1.5 billion. Supported projects focus, inter alia, on the establishment of integrated transport systems, the construction of park-and-ride facilities at urban entry points, and the procurement of trams, trolleybuses, clean-energy buses and hybrid electric multiple units. Funding is also directed towards the modernisation of railway lines and stations, the electrification of tracks, and the ensuring of interoperability with the systems of other EU Member States.</w:t>
            </w:r>
          </w:p>
        </w:tc>
      </w:tr>
      <w:tr w:rsidR="00C24F6F" w:rsidRPr="002F5AA0" w14:paraId="38A77647" w14:textId="77777777" w:rsidTr="002B1847">
        <w:trPr>
          <w:tblCellSpacing w:w="50" w:type="dxa"/>
          <w:jc w:val="center"/>
        </w:trPr>
        <w:tc>
          <w:tcPr>
            <w:tcW w:w="1500" w:type="dxa"/>
            <w:tcBorders>
              <w:top w:val="single" w:sz="6" w:space="0" w:color="000000"/>
              <w:right w:val="single" w:sz="6" w:space="0" w:color="000000"/>
            </w:tcBorders>
            <w:noWrap/>
          </w:tcPr>
          <w:p w14:paraId="6AEE340C"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lastRenderedPageBreak/>
              <w:t>Entry 4</w:t>
            </w:r>
          </w:p>
        </w:tc>
        <w:tc>
          <w:tcPr>
            <w:tcW w:w="8500" w:type="dxa"/>
            <w:tcBorders>
              <w:top w:val="single" w:sz="6" w:space="0" w:color="000000"/>
            </w:tcBorders>
            <w:noWrap/>
          </w:tcPr>
          <w:p w14:paraId="4F4FAFD0"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Adopted (09/04/2026 10:23 AM)</w:t>
            </w:r>
          </w:p>
          <w:p w14:paraId="3F18975A" w14:textId="77777777" w:rsidR="00C24F6F" w:rsidRPr="002F5AA0" w:rsidRDefault="00C24F6F" w:rsidP="002B1847">
            <w:pPr>
              <w:rPr>
                <w:rFonts w:ascii="Arial Narrow" w:hAnsi="Arial Narrow"/>
                <w:sz w:val="14"/>
                <w:szCs w:val="14"/>
              </w:rPr>
            </w:pPr>
          </w:p>
          <w:p w14:paraId="2D733AE7"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Hydrogen Ecosystem: The measure will strengthen Slovakia's energy security and accelerate the transition to a low-carbon economy through the integrated use of hydrogen, with priority given to legislative adjustments and the harmonisation of technical standards in line with EU requirements and national priorities.  The Ministry of Economy of the Slovak Republic has prepared a legislative framework to support the hydrogen ecosystem, including the identification of relevant legislation and technical standards. The first package of legislative and standardisation amendments entered into force on 1 January 2026. The elaboration of an Action Plan for the Development of the Hydrogen Ecosystem is envisaged by end of September 2026, and the update of the National Hydrogen Strategy by end of 2026.</w:t>
            </w:r>
          </w:p>
        </w:tc>
      </w:tr>
      <w:tr w:rsidR="00C24F6F" w:rsidRPr="002F5AA0" w14:paraId="144E64A0" w14:textId="77777777" w:rsidTr="002B1847">
        <w:trPr>
          <w:tblCellSpacing w:w="50" w:type="dxa"/>
          <w:jc w:val="center"/>
        </w:trPr>
        <w:tc>
          <w:tcPr>
            <w:tcW w:w="10000" w:type="dxa"/>
            <w:gridSpan w:val="2"/>
            <w:tcBorders>
              <w:top w:val="single" w:sz="6" w:space="0" w:color="000000"/>
            </w:tcBorders>
            <w:shd w:val="clear" w:color="auto" w:fill="BBD5ED"/>
            <w:noWrap/>
          </w:tcPr>
          <w:p w14:paraId="0B714AC7"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576E1824" w14:textId="77777777" w:rsidTr="002B1847">
        <w:trPr>
          <w:tblCellSpacing w:w="50" w:type="dxa"/>
          <w:jc w:val="center"/>
        </w:trPr>
        <w:tc>
          <w:tcPr>
            <w:tcW w:w="10000" w:type="dxa"/>
            <w:gridSpan w:val="2"/>
            <w:tcBorders>
              <w:top w:val="single" w:sz="6" w:space="0" w:color="000000"/>
            </w:tcBorders>
            <w:shd w:val="clear" w:color="auto" w:fill="BBD5ED"/>
            <w:noWrap/>
          </w:tcPr>
          <w:p w14:paraId="1E7707AC"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35A101EF"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5 Subpart 9: and modernisation of the rail network, by reforming the national railway infrastructure governance and creating a dedicated investment framework.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6A45B850" w14:textId="77777777" w:rsidTr="002B1847">
        <w:trPr>
          <w:tblCellSpacing w:w="50" w:type="dxa"/>
          <w:jc w:val="center"/>
        </w:trPr>
        <w:tc>
          <w:tcPr>
            <w:tcW w:w="10000" w:type="dxa"/>
            <w:gridSpan w:val="2"/>
            <w:tcBorders>
              <w:top w:val="single" w:sz="6" w:space="0" w:color="000000"/>
            </w:tcBorders>
            <w:shd w:val="clear" w:color="auto" w:fill="BBD5ED"/>
            <w:noWrap/>
          </w:tcPr>
          <w:p w14:paraId="7CD3F407"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1ED73F62" w14:textId="77777777" w:rsidTr="002B1847">
        <w:trPr>
          <w:tblCellSpacing w:w="50" w:type="dxa"/>
          <w:jc w:val="center"/>
        </w:trPr>
        <w:tc>
          <w:tcPr>
            <w:tcW w:w="1500" w:type="dxa"/>
            <w:tcBorders>
              <w:top w:val="single" w:sz="6" w:space="0" w:color="000000"/>
              <w:right w:val="single" w:sz="6" w:space="0" w:color="000000"/>
            </w:tcBorders>
            <w:noWrap/>
          </w:tcPr>
          <w:p w14:paraId="0FBCB400"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55521CCB"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4A278BCF" w14:textId="77777777" w:rsidR="00C24F6F" w:rsidRPr="002F5AA0" w:rsidRDefault="00C24F6F" w:rsidP="002B1847">
            <w:pPr>
              <w:rPr>
                <w:rFonts w:ascii="Arial Narrow" w:hAnsi="Arial Narrow"/>
                <w:sz w:val="14"/>
                <w:szCs w:val="14"/>
              </w:rPr>
            </w:pPr>
          </w:p>
          <w:p w14:paraId="6A2B6BE6"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Social Climate Fund: The Fund aims to compensate the social impacts of the introduction of emissions trading in the buildings and road transport sectors (ETS 2) from 2027 for the most vulnerable groups. Member States must submit a Social Climate Plan by end of June 2025 in order to access funding. Implementation of the Fund is planned for the period 2026–2032, and access to its resources will be conditional on the transposition of all parts of the relevant EU Directive.  The draft Social Climate Plan is currently being prepared. Since July 2025, informal consultations with the European Commission on the draft have been ongoing. Approval of the Plan by the European Commission is a prerequisite for accessing resources from the Social Climate Fund, and is contingent on the completion of the transposition of the EU ETS 2 Directive, which has not yet been finalised at national level.</w:t>
            </w:r>
          </w:p>
        </w:tc>
      </w:tr>
      <w:tr w:rsidR="00C24F6F" w:rsidRPr="002F5AA0" w14:paraId="0BA833CD" w14:textId="77777777" w:rsidTr="002B1847">
        <w:trPr>
          <w:tblCellSpacing w:w="50" w:type="dxa"/>
          <w:jc w:val="center"/>
        </w:trPr>
        <w:tc>
          <w:tcPr>
            <w:tcW w:w="1500" w:type="dxa"/>
            <w:tcBorders>
              <w:top w:val="single" w:sz="6" w:space="0" w:color="000000"/>
              <w:right w:val="single" w:sz="6" w:space="0" w:color="000000"/>
            </w:tcBorders>
            <w:noWrap/>
          </w:tcPr>
          <w:p w14:paraId="42A74A80"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26E1D74F"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410DBE20" w14:textId="77777777" w:rsidR="00C24F6F" w:rsidRPr="002F5AA0" w:rsidRDefault="00C24F6F" w:rsidP="002B1847">
            <w:pPr>
              <w:rPr>
                <w:rFonts w:ascii="Arial Narrow" w:hAnsi="Arial Narrow"/>
                <w:sz w:val="14"/>
                <w:szCs w:val="14"/>
              </w:rPr>
            </w:pPr>
          </w:p>
          <w:p w14:paraId="4743B5F4"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Enhancing Railway Safety: The progressive implementation of the European Train Control System (ETCS) on selected sections of the Slovak Railway Infrastructure (ŽSR) network will enhance railway safety, eliminate the human factor in train operations, reduce the risk of extraordinary events, and strengthen the interoperability of the Slovak rail network within the Single European Railway Area.  The implementation of ETCS is being carried out through investment projects for the modernisation of infrastructure and rolling stock, in accordance with the Action Plan for Improving Railway Safety.</w:t>
            </w:r>
          </w:p>
        </w:tc>
      </w:tr>
      <w:tr w:rsidR="00C24F6F" w:rsidRPr="002F5AA0" w14:paraId="54EB8CA4" w14:textId="77777777" w:rsidTr="002B1847">
        <w:trPr>
          <w:tblCellSpacing w:w="50" w:type="dxa"/>
          <w:jc w:val="center"/>
        </w:trPr>
        <w:tc>
          <w:tcPr>
            <w:tcW w:w="1500" w:type="dxa"/>
            <w:tcBorders>
              <w:top w:val="single" w:sz="6" w:space="0" w:color="000000"/>
              <w:right w:val="single" w:sz="6" w:space="0" w:color="000000"/>
            </w:tcBorders>
            <w:noWrap/>
          </w:tcPr>
          <w:p w14:paraId="4ED7F100"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3</w:t>
            </w:r>
          </w:p>
        </w:tc>
        <w:tc>
          <w:tcPr>
            <w:tcW w:w="8500" w:type="dxa"/>
            <w:tcBorders>
              <w:top w:val="single" w:sz="6" w:space="0" w:color="000000"/>
            </w:tcBorders>
            <w:noWrap/>
          </w:tcPr>
          <w:p w14:paraId="4D456950"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7AE5F382" w14:textId="77777777" w:rsidR="00C24F6F" w:rsidRPr="002F5AA0" w:rsidRDefault="00C24F6F" w:rsidP="002B1847">
            <w:pPr>
              <w:rPr>
                <w:rFonts w:ascii="Arial Narrow" w:hAnsi="Arial Narrow"/>
                <w:sz w:val="14"/>
                <w:szCs w:val="14"/>
              </w:rPr>
            </w:pPr>
          </w:p>
          <w:p w14:paraId="62BBAD13"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Promotion of Sustainable Transport: Under the Slovakia Programme, an allocation of EUR 891 million has been earmarked for the promotion of sustainable multimodal urban mobility, while EUR 686 million is directed towards the development of rail passenger transport.  In support of sustainable transport, the Ministry of Transport of the Slovak Republic had, by February 2026, launched a total of 16 calls for proposals with a combined value of nearly EUR 1.5 billion. Supported projects focus, inter alia, on the establishment of integrated transport systems, the construction of park-and-ride facilities at urban entry points, and the procurement of trams, trolleybuses, clean-energy buses and hybrid electric multiple units. Funding is also directed towards the modernisation of railway lines and stations, the electrification of tracks, and the ensuring of interoperability with the systems of other EU Member States.</w:t>
            </w:r>
          </w:p>
        </w:tc>
      </w:tr>
      <w:tr w:rsidR="00C24F6F" w:rsidRPr="002F5AA0" w14:paraId="0CFF81BF" w14:textId="77777777" w:rsidTr="002B1847">
        <w:trPr>
          <w:tblCellSpacing w:w="50" w:type="dxa"/>
          <w:jc w:val="center"/>
        </w:trPr>
        <w:tc>
          <w:tcPr>
            <w:tcW w:w="10000" w:type="dxa"/>
            <w:gridSpan w:val="2"/>
            <w:tcBorders>
              <w:top w:val="single" w:sz="6" w:space="0" w:color="000000"/>
            </w:tcBorders>
            <w:shd w:val="clear" w:color="auto" w:fill="BBD5ED"/>
            <w:noWrap/>
          </w:tcPr>
          <w:p w14:paraId="6B7F4824"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3027CF1D" w14:textId="77777777" w:rsidTr="002B1847">
        <w:trPr>
          <w:tblCellSpacing w:w="50" w:type="dxa"/>
          <w:jc w:val="center"/>
        </w:trPr>
        <w:tc>
          <w:tcPr>
            <w:tcW w:w="10000" w:type="dxa"/>
            <w:gridSpan w:val="2"/>
            <w:tcBorders>
              <w:top w:val="single" w:sz="6" w:space="0" w:color="000000"/>
            </w:tcBorders>
            <w:shd w:val="clear" w:color="auto" w:fill="BBD5ED"/>
            <w:noWrap/>
          </w:tcPr>
          <w:p w14:paraId="412128D2"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024168AD"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CSR 5 Subpart 10: Strengthen resource waste management and reuse of municipal and packaging waste,</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59BF3870" w14:textId="77777777" w:rsidTr="002B1847">
        <w:trPr>
          <w:tblCellSpacing w:w="50" w:type="dxa"/>
          <w:jc w:val="center"/>
        </w:trPr>
        <w:tc>
          <w:tcPr>
            <w:tcW w:w="10000" w:type="dxa"/>
            <w:gridSpan w:val="2"/>
            <w:tcBorders>
              <w:top w:val="single" w:sz="6" w:space="0" w:color="000000"/>
            </w:tcBorders>
            <w:shd w:val="clear" w:color="auto" w:fill="BBD5ED"/>
            <w:noWrap/>
          </w:tcPr>
          <w:p w14:paraId="22595FDC"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212A1D2E" w14:textId="77777777" w:rsidTr="002B1847">
        <w:trPr>
          <w:tblCellSpacing w:w="50" w:type="dxa"/>
          <w:jc w:val="center"/>
        </w:trPr>
        <w:tc>
          <w:tcPr>
            <w:tcW w:w="1500" w:type="dxa"/>
            <w:tcBorders>
              <w:top w:val="single" w:sz="6" w:space="0" w:color="000000"/>
              <w:right w:val="single" w:sz="6" w:space="0" w:color="000000"/>
            </w:tcBorders>
            <w:noWrap/>
          </w:tcPr>
          <w:p w14:paraId="17E51667"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lastRenderedPageBreak/>
              <w:t>Entry 1</w:t>
            </w:r>
          </w:p>
        </w:tc>
        <w:tc>
          <w:tcPr>
            <w:tcW w:w="8500" w:type="dxa"/>
            <w:tcBorders>
              <w:top w:val="single" w:sz="6" w:space="0" w:color="000000"/>
            </w:tcBorders>
            <w:noWrap/>
          </w:tcPr>
          <w:p w14:paraId="4A992E9B"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719DCB32" w14:textId="77777777" w:rsidR="00C24F6F" w:rsidRPr="002F5AA0" w:rsidRDefault="00C24F6F" w:rsidP="002B1847">
            <w:pPr>
              <w:rPr>
                <w:rFonts w:ascii="Arial Narrow" w:hAnsi="Arial Narrow"/>
                <w:sz w:val="14"/>
                <w:szCs w:val="14"/>
              </w:rPr>
            </w:pPr>
          </w:p>
          <w:p w14:paraId="4D8923AA" w14:textId="331BE9EF"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Improving the Effectiveness of Support Provided through the Environmental Fund: The amendment to the Environmental Fund Act will improve the efficiency of its operations and enable a more flexible response to the needs of support beneficiaries.  The Government of the Slovak Republic approved the draft new Environmental Fund Act on 1 October 2025. The draft act is currently under consideration in the National Council of the Slovak Republic at second reading, and its adoption is expected in the course of the</w:t>
            </w:r>
            <w:r w:rsidR="00001F10">
              <w:rPr>
                <w:rStyle w:val="defaultStyle"/>
                <w:rFonts w:ascii="Arial Narrow" w:hAnsi="Arial Narrow"/>
                <w:sz w:val="14"/>
                <w:szCs w:val="14"/>
              </w:rPr>
              <w:t xml:space="preserve"> second</w:t>
            </w:r>
            <w:r w:rsidRPr="002F5AA0">
              <w:rPr>
                <w:rStyle w:val="defaultStyle"/>
                <w:rFonts w:ascii="Arial Narrow" w:hAnsi="Arial Narrow"/>
                <w:sz w:val="14"/>
                <w:szCs w:val="14"/>
              </w:rPr>
              <w:t xml:space="preserve"> quarter of 2026.</w:t>
            </w:r>
          </w:p>
        </w:tc>
      </w:tr>
      <w:tr w:rsidR="00C24F6F" w:rsidRPr="002F5AA0" w14:paraId="211EF186" w14:textId="77777777" w:rsidTr="002B1847">
        <w:trPr>
          <w:tblCellSpacing w:w="50" w:type="dxa"/>
          <w:jc w:val="center"/>
        </w:trPr>
        <w:tc>
          <w:tcPr>
            <w:tcW w:w="1500" w:type="dxa"/>
            <w:tcBorders>
              <w:top w:val="single" w:sz="6" w:space="0" w:color="000000"/>
              <w:right w:val="single" w:sz="6" w:space="0" w:color="000000"/>
            </w:tcBorders>
            <w:noWrap/>
          </w:tcPr>
          <w:p w14:paraId="67AE412E"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230768E4"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Adopted (09/04/2026 10:23 AM)</w:t>
            </w:r>
          </w:p>
          <w:p w14:paraId="6E4FAADF" w14:textId="77777777" w:rsidR="00C24F6F" w:rsidRPr="002F5AA0" w:rsidRDefault="00C24F6F" w:rsidP="002B1847">
            <w:pPr>
              <w:rPr>
                <w:rFonts w:ascii="Arial Narrow" w:hAnsi="Arial Narrow"/>
                <w:sz w:val="14"/>
                <w:szCs w:val="14"/>
              </w:rPr>
            </w:pPr>
          </w:p>
          <w:p w14:paraId="015B2820"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Waste Management Strategy and Action Plan: The Strategy and Action Plan will set objectives and measures for the waste management sector for a period of 10 to 15 years, with a focus on increasing recycling rates and reducing landfilling of municipal waste.  The Waste Management Strategy of the Slovak Republic to 2035, which also includes a set of concrete measures, was approved by the Government of the Slovak Republic on 13 January 2026.</w:t>
            </w:r>
          </w:p>
        </w:tc>
      </w:tr>
      <w:tr w:rsidR="00C24F6F" w:rsidRPr="002F5AA0" w14:paraId="7E9E3D46" w14:textId="77777777" w:rsidTr="002B1847">
        <w:trPr>
          <w:tblCellSpacing w:w="50" w:type="dxa"/>
          <w:jc w:val="center"/>
        </w:trPr>
        <w:tc>
          <w:tcPr>
            <w:tcW w:w="10000" w:type="dxa"/>
            <w:gridSpan w:val="2"/>
            <w:tcBorders>
              <w:top w:val="single" w:sz="6" w:space="0" w:color="000000"/>
            </w:tcBorders>
            <w:shd w:val="clear" w:color="auto" w:fill="BBD5ED"/>
            <w:noWrap/>
          </w:tcPr>
          <w:p w14:paraId="3B24675D"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310C34CF" w14:textId="77777777" w:rsidTr="002B1847">
        <w:trPr>
          <w:tblCellSpacing w:w="50" w:type="dxa"/>
          <w:jc w:val="center"/>
        </w:trPr>
        <w:tc>
          <w:tcPr>
            <w:tcW w:w="10000" w:type="dxa"/>
            <w:gridSpan w:val="2"/>
            <w:tcBorders>
              <w:top w:val="single" w:sz="6" w:space="0" w:color="000000"/>
            </w:tcBorders>
            <w:shd w:val="clear" w:color="auto" w:fill="BBD5ED"/>
            <w:noWrap/>
          </w:tcPr>
          <w:p w14:paraId="17A1B0E6"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3C52A717"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5 Subpart 11:  the conservation of natural resources, and increase water resilience by mainstreaming nature-based solutions and finalising the zonation of nature-protected areas.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56ABC882" w14:textId="77777777" w:rsidTr="002B1847">
        <w:trPr>
          <w:tblCellSpacing w:w="50" w:type="dxa"/>
          <w:jc w:val="center"/>
        </w:trPr>
        <w:tc>
          <w:tcPr>
            <w:tcW w:w="10000" w:type="dxa"/>
            <w:gridSpan w:val="2"/>
            <w:tcBorders>
              <w:top w:val="single" w:sz="6" w:space="0" w:color="000000"/>
            </w:tcBorders>
            <w:shd w:val="clear" w:color="auto" w:fill="BBD5ED"/>
            <w:noWrap/>
          </w:tcPr>
          <w:p w14:paraId="49E0F88B"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18134EE9" w14:textId="77777777" w:rsidTr="002B1847">
        <w:trPr>
          <w:tblCellSpacing w:w="50" w:type="dxa"/>
          <w:jc w:val="center"/>
        </w:trPr>
        <w:tc>
          <w:tcPr>
            <w:tcW w:w="1500" w:type="dxa"/>
            <w:tcBorders>
              <w:top w:val="single" w:sz="6" w:space="0" w:color="000000"/>
              <w:right w:val="single" w:sz="6" w:space="0" w:color="000000"/>
            </w:tcBorders>
            <w:noWrap/>
          </w:tcPr>
          <w:p w14:paraId="1737FF2B"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5A44C33A"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Deleted (09/04/2026 10:23 AM)</w:t>
            </w:r>
          </w:p>
          <w:p w14:paraId="1B02612A" w14:textId="77777777" w:rsidR="00C24F6F" w:rsidRPr="002F5AA0" w:rsidRDefault="00C24F6F" w:rsidP="002B1847">
            <w:pPr>
              <w:rPr>
                <w:rFonts w:ascii="Arial Narrow" w:hAnsi="Arial Narrow"/>
                <w:sz w:val="14"/>
                <w:szCs w:val="14"/>
              </w:rPr>
            </w:pPr>
          </w:p>
          <w:p w14:paraId="45563A9C" w14:textId="3F554A18"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 xml:space="preserve">Revision of Water Use Payments and Charges (1): The amendment to the Water Act is intended to introduce fair and targeted pricing of water management services based on the 'user and polluter pays' principle.  The draft amendment to the Water Act </w:t>
            </w:r>
            <w:r w:rsidR="0051458B" w:rsidRPr="0051458B">
              <w:rPr>
                <w:rStyle w:val="defaultStyle"/>
                <w:rFonts w:ascii="Arial Narrow" w:hAnsi="Arial Narrow"/>
                <w:sz w:val="14"/>
                <w:szCs w:val="14"/>
              </w:rPr>
              <w:t>has been submitted to the inter-ministerial consultation, and the resolution of comments is currently ongoing</w:t>
            </w:r>
            <w:r w:rsidRPr="002F5AA0">
              <w:rPr>
                <w:rStyle w:val="defaultStyle"/>
                <w:rFonts w:ascii="Arial Narrow" w:hAnsi="Arial Narrow"/>
                <w:sz w:val="14"/>
                <w:szCs w:val="14"/>
              </w:rPr>
              <w:t>. However, following the assessment of comments received, the originally proposed provisions relating to the reduction of threshold values for charges on water abstraction and discharge are planned to be removed from the draft.</w:t>
            </w:r>
          </w:p>
        </w:tc>
      </w:tr>
      <w:tr w:rsidR="00C24F6F" w:rsidRPr="002F5AA0" w14:paraId="243C5B5D" w14:textId="77777777" w:rsidTr="002B1847">
        <w:trPr>
          <w:tblCellSpacing w:w="50" w:type="dxa"/>
          <w:jc w:val="center"/>
        </w:trPr>
        <w:tc>
          <w:tcPr>
            <w:tcW w:w="1500" w:type="dxa"/>
            <w:tcBorders>
              <w:top w:val="single" w:sz="6" w:space="0" w:color="000000"/>
              <w:right w:val="single" w:sz="6" w:space="0" w:color="000000"/>
            </w:tcBorders>
            <w:noWrap/>
          </w:tcPr>
          <w:p w14:paraId="37C70B20"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6A02933A"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7FD718A5" w14:textId="77777777" w:rsidR="00C24F6F" w:rsidRPr="002F5AA0" w:rsidRDefault="00C24F6F" w:rsidP="002B1847">
            <w:pPr>
              <w:rPr>
                <w:rFonts w:ascii="Arial Narrow" w:hAnsi="Arial Narrow"/>
                <w:sz w:val="14"/>
                <w:szCs w:val="14"/>
              </w:rPr>
            </w:pPr>
          </w:p>
          <w:p w14:paraId="79D96674" w14:textId="04385554"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 xml:space="preserve">Improving the Effectiveness of Support Provided through the Environmental Fund: The amendment to the Environmental Fund Act will improve the efficiency of its operations and enable a more flexible response to the needs of support beneficiaries.  The Government of the Slovak Republic approved the draft new Environmental Fund Act on 1 October 2025. The draft act is currently under consideration in the National Council of the Slovak Republic at second reading, and its adoption is expected in the course of the </w:t>
            </w:r>
            <w:r w:rsidR="00001F10">
              <w:rPr>
                <w:rStyle w:val="defaultStyle"/>
                <w:rFonts w:ascii="Arial Narrow" w:hAnsi="Arial Narrow"/>
                <w:sz w:val="14"/>
                <w:szCs w:val="14"/>
              </w:rPr>
              <w:t xml:space="preserve">second </w:t>
            </w:r>
            <w:r w:rsidRPr="002F5AA0">
              <w:rPr>
                <w:rStyle w:val="defaultStyle"/>
                <w:rFonts w:ascii="Arial Narrow" w:hAnsi="Arial Narrow"/>
                <w:sz w:val="14"/>
                <w:szCs w:val="14"/>
              </w:rPr>
              <w:t>quarter of 2026.</w:t>
            </w:r>
          </w:p>
        </w:tc>
      </w:tr>
      <w:tr w:rsidR="00C24F6F" w:rsidRPr="002F5AA0" w14:paraId="5668400A" w14:textId="77777777" w:rsidTr="002B1847">
        <w:trPr>
          <w:tblCellSpacing w:w="50" w:type="dxa"/>
          <w:jc w:val="center"/>
        </w:trPr>
        <w:tc>
          <w:tcPr>
            <w:tcW w:w="1500" w:type="dxa"/>
            <w:tcBorders>
              <w:top w:val="single" w:sz="6" w:space="0" w:color="000000"/>
              <w:right w:val="single" w:sz="6" w:space="0" w:color="000000"/>
            </w:tcBorders>
            <w:noWrap/>
          </w:tcPr>
          <w:p w14:paraId="3A89D5ED"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3</w:t>
            </w:r>
          </w:p>
        </w:tc>
        <w:tc>
          <w:tcPr>
            <w:tcW w:w="8500" w:type="dxa"/>
            <w:tcBorders>
              <w:top w:val="single" w:sz="6" w:space="0" w:color="000000"/>
            </w:tcBorders>
            <w:noWrap/>
          </w:tcPr>
          <w:p w14:paraId="54E0C874"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4E76DE6F" w14:textId="77777777" w:rsidR="00C24F6F" w:rsidRPr="002F5AA0" w:rsidRDefault="00C24F6F" w:rsidP="002B1847">
            <w:pPr>
              <w:rPr>
                <w:rFonts w:ascii="Arial Narrow" w:hAnsi="Arial Narrow"/>
                <w:sz w:val="14"/>
                <w:szCs w:val="14"/>
              </w:rPr>
            </w:pPr>
          </w:p>
          <w:p w14:paraId="41402F6D"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Revision of Water Use Payments and Charges (2): In accordance with the Water Policy Concept, an amendment to the Government Regulation on water use charges will be adopted, increasing the extent to which environmental costs are reflected in the charging framework.  The Ministry of Environment of the Slovak Republic is continuing discussions on the draft text of this amendment.</w:t>
            </w:r>
          </w:p>
        </w:tc>
      </w:tr>
      <w:tr w:rsidR="00C24F6F" w:rsidRPr="002F5AA0" w14:paraId="6649C393" w14:textId="77777777" w:rsidTr="002B1847">
        <w:trPr>
          <w:tblCellSpacing w:w="50" w:type="dxa"/>
          <w:jc w:val="center"/>
        </w:trPr>
        <w:tc>
          <w:tcPr>
            <w:tcW w:w="1500" w:type="dxa"/>
            <w:tcBorders>
              <w:top w:val="single" w:sz="6" w:space="0" w:color="000000"/>
              <w:right w:val="single" w:sz="6" w:space="0" w:color="000000"/>
            </w:tcBorders>
            <w:noWrap/>
          </w:tcPr>
          <w:p w14:paraId="786D987F"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4</w:t>
            </w:r>
          </w:p>
        </w:tc>
        <w:tc>
          <w:tcPr>
            <w:tcW w:w="8500" w:type="dxa"/>
            <w:tcBorders>
              <w:top w:val="single" w:sz="6" w:space="0" w:color="000000"/>
            </w:tcBorders>
            <w:noWrap/>
          </w:tcPr>
          <w:p w14:paraId="1F802A50"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12E40161" w14:textId="77777777" w:rsidR="00C24F6F" w:rsidRPr="002F5AA0" w:rsidRDefault="00C24F6F" w:rsidP="002B1847">
            <w:pPr>
              <w:rPr>
                <w:rFonts w:ascii="Arial Narrow" w:hAnsi="Arial Narrow"/>
                <w:sz w:val="14"/>
                <w:szCs w:val="14"/>
              </w:rPr>
            </w:pPr>
          </w:p>
          <w:p w14:paraId="50159033"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Update of the National Biodiversity Strategy and Action Plan (NBSAP) to 2030: The updated NBSAP aims to establish a comprehensive set of activities and measures to halt biodiversity loss and accelerate the transition to a green economy that makes more efficient use of natural resources.  The deadline for submission of the document to the Government of the Slovak Republic was postponed from December 2025 to December 2026 compared to the original schedule. The Ministry of Environment of the Slovak Republic is currently finalising the Strategic Environmental Assessment (SEA) process. Upon its completion, the document will be submitted for inter-ministerial comment procedure.</w:t>
            </w:r>
          </w:p>
        </w:tc>
      </w:tr>
      <w:tr w:rsidR="00C24F6F" w:rsidRPr="002F5AA0" w14:paraId="69A96A6C" w14:textId="77777777" w:rsidTr="002B1847">
        <w:trPr>
          <w:tblCellSpacing w:w="50" w:type="dxa"/>
          <w:jc w:val="center"/>
        </w:trPr>
        <w:tc>
          <w:tcPr>
            <w:tcW w:w="10000" w:type="dxa"/>
            <w:gridSpan w:val="2"/>
            <w:tcBorders>
              <w:top w:val="single" w:sz="6" w:space="0" w:color="000000"/>
            </w:tcBorders>
            <w:shd w:val="clear" w:color="auto" w:fill="BBD5ED"/>
            <w:noWrap/>
          </w:tcPr>
          <w:p w14:paraId="36E0D072"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lastRenderedPageBreak/>
              <w:t>Comments</w:t>
            </w:r>
          </w:p>
        </w:tc>
      </w:tr>
      <w:tr w:rsidR="00C24F6F" w:rsidRPr="002F5AA0" w14:paraId="64E4764D" w14:textId="77777777" w:rsidTr="002B1847">
        <w:trPr>
          <w:tblCellSpacing w:w="50" w:type="dxa"/>
          <w:jc w:val="center"/>
        </w:trPr>
        <w:tc>
          <w:tcPr>
            <w:tcW w:w="10000" w:type="dxa"/>
            <w:gridSpan w:val="2"/>
            <w:tcBorders>
              <w:top w:val="single" w:sz="6" w:space="0" w:color="000000"/>
            </w:tcBorders>
            <w:shd w:val="clear" w:color="auto" w:fill="BBD5ED"/>
            <w:noWrap/>
          </w:tcPr>
          <w:p w14:paraId="2364963D"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2B9B6781" w14:textId="77777777" w:rsidR="00C24F6F" w:rsidRPr="002F5AA0" w:rsidRDefault="00C24F6F" w:rsidP="00C24F6F">
      <w:pPr>
        <w:rPr>
          <w:rFonts w:ascii="Arial Narrow" w:hAnsi="Arial Narrow"/>
          <w:sz w:val="14"/>
          <w:szCs w:val="14"/>
        </w:rPr>
      </w:pPr>
      <w:r w:rsidRPr="002F5AA0">
        <w:rPr>
          <w:rFonts w:ascii="Arial Narrow" w:hAnsi="Arial Narrow"/>
          <w:sz w:val="14"/>
          <w:szCs w:val="14"/>
        </w:rPr>
        <w:br w:type="page"/>
      </w:r>
    </w:p>
    <w:p w14:paraId="03DE7930" w14:textId="77777777" w:rsidR="00C24F6F" w:rsidRPr="002F5AA0" w:rsidRDefault="00C24F6F" w:rsidP="00C24F6F">
      <w:pPr>
        <w:pStyle w:val="titleParagraphStyle"/>
        <w:rPr>
          <w:rFonts w:ascii="Arial Narrow" w:hAnsi="Arial Narrow"/>
          <w:sz w:val="14"/>
          <w:szCs w:val="14"/>
        </w:rPr>
      </w:pPr>
      <w:r w:rsidRPr="002F5AA0">
        <w:rPr>
          <w:rStyle w:val="titleBlueStyle"/>
          <w:rFonts w:ascii="Arial Narrow" w:hAnsi="Arial Narrow"/>
          <w:sz w:val="14"/>
          <w:szCs w:val="14"/>
        </w:rPr>
        <w:lastRenderedPageBreak/>
        <w:t>CSR.2025.6</w:t>
      </w:r>
    </w:p>
    <w:p w14:paraId="08DBD832"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6 Subpart 1: Strengthen the labour market participation of underrepresented groups,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5996E41D" w14:textId="77777777" w:rsidTr="002B1847">
        <w:trPr>
          <w:tblCellSpacing w:w="50" w:type="dxa"/>
          <w:jc w:val="center"/>
        </w:trPr>
        <w:tc>
          <w:tcPr>
            <w:tcW w:w="10000" w:type="dxa"/>
            <w:gridSpan w:val="2"/>
            <w:tcBorders>
              <w:top w:val="single" w:sz="6" w:space="0" w:color="000000"/>
            </w:tcBorders>
            <w:shd w:val="clear" w:color="auto" w:fill="BBD5ED"/>
            <w:noWrap/>
          </w:tcPr>
          <w:p w14:paraId="75019AA7"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2A11691C" w14:textId="77777777" w:rsidTr="002B1847">
        <w:trPr>
          <w:tblCellSpacing w:w="50" w:type="dxa"/>
          <w:jc w:val="center"/>
        </w:trPr>
        <w:tc>
          <w:tcPr>
            <w:tcW w:w="1500" w:type="dxa"/>
            <w:tcBorders>
              <w:top w:val="single" w:sz="6" w:space="0" w:color="000000"/>
              <w:right w:val="single" w:sz="6" w:space="0" w:color="000000"/>
            </w:tcBorders>
            <w:noWrap/>
          </w:tcPr>
          <w:p w14:paraId="0CBA18A9"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5A50C2FD"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67555B92" w14:textId="77777777" w:rsidR="00C24F6F" w:rsidRPr="002F5AA0" w:rsidRDefault="00C24F6F" w:rsidP="002B1847">
            <w:pPr>
              <w:rPr>
                <w:rFonts w:ascii="Arial Narrow" w:hAnsi="Arial Narrow"/>
                <w:sz w:val="14"/>
                <w:szCs w:val="14"/>
              </w:rPr>
            </w:pPr>
          </w:p>
          <w:p w14:paraId="50A6CCF3"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Establishment of the Register of Land Use Rights in Respect of Agricultural Land: The Register of Land Use Rights constitutes an interim solution to the fragmentation and inconsistency of land ownership in the Slovak Republic. Its purpose is to increase transparency in land use, strengthen legal certainty in use-right relationships, and simplify data sharing between state institutions through the recording of actual land users.  In 2025, the Act on the Register of Land Use Rights was adopted. The Act is set to enter into force on 1 January 2028, with selected provisions applicable from 1 April 2029. Implementing regulations governing the operation of the register are currently being prepared.</w:t>
            </w:r>
          </w:p>
        </w:tc>
      </w:tr>
      <w:tr w:rsidR="00C24F6F" w:rsidRPr="002F5AA0" w14:paraId="62A1BF71" w14:textId="77777777" w:rsidTr="002B1847">
        <w:trPr>
          <w:tblCellSpacing w:w="50" w:type="dxa"/>
          <w:jc w:val="center"/>
        </w:trPr>
        <w:tc>
          <w:tcPr>
            <w:tcW w:w="1500" w:type="dxa"/>
            <w:tcBorders>
              <w:top w:val="single" w:sz="6" w:space="0" w:color="000000"/>
              <w:right w:val="single" w:sz="6" w:space="0" w:color="000000"/>
            </w:tcBorders>
            <w:noWrap/>
          </w:tcPr>
          <w:p w14:paraId="78FA210C"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2ED2CD4F"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681B2497" w14:textId="77777777" w:rsidR="00C24F6F" w:rsidRPr="002F5AA0" w:rsidRDefault="00C24F6F" w:rsidP="002B1847">
            <w:pPr>
              <w:rPr>
                <w:rFonts w:ascii="Arial Narrow" w:hAnsi="Arial Narrow"/>
                <w:sz w:val="14"/>
                <w:szCs w:val="14"/>
              </w:rPr>
            </w:pPr>
          </w:p>
          <w:p w14:paraId="7457AD56"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Chance to Return (II): The project, with an allocation of almost EUR 18 million, aims to resocialise and strengthen the competencies of convicted persons with a view to their reintegration into society. The project builds on the previous investment (Chance to Return 1) and offers convicted persons comprehensive support (e.g. counselling services and education) to reduce the risk of social exclusion and improve labour market integration.  The project is proceeding according to plan. By the end of 2025, 2,227 convicted persons had successfully completed the intervention (the target is to engage 4,600 clients by 2029), receiving comprehensive support focused on their resocialisation and labour market integration. From 2026, the project is being gradually expanded by involving additional staff providing support in individual correctional facilities.</w:t>
            </w:r>
          </w:p>
        </w:tc>
      </w:tr>
      <w:tr w:rsidR="00C24F6F" w:rsidRPr="002F5AA0" w14:paraId="2E1F41F4" w14:textId="77777777" w:rsidTr="002B1847">
        <w:trPr>
          <w:tblCellSpacing w:w="50" w:type="dxa"/>
          <w:jc w:val="center"/>
        </w:trPr>
        <w:tc>
          <w:tcPr>
            <w:tcW w:w="1500" w:type="dxa"/>
            <w:tcBorders>
              <w:top w:val="single" w:sz="6" w:space="0" w:color="000000"/>
              <w:right w:val="single" w:sz="6" w:space="0" w:color="000000"/>
            </w:tcBorders>
            <w:noWrap/>
          </w:tcPr>
          <w:p w14:paraId="723A2DFC"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3</w:t>
            </w:r>
          </w:p>
        </w:tc>
        <w:tc>
          <w:tcPr>
            <w:tcW w:w="8500" w:type="dxa"/>
            <w:tcBorders>
              <w:top w:val="single" w:sz="6" w:space="0" w:color="000000"/>
            </w:tcBorders>
            <w:noWrap/>
          </w:tcPr>
          <w:p w14:paraId="3D0317E1"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3AB7EBFB" w14:textId="77777777" w:rsidR="00C24F6F" w:rsidRPr="002F5AA0" w:rsidRDefault="00C24F6F" w:rsidP="002B1847">
            <w:pPr>
              <w:rPr>
                <w:rFonts w:ascii="Arial Narrow" w:hAnsi="Arial Narrow"/>
                <w:sz w:val="14"/>
                <w:szCs w:val="14"/>
              </w:rPr>
            </w:pPr>
          </w:p>
          <w:p w14:paraId="3CE4BC79"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Support for Social Inclusion and Housing: (1) Support for housing loss prevention and ending homelessness focuses on accessible and sustainable housing for vulnerable groups through housing-led approaches combined with social support. (2) The Outreach Social Work and Community Centres national project (EUR 250 million) provides individualised assistance to persons at risk of poverty and social exclusion.  (1) A call (EUR 14.2 million) was closed in April 2024, under which 44 projects are being implemented to provide supported rental housing for approximately 643 persons across the entire territory of the Slovak Republic. (2) The project is implemented through calls, and in 2025 a specific call for the provision of outreach social work for homeless persons was announced.</w:t>
            </w:r>
          </w:p>
        </w:tc>
      </w:tr>
      <w:tr w:rsidR="00C24F6F" w:rsidRPr="002F5AA0" w14:paraId="14B20963" w14:textId="77777777" w:rsidTr="002B1847">
        <w:trPr>
          <w:tblCellSpacing w:w="50" w:type="dxa"/>
          <w:jc w:val="center"/>
        </w:trPr>
        <w:tc>
          <w:tcPr>
            <w:tcW w:w="1500" w:type="dxa"/>
            <w:tcBorders>
              <w:top w:val="single" w:sz="6" w:space="0" w:color="000000"/>
              <w:right w:val="single" w:sz="6" w:space="0" w:color="000000"/>
            </w:tcBorders>
            <w:noWrap/>
          </w:tcPr>
          <w:p w14:paraId="0031F8DF"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4</w:t>
            </w:r>
          </w:p>
        </w:tc>
        <w:tc>
          <w:tcPr>
            <w:tcW w:w="8500" w:type="dxa"/>
            <w:tcBorders>
              <w:top w:val="single" w:sz="6" w:space="0" w:color="000000"/>
            </w:tcBorders>
            <w:noWrap/>
          </w:tcPr>
          <w:p w14:paraId="18254494"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68C492C5" w14:textId="77777777" w:rsidR="00C24F6F" w:rsidRPr="002F5AA0" w:rsidRDefault="00C24F6F" w:rsidP="002B1847">
            <w:pPr>
              <w:rPr>
                <w:rFonts w:ascii="Arial Narrow" w:hAnsi="Arial Narrow"/>
                <w:sz w:val="14"/>
                <w:szCs w:val="14"/>
              </w:rPr>
            </w:pPr>
          </w:p>
          <w:p w14:paraId="583F6FD4"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Skills Development for Labour Market Needs: The first national project (EUR 30 million) will strengthen the role of the Sectoral Skills Alliance (SSA) in predicting market needs and shortage occupations. The second project (EUR 42.2 million) will support skills development and retraining of job seekers, persons interested in employment, and young job seekers up to 30 years of age in NEET situations.  The SSA national project has been implemented since October 2023, with one of its key outputs being the development of human resources development strategies in individual sectors and a regularly updated overview of shortage occupations. The Skills for the Labour Market national project started in April 2024, and its implementation has been extended from March 2026 to December 2027.</w:t>
            </w:r>
          </w:p>
        </w:tc>
      </w:tr>
      <w:tr w:rsidR="00C24F6F" w:rsidRPr="002F5AA0" w14:paraId="70DD027D" w14:textId="77777777" w:rsidTr="002B1847">
        <w:trPr>
          <w:tblCellSpacing w:w="50" w:type="dxa"/>
          <w:jc w:val="center"/>
        </w:trPr>
        <w:tc>
          <w:tcPr>
            <w:tcW w:w="10000" w:type="dxa"/>
            <w:gridSpan w:val="2"/>
            <w:tcBorders>
              <w:top w:val="single" w:sz="6" w:space="0" w:color="000000"/>
            </w:tcBorders>
            <w:shd w:val="clear" w:color="auto" w:fill="BBD5ED"/>
            <w:noWrap/>
          </w:tcPr>
          <w:p w14:paraId="0D1EC7A0"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70120981" w14:textId="77777777" w:rsidTr="002B1847">
        <w:trPr>
          <w:tblCellSpacing w:w="50" w:type="dxa"/>
          <w:jc w:val="center"/>
        </w:trPr>
        <w:tc>
          <w:tcPr>
            <w:tcW w:w="10000" w:type="dxa"/>
            <w:gridSpan w:val="2"/>
            <w:tcBorders>
              <w:top w:val="single" w:sz="6" w:space="0" w:color="000000"/>
            </w:tcBorders>
            <w:shd w:val="clear" w:color="auto" w:fill="BBD5ED"/>
            <w:noWrap/>
          </w:tcPr>
          <w:p w14:paraId="69B56C8B"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7F03811C"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6 Subpart 2: and introduce more flexible work arrangements for parents with children.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9046"/>
      </w:tblGrid>
      <w:tr w:rsidR="00C24F6F" w:rsidRPr="002F5AA0" w14:paraId="0E841373" w14:textId="77777777" w:rsidTr="002B1847">
        <w:trPr>
          <w:tblCellSpacing w:w="50" w:type="dxa"/>
          <w:jc w:val="center"/>
        </w:trPr>
        <w:tc>
          <w:tcPr>
            <w:tcW w:w="10000" w:type="dxa"/>
            <w:tcBorders>
              <w:top w:val="single" w:sz="6" w:space="0" w:color="000000"/>
            </w:tcBorders>
            <w:shd w:val="clear" w:color="auto" w:fill="BBD5ED"/>
            <w:noWrap/>
          </w:tcPr>
          <w:p w14:paraId="447D1B10"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7D88D1FE" w14:textId="77777777" w:rsidTr="002B1847">
        <w:trPr>
          <w:tblCellSpacing w:w="50" w:type="dxa"/>
          <w:jc w:val="center"/>
        </w:trPr>
        <w:tc>
          <w:tcPr>
            <w:tcW w:w="10000" w:type="dxa"/>
            <w:tcBorders>
              <w:top w:val="single" w:sz="6" w:space="0" w:color="000000"/>
            </w:tcBorders>
            <w:shd w:val="clear" w:color="auto" w:fill="BBD5ED"/>
            <w:noWrap/>
          </w:tcPr>
          <w:p w14:paraId="7BEAE60F"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14A22D9A" w14:textId="77777777" w:rsidTr="002B1847">
        <w:trPr>
          <w:tblCellSpacing w:w="50" w:type="dxa"/>
          <w:jc w:val="center"/>
        </w:trPr>
        <w:tc>
          <w:tcPr>
            <w:tcW w:w="10000" w:type="dxa"/>
            <w:tcBorders>
              <w:top w:val="single" w:sz="6" w:space="0" w:color="000000"/>
            </w:tcBorders>
            <w:shd w:val="clear" w:color="auto" w:fill="BBD5ED"/>
            <w:noWrap/>
          </w:tcPr>
          <w:p w14:paraId="04ED09EB"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2CBC2D63"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lastRenderedPageBreak/>
        <w:t xml:space="preserve">CSR 6 Subpart 3: Increase the availability and use of affordable high-quality early childhood education and care for children under the age of 3.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2BA34CC2" w14:textId="77777777" w:rsidTr="002B1847">
        <w:trPr>
          <w:tblCellSpacing w:w="50" w:type="dxa"/>
          <w:jc w:val="center"/>
        </w:trPr>
        <w:tc>
          <w:tcPr>
            <w:tcW w:w="10000" w:type="dxa"/>
            <w:gridSpan w:val="2"/>
            <w:tcBorders>
              <w:top w:val="single" w:sz="6" w:space="0" w:color="000000"/>
            </w:tcBorders>
            <w:shd w:val="clear" w:color="auto" w:fill="BBD5ED"/>
            <w:noWrap/>
          </w:tcPr>
          <w:p w14:paraId="4A25EA88"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4EF805F6" w14:textId="77777777" w:rsidTr="002B1847">
        <w:trPr>
          <w:tblCellSpacing w:w="50" w:type="dxa"/>
          <w:jc w:val="center"/>
        </w:trPr>
        <w:tc>
          <w:tcPr>
            <w:tcW w:w="1500" w:type="dxa"/>
            <w:tcBorders>
              <w:top w:val="single" w:sz="6" w:space="0" w:color="000000"/>
              <w:right w:val="single" w:sz="6" w:space="0" w:color="000000"/>
            </w:tcBorders>
            <w:noWrap/>
          </w:tcPr>
          <w:p w14:paraId="32C470CA"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3527C5B5"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51D87FCD" w14:textId="77777777" w:rsidR="00C24F6F" w:rsidRPr="002F5AA0" w:rsidRDefault="00C24F6F" w:rsidP="002B1847">
            <w:pPr>
              <w:rPr>
                <w:rFonts w:ascii="Arial Narrow" w:hAnsi="Arial Narrow"/>
                <w:sz w:val="14"/>
                <w:szCs w:val="14"/>
              </w:rPr>
            </w:pPr>
          </w:p>
          <w:p w14:paraId="79ABCD83"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Support for Early Childhood Care: The measure (over EUR 40 million) aims to improve the availability and quality of care for children under three years of age. It will support the construction of infrastructure for childcare facilities for children under three years of age (nurseries), strengthening staffing capacities in nurseries, and developing parenting skills of parents of young children, particularly those from socially disadvantaged backgrounds.  The measures will be implemented through demand-driven calls under the Slovakia Programme, which are currently being finalised in accordance with the action plans for the National Strategy for the Development of Coordinated Early Intervention and Early Care Services for 2023-2025 and 2026-2030.</w:t>
            </w:r>
          </w:p>
        </w:tc>
      </w:tr>
      <w:tr w:rsidR="00C24F6F" w:rsidRPr="002F5AA0" w14:paraId="55480651" w14:textId="77777777" w:rsidTr="002B1847">
        <w:trPr>
          <w:tblCellSpacing w:w="50" w:type="dxa"/>
          <w:jc w:val="center"/>
        </w:trPr>
        <w:tc>
          <w:tcPr>
            <w:tcW w:w="1500" w:type="dxa"/>
            <w:tcBorders>
              <w:top w:val="single" w:sz="6" w:space="0" w:color="000000"/>
              <w:right w:val="single" w:sz="6" w:space="0" w:color="000000"/>
            </w:tcBorders>
            <w:noWrap/>
          </w:tcPr>
          <w:p w14:paraId="1C099373"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366A5787"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Adopted (09/04/2026 10:23 AM)</w:t>
            </w:r>
          </w:p>
          <w:p w14:paraId="28ACAB17" w14:textId="77777777" w:rsidR="00C24F6F" w:rsidRPr="002F5AA0" w:rsidRDefault="00C24F6F" w:rsidP="002B1847">
            <w:pPr>
              <w:rPr>
                <w:rFonts w:ascii="Arial Narrow" w:hAnsi="Arial Narrow"/>
                <w:sz w:val="14"/>
                <w:szCs w:val="14"/>
              </w:rPr>
            </w:pPr>
          </w:p>
          <w:p w14:paraId="032C4B0E"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Development of Parenting Skills: The objective of the measure is to introduce a new professional activity in the social services system – the development of parenting skills – focused on supporting parents of young children and pregnant women who find themselves in socially disadvantaged situations. This support will be provided primarily in the natural environment of families, thereby strengthening the preventive approach in the social services system.  The amendment to the Social Services Act was approved with effect from 1 January 2026.</w:t>
            </w:r>
          </w:p>
        </w:tc>
      </w:tr>
      <w:tr w:rsidR="00C24F6F" w:rsidRPr="002F5AA0" w14:paraId="451E1398" w14:textId="77777777" w:rsidTr="002B1847">
        <w:trPr>
          <w:tblCellSpacing w:w="50" w:type="dxa"/>
          <w:jc w:val="center"/>
        </w:trPr>
        <w:tc>
          <w:tcPr>
            <w:tcW w:w="10000" w:type="dxa"/>
            <w:gridSpan w:val="2"/>
            <w:tcBorders>
              <w:top w:val="single" w:sz="6" w:space="0" w:color="000000"/>
            </w:tcBorders>
            <w:shd w:val="clear" w:color="auto" w:fill="BBD5ED"/>
            <w:noWrap/>
          </w:tcPr>
          <w:p w14:paraId="47272E0A"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6542C7DD" w14:textId="77777777" w:rsidTr="002B1847">
        <w:trPr>
          <w:tblCellSpacing w:w="50" w:type="dxa"/>
          <w:jc w:val="center"/>
        </w:trPr>
        <w:tc>
          <w:tcPr>
            <w:tcW w:w="10000" w:type="dxa"/>
            <w:gridSpan w:val="2"/>
            <w:tcBorders>
              <w:top w:val="single" w:sz="6" w:space="0" w:color="000000"/>
            </w:tcBorders>
            <w:shd w:val="clear" w:color="auto" w:fill="BBD5ED"/>
            <w:noWrap/>
          </w:tcPr>
          <w:p w14:paraId="2DE27F84"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4DFA4C1D"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CSR 6 Subpart 4: Strengthen the teaching of basic skills,</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38C383E1" w14:textId="77777777" w:rsidTr="002B1847">
        <w:trPr>
          <w:tblCellSpacing w:w="50" w:type="dxa"/>
          <w:jc w:val="center"/>
        </w:trPr>
        <w:tc>
          <w:tcPr>
            <w:tcW w:w="10000" w:type="dxa"/>
            <w:gridSpan w:val="2"/>
            <w:tcBorders>
              <w:top w:val="single" w:sz="6" w:space="0" w:color="000000"/>
            </w:tcBorders>
            <w:shd w:val="clear" w:color="auto" w:fill="BBD5ED"/>
            <w:noWrap/>
          </w:tcPr>
          <w:p w14:paraId="1646E4C8"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59879DCD" w14:textId="77777777" w:rsidTr="002B1847">
        <w:trPr>
          <w:tblCellSpacing w:w="50" w:type="dxa"/>
          <w:jc w:val="center"/>
        </w:trPr>
        <w:tc>
          <w:tcPr>
            <w:tcW w:w="1500" w:type="dxa"/>
            <w:tcBorders>
              <w:top w:val="single" w:sz="6" w:space="0" w:color="000000"/>
              <w:right w:val="single" w:sz="6" w:space="0" w:color="000000"/>
            </w:tcBorders>
            <w:noWrap/>
          </w:tcPr>
          <w:p w14:paraId="3FA7238F"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0A0BF01B"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0706F668" w14:textId="77777777" w:rsidR="00C24F6F" w:rsidRPr="002F5AA0" w:rsidRDefault="00C24F6F" w:rsidP="002B1847">
            <w:pPr>
              <w:rPr>
                <w:rFonts w:ascii="Arial Narrow" w:hAnsi="Arial Narrow"/>
                <w:sz w:val="14"/>
                <w:szCs w:val="14"/>
              </w:rPr>
            </w:pPr>
          </w:p>
          <w:p w14:paraId="3127A8E8"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Supporting Innovation in Education: The objective is to mainstream proven innovative educational approaches in schools through a stable cooperation mechanism with strategic partners and financing for their systematic implementation.  Additional grant calls were carried out in 2023 and 2024 (EUR 950,000 in 2023 and EUR 1.4 million in 2024). In February 2026, a directive on the support of innovation in upbringing and education was approved, replacing the previous framework of memoranda with strategic partners and establishing a systematic framework for supporting innovative approaches in schools. MoERDY SR will launch a call for registration in the official list in the first quarter of 2026, followed by a financial call for registered entities in the second quarter of 2026.</w:t>
            </w:r>
          </w:p>
        </w:tc>
      </w:tr>
      <w:tr w:rsidR="00C24F6F" w:rsidRPr="002F5AA0" w14:paraId="41AA9816" w14:textId="77777777" w:rsidTr="002B1847">
        <w:trPr>
          <w:tblCellSpacing w:w="50" w:type="dxa"/>
          <w:jc w:val="center"/>
        </w:trPr>
        <w:tc>
          <w:tcPr>
            <w:tcW w:w="1500" w:type="dxa"/>
            <w:tcBorders>
              <w:top w:val="single" w:sz="6" w:space="0" w:color="000000"/>
              <w:right w:val="single" w:sz="6" w:space="0" w:color="000000"/>
            </w:tcBorders>
            <w:noWrap/>
          </w:tcPr>
          <w:p w14:paraId="42BDB34A"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0293F45B"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0111EBB4" w14:textId="77777777" w:rsidR="00C24F6F" w:rsidRPr="002F5AA0" w:rsidRDefault="00C24F6F" w:rsidP="002B1847">
            <w:pPr>
              <w:rPr>
                <w:rFonts w:ascii="Arial Narrow" w:hAnsi="Arial Narrow"/>
                <w:sz w:val="14"/>
                <w:szCs w:val="14"/>
              </w:rPr>
            </w:pPr>
          </w:p>
          <w:p w14:paraId="278C050D"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Action Plan for the Informatisation and Digital Transformation of Education in the Slovak Republic for the Period 2025–2027: The objective of the Action Plan is the modernisation of Slovak education through the systematic digitalisation of the learning environment. The Plan builds on the School Informatisation Programme to 2030 and forms part of the broader Digital Transformation Strategy of Slovakia to 2030. It focuses on the introduction of uniform digital equipment standards across all levels of education, while supporting the development of sustainable digitalisation plans, the enhancement of digital skills among pupils and teachers, the use of assistive technologies, and the accessibility of digital outputs.  The Action Plan was published on 15 January 2025 and implementation of its measures commenced in the first quarter of 2025. Work is currently under way on the development of digital equipment standards and planning of projects for the modernisation of school infrastructure. Methodological and training activities are being prepared in parallel, including a pilot scheme for digital coordinators and the publication of digital educational materials.</w:t>
            </w:r>
          </w:p>
        </w:tc>
      </w:tr>
      <w:tr w:rsidR="00C24F6F" w:rsidRPr="002F5AA0" w14:paraId="55E0A757" w14:textId="77777777" w:rsidTr="002B1847">
        <w:trPr>
          <w:tblCellSpacing w:w="50" w:type="dxa"/>
          <w:jc w:val="center"/>
        </w:trPr>
        <w:tc>
          <w:tcPr>
            <w:tcW w:w="1500" w:type="dxa"/>
            <w:tcBorders>
              <w:top w:val="single" w:sz="6" w:space="0" w:color="000000"/>
              <w:right w:val="single" w:sz="6" w:space="0" w:color="000000"/>
            </w:tcBorders>
            <w:noWrap/>
          </w:tcPr>
          <w:p w14:paraId="48995EEB"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3</w:t>
            </w:r>
          </w:p>
        </w:tc>
        <w:tc>
          <w:tcPr>
            <w:tcW w:w="8500" w:type="dxa"/>
            <w:tcBorders>
              <w:top w:val="single" w:sz="6" w:space="0" w:color="000000"/>
            </w:tcBorders>
            <w:noWrap/>
          </w:tcPr>
          <w:p w14:paraId="3EDB3423"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7A6C0997" w14:textId="77777777" w:rsidR="00C24F6F" w:rsidRPr="002F5AA0" w:rsidRDefault="00C24F6F" w:rsidP="002B1847">
            <w:pPr>
              <w:rPr>
                <w:rFonts w:ascii="Arial Narrow" w:hAnsi="Arial Narrow"/>
                <w:sz w:val="14"/>
                <w:szCs w:val="14"/>
              </w:rPr>
            </w:pPr>
          </w:p>
          <w:p w14:paraId="1DB8CEC2"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 xml:space="preserve">Building Digital Infrastructure in Schools: The objective is to develop modern digital infrastructure in schools, including its operation and central management, through the installation of school networks connected to the National Central Node (NCN) for the administration and security of the entire network.  Investments of over EUR 100 million are financed from European funds and the state budget, with operation guaranteed for a minimum of five years. As of 24 February 2026, 30% of digital infrastructure installations and school connections to the NCN have been completed, while the NCN itself is being built in parallel to enable centralised network management and security. The immediate </w:t>
            </w:r>
            <w:r w:rsidRPr="002F5AA0">
              <w:rPr>
                <w:rStyle w:val="defaultStyle"/>
                <w:rFonts w:ascii="Arial Narrow" w:hAnsi="Arial Narrow"/>
                <w:sz w:val="14"/>
                <w:szCs w:val="14"/>
              </w:rPr>
              <w:lastRenderedPageBreak/>
              <w:t>priority is the completion of the basic DigiEdu standard, after which higher standards will be implemented and the concept extended to all levels of education.</w:t>
            </w:r>
          </w:p>
        </w:tc>
      </w:tr>
      <w:tr w:rsidR="00C24F6F" w:rsidRPr="002F5AA0" w14:paraId="41633FC0" w14:textId="77777777" w:rsidTr="002B1847">
        <w:trPr>
          <w:tblCellSpacing w:w="50" w:type="dxa"/>
          <w:jc w:val="center"/>
        </w:trPr>
        <w:tc>
          <w:tcPr>
            <w:tcW w:w="1500" w:type="dxa"/>
            <w:tcBorders>
              <w:top w:val="single" w:sz="6" w:space="0" w:color="000000"/>
              <w:right w:val="single" w:sz="6" w:space="0" w:color="000000"/>
            </w:tcBorders>
            <w:noWrap/>
          </w:tcPr>
          <w:p w14:paraId="26809DA8"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lastRenderedPageBreak/>
              <w:t>Entry 4</w:t>
            </w:r>
          </w:p>
        </w:tc>
        <w:tc>
          <w:tcPr>
            <w:tcW w:w="8500" w:type="dxa"/>
            <w:tcBorders>
              <w:top w:val="single" w:sz="6" w:space="0" w:color="000000"/>
            </w:tcBorders>
            <w:noWrap/>
          </w:tcPr>
          <w:p w14:paraId="2F2D02D6"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6CD2862F" w14:textId="77777777" w:rsidR="00C24F6F" w:rsidRPr="002F5AA0" w:rsidRDefault="00C24F6F" w:rsidP="002B1847">
            <w:pPr>
              <w:rPr>
                <w:rFonts w:ascii="Arial Narrow" w:hAnsi="Arial Narrow"/>
                <w:sz w:val="14"/>
                <w:szCs w:val="14"/>
              </w:rPr>
            </w:pPr>
          </w:p>
          <w:p w14:paraId="6372ACFD"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Optimisation of the School Network for the Needs of the 21st Century: The optimisation of the school network will enable improvements in the efficiency, effectiveness, and quality of education at the regional level. The measure will introduce transparent criteria for school founders, revise the rules governing the inclusion and removal of schools from the network, and strengthen the role of the State School Inspection, as well as support for schools and teachers.  In 2025, the Final Report of the Spending Review on Primary and Secondary Schools was published, proposing amendments to the rules for the inclusion and removal of schools from the network. An adjustment was also made to the size coefficient used in school funding, with implications for the operation of small schools. In cooperation with relevant stakeholders, in particular representatives of local governments and various school founders, the Ministry of Education, Research, Development and Youth of the Slovak Republic (MoERDY SR) is developing a methodology for rationalisation measures and seeking consensus on new rules for the functioning of the school network.</w:t>
            </w:r>
          </w:p>
        </w:tc>
      </w:tr>
      <w:tr w:rsidR="00C24F6F" w:rsidRPr="002F5AA0" w14:paraId="5D8EF9C1" w14:textId="77777777" w:rsidTr="002B1847">
        <w:trPr>
          <w:tblCellSpacing w:w="50" w:type="dxa"/>
          <w:jc w:val="center"/>
        </w:trPr>
        <w:tc>
          <w:tcPr>
            <w:tcW w:w="1500" w:type="dxa"/>
            <w:tcBorders>
              <w:top w:val="single" w:sz="6" w:space="0" w:color="000000"/>
              <w:right w:val="single" w:sz="6" w:space="0" w:color="000000"/>
            </w:tcBorders>
            <w:noWrap/>
          </w:tcPr>
          <w:p w14:paraId="17917A6D"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5</w:t>
            </w:r>
          </w:p>
        </w:tc>
        <w:tc>
          <w:tcPr>
            <w:tcW w:w="8500" w:type="dxa"/>
            <w:tcBorders>
              <w:top w:val="single" w:sz="6" w:space="0" w:color="000000"/>
            </w:tcBorders>
            <w:noWrap/>
          </w:tcPr>
          <w:p w14:paraId="43125AA0"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322B7A5A" w14:textId="77777777" w:rsidR="00C24F6F" w:rsidRPr="002F5AA0" w:rsidRDefault="00C24F6F" w:rsidP="002B1847">
            <w:pPr>
              <w:rPr>
                <w:rFonts w:ascii="Arial Narrow" w:hAnsi="Arial Narrow"/>
                <w:sz w:val="14"/>
                <w:szCs w:val="14"/>
              </w:rPr>
            </w:pPr>
          </w:p>
          <w:p w14:paraId="49019A73"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Strengthening Inclusion and Desegregation in Education: The proposed legislative amendments and investments are designed to improve the inclusiveness and accessibility of education by abolishing double-shift schooling, strengthening support for linguistic minorities and children with special educational needs (SEN) as well as children from disadvantaged backgrounds, enabling access to lower secondary vocational education for pupils with intellectual disabilities, and introducing an early warning system for the prevention of early school leaving.  -An amendment to the Education Act, in force as of 1 January 2025, abolishes double-shift operation in primary schools, with a transitional period until 31 August 2029. A supporting grant call (EUR 34.6 million) makes the phasing out of double-shift arrangements conditional on completion by 30 June 2026. -The amendment to the Education Act further strengthens education for linguistic minorities and pupils with SEN by introducing adaptation classes, instruction in minority languages, and support measures tailored to individual pupils' needs. -The possibility of obtaining lower secondary vocational education for pupils with mild intellectual disabilities has been enshrined in law through an amendment to the Act on Upbringing and Education. -An early warning system for the prevention of early school leaving has been implemented since July 2024 under a national project (EUR 7.67 million). -In January 2026, the segregation risk monitoring report for the 2023/2024 school year was published. In 2025, the monitoring scope was extended to cover schools and classes for pupils with health-related disadvantages, as well as pre-primary schools. -Under the national project Opportunity for All (EUR 6.9 million), pilot desegregation measures are being implemented; their outcomes will be consolidated into a methodological manual with validated tools for schools and school founders. -Implementation of the national project Support for Educational Opportunities (EUR 10.5 million) commenced in January 2025. Activities to date include mapping of the target group, training of participating psychologists, and methodological support for teaching and specialist staff; child assessments are being progressively carried out. -Support for the early development of children from disadvantaged backgrounds is being delivered through a grant scheme (EUR 6.26 million), benefiting 10 organisations, with projects to be completed by June 2026.</w:t>
            </w:r>
          </w:p>
        </w:tc>
      </w:tr>
      <w:tr w:rsidR="00C24F6F" w:rsidRPr="002F5AA0" w14:paraId="77C0A827" w14:textId="77777777" w:rsidTr="002B1847">
        <w:trPr>
          <w:tblCellSpacing w:w="50" w:type="dxa"/>
          <w:jc w:val="center"/>
        </w:trPr>
        <w:tc>
          <w:tcPr>
            <w:tcW w:w="10000" w:type="dxa"/>
            <w:gridSpan w:val="2"/>
            <w:tcBorders>
              <w:top w:val="single" w:sz="6" w:space="0" w:color="000000"/>
            </w:tcBorders>
            <w:shd w:val="clear" w:color="auto" w:fill="BBD5ED"/>
            <w:noWrap/>
          </w:tcPr>
          <w:p w14:paraId="511041FF"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56AE7580" w14:textId="77777777" w:rsidTr="002B1847">
        <w:trPr>
          <w:tblCellSpacing w:w="50" w:type="dxa"/>
          <w:jc w:val="center"/>
        </w:trPr>
        <w:tc>
          <w:tcPr>
            <w:tcW w:w="10000" w:type="dxa"/>
            <w:gridSpan w:val="2"/>
            <w:tcBorders>
              <w:top w:val="single" w:sz="6" w:space="0" w:color="000000"/>
            </w:tcBorders>
            <w:shd w:val="clear" w:color="auto" w:fill="BBD5ED"/>
            <w:noWrap/>
          </w:tcPr>
          <w:p w14:paraId="34FFDC2D"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7DDE9074"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6 Subpart 5:  including for children from disadvantaged backgrounds notably in marginalised Roma communities, while ensuring equal and inclusive access to quality education at all levels.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0BFDE8E0" w14:textId="77777777" w:rsidTr="002B1847">
        <w:trPr>
          <w:tblCellSpacing w:w="50" w:type="dxa"/>
          <w:jc w:val="center"/>
        </w:trPr>
        <w:tc>
          <w:tcPr>
            <w:tcW w:w="10000" w:type="dxa"/>
            <w:gridSpan w:val="2"/>
            <w:tcBorders>
              <w:top w:val="single" w:sz="6" w:space="0" w:color="000000"/>
            </w:tcBorders>
            <w:shd w:val="clear" w:color="auto" w:fill="BBD5ED"/>
            <w:noWrap/>
          </w:tcPr>
          <w:p w14:paraId="5E58B3FD"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174AB926" w14:textId="77777777" w:rsidTr="002B1847">
        <w:trPr>
          <w:tblCellSpacing w:w="50" w:type="dxa"/>
          <w:jc w:val="center"/>
        </w:trPr>
        <w:tc>
          <w:tcPr>
            <w:tcW w:w="1500" w:type="dxa"/>
            <w:tcBorders>
              <w:top w:val="single" w:sz="6" w:space="0" w:color="000000"/>
              <w:right w:val="single" w:sz="6" w:space="0" w:color="000000"/>
            </w:tcBorders>
            <w:noWrap/>
          </w:tcPr>
          <w:p w14:paraId="26DB856F"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4E9AC5AB"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229E22DD" w14:textId="77777777" w:rsidR="00C24F6F" w:rsidRPr="002F5AA0" w:rsidRDefault="00C24F6F" w:rsidP="002B1847">
            <w:pPr>
              <w:rPr>
                <w:rFonts w:ascii="Arial Narrow" w:hAnsi="Arial Narrow"/>
                <w:sz w:val="14"/>
                <w:szCs w:val="14"/>
              </w:rPr>
            </w:pPr>
          </w:p>
          <w:p w14:paraId="27AC47C9"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Establishment of the Register of Land Use Rights in Respect of Agricultural Land: The Register of Land Use Rights constitutes an interim solution to the fragmentation and inconsistency of land ownership in the Slovak Republic. Its purpose is to increase transparency in land use, strengthen legal certainty in use-right relationships, and simplify data sharing between state institutions through the recording of actual land users.  In 2025, the Act on the Register of Land Use Rights was adopted. The Act is set to enter into force on 1 January 2028, with selected provisions applicable from 1 April 2029. Implementing regulations governing the operation of the register are currently being prepared.</w:t>
            </w:r>
          </w:p>
        </w:tc>
      </w:tr>
      <w:tr w:rsidR="00C24F6F" w:rsidRPr="002F5AA0" w14:paraId="5FD1780E" w14:textId="77777777" w:rsidTr="002B1847">
        <w:trPr>
          <w:tblCellSpacing w:w="50" w:type="dxa"/>
          <w:jc w:val="center"/>
        </w:trPr>
        <w:tc>
          <w:tcPr>
            <w:tcW w:w="1500" w:type="dxa"/>
            <w:tcBorders>
              <w:top w:val="single" w:sz="6" w:space="0" w:color="000000"/>
              <w:right w:val="single" w:sz="6" w:space="0" w:color="000000"/>
            </w:tcBorders>
            <w:noWrap/>
          </w:tcPr>
          <w:p w14:paraId="28AD9317"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25F09A3F"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1A5A21E7" w14:textId="77777777" w:rsidR="00C24F6F" w:rsidRPr="002F5AA0" w:rsidRDefault="00C24F6F" w:rsidP="002B1847">
            <w:pPr>
              <w:rPr>
                <w:rFonts w:ascii="Arial Narrow" w:hAnsi="Arial Narrow"/>
                <w:sz w:val="14"/>
                <w:szCs w:val="14"/>
              </w:rPr>
            </w:pPr>
          </w:p>
          <w:p w14:paraId="0ED36B8B"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 xml:space="preserve">Supporting Innovation in Education: The objective is to mainstream proven innovative educational approaches in schools through a stable cooperation mechanism with strategic partners and financing for their systematic implementation.  Additional grant calls were carried out in </w:t>
            </w:r>
            <w:r w:rsidRPr="002F5AA0">
              <w:rPr>
                <w:rStyle w:val="defaultStyle"/>
                <w:rFonts w:ascii="Arial Narrow" w:hAnsi="Arial Narrow"/>
                <w:sz w:val="14"/>
                <w:szCs w:val="14"/>
              </w:rPr>
              <w:lastRenderedPageBreak/>
              <w:t>2023 and 2024 (EUR 950,000 in 2023 and EUR 1.4 million in 2024). In February 2026, a directive on the support of innovation in upbringing and education was approved, replacing the previous framework of memoranda with strategic partners and establishing a systematic framework for supporting innovative approaches in schools. MoERDY SR will launch a call for registration in the official list in the first quarter of 2026, followed by a financial call for registered entities in the second quarter of 2026.</w:t>
            </w:r>
          </w:p>
        </w:tc>
      </w:tr>
      <w:tr w:rsidR="00C24F6F" w:rsidRPr="002F5AA0" w14:paraId="0E9B347E" w14:textId="77777777" w:rsidTr="002B1847">
        <w:trPr>
          <w:tblCellSpacing w:w="50" w:type="dxa"/>
          <w:jc w:val="center"/>
        </w:trPr>
        <w:tc>
          <w:tcPr>
            <w:tcW w:w="1500" w:type="dxa"/>
            <w:tcBorders>
              <w:top w:val="single" w:sz="6" w:space="0" w:color="000000"/>
              <w:right w:val="single" w:sz="6" w:space="0" w:color="000000"/>
            </w:tcBorders>
            <w:noWrap/>
          </w:tcPr>
          <w:p w14:paraId="01F792A6"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lastRenderedPageBreak/>
              <w:t>Entry 3</w:t>
            </w:r>
          </w:p>
        </w:tc>
        <w:tc>
          <w:tcPr>
            <w:tcW w:w="8500" w:type="dxa"/>
            <w:tcBorders>
              <w:top w:val="single" w:sz="6" w:space="0" w:color="000000"/>
            </w:tcBorders>
            <w:noWrap/>
          </w:tcPr>
          <w:p w14:paraId="11C18A74"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48E934B2" w14:textId="77777777" w:rsidR="00C24F6F" w:rsidRPr="002F5AA0" w:rsidRDefault="00C24F6F" w:rsidP="002B1847">
            <w:pPr>
              <w:rPr>
                <w:rFonts w:ascii="Arial Narrow" w:hAnsi="Arial Narrow"/>
                <w:sz w:val="14"/>
                <w:szCs w:val="14"/>
              </w:rPr>
            </w:pPr>
          </w:p>
          <w:p w14:paraId="3597761E"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Support and Optimisation of Special Educational Institutions (SEIs): The measures aim to improve the conditions of special educational institutions through infrastructure modernisation, strengthening of specialist staffing, and the introduction of standards, with a concurrent emphasis on inclusion and desegregation.  SEIs are receiving ongoing financial support from MoERDY SR for renovation and modernisation. Three institutions have been removed from the network due to inadequate conditions; one new centre is being prepared; and a call has been launched to improve conditions for the reintegration of children from re-education centres. A comprehensive system review has been completed, and SEI staff have been granted entitlement to a new compensatory allowance. Legislation has also introduced entitlement to paid leave and mandatory professional training.</w:t>
            </w:r>
          </w:p>
        </w:tc>
      </w:tr>
      <w:tr w:rsidR="00C24F6F" w:rsidRPr="002F5AA0" w14:paraId="03010C38" w14:textId="77777777" w:rsidTr="002B1847">
        <w:trPr>
          <w:tblCellSpacing w:w="50" w:type="dxa"/>
          <w:jc w:val="center"/>
        </w:trPr>
        <w:tc>
          <w:tcPr>
            <w:tcW w:w="1500" w:type="dxa"/>
            <w:tcBorders>
              <w:top w:val="single" w:sz="6" w:space="0" w:color="000000"/>
              <w:right w:val="single" w:sz="6" w:space="0" w:color="000000"/>
            </w:tcBorders>
            <w:noWrap/>
          </w:tcPr>
          <w:p w14:paraId="73398635"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4</w:t>
            </w:r>
          </w:p>
        </w:tc>
        <w:tc>
          <w:tcPr>
            <w:tcW w:w="8500" w:type="dxa"/>
            <w:tcBorders>
              <w:top w:val="single" w:sz="6" w:space="0" w:color="000000"/>
            </w:tcBorders>
            <w:noWrap/>
          </w:tcPr>
          <w:p w14:paraId="00DEA78D"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78CE8F48" w14:textId="77777777" w:rsidR="00C24F6F" w:rsidRPr="002F5AA0" w:rsidRDefault="00C24F6F" w:rsidP="002B1847">
            <w:pPr>
              <w:rPr>
                <w:rFonts w:ascii="Arial Narrow" w:hAnsi="Arial Narrow"/>
                <w:sz w:val="14"/>
                <w:szCs w:val="14"/>
              </w:rPr>
            </w:pPr>
          </w:p>
          <w:p w14:paraId="275BACCD"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Strengthening Inclusion and Desegregation in Education: The proposed legislative amendments and investments are designed to improve the inclusiveness and accessibility of education by abolishing double-shift schooling, strengthening support for linguistic minorities and children with special educational needs (SEN) as well as children from disadvantaged backgrounds, enabling access to lower secondary vocational education for pupils with intellectual disabilities, and introducing an early warning system for the prevention of early school leaving.  -An amendment to the Education Act, in force as of 1 January 2025, abolishes double-shift operation in primary schools, with a transitional period until 31 August 2029. A supporting grant call (EUR 34.6 million) makes the phasing out of double-shift arrangements conditional on completion by 30 June 2026. -The amendment to the Education Act further strengthens education for linguistic minorities and pupils with SEN by introducing adaptation classes, instruction in minority languages, and support measures tailored to individual pupils' needs. -The possibility of obtaining lower secondary vocational education for pupils with mild intellectual disabilities has been enshrined in law through an amendment to the Act on Upbringing and Education. -An early warning system for the prevention of early school leaving has been implemented since July 2024 under a national project (EUR 7.67 million). -In January 2026, the segregation risk monitoring report for the 2023/2024 school year was published. In 2025, the monitoring scope was extended to cover schools and classes for pupils with health-related disadvantages, as well as pre-primary schools. -Under the national project Opportunity for All (EUR 6.9 million), pilot desegregation measures are being implemented; their outcomes will be consolidated into a methodological manual with validated tools for schools and school founders. -Implementation of the national project Support for Educational Opportunities (EUR 10.5 million) commenced in January 2025. Activities to date include mapping of the target group, training of participating psychologists, and methodological support for teaching and specialist staff; child assessments are being progressively carried out. -Support for the early development of children from disadvantaged backgrounds is being delivered through a grant scheme (EUR 6.26 million), benefiting 10 organisations, with projects to be completed by June 2026.</w:t>
            </w:r>
          </w:p>
        </w:tc>
      </w:tr>
      <w:tr w:rsidR="00C24F6F" w:rsidRPr="002F5AA0" w14:paraId="497AA01F" w14:textId="77777777" w:rsidTr="002B1847">
        <w:trPr>
          <w:tblCellSpacing w:w="50" w:type="dxa"/>
          <w:jc w:val="center"/>
        </w:trPr>
        <w:tc>
          <w:tcPr>
            <w:tcW w:w="1500" w:type="dxa"/>
            <w:tcBorders>
              <w:top w:val="single" w:sz="6" w:space="0" w:color="000000"/>
              <w:right w:val="single" w:sz="6" w:space="0" w:color="000000"/>
            </w:tcBorders>
            <w:noWrap/>
          </w:tcPr>
          <w:p w14:paraId="5A3E685B"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5</w:t>
            </w:r>
          </w:p>
        </w:tc>
        <w:tc>
          <w:tcPr>
            <w:tcW w:w="8500" w:type="dxa"/>
            <w:tcBorders>
              <w:top w:val="single" w:sz="6" w:space="0" w:color="000000"/>
            </w:tcBorders>
            <w:noWrap/>
          </w:tcPr>
          <w:p w14:paraId="273644C0"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67F8547C" w14:textId="77777777" w:rsidR="00C24F6F" w:rsidRPr="002F5AA0" w:rsidRDefault="00C24F6F" w:rsidP="002B1847">
            <w:pPr>
              <w:rPr>
                <w:rFonts w:ascii="Arial Narrow" w:hAnsi="Arial Narrow"/>
                <w:sz w:val="14"/>
                <w:szCs w:val="14"/>
              </w:rPr>
            </w:pPr>
          </w:p>
          <w:p w14:paraId="3CCE17FA"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Support for Early Childhood Care: The measure (over EUR 40 million) aims to improve the availability and quality of care for children under three years of age. It will support the construction of infrastructure for childcare facilities for children under three years of age (nurseries), strengthening staffing capacities in nurseries, and developing parenting skills of parents of young children, particularly those from socially disadvantaged backgrounds.  The measures will be implemented through demand-driven calls under the Slovakia Programme, which are currently being finalised in accordance with the action plans for the National Strategy for the Development of Coordinated Early Intervention and Early Care Services for 2023-2025 and 2026-2030.</w:t>
            </w:r>
          </w:p>
        </w:tc>
      </w:tr>
      <w:tr w:rsidR="00C24F6F" w:rsidRPr="002F5AA0" w14:paraId="219C6668" w14:textId="77777777" w:rsidTr="002B1847">
        <w:trPr>
          <w:tblCellSpacing w:w="50" w:type="dxa"/>
          <w:jc w:val="center"/>
        </w:trPr>
        <w:tc>
          <w:tcPr>
            <w:tcW w:w="10000" w:type="dxa"/>
            <w:gridSpan w:val="2"/>
            <w:tcBorders>
              <w:top w:val="single" w:sz="6" w:space="0" w:color="000000"/>
            </w:tcBorders>
            <w:shd w:val="clear" w:color="auto" w:fill="BBD5ED"/>
            <w:noWrap/>
          </w:tcPr>
          <w:p w14:paraId="005D97FD"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1D69F23C" w14:textId="77777777" w:rsidTr="002B1847">
        <w:trPr>
          <w:tblCellSpacing w:w="50" w:type="dxa"/>
          <w:jc w:val="center"/>
        </w:trPr>
        <w:tc>
          <w:tcPr>
            <w:tcW w:w="10000" w:type="dxa"/>
            <w:gridSpan w:val="2"/>
            <w:tcBorders>
              <w:top w:val="single" w:sz="6" w:space="0" w:color="000000"/>
            </w:tcBorders>
            <w:shd w:val="clear" w:color="auto" w:fill="BBD5ED"/>
            <w:noWrap/>
          </w:tcPr>
          <w:p w14:paraId="08115EAE"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047EA40B"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6 Subpart 6: Step up policy efforts aimed at the provision and acquisition of skills and competences, by providing reskilling and upskilling opportunities for adults,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73478A0A" w14:textId="77777777" w:rsidTr="002B1847">
        <w:trPr>
          <w:tblCellSpacing w:w="50" w:type="dxa"/>
          <w:jc w:val="center"/>
        </w:trPr>
        <w:tc>
          <w:tcPr>
            <w:tcW w:w="10000" w:type="dxa"/>
            <w:gridSpan w:val="2"/>
            <w:tcBorders>
              <w:top w:val="single" w:sz="6" w:space="0" w:color="000000"/>
            </w:tcBorders>
            <w:shd w:val="clear" w:color="auto" w:fill="BBD5ED"/>
            <w:noWrap/>
          </w:tcPr>
          <w:p w14:paraId="0967EEF9"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74B3DC5A" w14:textId="77777777" w:rsidTr="002B1847">
        <w:trPr>
          <w:tblCellSpacing w:w="50" w:type="dxa"/>
          <w:jc w:val="center"/>
        </w:trPr>
        <w:tc>
          <w:tcPr>
            <w:tcW w:w="1500" w:type="dxa"/>
            <w:tcBorders>
              <w:top w:val="single" w:sz="6" w:space="0" w:color="000000"/>
              <w:right w:val="single" w:sz="6" w:space="0" w:color="000000"/>
            </w:tcBorders>
            <w:noWrap/>
          </w:tcPr>
          <w:p w14:paraId="1A879BB2"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5F6CAB18"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Implemented (09/04/2026 10:23 AM)</w:t>
            </w:r>
          </w:p>
          <w:p w14:paraId="66EC90BB" w14:textId="77777777" w:rsidR="00C24F6F" w:rsidRPr="002F5AA0" w:rsidRDefault="00C24F6F" w:rsidP="002B1847">
            <w:pPr>
              <w:rPr>
                <w:rFonts w:ascii="Arial Narrow" w:hAnsi="Arial Narrow"/>
                <w:sz w:val="14"/>
                <w:szCs w:val="14"/>
              </w:rPr>
            </w:pPr>
          </w:p>
          <w:p w14:paraId="1C794E0C"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 xml:space="preserve">Implementation of Measures under the Strategy and Action Plan to Improve Slovakia's Position in the Digital Economy and Society Index (DESI): The objective of the measures is to improve Slovakia's position in the DESI index so that it is at least in the middle of the ranking.  </w:t>
            </w:r>
            <w:r w:rsidRPr="002F5AA0">
              <w:rPr>
                <w:rStyle w:val="defaultStyle"/>
                <w:rFonts w:ascii="Arial Narrow" w:hAnsi="Arial Narrow"/>
                <w:sz w:val="14"/>
                <w:szCs w:val="14"/>
              </w:rPr>
              <w:lastRenderedPageBreak/>
              <w:t>Implementation of the DESI Strategy measures has been completed, and most measures have been implemented in accordance with the set targets and milestones. The measures have contributed to creating the preconditions for improving Slovakia's position in the DESI index, particularly in the areas of human capital and connectivity, although a more significant shift in overall ranking has not yet materialised, partly due to changes in EU methodology and data collection delays. The final report on the implementation of the strategy was submitted in October 2025. In the area of connectivity, for example, a geographical survey of infrastructure was carried out, while in the area of human capital, a digital skills project for seniors was implemented (training more than 30,000 persons), which also resulted in the development of an educational application for developing digital skills of seniors and disadvantaged persons. The European Commission has integrated the DESI index methodology into Digital Decade Goals monitoring. Further progress monitoring will take place within the framework of the National Digital Decade Plan reform.</w:t>
            </w:r>
          </w:p>
        </w:tc>
      </w:tr>
      <w:tr w:rsidR="00C24F6F" w:rsidRPr="002F5AA0" w14:paraId="44632130" w14:textId="77777777" w:rsidTr="002B1847">
        <w:trPr>
          <w:tblCellSpacing w:w="50" w:type="dxa"/>
          <w:jc w:val="center"/>
        </w:trPr>
        <w:tc>
          <w:tcPr>
            <w:tcW w:w="1500" w:type="dxa"/>
            <w:tcBorders>
              <w:top w:val="single" w:sz="6" w:space="0" w:color="000000"/>
              <w:right w:val="single" w:sz="6" w:space="0" w:color="000000"/>
            </w:tcBorders>
            <w:noWrap/>
          </w:tcPr>
          <w:p w14:paraId="3319592A"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lastRenderedPageBreak/>
              <w:t>Entry 2</w:t>
            </w:r>
          </w:p>
        </w:tc>
        <w:tc>
          <w:tcPr>
            <w:tcW w:w="8500" w:type="dxa"/>
            <w:tcBorders>
              <w:top w:val="single" w:sz="6" w:space="0" w:color="000000"/>
            </w:tcBorders>
            <w:noWrap/>
          </w:tcPr>
          <w:p w14:paraId="6E7E6C75"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0313BA4C" w14:textId="77777777" w:rsidR="00C24F6F" w:rsidRPr="002F5AA0" w:rsidRDefault="00C24F6F" w:rsidP="002B1847">
            <w:pPr>
              <w:rPr>
                <w:rFonts w:ascii="Arial Narrow" w:hAnsi="Arial Narrow"/>
                <w:sz w:val="14"/>
                <w:szCs w:val="14"/>
              </w:rPr>
            </w:pPr>
          </w:p>
          <w:p w14:paraId="26DE9767"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National Digital Decade Plan of the Slovak Republic: The National Digital Decade Plan of the Slovak Republic is an overarching strategic document that consolidates the activities of the Slovak Republic aimed at achieving the European Union’s digital targets.  On 17 December 2025, the Government of the Slovak Republic approved an information report on the implementation of the Plan’s measures. The implementation of these measures is progressing in line with the Plan, with a number of measures already in the implementation phase (e.g. in the areas of digital skills for vulnerable groups and the digitalisation of youth work), while others are in preparatory stages. For long-term measures, the commencement of implementation is scheduled for 2027. Progress is continuously monitored through regular reporting to the Government of the Slovak Republic. In accordance with the requirements of the European Commission, a regular update of the National Plan is being prepared, which will take into account developments to date and the recommendations of the European Commission.</w:t>
            </w:r>
          </w:p>
        </w:tc>
      </w:tr>
      <w:tr w:rsidR="00C24F6F" w:rsidRPr="002F5AA0" w14:paraId="3D284CF7" w14:textId="77777777" w:rsidTr="002B1847">
        <w:trPr>
          <w:tblCellSpacing w:w="50" w:type="dxa"/>
          <w:jc w:val="center"/>
        </w:trPr>
        <w:tc>
          <w:tcPr>
            <w:tcW w:w="1500" w:type="dxa"/>
            <w:tcBorders>
              <w:top w:val="single" w:sz="6" w:space="0" w:color="000000"/>
              <w:right w:val="single" w:sz="6" w:space="0" w:color="000000"/>
            </w:tcBorders>
            <w:noWrap/>
          </w:tcPr>
          <w:p w14:paraId="29FD05F5"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3</w:t>
            </w:r>
          </w:p>
        </w:tc>
        <w:tc>
          <w:tcPr>
            <w:tcW w:w="8500" w:type="dxa"/>
            <w:tcBorders>
              <w:top w:val="single" w:sz="6" w:space="0" w:color="000000"/>
            </w:tcBorders>
            <w:noWrap/>
          </w:tcPr>
          <w:p w14:paraId="6ADA4179"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520EA502" w14:textId="77777777" w:rsidR="00C24F6F" w:rsidRPr="002F5AA0" w:rsidRDefault="00C24F6F" w:rsidP="002B1847">
            <w:pPr>
              <w:rPr>
                <w:rFonts w:ascii="Arial Narrow" w:hAnsi="Arial Narrow"/>
                <w:sz w:val="14"/>
                <w:szCs w:val="14"/>
              </w:rPr>
            </w:pPr>
          </w:p>
          <w:p w14:paraId="16DD26DB"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Chance to Return (II): The project, with an allocation of almost EUR 18 million, aims to resocialise and strengthen the competencies of convicted persons with a view to their reintegration into society. The project builds on the previous investment (Chance to Return 1) and offers convicted persons comprehensive support (e.g. counselling services and education) to reduce the risk of social exclusion and improve labour market integration.  The project is proceeding according to plan. By the end of 2025, 2,227 convicted persons had successfully completed the intervention (the target is to engage 4,600 clients by 2029), receiving comprehensive support focused on their resocialisation and labour market integration. From 2026, the project is being gradually expanded by involving additional staff providing support in individual correctional facilities.</w:t>
            </w:r>
          </w:p>
        </w:tc>
      </w:tr>
      <w:tr w:rsidR="00C24F6F" w:rsidRPr="002F5AA0" w14:paraId="696E44EA" w14:textId="77777777" w:rsidTr="002B1847">
        <w:trPr>
          <w:tblCellSpacing w:w="50" w:type="dxa"/>
          <w:jc w:val="center"/>
        </w:trPr>
        <w:tc>
          <w:tcPr>
            <w:tcW w:w="1500" w:type="dxa"/>
            <w:tcBorders>
              <w:top w:val="single" w:sz="6" w:space="0" w:color="000000"/>
              <w:right w:val="single" w:sz="6" w:space="0" w:color="000000"/>
            </w:tcBorders>
            <w:noWrap/>
          </w:tcPr>
          <w:p w14:paraId="4E1D7C6B"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4</w:t>
            </w:r>
          </w:p>
        </w:tc>
        <w:tc>
          <w:tcPr>
            <w:tcW w:w="8500" w:type="dxa"/>
            <w:tcBorders>
              <w:top w:val="single" w:sz="6" w:space="0" w:color="000000"/>
            </w:tcBorders>
            <w:noWrap/>
          </w:tcPr>
          <w:p w14:paraId="5C3AE2CC"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5A1B825A" w14:textId="77777777" w:rsidR="00C24F6F" w:rsidRPr="002F5AA0" w:rsidRDefault="00C24F6F" w:rsidP="002B1847">
            <w:pPr>
              <w:rPr>
                <w:rFonts w:ascii="Arial Narrow" w:hAnsi="Arial Narrow"/>
                <w:sz w:val="14"/>
                <w:szCs w:val="14"/>
              </w:rPr>
            </w:pPr>
          </w:p>
          <w:p w14:paraId="6C649328"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Skills Development for Labour Market Needs: The first national project (EUR 30 million) will strengthen the role of the Sectoral Skills Alliance (SSA) in predicting market needs and shortage occupations. The second project (EUR 42.2 million) will support skills development and retraining of job seekers, persons interested in employment, and young job seekers up to 30 years of age in NEET situations.  The SSA national project has been implemented since October 2023, with one of its key outputs being the development of human resources development strategies in individual sectors and a regularly updated overview of shortage occupations. The Skills for the Labour Market national project started in April 2024, and its implementation has been extended from March 2026 to December 2027.</w:t>
            </w:r>
          </w:p>
        </w:tc>
      </w:tr>
      <w:tr w:rsidR="00C24F6F" w:rsidRPr="002F5AA0" w14:paraId="14B89267" w14:textId="77777777" w:rsidTr="002B1847">
        <w:trPr>
          <w:tblCellSpacing w:w="50" w:type="dxa"/>
          <w:jc w:val="center"/>
        </w:trPr>
        <w:tc>
          <w:tcPr>
            <w:tcW w:w="1500" w:type="dxa"/>
            <w:tcBorders>
              <w:top w:val="single" w:sz="6" w:space="0" w:color="000000"/>
              <w:right w:val="single" w:sz="6" w:space="0" w:color="000000"/>
            </w:tcBorders>
            <w:noWrap/>
          </w:tcPr>
          <w:p w14:paraId="4656A7B0"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5</w:t>
            </w:r>
          </w:p>
        </w:tc>
        <w:tc>
          <w:tcPr>
            <w:tcW w:w="8500" w:type="dxa"/>
            <w:tcBorders>
              <w:top w:val="single" w:sz="6" w:space="0" w:color="000000"/>
            </w:tcBorders>
            <w:noWrap/>
          </w:tcPr>
          <w:p w14:paraId="056BED3F"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Adopted (09/04/2026 10:23 AM)</w:t>
            </w:r>
          </w:p>
          <w:p w14:paraId="1879495B" w14:textId="77777777" w:rsidR="00C24F6F" w:rsidRPr="002F5AA0" w:rsidRDefault="00C24F6F" w:rsidP="002B1847">
            <w:pPr>
              <w:rPr>
                <w:rFonts w:ascii="Arial Narrow" w:hAnsi="Arial Narrow"/>
                <w:sz w:val="14"/>
                <w:szCs w:val="14"/>
              </w:rPr>
            </w:pPr>
          </w:p>
          <w:p w14:paraId="7FFFD5C3"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Streamlining Processes in Higher Education Institutions: In cooperation with higher education institutions and their representative bodies, inefficient processes will be improved, particularly in relation to interactions with state authorities (selection of supervisory board members, approval of long-term strategies of higher education institutions, and others).  The measure was reflected in an amendment to the Higher Education Act, in force as of 1 February 2025. Its implementation continued with the preparation of a new Higher Education Act, which will enter into force on 1 September 2026. The new Act introduces fundamental modernisation, greater flexibility in study programmes, and streamlined regulatory requirements.</w:t>
            </w:r>
          </w:p>
        </w:tc>
      </w:tr>
      <w:tr w:rsidR="00C24F6F" w:rsidRPr="002F5AA0" w14:paraId="19A94D89" w14:textId="77777777" w:rsidTr="002B1847">
        <w:trPr>
          <w:tblCellSpacing w:w="50" w:type="dxa"/>
          <w:jc w:val="center"/>
        </w:trPr>
        <w:tc>
          <w:tcPr>
            <w:tcW w:w="10000" w:type="dxa"/>
            <w:gridSpan w:val="2"/>
            <w:tcBorders>
              <w:top w:val="single" w:sz="6" w:space="0" w:color="000000"/>
            </w:tcBorders>
            <w:shd w:val="clear" w:color="auto" w:fill="BBD5ED"/>
            <w:noWrap/>
          </w:tcPr>
          <w:p w14:paraId="07D536F0"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7F1AFF3D" w14:textId="77777777" w:rsidTr="002B1847">
        <w:trPr>
          <w:tblCellSpacing w:w="50" w:type="dxa"/>
          <w:jc w:val="center"/>
        </w:trPr>
        <w:tc>
          <w:tcPr>
            <w:tcW w:w="10000" w:type="dxa"/>
            <w:gridSpan w:val="2"/>
            <w:tcBorders>
              <w:top w:val="single" w:sz="6" w:space="0" w:color="000000"/>
            </w:tcBorders>
            <w:shd w:val="clear" w:color="auto" w:fill="BBD5ED"/>
            <w:noWrap/>
          </w:tcPr>
          <w:p w14:paraId="0F104B07"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49BED41A" w14:textId="77777777" w:rsidR="00C24F6F" w:rsidRDefault="00C24F6F" w:rsidP="00C24F6F">
      <w:pPr>
        <w:pStyle w:val="subpartParagraphStyle"/>
        <w:spacing w:after="0"/>
        <w:rPr>
          <w:rStyle w:val="blueStyle"/>
          <w:rFonts w:ascii="Arial Narrow" w:hAnsi="Arial Narrow"/>
          <w:sz w:val="14"/>
          <w:szCs w:val="14"/>
        </w:rPr>
      </w:pPr>
    </w:p>
    <w:p w14:paraId="38DBB68C" w14:textId="77777777" w:rsidR="00C24F6F" w:rsidRDefault="00C24F6F" w:rsidP="00C24F6F">
      <w:pPr>
        <w:pStyle w:val="subpartParagraphStyle"/>
        <w:spacing w:after="0"/>
        <w:rPr>
          <w:rStyle w:val="blueStyle"/>
        </w:rPr>
      </w:pPr>
    </w:p>
    <w:p w14:paraId="5FF6EF2D"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lastRenderedPageBreak/>
        <w:t>CSR 6 Subpart 7: investing in teacher training, and increasing enrolment in STEM education programmes.</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5386D18E" w14:textId="77777777" w:rsidTr="002B1847">
        <w:trPr>
          <w:tblCellSpacing w:w="50" w:type="dxa"/>
          <w:jc w:val="center"/>
        </w:trPr>
        <w:tc>
          <w:tcPr>
            <w:tcW w:w="10000" w:type="dxa"/>
            <w:gridSpan w:val="2"/>
            <w:tcBorders>
              <w:top w:val="single" w:sz="6" w:space="0" w:color="000000"/>
            </w:tcBorders>
            <w:shd w:val="clear" w:color="auto" w:fill="BBD5ED"/>
            <w:noWrap/>
          </w:tcPr>
          <w:p w14:paraId="1F4274C8"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2AB693B5" w14:textId="77777777" w:rsidTr="002B1847">
        <w:trPr>
          <w:tblCellSpacing w:w="50" w:type="dxa"/>
          <w:jc w:val="center"/>
        </w:trPr>
        <w:tc>
          <w:tcPr>
            <w:tcW w:w="1500" w:type="dxa"/>
            <w:tcBorders>
              <w:top w:val="single" w:sz="6" w:space="0" w:color="000000"/>
              <w:right w:val="single" w:sz="6" w:space="0" w:color="000000"/>
            </w:tcBorders>
            <w:noWrap/>
          </w:tcPr>
          <w:p w14:paraId="76221790"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14EEED7F"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2D19D01E" w14:textId="77777777" w:rsidR="00C24F6F" w:rsidRPr="002F5AA0" w:rsidRDefault="00C24F6F" w:rsidP="002B1847">
            <w:pPr>
              <w:rPr>
                <w:rFonts w:ascii="Arial Narrow" w:hAnsi="Arial Narrow"/>
                <w:sz w:val="14"/>
                <w:szCs w:val="14"/>
              </w:rPr>
            </w:pPr>
          </w:p>
          <w:p w14:paraId="5251E477"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Supporting Innovation in Education: The objective is to mainstream proven innovative educational approaches in schools through a stable cooperation mechanism with strategic partners and financing for their systematic implementation.  Additional grant calls were carried out in 2023 and 2024 (EUR 950,000 in 2023 and EUR 1.4 million in 2024). In February 2026, a directive on the support of innovation in upbringing and education was approved, replacing the previous framework of memoranda with strategic partners and establishing a systematic framework for supporting innovative approaches in schools. MoERDY SR will launch a call for registration in the official list in the first quarter of 2026, followed by a financial call for registered entities in the second quarter of 2026.</w:t>
            </w:r>
          </w:p>
        </w:tc>
      </w:tr>
      <w:tr w:rsidR="00C24F6F" w:rsidRPr="002F5AA0" w14:paraId="617E89F9" w14:textId="77777777" w:rsidTr="002B1847">
        <w:trPr>
          <w:tblCellSpacing w:w="50" w:type="dxa"/>
          <w:jc w:val="center"/>
        </w:trPr>
        <w:tc>
          <w:tcPr>
            <w:tcW w:w="1500" w:type="dxa"/>
            <w:tcBorders>
              <w:top w:val="single" w:sz="6" w:space="0" w:color="000000"/>
              <w:right w:val="single" w:sz="6" w:space="0" w:color="000000"/>
            </w:tcBorders>
            <w:noWrap/>
          </w:tcPr>
          <w:p w14:paraId="394D3E80"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2</w:t>
            </w:r>
          </w:p>
        </w:tc>
        <w:tc>
          <w:tcPr>
            <w:tcW w:w="8500" w:type="dxa"/>
            <w:tcBorders>
              <w:top w:val="single" w:sz="6" w:space="0" w:color="000000"/>
            </w:tcBorders>
            <w:noWrap/>
          </w:tcPr>
          <w:p w14:paraId="636393BB"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10:23 AM)</w:t>
            </w:r>
          </w:p>
          <w:p w14:paraId="7E2767F6" w14:textId="77777777" w:rsidR="00C24F6F" w:rsidRPr="002F5AA0" w:rsidRDefault="00C24F6F" w:rsidP="002B1847">
            <w:pPr>
              <w:rPr>
                <w:rFonts w:ascii="Arial Narrow" w:hAnsi="Arial Narrow"/>
                <w:sz w:val="14"/>
                <w:szCs w:val="14"/>
              </w:rPr>
            </w:pPr>
          </w:p>
          <w:p w14:paraId="48CC524F"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Action Plan for the Informatisation and Digital Transformation of Education in the Slovak Republic for the Period 2025–2027: The objective of the Action Plan is the modernisation of Slovak education through the systematic digitalisation of the learning environment. The Plan builds on the School Informatisation Programme to 2030 and forms part of the broader Digital Transformation Strategy of Slovakia to 2030. It focuses on the introduction of uniform digital equipment standards across all levels of education, while supporting the development of sustainable digitalisation plans, the enhancement of digital skills among pupils and teachers, the use of assistive technologies, and the accessibility of digital outputs.  The Action Plan was published on 15 January 2025 and implementation of its measures commenced in the first quarter of 2025. Work is currently under way on the development of digital equipment standards and planning of projects for the modernisation of school infrastructure. Methodological and training activities are being prepared in parallel, including a pilot scheme for digital coordinators and the publication of digital educational materials.</w:t>
            </w:r>
          </w:p>
        </w:tc>
      </w:tr>
      <w:tr w:rsidR="00C24F6F" w:rsidRPr="002F5AA0" w14:paraId="1786957E" w14:textId="77777777" w:rsidTr="002B1847">
        <w:trPr>
          <w:tblCellSpacing w:w="50" w:type="dxa"/>
          <w:jc w:val="center"/>
        </w:trPr>
        <w:tc>
          <w:tcPr>
            <w:tcW w:w="1500" w:type="dxa"/>
            <w:tcBorders>
              <w:top w:val="single" w:sz="6" w:space="0" w:color="000000"/>
              <w:right w:val="single" w:sz="6" w:space="0" w:color="000000"/>
            </w:tcBorders>
            <w:noWrap/>
          </w:tcPr>
          <w:p w14:paraId="4E7FF72A"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3</w:t>
            </w:r>
          </w:p>
        </w:tc>
        <w:tc>
          <w:tcPr>
            <w:tcW w:w="8500" w:type="dxa"/>
            <w:tcBorders>
              <w:top w:val="single" w:sz="6" w:space="0" w:color="000000"/>
            </w:tcBorders>
            <w:noWrap/>
          </w:tcPr>
          <w:p w14:paraId="1E39DAB4"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Adopted (09/04/2026 10:23 AM)</w:t>
            </w:r>
          </w:p>
          <w:p w14:paraId="2C87FA11" w14:textId="77777777" w:rsidR="00C24F6F" w:rsidRPr="002F5AA0" w:rsidRDefault="00C24F6F" w:rsidP="002B1847">
            <w:pPr>
              <w:rPr>
                <w:rFonts w:ascii="Arial Narrow" w:hAnsi="Arial Narrow"/>
                <w:sz w:val="14"/>
                <w:szCs w:val="14"/>
              </w:rPr>
            </w:pPr>
          </w:p>
          <w:p w14:paraId="77912D5F"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Streamlining Processes in Higher Education Institutions: In cooperation with higher education institutions and their representative bodies, inefficient processes will be improved, particularly in relation to interactions with state authorities (selection of supervisory board members, approval of long-term strategies of higher education institutions, and others).  The measure was reflected in an amendment to the Higher Education Act, in force as of 1 February 2025. Its implementation continued with the preparation of a new Higher Education Act, which will enter into force on 1 September 2026. The new Act introduces fundamental modernisation, greater flexibility in study programmes, and streamlined regulatory requirements.</w:t>
            </w:r>
          </w:p>
        </w:tc>
      </w:tr>
      <w:tr w:rsidR="00C24F6F" w:rsidRPr="002F5AA0" w14:paraId="26BDF6E3" w14:textId="77777777" w:rsidTr="002B1847">
        <w:trPr>
          <w:tblCellSpacing w:w="50" w:type="dxa"/>
          <w:jc w:val="center"/>
        </w:trPr>
        <w:tc>
          <w:tcPr>
            <w:tcW w:w="10000" w:type="dxa"/>
            <w:gridSpan w:val="2"/>
            <w:tcBorders>
              <w:top w:val="single" w:sz="6" w:space="0" w:color="000000"/>
            </w:tcBorders>
            <w:shd w:val="clear" w:color="auto" w:fill="BBD5ED"/>
            <w:noWrap/>
          </w:tcPr>
          <w:p w14:paraId="2121BF8B"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21EEA3FF" w14:textId="77777777" w:rsidTr="002B1847">
        <w:trPr>
          <w:tblCellSpacing w:w="50" w:type="dxa"/>
          <w:jc w:val="center"/>
        </w:trPr>
        <w:tc>
          <w:tcPr>
            <w:tcW w:w="10000" w:type="dxa"/>
            <w:gridSpan w:val="2"/>
            <w:tcBorders>
              <w:top w:val="single" w:sz="6" w:space="0" w:color="000000"/>
            </w:tcBorders>
            <w:shd w:val="clear" w:color="auto" w:fill="BBD5ED"/>
            <w:noWrap/>
          </w:tcPr>
          <w:p w14:paraId="60B52F90"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5B162AB4"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6 Subpart 8:  Improve primary care provision, especially for vulnerable people, and expand preventive healthcare measures.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9046"/>
      </w:tblGrid>
      <w:tr w:rsidR="00C24F6F" w:rsidRPr="002F5AA0" w14:paraId="197EE7A7" w14:textId="77777777" w:rsidTr="002B1847">
        <w:trPr>
          <w:tblCellSpacing w:w="50" w:type="dxa"/>
          <w:jc w:val="center"/>
        </w:trPr>
        <w:tc>
          <w:tcPr>
            <w:tcW w:w="10000" w:type="dxa"/>
            <w:tcBorders>
              <w:top w:val="single" w:sz="6" w:space="0" w:color="000000"/>
            </w:tcBorders>
            <w:shd w:val="clear" w:color="auto" w:fill="BBD5ED"/>
            <w:noWrap/>
          </w:tcPr>
          <w:p w14:paraId="7C7116A6"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1F46917A" w14:textId="77777777" w:rsidTr="002B1847">
        <w:trPr>
          <w:tblCellSpacing w:w="50" w:type="dxa"/>
          <w:jc w:val="center"/>
        </w:trPr>
        <w:tc>
          <w:tcPr>
            <w:tcW w:w="10000" w:type="dxa"/>
            <w:tcBorders>
              <w:top w:val="single" w:sz="6" w:space="0" w:color="000000"/>
            </w:tcBorders>
            <w:shd w:val="clear" w:color="auto" w:fill="BBD5ED"/>
            <w:noWrap/>
          </w:tcPr>
          <w:p w14:paraId="3489A332"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69A1380C" w14:textId="77777777" w:rsidTr="002B1847">
        <w:trPr>
          <w:tblCellSpacing w:w="50" w:type="dxa"/>
          <w:jc w:val="center"/>
        </w:trPr>
        <w:tc>
          <w:tcPr>
            <w:tcW w:w="10000" w:type="dxa"/>
            <w:tcBorders>
              <w:top w:val="single" w:sz="6" w:space="0" w:color="000000"/>
            </w:tcBorders>
            <w:shd w:val="clear" w:color="auto" w:fill="BBD5ED"/>
            <w:noWrap/>
          </w:tcPr>
          <w:p w14:paraId="7147C6C4"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68F02575"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CSR 6 Subpart 9: Strengthen the resilience of the health system in the areas of critical medical products, infrastructure, and healthcare workforce by retaining and attracting skilled workers, while ensuring the fiscal sustainability of the healthcare system.</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1509"/>
        <w:gridCol w:w="7537"/>
      </w:tblGrid>
      <w:tr w:rsidR="00C24F6F" w:rsidRPr="002F5AA0" w14:paraId="481C88A0" w14:textId="77777777" w:rsidTr="002B1847">
        <w:trPr>
          <w:tblCellSpacing w:w="50" w:type="dxa"/>
          <w:jc w:val="center"/>
        </w:trPr>
        <w:tc>
          <w:tcPr>
            <w:tcW w:w="10000" w:type="dxa"/>
            <w:gridSpan w:val="2"/>
            <w:tcBorders>
              <w:top w:val="single" w:sz="6" w:space="0" w:color="000000"/>
            </w:tcBorders>
            <w:shd w:val="clear" w:color="auto" w:fill="BBD5ED"/>
            <w:noWrap/>
          </w:tcPr>
          <w:p w14:paraId="5FD9F86E"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6DA7B84B" w14:textId="77777777" w:rsidTr="002B1847">
        <w:trPr>
          <w:tblCellSpacing w:w="50" w:type="dxa"/>
          <w:jc w:val="center"/>
        </w:trPr>
        <w:tc>
          <w:tcPr>
            <w:tcW w:w="1500" w:type="dxa"/>
            <w:tcBorders>
              <w:top w:val="single" w:sz="6" w:space="0" w:color="000000"/>
              <w:right w:val="single" w:sz="6" w:space="0" w:color="000000"/>
            </w:tcBorders>
            <w:noWrap/>
          </w:tcPr>
          <w:p w14:paraId="09B234D9" w14:textId="77777777" w:rsidR="00C24F6F" w:rsidRPr="002F5AA0" w:rsidRDefault="00C24F6F" w:rsidP="002B1847">
            <w:pPr>
              <w:rPr>
                <w:rFonts w:ascii="Arial Narrow" w:hAnsi="Arial Narrow"/>
                <w:sz w:val="14"/>
                <w:szCs w:val="14"/>
              </w:rPr>
            </w:pPr>
            <w:r w:rsidRPr="002F5AA0">
              <w:rPr>
                <w:rStyle w:val="subTitleBlueStyle"/>
                <w:rFonts w:ascii="Arial Narrow" w:hAnsi="Arial Narrow"/>
                <w:sz w:val="14"/>
                <w:szCs w:val="14"/>
              </w:rPr>
              <w:t>Entry 1</w:t>
            </w:r>
          </w:p>
        </w:tc>
        <w:tc>
          <w:tcPr>
            <w:tcW w:w="8500" w:type="dxa"/>
            <w:tcBorders>
              <w:top w:val="single" w:sz="6" w:space="0" w:color="000000"/>
            </w:tcBorders>
            <w:noWrap/>
          </w:tcPr>
          <w:p w14:paraId="14A230B1"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MEASURE TYPE: Announced (09/04/2026 11:42 AM)</w:t>
            </w:r>
          </w:p>
          <w:p w14:paraId="2D32B132" w14:textId="77777777" w:rsidR="00C24F6F" w:rsidRPr="002F5AA0" w:rsidRDefault="00C24F6F" w:rsidP="002B1847">
            <w:pPr>
              <w:rPr>
                <w:rFonts w:ascii="Arial Narrow" w:hAnsi="Arial Narrow"/>
                <w:sz w:val="14"/>
                <w:szCs w:val="14"/>
              </w:rPr>
            </w:pPr>
          </w:p>
          <w:p w14:paraId="0CC49C2A" w14:textId="77777777" w:rsidR="00C24F6F" w:rsidRPr="002F5AA0" w:rsidRDefault="00C24F6F" w:rsidP="002B1847">
            <w:pPr>
              <w:rPr>
                <w:rFonts w:ascii="Arial Narrow" w:hAnsi="Arial Narrow"/>
                <w:sz w:val="14"/>
                <w:szCs w:val="14"/>
              </w:rPr>
            </w:pPr>
            <w:r w:rsidRPr="002F5AA0">
              <w:rPr>
                <w:rStyle w:val="defaultStyle"/>
                <w:rFonts w:ascii="Arial Narrow" w:hAnsi="Arial Narrow"/>
                <w:sz w:val="14"/>
                <w:szCs w:val="14"/>
              </w:rPr>
              <w:t>Healthcare Performance Catalogue for Specialised Healthcare: The objective of the measure is to update the healthcare performance catalogue for specialised healthcare, with a focus on specialisations with inadequate funding, and to supplement it with procedures according to their complexity.  A pilot project for 7 specialisations is in the analytical phase, the aim of which is to assign weights to healthcare procedures according to their complexity. A second pilot for 14 specialisations is planned to be launched from 1 April 2026. The Ministry of Health is simultaneously preparing an extension of the catalogue to additional specialisations with the aim of its approval for the entire specialised healthcare segment by 1 April 2027. At the same time, a legislative adjustment of the healthcare performance list management is being prepared, with planned effect from 1 April 2027.</w:t>
            </w:r>
          </w:p>
        </w:tc>
      </w:tr>
      <w:tr w:rsidR="00C24F6F" w:rsidRPr="002F5AA0" w14:paraId="3D9344C5" w14:textId="77777777" w:rsidTr="002B1847">
        <w:trPr>
          <w:tblCellSpacing w:w="50" w:type="dxa"/>
          <w:jc w:val="center"/>
        </w:trPr>
        <w:tc>
          <w:tcPr>
            <w:tcW w:w="10000" w:type="dxa"/>
            <w:gridSpan w:val="2"/>
            <w:tcBorders>
              <w:top w:val="single" w:sz="6" w:space="0" w:color="000000"/>
            </w:tcBorders>
            <w:shd w:val="clear" w:color="auto" w:fill="BBD5ED"/>
            <w:noWrap/>
          </w:tcPr>
          <w:p w14:paraId="5656088F"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lastRenderedPageBreak/>
              <w:t>Comments</w:t>
            </w:r>
          </w:p>
        </w:tc>
      </w:tr>
      <w:tr w:rsidR="00C24F6F" w:rsidRPr="002F5AA0" w14:paraId="0F6705DD" w14:textId="77777777" w:rsidTr="002B1847">
        <w:trPr>
          <w:tblCellSpacing w:w="50" w:type="dxa"/>
          <w:jc w:val="center"/>
        </w:trPr>
        <w:tc>
          <w:tcPr>
            <w:tcW w:w="10000" w:type="dxa"/>
            <w:gridSpan w:val="2"/>
            <w:tcBorders>
              <w:top w:val="single" w:sz="6" w:space="0" w:color="000000"/>
            </w:tcBorders>
            <w:shd w:val="clear" w:color="auto" w:fill="BBD5ED"/>
            <w:noWrap/>
          </w:tcPr>
          <w:p w14:paraId="55C205D8"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7E58B351" w14:textId="77777777" w:rsidR="00C24F6F" w:rsidRPr="002F5AA0" w:rsidRDefault="00C24F6F" w:rsidP="00C24F6F">
      <w:pPr>
        <w:pStyle w:val="subpartParagraphStyle"/>
        <w:spacing w:after="0"/>
        <w:rPr>
          <w:rFonts w:ascii="Arial Narrow" w:hAnsi="Arial Narrow"/>
          <w:sz w:val="14"/>
          <w:szCs w:val="14"/>
        </w:rPr>
      </w:pPr>
      <w:r w:rsidRPr="002F5AA0">
        <w:rPr>
          <w:rStyle w:val="blueStyle"/>
          <w:rFonts w:ascii="Arial Narrow" w:hAnsi="Arial Narrow"/>
          <w:sz w:val="14"/>
          <w:szCs w:val="14"/>
        </w:rPr>
        <w:t xml:space="preserve">CSR 6 Subpart 10:  Ensure affordable and quality long-term care. </w:t>
      </w:r>
    </w:p>
    <w:tbl>
      <w:tblPr>
        <w:tblW w:w="0" w:type="auto"/>
        <w:jc w:val="center"/>
        <w:tblCellSpacing w:w="50" w:type="dxa"/>
        <w:tblBorders>
          <w:top w:val="single" w:sz="10" w:space="0" w:color="auto"/>
          <w:left w:val="single" w:sz="10" w:space="0" w:color="auto"/>
          <w:bottom w:val="single" w:sz="10" w:space="0" w:color="auto"/>
          <w:right w:val="single" w:sz="10" w:space="0" w:color="auto"/>
        </w:tblBorders>
        <w:tblCellMar>
          <w:top w:w="80" w:type="dxa"/>
          <w:left w:w="80" w:type="dxa"/>
          <w:bottom w:w="80" w:type="dxa"/>
          <w:right w:w="80" w:type="dxa"/>
        </w:tblCellMar>
        <w:tblLook w:val="0000" w:firstRow="0" w:lastRow="0" w:firstColumn="0" w:lastColumn="0" w:noHBand="0" w:noVBand="0"/>
      </w:tblPr>
      <w:tblGrid>
        <w:gridCol w:w="9046"/>
      </w:tblGrid>
      <w:tr w:rsidR="00C24F6F" w:rsidRPr="002F5AA0" w14:paraId="6ADCB8E3" w14:textId="77777777" w:rsidTr="002B1847">
        <w:trPr>
          <w:tblCellSpacing w:w="50" w:type="dxa"/>
          <w:jc w:val="center"/>
        </w:trPr>
        <w:tc>
          <w:tcPr>
            <w:tcW w:w="10000" w:type="dxa"/>
            <w:tcBorders>
              <w:top w:val="single" w:sz="6" w:space="0" w:color="000000"/>
            </w:tcBorders>
            <w:shd w:val="clear" w:color="auto" w:fill="BBD5ED"/>
            <w:noWrap/>
          </w:tcPr>
          <w:p w14:paraId="2BE427EF"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Measures</w:t>
            </w:r>
          </w:p>
        </w:tc>
      </w:tr>
      <w:tr w:rsidR="00C24F6F" w:rsidRPr="002F5AA0" w14:paraId="192DFB7D" w14:textId="77777777" w:rsidTr="002B1847">
        <w:trPr>
          <w:tblCellSpacing w:w="50" w:type="dxa"/>
          <w:jc w:val="center"/>
        </w:trPr>
        <w:tc>
          <w:tcPr>
            <w:tcW w:w="10000" w:type="dxa"/>
            <w:tcBorders>
              <w:top w:val="single" w:sz="6" w:space="0" w:color="000000"/>
            </w:tcBorders>
            <w:shd w:val="clear" w:color="auto" w:fill="BBD5ED"/>
            <w:noWrap/>
          </w:tcPr>
          <w:p w14:paraId="30ADDE18"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Comments</w:t>
            </w:r>
          </w:p>
        </w:tc>
      </w:tr>
      <w:tr w:rsidR="00C24F6F" w:rsidRPr="002F5AA0" w14:paraId="1E1FEA94" w14:textId="77777777" w:rsidTr="002B1847">
        <w:trPr>
          <w:tblCellSpacing w:w="50" w:type="dxa"/>
          <w:jc w:val="center"/>
        </w:trPr>
        <w:tc>
          <w:tcPr>
            <w:tcW w:w="10000" w:type="dxa"/>
            <w:tcBorders>
              <w:top w:val="single" w:sz="6" w:space="0" w:color="000000"/>
            </w:tcBorders>
            <w:shd w:val="clear" w:color="auto" w:fill="BBD5ED"/>
            <w:noWrap/>
          </w:tcPr>
          <w:p w14:paraId="1415A9CD" w14:textId="77777777" w:rsidR="00C24F6F" w:rsidRPr="002F5AA0" w:rsidRDefault="00C24F6F" w:rsidP="002B1847">
            <w:pPr>
              <w:pStyle w:val="subTitleParagraphStyle"/>
              <w:rPr>
                <w:rFonts w:ascii="Arial Narrow" w:hAnsi="Arial Narrow"/>
                <w:sz w:val="14"/>
                <w:szCs w:val="14"/>
              </w:rPr>
            </w:pPr>
            <w:r w:rsidRPr="002F5AA0">
              <w:rPr>
                <w:rStyle w:val="subTitleBlueStyle"/>
                <w:rFonts w:ascii="Arial Narrow" w:hAnsi="Arial Narrow"/>
                <w:sz w:val="14"/>
                <w:szCs w:val="14"/>
              </w:rPr>
              <w:t>State of play</w:t>
            </w:r>
          </w:p>
        </w:tc>
      </w:tr>
    </w:tbl>
    <w:p w14:paraId="4976DFB8" w14:textId="77777777" w:rsidR="00C24F6F" w:rsidRDefault="00C24F6F" w:rsidP="00C24F6F">
      <w:pPr>
        <w:rPr>
          <w:rFonts w:ascii="Arial Narrow" w:hAnsi="Arial Narrow"/>
        </w:rPr>
      </w:pPr>
    </w:p>
    <w:p w14:paraId="70717945" w14:textId="77777777" w:rsidR="00C24F6F" w:rsidRDefault="00C24F6F" w:rsidP="00C24F6F">
      <w:pPr>
        <w:rPr>
          <w:rFonts w:ascii="Arial Narrow" w:hAnsi="Arial Narrow"/>
        </w:rPr>
      </w:pPr>
      <w:r>
        <w:rPr>
          <w:rFonts w:ascii="Arial Narrow" w:hAnsi="Arial Narrow"/>
        </w:rPr>
        <w:br w:type="page"/>
      </w:r>
    </w:p>
    <w:p w14:paraId="4C464DB1" w14:textId="77777777" w:rsidR="00C24F6F" w:rsidRPr="009434CA" w:rsidRDefault="00C24F6F" w:rsidP="00C24F6F">
      <w:pPr>
        <w:pStyle w:val="ifptext"/>
        <w:rPr>
          <w:b/>
          <w:color w:val="2EAAE1"/>
          <w:sz w:val="24"/>
        </w:rPr>
      </w:pPr>
      <w:r w:rsidRPr="00C24F6F">
        <w:rPr>
          <w:b/>
          <w:color w:val="2EAAE1"/>
          <w:sz w:val="24"/>
        </w:rPr>
        <w:lastRenderedPageBreak/>
        <w:t>Príloha 7 – Vykazovanie členského štátu extrahované z rozhrania FENIX</w:t>
      </w:r>
    </w:p>
    <w:tbl>
      <w:tblPr>
        <w:tblStyle w:val="Mriekatabuky"/>
        <w:tblW w:w="9215" w:type="dxa"/>
        <w:tblInd w:w="-5" w:type="dxa"/>
        <w:tblBorders>
          <w:top w:val="single" w:sz="4" w:space="0" w:color="2EAAE1"/>
          <w:left w:val="single" w:sz="4" w:space="0" w:color="2EAAE1"/>
          <w:bottom w:val="single" w:sz="4" w:space="0" w:color="2EAAE1"/>
          <w:right w:val="single" w:sz="4" w:space="0" w:color="2EAAE1"/>
          <w:insideH w:val="single" w:sz="4" w:space="0" w:color="2EAAE1"/>
          <w:insideV w:val="single" w:sz="4" w:space="0" w:color="2EAAE1"/>
        </w:tblBorders>
        <w:tblLayout w:type="fixed"/>
        <w:tblLook w:val="04A0" w:firstRow="1" w:lastRow="0" w:firstColumn="1" w:lastColumn="0" w:noHBand="0" w:noVBand="1"/>
      </w:tblPr>
      <w:tblGrid>
        <w:gridCol w:w="3402"/>
        <w:gridCol w:w="3828"/>
        <w:gridCol w:w="708"/>
        <w:gridCol w:w="1277"/>
      </w:tblGrid>
      <w:tr w:rsidR="00C24F6F" w:rsidRPr="003677B2" w14:paraId="6331E2D8" w14:textId="77777777" w:rsidTr="002B1847">
        <w:trPr>
          <w:trHeight w:val="789"/>
        </w:trPr>
        <w:tc>
          <w:tcPr>
            <w:tcW w:w="3402" w:type="dxa"/>
            <w:shd w:val="clear" w:color="auto" w:fill="2EAAE1"/>
            <w:vAlign w:val="center"/>
          </w:tcPr>
          <w:p w14:paraId="401F626E" w14:textId="77777777" w:rsidR="00C24F6F" w:rsidRPr="003677B2" w:rsidRDefault="00C24F6F" w:rsidP="002B1847">
            <w:pPr>
              <w:jc w:val="center"/>
              <w:rPr>
                <w:rFonts w:ascii="Arial Narrow" w:hAnsi="Arial Narrow"/>
                <w:b/>
                <w:bCs/>
                <w:color w:val="FFFFFF" w:themeColor="background1"/>
                <w:sz w:val="18"/>
                <w:szCs w:val="18"/>
                <w:lang w:val="en-US"/>
              </w:rPr>
            </w:pPr>
            <w:r>
              <w:rPr>
                <w:rFonts w:ascii="Arial Narrow" w:hAnsi="Arial Narrow"/>
                <w:b/>
                <w:bCs/>
                <w:color w:val="FFFFFF" w:themeColor="background1"/>
                <w:sz w:val="18"/>
                <w:szCs w:val="18"/>
                <w:lang w:val="en-US"/>
              </w:rPr>
              <w:t>Measure</w:t>
            </w:r>
          </w:p>
        </w:tc>
        <w:tc>
          <w:tcPr>
            <w:tcW w:w="3828" w:type="dxa"/>
            <w:shd w:val="clear" w:color="auto" w:fill="2EAAE1"/>
            <w:vAlign w:val="center"/>
          </w:tcPr>
          <w:p w14:paraId="0F0FFBB8" w14:textId="77777777" w:rsidR="00C24F6F" w:rsidRPr="003677B2" w:rsidRDefault="00C24F6F" w:rsidP="002B1847">
            <w:pPr>
              <w:jc w:val="center"/>
              <w:rPr>
                <w:rFonts w:ascii="Arial Narrow" w:hAnsi="Arial Narrow"/>
                <w:b/>
                <w:bCs/>
                <w:color w:val="FFFFFF" w:themeColor="background1"/>
                <w:sz w:val="18"/>
                <w:szCs w:val="18"/>
                <w:lang w:val="en-US"/>
              </w:rPr>
            </w:pPr>
            <w:r>
              <w:rPr>
                <w:rFonts w:ascii="Arial Narrow" w:hAnsi="Arial Narrow"/>
                <w:b/>
                <w:bCs/>
                <w:color w:val="FFFFFF" w:themeColor="background1"/>
                <w:sz w:val="18"/>
                <w:szCs w:val="18"/>
                <w:lang w:val="en-US"/>
              </w:rPr>
              <w:t>Milestone/Target</w:t>
            </w:r>
          </w:p>
        </w:tc>
        <w:tc>
          <w:tcPr>
            <w:tcW w:w="708" w:type="dxa"/>
            <w:tcBorders>
              <w:bottom w:val="single" w:sz="4" w:space="0" w:color="2EAAE1"/>
            </w:tcBorders>
            <w:shd w:val="clear" w:color="auto" w:fill="2EAAE1"/>
            <w:vAlign w:val="center"/>
          </w:tcPr>
          <w:p w14:paraId="73386894" w14:textId="77777777" w:rsidR="00C24F6F" w:rsidRPr="003677B2" w:rsidRDefault="00C24F6F" w:rsidP="002B1847">
            <w:pPr>
              <w:jc w:val="center"/>
              <w:rPr>
                <w:rFonts w:ascii="Arial Narrow" w:hAnsi="Arial Narrow"/>
                <w:b/>
                <w:bCs/>
                <w:color w:val="FFFFFF" w:themeColor="background1"/>
                <w:sz w:val="18"/>
                <w:szCs w:val="18"/>
                <w:lang w:val="en-US"/>
              </w:rPr>
            </w:pPr>
            <w:r>
              <w:rPr>
                <w:rFonts w:ascii="Arial Narrow" w:hAnsi="Arial Narrow"/>
                <w:b/>
                <w:bCs/>
                <w:color w:val="FFFFFF" w:themeColor="background1"/>
                <w:sz w:val="18"/>
                <w:szCs w:val="18"/>
                <w:lang w:val="en-US"/>
              </w:rPr>
              <w:t>Initial Target</w:t>
            </w:r>
          </w:p>
        </w:tc>
        <w:tc>
          <w:tcPr>
            <w:tcW w:w="1277" w:type="dxa"/>
            <w:shd w:val="clear" w:color="auto" w:fill="2EAAE1"/>
            <w:vAlign w:val="center"/>
          </w:tcPr>
          <w:p w14:paraId="5610F272" w14:textId="77777777" w:rsidR="00C24F6F" w:rsidRPr="003677B2" w:rsidRDefault="00C24F6F" w:rsidP="002B1847">
            <w:pPr>
              <w:jc w:val="center"/>
              <w:rPr>
                <w:rFonts w:ascii="Arial Narrow" w:hAnsi="Arial Narrow"/>
                <w:b/>
                <w:bCs/>
                <w:color w:val="FFFFFF" w:themeColor="background1"/>
                <w:sz w:val="18"/>
                <w:szCs w:val="18"/>
                <w:lang w:val="en-US"/>
              </w:rPr>
            </w:pPr>
            <w:r>
              <w:rPr>
                <w:rFonts w:ascii="Arial Narrow" w:hAnsi="Arial Narrow"/>
                <w:b/>
                <w:bCs/>
                <w:color w:val="FFFFFF" w:themeColor="background1"/>
                <w:sz w:val="18"/>
                <w:szCs w:val="18"/>
                <w:lang w:val="en-US"/>
              </w:rPr>
              <w:t>Progress status</w:t>
            </w:r>
          </w:p>
        </w:tc>
      </w:tr>
      <w:tr w:rsidR="00C24F6F" w:rsidRPr="003677B2" w14:paraId="2C5D4648" w14:textId="77777777" w:rsidTr="002B1847">
        <w:trPr>
          <w:trHeight w:val="276"/>
        </w:trPr>
        <w:tc>
          <w:tcPr>
            <w:tcW w:w="3402" w:type="dxa"/>
          </w:tcPr>
          <w:p w14:paraId="0BD853BC"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Adapting of the electricity legal framework</w:t>
            </w:r>
          </w:p>
        </w:tc>
        <w:tc>
          <w:tcPr>
            <w:tcW w:w="3828" w:type="dxa"/>
          </w:tcPr>
          <w:p w14:paraId="05110FEB"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Reform of electricity market</w:t>
            </w:r>
          </w:p>
        </w:tc>
        <w:tc>
          <w:tcPr>
            <w:tcW w:w="708" w:type="dxa"/>
            <w:vAlign w:val="center"/>
          </w:tcPr>
          <w:p w14:paraId="7A9C5BD2"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Q4/2022</w:t>
            </w:r>
          </w:p>
        </w:tc>
        <w:tc>
          <w:tcPr>
            <w:tcW w:w="1277" w:type="dxa"/>
            <w:vAlign w:val="center"/>
          </w:tcPr>
          <w:p w14:paraId="5B7B82FF"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34F8DD44" w14:textId="77777777" w:rsidTr="002B1847">
        <w:trPr>
          <w:trHeight w:val="276"/>
        </w:trPr>
        <w:tc>
          <w:tcPr>
            <w:tcW w:w="3402" w:type="dxa"/>
          </w:tcPr>
          <w:p w14:paraId="115E033D"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Adapting of the electricity legal framework</w:t>
            </w:r>
          </w:p>
        </w:tc>
        <w:tc>
          <w:tcPr>
            <w:tcW w:w="3828" w:type="dxa"/>
          </w:tcPr>
          <w:p w14:paraId="5EAEEEC9"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Release of restrictions on technical capacities for electricity transmission within the Slovak electricity system</w:t>
            </w:r>
          </w:p>
        </w:tc>
        <w:tc>
          <w:tcPr>
            <w:tcW w:w="708" w:type="dxa"/>
            <w:vAlign w:val="center"/>
          </w:tcPr>
          <w:p w14:paraId="780B74A0"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Q2/2021</w:t>
            </w:r>
          </w:p>
        </w:tc>
        <w:tc>
          <w:tcPr>
            <w:tcW w:w="1277" w:type="dxa"/>
            <w:vAlign w:val="center"/>
          </w:tcPr>
          <w:p w14:paraId="6A8615A2"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40336F70" w14:textId="77777777" w:rsidTr="002B1847">
        <w:trPr>
          <w:trHeight w:val="276"/>
        </w:trPr>
        <w:tc>
          <w:tcPr>
            <w:tcW w:w="3402" w:type="dxa"/>
          </w:tcPr>
          <w:p w14:paraId="4A4D4561"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The legal framework for the promotion of renewable energy sources</w:t>
            </w:r>
          </w:p>
        </w:tc>
        <w:tc>
          <w:tcPr>
            <w:tcW w:w="3828" w:type="dxa"/>
          </w:tcPr>
          <w:p w14:paraId="116B859D"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Framework for supporting the investments into new renewable sources</w:t>
            </w:r>
          </w:p>
        </w:tc>
        <w:tc>
          <w:tcPr>
            <w:tcW w:w="708" w:type="dxa"/>
            <w:vAlign w:val="center"/>
          </w:tcPr>
          <w:p w14:paraId="64F196A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Q4/2022</w:t>
            </w:r>
          </w:p>
        </w:tc>
        <w:tc>
          <w:tcPr>
            <w:tcW w:w="1277" w:type="dxa"/>
            <w:vAlign w:val="center"/>
          </w:tcPr>
          <w:p w14:paraId="232E3EFF"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186DB1D9" w14:textId="77777777" w:rsidTr="002B1847">
        <w:trPr>
          <w:trHeight w:val="276"/>
        </w:trPr>
        <w:tc>
          <w:tcPr>
            <w:tcW w:w="3402" w:type="dxa"/>
          </w:tcPr>
          <w:p w14:paraId="1046FB60"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Construction of new renewable electricity sources</w:t>
            </w:r>
          </w:p>
        </w:tc>
        <w:tc>
          <w:tcPr>
            <w:tcW w:w="3828" w:type="dxa"/>
          </w:tcPr>
          <w:p w14:paraId="0E2643A1"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New renewable energy source capacity</w:t>
            </w:r>
          </w:p>
        </w:tc>
        <w:tc>
          <w:tcPr>
            <w:tcW w:w="708" w:type="dxa"/>
            <w:vAlign w:val="center"/>
          </w:tcPr>
          <w:p w14:paraId="6CFD425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4AE6EF0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015E327E" w14:textId="77777777" w:rsidTr="002B1847">
        <w:trPr>
          <w:trHeight w:val="276"/>
        </w:trPr>
        <w:tc>
          <w:tcPr>
            <w:tcW w:w="3402" w:type="dxa"/>
          </w:tcPr>
          <w:p w14:paraId="434C896E"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Modernising the existing renewable energy sources (repowering)</w:t>
            </w:r>
          </w:p>
        </w:tc>
        <w:tc>
          <w:tcPr>
            <w:tcW w:w="3828" w:type="dxa"/>
          </w:tcPr>
          <w:p w14:paraId="6A411242"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Reconstructed renewable energy source capacity</w:t>
            </w:r>
          </w:p>
        </w:tc>
        <w:tc>
          <w:tcPr>
            <w:tcW w:w="708" w:type="dxa"/>
            <w:vAlign w:val="center"/>
          </w:tcPr>
          <w:p w14:paraId="5D664AE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3853C94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19B8C0A8" w14:textId="77777777" w:rsidTr="002B1847">
        <w:trPr>
          <w:trHeight w:val="276"/>
        </w:trPr>
        <w:tc>
          <w:tcPr>
            <w:tcW w:w="3402" w:type="dxa"/>
          </w:tcPr>
          <w:p w14:paraId="15C3C300"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Increasing the flexibility of electricity systems for greater integration of renewables</w:t>
            </w:r>
          </w:p>
        </w:tc>
        <w:tc>
          <w:tcPr>
            <w:tcW w:w="3828" w:type="dxa"/>
          </w:tcPr>
          <w:p w14:paraId="121C8576"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Cumulative increase in capacity of installations increasing the flexibility of energy systems</w:t>
            </w:r>
          </w:p>
        </w:tc>
        <w:tc>
          <w:tcPr>
            <w:tcW w:w="708" w:type="dxa"/>
            <w:vAlign w:val="center"/>
          </w:tcPr>
          <w:p w14:paraId="6B38B028"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78CADE22"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5DABAF16" w14:textId="77777777" w:rsidTr="002B1847">
        <w:trPr>
          <w:trHeight w:val="276"/>
        </w:trPr>
        <w:tc>
          <w:tcPr>
            <w:tcW w:w="3402" w:type="dxa"/>
          </w:tcPr>
          <w:p w14:paraId="5FC39BB6"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The harmonisation of support mechanisms for the renovation of family houses</w:t>
            </w:r>
          </w:p>
        </w:tc>
        <w:tc>
          <w:tcPr>
            <w:tcW w:w="3828" w:type="dxa"/>
          </w:tcPr>
          <w:p w14:paraId="6E39752C"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Implementation plan to mobilize green renovation of family houses</w:t>
            </w:r>
          </w:p>
        </w:tc>
        <w:tc>
          <w:tcPr>
            <w:tcW w:w="708" w:type="dxa"/>
            <w:vAlign w:val="center"/>
          </w:tcPr>
          <w:p w14:paraId="2D5113F1"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Q3/2022</w:t>
            </w:r>
          </w:p>
        </w:tc>
        <w:tc>
          <w:tcPr>
            <w:tcW w:w="1277" w:type="dxa"/>
            <w:vAlign w:val="center"/>
          </w:tcPr>
          <w:p w14:paraId="1A76E13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552885E1" w14:textId="77777777" w:rsidTr="002B1847">
        <w:trPr>
          <w:trHeight w:val="276"/>
        </w:trPr>
        <w:tc>
          <w:tcPr>
            <w:tcW w:w="3402" w:type="dxa"/>
          </w:tcPr>
          <w:p w14:paraId="1E68B53D"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Increasing transparency and streamlining decisions of the Monuments Board of the Slovak Republic</w:t>
            </w:r>
          </w:p>
        </w:tc>
        <w:tc>
          <w:tcPr>
            <w:tcW w:w="3828" w:type="dxa"/>
          </w:tcPr>
          <w:p w14:paraId="31FD9B42"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Methodologies for the decision-making process of the Monuments Board of the Slovak Republic</w:t>
            </w:r>
          </w:p>
        </w:tc>
        <w:tc>
          <w:tcPr>
            <w:tcW w:w="708" w:type="dxa"/>
            <w:vAlign w:val="center"/>
          </w:tcPr>
          <w:p w14:paraId="693A125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Q4/2023</w:t>
            </w:r>
          </w:p>
        </w:tc>
        <w:tc>
          <w:tcPr>
            <w:tcW w:w="1277" w:type="dxa"/>
            <w:vAlign w:val="center"/>
          </w:tcPr>
          <w:p w14:paraId="73DF3606"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00508D3C" w14:textId="77777777" w:rsidTr="002B1847">
        <w:trPr>
          <w:trHeight w:val="276"/>
        </w:trPr>
        <w:tc>
          <w:tcPr>
            <w:tcW w:w="3402" w:type="dxa"/>
          </w:tcPr>
          <w:p w14:paraId="0EA4F2C4"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The management of construction and demolition waste</w:t>
            </w:r>
          </w:p>
        </w:tc>
        <w:tc>
          <w:tcPr>
            <w:tcW w:w="3828" w:type="dxa"/>
          </w:tcPr>
          <w:p w14:paraId="6901FD80"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The amendment to the Waste Act</w:t>
            </w:r>
          </w:p>
        </w:tc>
        <w:tc>
          <w:tcPr>
            <w:tcW w:w="708" w:type="dxa"/>
            <w:vAlign w:val="center"/>
          </w:tcPr>
          <w:p w14:paraId="0C670F7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Q2/2022</w:t>
            </w:r>
          </w:p>
        </w:tc>
        <w:tc>
          <w:tcPr>
            <w:tcW w:w="1277" w:type="dxa"/>
            <w:vAlign w:val="center"/>
          </w:tcPr>
          <w:p w14:paraId="68C8F44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50C8C8A3" w14:textId="77777777" w:rsidTr="002B1847">
        <w:trPr>
          <w:trHeight w:val="276"/>
        </w:trPr>
        <w:tc>
          <w:tcPr>
            <w:tcW w:w="3402" w:type="dxa"/>
          </w:tcPr>
          <w:p w14:paraId="2D46DBD0"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Increasing energy efficiency of family houses</w:t>
            </w:r>
          </w:p>
        </w:tc>
        <w:tc>
          <w:tcPr>
            <w:tcW w:w="3828" w:type="dxa"/>
          </w:tcPr>
          <w:p w14:paraId="126B8A11"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Launch of the support schemes to mobilise energy savings and green renovation</w:t>
            </w:r>
          </w:p>
        </w:tc>
        <w:tc>
          <w:tcPr>
            <w:tcW w:w="708" w:type="dxa"/>
            <w:vAlign w:val="center"/>
          </w:tcPr>
          <w:p w14:paraId="429C655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Q3/2022</w:t>
            </w:r>
          </w:p>
        </w:tc>
        <w:tc>
          <w:tcPr>
            <w:tcW w:w="1277" w:type="dxa"/>
            <w:vAlign w:val="center"/>
          </w:tcPr>
          <w:p w14:paraId="04E7EF02"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0366D258" w14:textId="77777777" w:rsidTr="002B1847">
        <w:trPr>
          <w:trHeight w:val="276"/>
        </w:trPr>
        <w:tc>
          <w:tcPr>
            <w:tcW w:w="3402" w:type="dxa"/>
          </w:tcPr>
          <w:p w14:paraId="41C5F5CC"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Increasing energy efficiency of family houses</w:t>
            </w:r>
          </w:p>
        </w:tc>
        <w:tc>
          <w:tcPr>
            <w:tcW w:w="3828" w:type="dxa"/>
          </w:tcPr>
          <w:p w14:paraId="6273721E"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renovated family houses achieving on average at least 30 % primary energy savings</w:t>
            </w:r>
          </w:p>
        </w:tc>
        <w:tc>
          <w:tcPr>
            <w:tcW w:w="708" w:type="dxa"/>
            <w:vAlign w:val="center"/>
          </w:tcPr>
          <w:p w14:paraId="01EDCF08"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1B2C0920"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0DF68795" w14:textId="77777777" w:rsidTr="002B1847">
        <w:trPr>
          <w:trHeight w:val="276"/>
        </w:trPr>
        <w:tc>
          <w:tcPr>
            <w:tcW w:w="3402" w:type="dxa"/>
          </w:tcPr>
          <w:p w14:paraId="1AA0298D"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Renovation of historical and listed public buildings</w:t>
            </w:r>
          </w:p>
        </w:tc>
        <w:tc>
          <w:tcPr>
            <w:tcW w:w="3828" w:type="dxa"/>
          </w:tcPr>
          <w:p w14:paraId="0D66C6D0"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Floor area of renovated public historical and listed buildings achieving, on average, at least 30% of primary energy savings</w:t>
            </w:r>
          </w:p>
        </w:tc>
        <w:tc>
          <w:tcPr>
            <w:tcW w:w="708" w:type="dxa"/>
            <w:vAlign w:val="center"/>
          </w:tcPr>
          <w:p w14:paraId="3AE5E311"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2044E44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6C10AC9E" w14:textId="77777777" w:rsidTr="002B1847">
        <w:trPr>
          <w:trHeight w:val="276"/>
        </w:trPr>
        <w:tc>
          <w:tcPr>
            <w:tcW w:w="3402" w:type="dxa"/>
          </w:tcPr>
          <w:p w14:paraId="45BC2869"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Preparation of transport investment projects</w:t>
            </w:r>
          </w:p>
        </w:tc>
        <w:tc>
          <w:tcPr>
            <w:tcW w:w="3828" w:type="dxa"/>
          </w:tcPr>
          <w:p w14:paraId="5E671058"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Investment plan for railway infrastructure projects</w:t>
            </w:r>
          </w:p>
        </w:tc>
        <w:tc>
          <w:tcPr>
            <w:tcW w:w="708" w:type="dxa"/>
            <w:vAlign w:val="center"/>
          </w:tcPr>
          <w:p w14:paraId="32EAF5C2"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Q2/2021</w:t>
            </w:r>
          </w:p>
        </w:tc>
        <w:tc>
          <w:tcPr>
            <w:tcW w:w="1277" w:type="dxa"/>
            <w:vAlign w:val="center"/>
          </w:tcPr>
          <w:p w14:paraId="7AE2DBA1"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7D4FDFB7" w14:textId="77777777" w:rsidTr="002B1847">
        <w:trPr>
          <w:trHeight w:val="276"/>
        </w:trPr>
        <w:tc>
          <w:tcPr>
            <w:tcW w:w="3402" w:type="dxa"/>
          </w:tcPr>
          <w:p w14:paraId="56BB106C"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Preparation of transport investment projects</w:t>
            </w:r>
          </w:p>
        </w:tc>
        <w:tc>
          <w:tcPr>
            <w:tcW w:w="3828" w:type="dxa"/>
          </w:tcPr>
          <w:p w14:paraId="6171F625"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Methodology for selecting, preparing and implementing projects for cycling</w:t>
            </w:r>
          </w:p>
        </w:tc>
        <w:tc>
          <w:tcPr>
            <w:tcW w:w="708" w:type="dxa"/>
            <w:vAlign w:val="center"/>
          </w:tcPr>
          <w:p w14:paraId="6BFCCD6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Q4/2021</w:t>
            </w:r>
          </w:p>
        </w:tc>
        <w:tc>
          <w:tcPr>
            <w:tcW w:w="1277" w:type="dxa"/>
            <w:vAlign w:val="center"/>
          </w:tcPr>
          <w:p w14:paraId="5C60815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2DE047BB" w14:textId="77777777" w:rsidTr="002B1847">
        <w:trPr>
          <w:trHeight w:val="276"/>
        </w:trPr>
        <w:tc>
          <w:tcPr>
            <w:tcW w:w="3402" w:type="dxa"/>
          </w:tcPr>
          <w:p w14:paraId="7C46773F"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Preparation of transport investment projects</w:t>
            </w:r>
          </w:p>
        </w:tc>
        <w:tc>
          <w:tcPr>
            <w:tcW w:w="3828" w:type="dxa"/>
          </w:tcPr>
          <w:p w14:paraId="3659B12F"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The amendment to the Railways Act and related legislation on transport infrastructure parameters</w:t>
            </w:r>
          </w:p>
        </w:tc>
        <w:tc>
          <w:tcPr>
            <w:tcW w:w="708" w:type="dxa"/>
            <w:vAlign w:val="center"/>
          </w:tcPr>
          <w:p w14:paraId="29EF374F"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Q1/2023</w:t>
            </w:r>
          </w:p>
        </w:tc>
        <w:tc>
          <w:tcPr>
            <w:tcW w:w="1277" w:type="dxa"/>
            <w:vAlign w:val="center"/>
          </w:tcPr>
          <w:p w14:paraId="5929A65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265F1E11" w14:textId="77777777" w:rsidTr="002B1847">
        <w:trPr>
          <w:trHeight w:val="276"/>
        </w:trPr>
        <w:tc>
          <w:tcPr>
            <w:tcW w:w="3402" w:type="dxa"/>
          </w:tcPr>
          <w:p w14:paraId="102C93C6"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Public passenger transport</w:t>
            </w:r>
          </w:p>
        </w:tc>
        <w:tc>
          <w:tcPr>
            <w:tcW w:w="3828" w:type="dxa"/>
          </w:tcPr>
          <w:p w14:paraId="192DC74F"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New law on public passenger transport</w:t>
            </w:r>
          </w:p>
        </w:tc>
        <w:tc>
          <w:tcPr>
            <w:tcW w:w="708" w:type="dxa"/>
            <w:vAlign w:val="center"/>
          </w:tcPr>
          <w:p w14:paraId="0C43D3E8"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Q1/2023</w:t>
            </w:r>
          </w:p>
        </w:tc>
        <w:tc>
          <w:tcPr>
            <w:tcW w:w="1277" w:type="dxa"/>
            <w:vAlign w:val="center"/>
          </w:tcPr>
          <w:p w14:paraId="21251338"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19C1F147" w14:textId="77777777" w:rsidTr="002B1847">
        <w:trPr>
          <w:trHeight w:val="276"/>
        </w:trPr>
        <w:tc>
          <w:tcPr>
            <w:tcW w:w="3402" w:type="dxa"/>
          </w:tcPr>
          <w:p w14:paraId="2A113A09"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Public passenger transport</w:t>
            </w:r>
          </w:p>
        </w:tc>
        <w:tc>
          <w:tcPr>
            <w:tcW w:w="3828" w:type="dxa"/>
          </w:tcPr>
          <w:p w14:paraId="71EC2629"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Implementation of optimised rail transport timetable</w:t>
            </w:r>
          </w:p>
        </w:tc>
        <w:tc>
          <w:tcPr>
            <w:tcW w:w="708" w:type="dxa"/>
            <w:vAlign w:val="center"/>
          </w:tcPr>
          <w:p w14:paraId="0B80EA42"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Q4/2023</w:t>
            </w:r>
          </w:p>
        </w:tc>
        <w:tc>
          <w:tcPr>
            <w:tcW w:w="1277" w:type="dxa"/>
            <w:vAlign w:val="center"/>
          </w:tcPr>
          <w:p w14:paraId="6BA7A716"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05E3E0B0" w14:textId="77777777" w:rsidTr="002B1847">
        <w:trPr>
          <w:trHeight w:val="276"/>
        </w:trPr>
        <w:tc>
          <w:tcPr>
            <w:tcW w:w="3402" w:type="dxa"/>
          </w:tcPr>
          <w:p w14:paraId="4051F50E"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Public passenger transport</w:t>
            </w:r>
          </w:p>
        </w:tc>
        <w:tc>
          <w:tcPr>
            <w:tcW w:w="3828" w:type="dxa"/>
          </w:tcPr>
          <w:p w14:paraId="2332DFC5"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self-governing regions in which tariff integration is in place allowing for travelling by multiple modes of public transport or by carriers per ticket</w:t>
            </w:r>
          </w:p>
        </w:tc>
        <w:tc>
          <w:tcPr>
            <w:tcW w:w="708" w:type="dxa"/>
            <w:vAlign w:val="center"/>
          </w:tcPr>
          <w:p w14:paraId="71BF5F8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55C1C65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75ADACDB" w14:textId="77777777" w:rsidTr="002B1847">
        <w:trPr>
          <w:trHeight w:val="276"/>
        </w:trPr>
        <w:tc>
          <w:tcPr>
            <w:tcW w:w="3402" w:type="dxa"/>
          </w:tcPr>
          <w:p w14:paraId="122F7FEE"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Intermodal freight transport</w:t>
            </w:r>
          </w:p>
        </w:tc>
        <w:tc>
          <w:tcPr>
            <w:tcW w:w="3828" w:type="dxa"/>
          </w:tcPr>
          <w:p w14:paraId="434B8595"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Concept and calls for new support schemes</w:t>
            </w:r>
          </w:p>
        </w:tc>
        <w:tc>
          <w:tcPr>
            <w:tcW w:w="708" w:type="dxa"/>
            <w:vAlign w:val="center"/>
          </w:tcPr>
          <w:p w14:paraId="435080D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Q4/2022</w:t>
            </w:r>
          </w:p>
        </w:tc>
        <w:tc>
          <w:tcPr>
            <w:tcW w:w="1277" w:type="dxa"/>
            <w:vAlign w:val="center"/>
          </w:tcPr>
          <w:p w14:paraId="026B9E8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33C53114" w14:textId="77777777" w:rsidTr="002B1847">
        <w:trPr>
          <w:trHeight w:val="276"/>
        </w:trPr>
        <w:tc>
          <w:tcPr>
            <w:tcW w:w="3402" w:type="dxa"/>
          </w:tcPr>
          <w:p w14:paraId="22CD4B84"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The introduction of new policies for the long-term promotion of alternative fuels in the transport sector</w:t>
            </w:r>
          </w:p>
        </w:tc>
        <w:tc>
          <w:tcPr>
            <w:tcW w:w="3828" w:type="dxa"/>
          </w:tcPr>
          <w:p w14:paraId="38D6DE65"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a new package of measures to promote alternative propulsions</w:t>
            </w:r>
          </w:p>
        </w:tc>
        <w:tc>
          <w:tcPr>
            <w:tcW w:w="708" w:type="dxa"/>
            <w:vAlign w:val="center"/>
          </w:tcPr>
          <w:p w14:paraId="261EA18F"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Q4/2022</w:t>
            </w:r>
          </w:p>
        </w:tc>
        <w:tc>
          <w:tcPr>
            <w:tcW w:w="1277" w:type="dxa"/>
            <w:vAlign w:val="center"/>
          </w:tcPr>
          <w:p w14:paraId="0028AEC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240BD97F" w14:textId="77777777" w:rsidTr="002B1847">
        <w:trPr>
          <w:trHeight w:val="276"/>
        </w:trPr>
        <w:tc>
          <w:tcPr>
            <w:tcW w:w="3402" w:type="dxa"/>
          </w:tcPr>
          <w:p w14:paraId="2EF895A0"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The development of low-carbon transport infrastructure</w:t>
            </w:r>
          </w:p>
        </w:tc>
        <w:tc>
          <w:tcPr>
            <w:tcW w:w="3828" w:type="dxa"/>
          </w:tcPr>
          <w:p w14:paraId="1190D652"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Length of new cycling infrastructure (km)</w:t>
            </w:r>
          </w:p>
        </w:tc>
        <w:tc>
          <w:tcPr>
            <w:tcW w:w="708" w:type="dxa"/>
            <w:vAlign w:val="center"/>
          </w:tcPr>
          <w:p w14:paraId="7C7ACE4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0E491088"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5D9F8257" w14:textId="77777777" w:rsidTr="002B1847">
        <w:trPr>
          <w:trHeight w:val="276"/>
        </w:trPr>
        <w:tc>
          <w:tcPr>
            <w:tcW w:w="3402" w:type="dxa"/>
          </w:tcPr>
          <w:p w14:paraId="75A3976E"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The development of low-carbon transport infrastructure</w:t>
            </w:r>
          </w:p>
        </w:tc>
        <w:tc>
          <w:tcPr>
            <w:tcW w:w="3828" w:type="dxa"/>
          </w:tcPr>
          <w:p w14:paraId="1FF53CF1"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Length of public transport infrastructure reconstructed or upgraded</w:t>
            </w:r>
          </w:p>
        </w:tc>
        <w:tc>
          <w:tcPr>
            <w:tcW w:w="708" w:type="dxa"/>
            <w:vAlign w:val="center"/>
          </w:tcPr>
          <w:p w14:paraId="1E2FA54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24E418F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Delayed</w:t>
            </w:r>
          </w:p>
        </w:tc>
      </w:tr>
      <w:tr w:rsidR="00C24F6F" w:rsidRPr="003677B2" w14:paraId="68898585" w14:textId="77777777" w:rsidTr="002B1847">
        <w:trPr>
          <w:trHeight w:val="276"/>
        </w:trPr>
        <w:tc>
          <w:tcPr>
            <w:tcW w:w="3402" w:type="dxa"/>
          </w:tcPr>
          <w:p w14:paraId="4B583B0A"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The development of low-carbon transport infrastructure</w:t>
            </w:r>
          </w:p>
        </w:tc>
        <w:tc>
          <w:tcPr>
            <w:tcW w:w="3828" w:type="dxa"/>
          </w:tcPr>
          <w:p w14:paraId="12DDDD01"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Length of sections of railway lines digitally secured</w:t>
            </w:r>
          </w:p>
        </w:tc>
        <w:tc>
          <w:tcPr>
            <w:tcW w:w="708" w:type="dxa"/>
            <w:vAlign w:val="center"/>
          </w:tcPr>
          <w:p w14:paraId="64743831"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599C9EE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Delayed</w:t>
            </w:r>
          </w:p>
        </w:tc>
      </w:tr>
      <w:tr w:rsidR="00C24F6F" w:rsidRPr="003677B2" w14:paraId="592AE520" w14:textId="77777777" w:rsidTr="002B1847">
        <w:trPr>
          <w:trHeight w:val="276"/>
        </w:trPr>
        <w:tc>
          <w:tcPr>
            <w:tcW w:w="3402" w:type="dxa"/>
          </w:tcPr>
          <w:p w14:paraId="7ED42B96"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Promoting clean passenger transport</w:t>
            </w:r>
          </w:p>
        </w:tc>
        <w:tc>
          <w:tcPr>
            <w:tcW w:w="3828" w:type="dxa"/>
          </w:tcPr>
          <w:p w14:paraId="2C990564"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clean passenger rolling stock delivered (weighted)</w:t>
            </w:r>
          </w:p>
        </w:tc>
        <w:tc>
          <w:tcPr>
            <w:tcW w:w="708" w:type="dxa"/>
            <w:vAlign w:val="center"/>
          </w:tcPr>
          <w:p w14:paraId="0570966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4B460B4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5A8CDA28" w14:textId="77777777" w:rsidTr="002B1847">
        <w:trPr>
          <w:trHeight w:val="276"/>
        </w:trPr>
        <w:tc>
          <w:tcPr>
            <w:tcW w:w="3402" w:type="dxa"/>
          </w:tcPr>
          <w:p w14:paraId="5DA4EA05"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Development of intermodal freight transport</w:t>
            </w:r>
          </w:p>
        </w:tc>
        <w:tc>
          <w:tcPr>
            <w:tcW w:w="3828" w:type="dxa"/>
          </w:tcPr>
          <w:p w14:paraId="1AB2A327"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intermodal transport units procured in Twenty-foot Equivalent Units</w:t>
            </w:r>
          </w:p>
        </w:tc>
        <w:tc>
          <w:tcPr>
            <w:tcW w:w="708" w:type="dxa"/>
            <w:vAlign w:val="center"/>
          </w:tcPr>
          <w:p w14:paraId="5229C0C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26D528D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65690CBB" w14:textId="77777777" w:rsidTr="002B1847">
        <w:trPr>
          <w:trHeight w:val="276"/>
        </w:trPr>
        <w:tc>
          <w:tcPr>
            <w:tcW w:w="3402" w:type="dxa"/>
          </w:tcPr>
          <w:p w14:paraId="689A1BC0"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Support for the construction of alternative propulsion infrastructure</w:t>
            </w:r>
          </w:p>
        </w:tc>
        <w:tc>
          <w:tcPr>
            <w:tcW w:w="3828" w:type="dxa"/>
          </w:tcPr>
          <w:p w14:paraId="7B27922D"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recharging points installed</w:t>
            </w:r>
          </w:p>
        </w:tc>
        <w:tc>
          <w:tcPr>
            <w:tcW w:w="708" w:type="dxa"/>
            <w:vAlign w:val="center"/>
          </w:tcPr>
          <w:p w14:paraId="381FCB1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36BF569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Delayed</w:t>
            </w:r>
          </w:p>
        </w:tc>
      </w:tr>
      <w:tr w:rsidR="00C24F6F" w:rsidRPr="003677B2" w14:paraId="1218DB84" w14:textId="77777777" w:rsidTr="002B1847">
        <w:trPr>
          <w:trHeight w:val="276"/>
        </w:trPr>
        <w:tc>
          <w:tcPr>
            <w:tcW w:w="3402" w:type="dxa"/>
          </w:tcPr>
          <w:p w14:paraId="0A1A5F24"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The termination of coal-based electricity production at Nováky power plant and transformation of the Upper Nitra region</w:t>
            </w:r>
          </w:p>
        </w:tc>
        <w:tc>
          <w:tcPr>
            <w:tcW w:w="3828" w:type="dxa"/>
          </w:tcPr>
          <w:p w14:paraId="30C0AF90"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Transition away from coal at the Upper Nitra region</w:t>
            </w:r>
          </w:p>
        </w:tc>
        <w:tc>
          <w:tcPr>
            <w:tcW w:w="708" w:type="dxa"/>
            <w:vAlign w:val="center"/>
          </w:tcPr>
          <w:p w14:paraId="6B1BE5BA"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Q4/2023</w:t>
            </w:r>
          </w:p>
        </w:tc>
        <w:tc>
          <w:tcPr>
            <w:tcW w:w="1277" w:type="dxa"/>
            <w:vAlign w:val="center"/>
          </w:tcPr>
          <w:p w14:paraId="2848F62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49AE14C0" w14:textId="77777777" w:rsidTr="002B1847">
        <w:trPr>
          <w:trHeight w:val="276"/>
        </w:trPr>
        <w:tc>
          <w:tcPr>
            <w:tcW w:w="3402" w:type="dxa"/>
          </w:tcPr>
          <w:p w14:paraId="5EAA0F26"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Adoption of the competitive scheme for reduction of greenhouse gas emissions in industry</w:t>
            </w:r>
          </w:p>
        </w:tc>
        <w:tc>
          <w:tcPr>
            <w:tcW w:w="3828" w:type="dxa"/>
          </w:tcPr>
          <w:p w14:paraId="3D14077C"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Adoption of the industrial decarbonisation scheme</w:t>
            </w:r>
          </w:p>
        </w:tc>
        <w:tc>
          <w:tcPr>
            <w:tcW w:w="708" w:type="dxa"/>
            <w:vAlign w:val="center"/>
          </w:tcPr>
          <w:p w14:paraId="4470025A"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Q4/2022</w:t>
            </w:r>
          </w:p>
        </w:tc>
        <w:tc>
          <w:tcPr>
            <w:tcW w:w="1277" w:type="dxa"/>
            <w:vAlign w:val="center"/>
          </w:tcPr>
          <w:p w14:paraId="18171C8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73AAEE35" w14:textId="77777777" w:rsidTr="002B1847">
        <w:trPr>
          <w:trHeight w:val="276"/>
        </w:trPr>
        <w:tc>
          <w:tcPr>
            <w:tcW w:w="3402" w:type="dxa"/>
          </w:tcPr>
          <w:p w14:paraId="365EDBF2"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The operation of the industry decarbonisation scheme</w:t>
            </w:r>
          </w:p>
        </w:tc>
        <w:tc>
          <w:tcPr>
            <w:tcW w:w="3828" w:type="dxa"/>
          </w:tcPr>
          <w:p w14:paraId="7028B6B7"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Finalisation of the industry decarbonisation projects supported by the RRF</w:t>
            </w:r>
          </w:p>
        </w:tc>
        <w:tc>
          <w:tcPr>
            <w:tcW w:w="708" w:type="dxa"/>
            <w:vAlign w:val="center"/>
          </w:tcPr>
          <w:p w14:paraId="64F6889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60E2B0F1"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4C661F29" w14:textId="77777777" w:rsidTr="002B1847">
        <w:trPr>
          <w:trHeight w:val="276"/>
        </w:trPr>
        <w:tc>
          <w:tcPr>
            <w:tcW w:w="3402" w:type="dxa"/>
          </w:tcPr>
          <w:p w14:paraId="7F814D3A"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Supporting the functioning of the Slovak Environmental Inspectorate linked to decarbonisation</w:t>
            </w:r>
          </w:p>
        </w:tc>
        <w:tc>
          <w:tcPr>
            <w:tcW w:w="3828" w:type="dxa"/>
          </w:tcPr>
          <w:p w14:paraId="1E7CB284"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Capacity increasing investments for the Slovak Inspectorate of the Environment</w:t>
            </w:r>
          </w:p>
        </w:tc>
        <w:tc>
          <w:tcPr>
            <w:tcW w:w="708" w:type="dxa"/>
            <w:vAlign w:val="center"/>
          </w:tcPr>
          <w:p w14:paraId="30D942F4"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Q2/2025</w:t>
            </w:r>
          </w:p>
        </w:tc>
        <w:tc>
          <w:tcPr>
            <w:tcW w:w="1277" w:type="dxa"/>
            <w:vAlign w:val="center"/>
          </w:tcPr>
          <w:p w14:paraId="19EA4BA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396D5522" w14:textId="77777777" w:rsidTr="002B1847">
        <w:trPr>
          <w:trHeight w:val="276"/>
        </w:trPr>
        <w:tc>
          <w:tcPr>
            <w:tcW w:w="3402" w:type="dxa"/>
          </w:tcPr>
          <w:p w14:paraId="04C656A4"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Landscape planning</w:t>
            </w:r>
          </w:p>
        </w:tc>
        <w:tc>
          <w:tcPr>
            <w:tcW w:w="3828" w:type="dxa"/>
          </w:tcPr>
          <w:p w14:paraId="47F696E3"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the Land Planning reform</w:t>
            </w:r>
          </w:p>
        </w:tc>
        <w:tc>
          <w:tcPr>
            <w:tcW w:w="708" w:type="dxa"/>
            <w:vAlign w:val="center"/>
          </w:tcPr>
          <w:p w14:paraId="5A075CFA"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Q4/2023</w:t>
            </w:r>
          </w:p>
        </w:tc>
        <w:tc>
          <w:tcPr>
            <w:tcW w:w="1277" w:type="dxa"/>
            <w:vAlign w:val="center"/>
          </w:tcPr>
          <w:p w14:paraId="6786CCD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4A93E61D" w14:textId="77777777" w:rsidTr="002B1847">
        <w:trPr>
          <w:trHeight w:val="276"/>
        </w:trPr>
        <w:tc>
          <w:tcPr>
            <w:tcW w:w="3402" w:type="dxa"/>
          </w:tcPr>
          <w:p w14:paraId="3267CAF3"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Reforming nature conservation and water management in the countryside</w:t>
            </w:r>
          </w:p>
        </w:tc>
        <w:tc>
          <w:tcPr>
            <w:tcW w:w="3828" w:type="dxa"/>
          </w:tcPr>
          <w:p w14:paraId="52E19EB3"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More effective application of nature protection measures in landscapes in protected areas and the revitalization of watercourses</w:t>
            </w:r>
          </w:p>
        </w:tc>
        <w:tc>
          <w:tcPr>
            <w:tcW w:w="708" w:type="dxa"/>
            <w:vAlign w:val="center"/>
          </w:tcPr>
          <w:p w14:paraId="34920B60"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Q4/2022</w:t>
            </w:r>
          </w:p>
        </w:tc>
        <w:tc>
          <w:tcPr>
            <w:tcW w:w="1277" w:type="dxa"/>
            <w:vAlign w:val="center"/>
          </w:tcPr>
          <w:p w14:paraId="61CB2D40"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689EAF4E" w14:textId="77777777" w:rsidTr="002B1847">
        <w:trPr>
          <w:trHeight w:val="276"/>
        </w:trPr>
        <w:tc>
          <w:tcPr>
            <w:tcW w:w="3402" w:type="dxa"/>
          </w:tcPr>
          <w:p w14:paraId="26EFB5A9"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Reforming nature conservation and water management in the countryside</w:t>
            </w:r>
          </w:p>
        </w:tc>
        <w:tc>
          <w:tcPr>
            <w:tcW w:w="3828" w:type="dxa"/>
          </w:tcPr>
          <w:p w14:paraId="5518E70A"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Zonation process of national parks</w:t>
            </w:r>
          </w:p>
        </w:tc>
        <w:tc>
          <w:tcPr>
            <w:tcW w:w="708" w:type="dxa"/>
            <w:vAlign w:val="center"/>
          </w:tcPr>
          <w:p w14:paraId="376451E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Q1/2026</w:t>
            </w:r>
          </w:p>
        </w:tc>
        <w:tc>
          <w:tcPr>
            <w:tcW w:w="1277" w:type="dxa"/>
            <w:vAlign w:val="center"/>
          </w:tcPr>
          <w:p w14:paraId="1EA6307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Not completed</w:t>
            </w:r>
          </w:p>
        </w:tc>
      </w:tr>
      <w:tr w:rsidR="00C24F6F" w:rsidRPr="003677B2" w14:paraId="6FC3EB6F" w14:textId="77777777" w:rsidTr="002B1847">
        <w:trPr>
          <w:trHeight w:val="276"/>
        </w:trPr>
        <w:tc>
          <w:tcPr>
            <w:tcW w:w="3402" w:type="dxa"/>
          </w:tcPr>
          <w:p w14:paraId="2AB82E43"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Adaptation of regions to climate change with an emphasis on nature conservation and biodiversity development</w:t>
            </w:r>
          </w:p>
        </w:tc>
        <w:tc>
          <w:tcPr>
            <w:tcW w:w="3828" w:type="dxa"/>
          </w:tcPr>
          <w:p w14:paraId="76D37B88"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Revitalisation of watercourses (in Km of revitalised watercourses)</w:t>
            </w:r>
          </w:p>
        </w:tc>
        <w:tc>
          <w:tcPr>
            <w:tcW w:w="708" w:type="dxa"/>
            <w:vAlign w:val="center"/>
          </w:tcPr>
          <w:p w14:paraId="2A36FD4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1A9F63CA"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Delayed</w:t>
            </w:r>
          </w:p>
        </w:tc>
      </w:tr>
      <w:tr w:rsidR="00C24F6F" w:rsidRPr="003677B2" w14:paraId="71297866" w14:textId="77777777" w:rsidTr="002B1847">
        <w:trPr>
          <w:trHeight w:val="276"/>
        </w:trPr>
        <w:tc>
          <w:tcPr>
            <w:tcW w:w="3402" w:type="dxa"/>
          </w:tcPr>
          <w:p w14:paraId="4A2C0439"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Adaptation of regions to climate change with an emphasis on nature conservation and biodiversity development</w:t>
            </w:r>
          </w:p>
        </w:tc>
        <w:tc>
          <w:tcPr>
            <w:tcW w:w="3828" w:type="dxa"/>
          </w:tcPr>
          <w:p w14:paraId="15AAE523"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Property settlement with private landowners (in Area of land settled in ha)</w:t>
            </w:r>
          </w:p>
        </w:tc>
        <w:tc>
          <w:tcPr>
            <w:tcW w:w="708" w:type="dxa"/>
            <w:vAlign w:val="center"/>
          </w:tcPr>
          <w:p w14:paraId="58252EC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Q4/2023</w:t>
            </w:r>
          </w:p>
        </w:tc>
        <w:tc>
          <w:tcPr>
            <w:tcW w:w="1277" w:type="dxa"/>
            <w:vAlign w:val="center"/>
          </w:tcPr>
          <w:p w14:paraId="25816C6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722232C8" w14:textId="77777777" w:rsidTr="002B1847">
        <w:trPr>
          <w:trHeight w:val="276"/>
        </w:trPr>
        <w:tc>
          <w:tcPr>
            <w:tcW w:w="3402" w:type="dxa"/>
          </w:tcPr>
          <w:p w14:paraId="5EFCC2FC"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Adaptation of regions to climate change with an emphasis on nature conservation and biodiversity development</w:t>
            </w:r>
          </w:p>
        </w:tc>
        <w:tc>
          <w:tcPr>
            <w:tcW w:w="3828" w:type="dxa"/>
          </w:tcPr>
          <w:p w14:paraId="21D126F9"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List of selected projects for the regions of Muránska Planina and Polonina</w:t>
            </w:r>
          </w:p>
        </w:tc>
        <w:tc>
          <w:tcPr>
            <w:tcW w:w="708" w:type="dxa"/>
            <w:vAlign w:val="center"/>
          </w:tcPr>
          <w:p w14:paraId="6FD0E7B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Q2/2022</w:t>
            </w:r>
          </w:p>
        </w:tc>
        <w:tc>
          <w:tcPr>
            <w:tcW w:w="1277" w:type="dxa"/>
            <w:vAlign w:val="center"/>
          </w:tcPr>
          <w:p w14:paraId="3C5709D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5092118B" w14:textId="77777777" w:rsidTr="002B1847">
        <w:trPr>
          <w:trHeight w:val="276"/>
        </w:trPr>
        <w:tc>
          <w:tcPr>
            <w:tcW w:w="3402" w:type="dxa"/>
          </w:tcPr>
          <w:p w14:paraId="25031825"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lastRenderedPageBreak/>
              <w:t>Providing conditions for the implementation of compulsory pre-primary education for children from the age of 5 and introducing a legal entitlement to a place in kindergarten or other pre-primary education providers from the age of 3</w:t>
            </w:r>
          </w:p>
        </w:tc>
        <w:tc>
          <w:tcPr>
            <w:tcW w:w="3828" w:type="dxa"/>
          </w:tcPr>
          <w:p w14:paraId="02C21617"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Introduction of legal changes of a compulsory pre-primary education for children aged of five and introduction of a legal entitlement to a place in kindergarden or other pre-primary education providers from the age of three</w:t>
            </w:r>
          </w:p>
        </w:tc>
        <w:tc>
          <w:tcPr>
            <w:tcW w:w="708" w:type="dxa"/>
            <w:vAlign w:val="center"/>
          </w:tcPr>
          <w:p w14:paraId="6AD6313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Q2/2023</w:t>
            </w:r>
          </w:p>
        </w:tc>
        <w:tc>
          <w:tcPr>
            <w:tcW w:w="1277" w:type="dxa"/>
            <w:vAlign w:val="center"/>
          </w:tcPr>
          <w:p w14:paraId="362BFCE8"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08A7FE65" w14:textId="77777777" w:rsidTr="002B1847">
        <w:trPr>
          <w:trHeight w:val="276"/>
        </w:trPr>
        <w:tc>
          <w:tcPr>
            <w:tcW w:w="3402" w:type="dxa"/>
          </w:tcPr>
          <w:p w14:paraId="0EB7E35B"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Providing conditions for the implementation of compulsory pre-primary education for children from the age of 5 and introducing a legal entitlement to a place in kindergarten or other pre-primary education providers from the age of 3</w:t>
            </w:r>
          </w:p>
        </w:tc>
        <w:tc>
          <w:tcPr>
            <w:tcW w:w="3828" w:type="dxa"/>
          </w:tcPr>
          <w:p w14:paraId="3F99D614"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Enrollment rate in pre-primary schools for children aged five years</w:t>
            </w:r>
          </w:p>
        </w:tc>
        <w:tc>
          <w:tcPr>
            <w:tcW w:w="708" w:type="dxa"/>
            <w:vAlign w:val="center"/>
          </w:tcPr>
          <w:p w14:paraId="0BB683B4"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Q3/2022</w:t>
            </w:r>
          </w:p>
        </w:tc>
        <w:tc>
          <w:tcPr>
            <w:tcW w:w="1277" w:type="dxa"/>
            <w:vAlign w:val="center"/>
          </w:tcPr>
          <w:p w14:paraId="73E739F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25748339" w14:textId="77777777" w:rsidTr="002B1847">
        <w:trPr>
          <w:trHeight w:val="276"/>
        </w:trPr>
        <w:tc>
          <w:tcPr>
            <w:tcW w:w="3402" w:type="dxa"/>
          </w:tcPr>
          <w:p w14:paraId="2FD722C3"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Providing conditions for the implementation of compulsory pre-primary education for children from the age of 5 and introducing a legal entitlement to a place in kindergarten or other pre-primary education providers from the age of 3</w:t>
            </w:r>
          </w:p>
        </w:tc>
        <w:tc>
          <w:tcPr>
            <w:tcW w:w="3828" w:type="dxa"/>
          </w:tcPr>
          <w:p w14:paraId="6B5D63E9"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kindergartens constructed or reconstructed</w:t>
            </w:r>
          </w:p>
        </w:tc>
        <w:tc>
          <w:tcPr>
            <w:tcW w:w="708" w:type="dxa"/>
            <w:vAlign w:val="center"/>
          </w:tcPr>
          <w:p w14:paraId="78CED00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310EF25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467562DE" w14:textId="77777777" w:rsidTr="002B1847">
        <w:trPr>
          <w:trHeight w:val="276"/>
        </w:trPr>
        <w:tc>
          <w:tcPr>
            <w:tcW w:w="3402" w:type="dxa"/>
          </w:tcPr>
          <w:p w14:paraId="01DAE658"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Providing conditions for the implementation of compulsory pre-primary education for children from the age of 5 and introducing a legal entitlement to a place in kindergarten or other pre-primary education providers from the age of 3</w:t>
            </w:r>
          </w:p>
        </w:tc>
        <w:tc>
          <w:tcPr>
            <w:tcW w:w="3828" w:type="dxa"/>
          </w:tcPr>
          <w:p w14:paraId="45C38021"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Entry into force of new prescriptive funding system for pre-primary education based on the standardised real annual staff and operational costs of kindergartens, as well as the achievement of the enrollment rate of children aged four years.</w:t>
            </w:r>
          </w:p>
        </w:tc>
        <w:tc>
          <w:tcPr>
            <w:tcW w:w="708" w:type="dxa"/>
            <w:vAlign w:val="center"/>
          </w:tcPr>
          <w:p w14:paraId="78175AB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Q1/2025</w:t>
            </w:r>
          </w:p>
        </w:tc>
        <w:tc>
          <w:tcPr>
            <w:tcW w:w="1277" w:type="dxa"/>
            <w:vAlign w:val="center"/>
          </w:tcPr>
          <w:p w14:paraId="3300F2F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3551ACEA" w14:textId="77777777" w:rsidTr="002B1847">
        <w:trPr>
          <w:trHeight w:val="276"/>
        </w:trPr>
        <w:tc>
          <w:tcPr>
            <w:tcW w:w="3402" w:type="dxa"/>
          </w:tcPr>
          <w:p w14:paraId="205EAB87"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The definition of the concept of special educational needs of children and pupils and the development of a model for eligible support measures in education, including their funding system</w:t>
            </w:r>
          </w:p>
        </w:tc>
        <w:tc>
          <w:tcPr>
            <w:tcW w:w="3828" w:type="dxa"/>
          </w:tcPr>
          <w:p w14:paraId="6AE71B74"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Adoption of the law on redefinition of the concept of special educational needs and the preparation of accompanying methodological material for teaching staff, specialist staff and school leaders.</w:t>
            </w:r>
          </w:p>
        </w:tc>
        <w:tc>
          <w:tcPr>
            <w:tcW w:w="708" w:type="dxa"/>
            <w:vAlign w:val="center"/>
          </w:tcPr>
          <w:p w14:paraId="3F1520EF"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Q4/2022</w:t>
            </w:r>
          </w:p>
        </w:tc>
        <w:tc>
          <w:tcPr>
            <w:tcW w:w="1277" w:type="dxa"/>
            <w:vAlign w:val="center"/>
          </w:tcPr>
          <w:p w14:paraId="289D4AF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1E7E7378" w14:textId="77777777" w:rsidTr="002B1847">
        <w:trPr>
          <w:trHeight w:val="276"/>
        </w:trPr>
        <w:tc>
          <w:tcPr>
            <w:tcW w:w="3402" w:type="dxa"/>
          </w:tcPr>
          <w:p w14:paraId="196355EA"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The definition of the concept of special educational needs of children and pupils and the development of a model for eligible support measures in education, including their funding system</w:t>
            </w:r>
          </w:p>
        </w:tc>
        <w:tc>
          <w:tcPr>
            <w:tcW w:w="3828" w:type="dxa"/>
          </w:tcPr>
          <w:p w14:paraId="12E3C1BC"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Entry into force the redefinition of the concept of special educational needs</w:t>
            </w:r>
          </w:p>
        </w:tc>
        <w:tc>
          <w:tcPr>
            <w:tcW w:w="708" w:type="dxa"/>
            <w:vAlign w:val="center"/>
          </w:tcPr>
          <w:p w14:paraId="468C06F6"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Q1/2023</w:t>
            </w:r>
          </w:p>
        </w:tc>
        <w:tc>
          <w:tcPr>
            <w:tcW w:w="1277" w:type="dxa"/>
            <w:vAlign w:val="center"/>
          </w:tcPr>
          <w:p w14:paraId="04F3F804"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3E074B15" w14:textId="77777777" w:rsidTr="002B1847">
        <w:trPr>
          <w:trHeight w:val="276"/>
        </w:trPr>
        <w:tc>
          <w:tcPr>
            <w:tcW w:w="3402" w:type="dxa"/>
          </w:tcPr>
          <w:p w14:paraId="7420770A"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The definition of the concept of special educational needs of children and pupils and the development of a model for eligible support measures in education, including their funding system</w:t>
            </w:r>
          </w:p>
        </w:tc>
        <w:tc>
          <w:tcPr>
            <w:tcW w:w="3828" w:type="dxa"/>
          </w:tcPr>
          <w:p w14:paraId="1C83C088"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persons trained who are either a teacher or education specialist</w:t>
            </w:r>
          </w:p>
        </w:tc>
        <w:tc>
          <w:tcPr>
            <w:tcW w:w="708" w:type="dxa"/>
            <w:vAlign w:val="center"/>
          </w:tcPr>
          <w:p w14:paraId="057DEBAA"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Q4/2025</w:t>
            </w:r>
          </w:p>
        </w:tc>
        <w:tc>
          <w:tcPr>
            <w:tcW w:w="1277" w:type="dxa"/>
            <w:vAlign w:val="center"/>
          </w:tcPr>
          <w:p w14:paraId="4AC68C7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6791BA91" w14:textId="77777777" w:rsidTr="002B1847">
        <w:trPr>
          <w:trHeight w:val="276"/>
        </w:trPr>
        <w:tc>
          <w:tcPr>
            <w:tcW w:w="3402" w:type="dxa"/>
          </w:tcPr>
          <w:p w14:paraId="38D831A8"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Reforming the system of counselling and prevention and ensuring systematic data collection in the field of mental health promotion for children, pupils and students</w:t>
            </w:r>
          </w:p>
        </w:tc>
        <w:tc>
          <w:tcPr>
            <w:tcW w:w="3828" w:type="dxa"/>
          </w:tcPr>
          <w:p w14:paraId="58F5C961"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Entry into force of the legislation that create the comprehensive system of counselling</w:t>
            </w:r>
          </w:p>
        </w:tc>
        <w:tc>
          <w:tcPr>
            <w:tcW w:w="708" w:type="dxa"/>
            <w:vAlign w:val="center"/>
          </w:tcPr>
          <w:p w14:paraId="683B75C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Q1/2023</w:t>
            </w:r>
          </w:p>
        </w:tc>
        <w:tc>
          <w:tcPr>
            <w:tcW w:w="1277" w:type="dxa"/>
            <w:vAlign w:val="center"/>
          </w:tcPr>
          <w:p w14:paraId="4C22A14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22227FFA" w14:textId="77777777" w:rsidTr="002B1847">
        <w:trPr>
          <w:trHeight w:val="276"/>
        </w:trPr>
        <w:tc>
          <w:tcPr>
            <w:tcW w:w="3402" w:type="dxa"/>
          </w:tcPr>
          <w:p w14:paraId="5CAF3918"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Adapt F-type study programmes</w:t>
            </w:r>
          </w:p>
        </w:tc>
        <w:tc>
          <w:tcPr>
            <w:tcW w:w="3828" w:type="dxa"/>
          </w:tcPr>
          <w:p w14:paraId="492E478D"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Entry into force of legislative amendments aimed at: Extension of the possibility to acquire lower secondary education in lower secondary vocational education (VET) optimisation of NSOV programmes in response to labour market needs and the offer of NSOV programmes in relation to the educational needs of the target group of pupils</w:t>
            </w:r>
          </w:p>
        </w:tc>
        <w:tc>
          <w:tcPr>
            <w:tcW w:w="708" w:type="dxa"/>
            <w:vAlign w:val="center"/>
          </w:tcPr>
          <w:p w14:paraId="0F7BD36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Q1/2023</w:t>
            </w:r>
          </w:p>
        </w:tc>
        <w:tc>
          <w:tcPr>
            <w:tcW w:w="1277" w:type="dxa"/>
            <w:vAlign w:val="center"/>
          </w:tcPr>
          <w:p w14:paraId="1C69CE78"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1A1C9909" w14:textId="77777777" w:rsidTr="002B1847">
        <w:trPr>
          <w:trHeight w:val="276"/>
        </w:trPr>
        <w:tc>
          <w:tcPr>
            <w:tcW w:w="3402" w:type="dxa"/>
          </w:tcPr>
          <w:p w14:paraId="20945E02"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Adapt F-type study programmes</w:t>
            </w:r>
          </w:p>
        </w:tc>
        <w:tc>
          <w:tcPr>
            <w:tcW w:w="3828" w:type="dxa"/>
          </w:tcPr>
          <w:p w14:paraId="76E73170"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F-programmes adapted</w:t>
            </w:r>
          </w:p>
        </w:tc>
        <w:tc>
          <w:tcPr>
            <w:tcW w:w="708" w:type="dxa"/>
            <w:vAlign w:val="center"/>
          </w:tcPr>
          <w:p w14:paraId="1E60972A"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Q2/2025</w:t>
            </w:r>
          </w:p>
        </w:tc>
        <w:tc>
          <w:tcPr>
            <w:tcW w:w="1277" w:type="dxa"/>
            <w:vAlign w:val="center"/>
          </w:tcPr>
          <w:p w14:paraId="7A93FB4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2569FF8B" w14:textId="77777777" w:rsidTr="002B1847">
        <w:trPr>
          <w:trHeight w:val="276"/>
        </w:trPr>
        <w:tc>
          <w:tcPr>
            <w:tcW w:w="3402" w:type="dxa"/>
          </w:tcPr>
          <w:p w14:paraId="56279CA6"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Promoting school desegregation</w:t>
            </w:r>
          </w:p>
        </w:tc>
        <w:tc>
          <w:tcPr>
            <w:tcW w:w="3828" w:type="dxa"/>
          </w:tcPr>
          <w:p w14:paraId="48B176DA"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Adoption of legislative amendments that introduce of the definition of segregation at schools in the legislation and the development of methodological material for the implementation of desegregation</w:t>
            </w:r>
          </w:p>
        </w:tc>
        <w:tc>
          <w:tcPr>
            <w:tcW w:w="708" w:type="dxa"/>
            <w:vAlign w:val="center"/>
          </w:tcPr>
          <w:p w14:paraId="5B296E46"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Q3/2023</w:t>
            </w:r>
          </w:p>
        </w:tc>
        <w:tc>
          <w:tcPr>
            <w:tcW w:w="1277" w:type="dxa"/>
            <w:vAlign w:val="center"/>
          </w:tcPr>
          <w:p w14:paraId="5F784E8A"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78DAD07F" w14:textId="77777777" w:rsidTr="002B1847">
        <w:trPr>
          <w:trHeight w:val="276"/>
        </w:trPr>
        <w:tc>
          <w:tcPr>
            <w:tcW w:w="3402" w:type="dxa"/>
          </w:tcPr>
          <w:p w14:paraId="6E7D3130"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Promoting school desegregation</w:t>
            </w:r>
          </w:p>
        </w:tc>
        <w:tc>
          <w:tcPr>
            <w:tcW w:w="3828" w:type="dxa"/>
          </w:tcPr>
          <w:p w14:paraId="53D4F965"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Introduction of desegregation standards</w:t>
            </w:r>
          </w:p>
        </w:tc>
        <w:tc>
          <w:tcPr>
            <w:tcW w:w="708" w:type="dxa"/>
            <w:vAlign w:val="center"/>
          </w:tcPr>
          <w:p w14:paraId="2C707461"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Q4/2025</w:t>
            </w:r>
          </w:p>
        </w:tc>
        <w:tc>
          <w:tcPr>
            <w:tcW w:w="1277" w:type="dxa"/>
            <w:vAlign w:val="center"/>
          </w:tcPr>
          <w:p w14:paraId="712D7B2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5AB9B240" w14:textId="77777777" w:rsidTr="002B1847">
        <w:trPr>
          <w:trHeight w:val="276"/>
        </w:trPr>
        <w:tc>
          <w:tcPr>
            <w:tcW w:w="3402" w:type="dxa"/>
          </w:tcPr>
          <w:p w14:paraId="7D7D9B08"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Compensatory measures to mitigate the impact of the pandemic in education for primary and secondary school pupils</w:t>
            </w:r>
          </w:p>
        </w:tc>
        <w:tc>
          <w:tcPr>
            <w:tcW w:w="3828" w:type="dxa"/>
          </w:tcPr>
          <w:p w14:paraId="56B18EB2"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schools taking part in tuition programmes</w:t>
            </w:r>
          </w:p>
        </w:tc>
        <w:tc>
          <w:tcPr>
            <w:tcW w:w="708" w:type="dxa"/>
            <w:vAlign w:val="center"/>
          </w:tcPr>
          <w:p w14:paraId="74BC2830"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Q4/2022</w:t>
            </w:r>
          </w:p>
        </w:tc>
        <w:tc>
          <w:tcPr>
            <w:tcW w:w="1277" w:type="dxa"/>
            <w:vAlign w:val="center"/>
          </w:tcPr>
          <w:p w14:paraId="715EBE5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38A7F00C" w14:textId="77777777" w:rsidTr="002B1847">
        <w:trPr>
          <w:trHeight w:val="276"/>
        </w:trPr>
        <w:tc>
          <w:tcPr>
            <w:tcW w:w="3402" w:type="dxa"/>
          </w:tcPr>
          <w:p w14:paraId="20F83192"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Removing barriers in school buildings</w:t>
            </w:r>
          </w:p>
        </w:tc>
        <w:tc>
          <w:tcPr>
            <w:tcW w:w="3828" w:type="dxa"/>
          </w:tcPr>
          <w:p w14:paraId="6C926C3A"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Introduction of the definition of debarrierisation standard, creation of a debarrierisation manual and mapping of school needs at all levels of education</w:t>
            </w:r>
          </w:p>
        </w:tc>
        <w:tc>
          <w:tcPr>
            <w:tcW w:w="708" w:type="dxa"/>
            <w:vAlign w:val="center"/>
          </w:tcPr>
          <w:p w14:paraId="484EE422"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Q1/2022</w:t>
            </w:r>
          </w:p>
        </w:tc>
        <w:tc>
          <w:tcPr>
            <w:tcW w:w="1277" w:type="dxa"/>
            <w:vAlign w:val="center"/>
          </w:tcPr>
          <w:p w14:paraId="1592B7F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323E95AF" w14:textId="77777777" w:rsidTr="002B1847">
        <w:trPr>
          <w:trHeight w:val="276"/>
        </w:trPr>
        <w:tc>
          <w:tcPr>
            <w:tcW w:w="3402" w:type="dxa"/>
          </w:tcPr>
          <w:p w14:paraId="1DB0BF1F"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Removing barriers in school buildings</w:t>
            </w:r>
          </w:p>
        </w:tc>
        <w:tc>
          <w:tcPr>
            <w:tcW w:w="3828" w:type="dxa"/>
          </w:tcPr>
          <w:p w14:paraId="20A0DC09"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Elimination of architectural barriers at secondary schools</w:t>
            </w:r>
          </w:p>
        </w:tc>
        <w:tc>
          <w:tcPr>
            <w:tcW w:w="708" w:type="dxa"/>
            <w:vAlign w:val="center"/>
          </w:tcPr>
          <w:p w14:paraId="5625FB9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Q2/2025</w:t>
            </w:r>
          </w:p>
        </w:tc>
        <w:tc>
          <w:tcPr>
            <w:tcW w:w="1277" w:type="dxa"/>
            <w:vAlign w:val="center"/>
          </w:tcPr>
          <w:p w14:paraId="0A31C426"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3DA43127" w14:textId="77777777" w:rsidTr="002B1847">
        <w:trPr>
          <w:trHeight w:val="276"/>
        </w:trPr>
        <w:tc>
          <w:tcPr>
            <w:tcW w:w="3402" w:type="dxa"/>
          </w:tcPr>
          <w:p w14:paraId="2601370A"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Reform of the content and form of education</w:t>
            </w:r>
          </w:p>
        </w:tc>
        <w:tc>
          <w:tcPr>
            <w:tcW w:w="3828" w:type="dxa"/>
          </w:tcPr>
          <w:p w14:paraId="17A933A8"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New curriculum for all primary schools organized in the multiannual education cycles</w:t>
            </w:r>
          </w:p>
        </w:tc>
        <w:tc>
          <w:tcPr>
            <w:tcW w:w="708" w:type="dxa"/>
            <w:vAlign w:val="center"/>
          </w:tcPr>
          <w:p w14:paraId="512F7046"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Q1/2023</w:t>
            </w:r>
          </w:p>
        </w:tc>
        <w:tc>
          <w:tcPr>
            <w:tcW w:w="1277" w:type="dxa"/>
            <w:vAlign w:val="center"/>
          </w:tcPr>
          <w:p w14:paraId="23F308C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04EED114" w14:textId="77777777" w:rsidTr="002B1847">
        <w:trPr>
          <w:trHeight w:val="276"/>
        </w:trPr>
        <w:tc>
          <w:tcPr>
            <w:tcW w:w="3402" w:type="dxa"/>
          </w:tcPr>
          <w:p w14:paraId="5EFE78DC"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Reform of the content and form of education</w:t>
            </w:r>
          </w:p>
        </w:tc>
        <w:tc>
          <w:tcPr>
            <w:tcW w:w="3828" w:type="dxa"/>
          </w:tcPr>
          <w:p w14:paraId="636F8C00"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Creation of a network of regional centres of support</w:t>
            </w:r>
          </w:p>
        </w:tc>
        <w:tc>
          <w:tcPr>
            <w:tcW w:w="708" w:type="dxa"/>
            <w:vAlign w:val="center"/>
          </w:tcPr>
          <w:p w14:paraId="495AD46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Q3/2024</w:t>
            </w:r>
          </w:p>
        </w:tc>
        <w:tc>
          <w:tcPr>
            <w:tcW w:w="1277" w:type="dxa"/>
            <w:vAlign w:val="center"/>
          </w:tcPr>
          <w:p w14:paraId="3C93960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57FA09BE" w14:textId="77777777" w:rsidTr="002B1847">
        <w:trPr>
          <w:trHeight w:val="276"/>
        </w:trPr>
        <w:tc>
          <w:tcPr>
            <w:tcW w:w="3402" w:type="dxa"/>
          </w:tcPr>
          <w:p w14:paraId="58D79387"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Reform of the content and form of education</w:t>
            </w:r>
          </w:p>
        </w:tc>
        <w:tc>
          <w:tcPr>
            <w:tcW w:w="3828" w:type="dxa"/>
          </w:tcPr>
          <w:p w14:paraId="614382C6"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Implementation of the curricular reform and new learning materials to schools</w:t>
            </w:r>
          </w:p>
        </w:tc>
        <w:tc>
          <w:tcPr>
            <w:tcW w:w="708" w:type="dxa"/>
            <w:vAlign w:val="center"/>
          </w:tcPr>
          <w:p w14:paraId="75FCD2DF"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Q4/2025</w:t>
            </w:r>
          </w:p>
        </w:tc>
        <w:tc>
          <w:tcPr>
            <w:tcW w:w="1277" w:type="dxa"/>
            <w:vAlign w:val="center"/>
          </w:tcPr>
          <w:p w14:paraId="7F32B942"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09FE18BD" w14:textId="77777777" w:rsidTr="002B1847">
        <w:trPr>
          <w:trHeight w:val="276"/>
        </w:trPr>
        <w:tc>
          <w:tcPr>
            <w:tcW w:w="3402" w:type="dxa"/>
          </w:tcPr>
          <w:p w14:paraId="2E54A61A"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Reform of the content and form of education</w:t>
            </w:r>
          </w:p>
        </w:tc>
        <w:tc>
          <w:tcPr>
            <w:tcW w:w="3828" w:type="dxa"/>
          </w:tcPr>
          <w:p w14:paraId="0074F264"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Introduction of an on-line final exam (maturita) for all upper secondary schools</w:t>
            </w:r>
          </w:p>
        </w:tc>
        <w:tc>
          <w:tcPr>
            <w:tcW w:w="708" w:type="dxa"/>
            <w:vAlign w:val="center"/>
          </w:tcPr>
          <w:p w14:paraId="2183899F"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Q4/2025</w:t>
            </w:r>
          </w:p>
        </w:tc>
        <w:tc>
          <w:tcPr>
            <w:tcW w:w="1277" w:type="dxa"/>
            <w:vAlign w:val="center"/>
          </w:tcPr>
          <w:p w14:paraId="4E436171"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20E069A1" w14:textId="77777777" w:rsidTr="002B1847">
        <w:trPr>
          <w:trHeight w:val="276"/>
        </w:trPr>
        <w:tc>
          <w:tcPr>
            <w:tcW w:w="3402" w:type="dxa"/>
          </w:tcPr>
          <w:p w14:paraId="7407BD02"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Preparing and developing teachers for new content and form of teaching</w:t>
            </w:r>
          </w:p>
        </w:tc>
        <w:tc>
          <w:tcPr>
            <w:tcW w:w="3828" w:type="dxa"/>
          </w:tcPr>
          <w:p w14:paraId="67EAF853"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Entry into force the legislative changes to strengthen the quality of skills of teaching and professional staff and motivate them for lifelong professional development</w:t>
            </w:r>
          </w:p>
        </w:tc>
        <w:tc>
          <w:tcPr>
            <w:tcW w:w="708" w:type="dxa"/>
            <w:vAlign w:val="center"/>
          </w:tcPr>
          <w:p w14:paraId="3C457912"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Q1/2023</w:t>
            </w:r>
          </w:p>
        </w:tc>
        <w:tc>
          <w:tcPr>
            <w:tcW w:w="1277" w:type="dxa"/>
            <w:vAlign w:val="center"/>
          </w:tcPr>
          <w:p w14:paraId="5042771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30BAA58F" w14:textId="77777777" w:rsidTr="002B1847">
        <w:trPr>
          <w:trHeight w:val="276"/>
        </w:trPr>
        <w:tc>
          <w:tcPr>
            <w:tcW w:w="3402" w:type="dxa"/>
          </w:tcPr>
          <w:p w14:paraId="5C411403"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Preparing and developing teachers for new content and form of teaching</w:t>
            </w:r>
          </w:p>
        </w:tc>
        <w:tc>
          <w:tcPr>
            <w:tcW w:w="3828" w:type="dxa"/>
          </w:tcPr>
          <w:p w14:paraId="47A99EB7"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Percentage of pedagogical and professional staff trained, especially in preparation for the new curriculum, inclusive education and digital skills</w:t>
            </w:r>
          </w:p>
        </w:tc>
        <w:tc>
          <w:tcPr>
            <w:tcW w:w="708" w:type="dxa"/>
            <w:vAlign w:val="center"/>
          </w:tcPr>
          <w:p w14:paraId="513AB456"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Q4/2023</w:t>
            </w:r>
          </w:p>
        </w:tc>
        <w:tc>
          <w:tcPr>
            <w:tcW w:w="1277" w:type="dxa"/>
            <w:vAlign w:val="center"/>
          </w:tcPr>
          <w:p w14:paraId="5425299F"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497AE4E7" w14:textId="77777777" w:rsidTr="002B1847">
        <w:trPr>
          <w:trHeight w:val="276"/>
        </w:trPr>
        <w:tc>
          <w:tcPr>
            <w:tcW w:w="3402" w:type="dxa"/>
          </w:tcPr>
          <w:p w14:paraId="036E2EE7"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Digital infrastructure in schools</w:t>
            </w:r>
          </w:p>
        </w:tc>
        <w:tc>
          <w:tcPr>
            <w:tcW w:w="3828" w:type="dxa"/>
          </w:tcPr>
          <w:p w14:paraId="350A0020"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Schools equipped with basic level of digital equipment</w:t>
            </w:r>
          </w:p>
        </w:tc>
        <w:tc>
          <w:tcPr>
            <w:tcW w:w="708" w:type="dxa"/>
            <w:vAlign w:val="center"/>
          </w:tcPr>
          <w:p w14:paraId="5BB3ABE8"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Q4/2025</w:t>
            </w:r>
          </w:p>
        </w:tc>
        <w:tc>
          <w:tcPr>
            <w:tcW w:w="1277" w:type="dxa"/>
            <w:vAlign w:val="center"/>
          </w:tcPr>
          <w:p w14:paraId="16D6CCC8"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5180908E" w14:textId="77777777" w:rsidTr="002B1847">
        <w:trPr>
          <w:trHeight w:val="276"/>
        </w:trPr>
        <w:tc>
          <w:tcPr>
            <w:tcW w:w="3402" w:type="dxa"/>
          </w:tcPr>
          <w:p w14:paraId="0AAC605E"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Completion of the school infrastructure</w:t>
            </w:r>
          </w:p>
        </w:tc>
        <w:tc>
          <w:tcPr>
            <w:tcW w:w="3828" w:type="dxa"/>
          </w:tcPr>
          <w:p w14:paraId="11F99F96"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Elimination of the double-shift schools</w:t>
            </w:r>
          </w:p>
        </w:tc>
        <w:tc>
          <w:tcPr>
            <w:tcW w:w="708" w:type="dxa"/>
            <w:vAlign w:val="center"/>
          </w:tcPr>
          <w:p w14:paraId="306C0221"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3A9A6E2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7B2D2949" w14:textId="77777777" w:rsidTr="002B1847">
        <w:trPr>
          <w:trHeight w:val="276"/>
        </w:trPr>
        <w:tc>
          <w:tcPr>
            <w:tcW w:w="3402" w:type="dxa"/>
          </w:tcPr>
          <w:p w14:paraId="4C366EE1"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Change in the funding of universities by introduction of performance contracts</w:t>
            </w:r>
          </w:p>
        </w:tc>
        <w:tc>
          <w:tcPr>
            <w:tcW w:w="3828" w:type="dxa"/>
          </w:tcPr>
          <w:p w14:paraId="5F4878AA"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Introduction of performance contracts</w:t>
            </w:r>
          </w:p>
        </w:tc>
        <w:tc>
          <w:tcPr>
            <w:tcW w:w="708" w:type="dxa"/>
            <w:vAlign w:val="center"/>
          </w:tcPr>
          <w:p w14:paraId="7A4A042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Q4/2022</w:t>
            </w:r>
          </w:p>
        </w:tc>
        <w:tc>
          <w:tcPr>
            <w:tcW w:w="1277" w:type="dxa"/>
            <w:vAlign w:val="center"/>
          </w:tcPr>
          <w:p w14:paraId="048EF3D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42AF6CF4" w14:textId="77777777" w:rsidTr="002B1847">
        <w:trPr>
          <w:trHeight w:val="276"/>
        </w:trPr>
        <w:tc>
          <w:tcPr>
            <w:tcW w:w="3402" w:type="dxa"/>
          </w:tcPr>
          <w:p w14:paraId="0E95DFD7"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Change in the funding of universities by introduction of performance contracts</w:t>
            </w:r>
          </w:p>
        </w:tc>
        <w:tc>
          <w:tcPr>
            <w:tcW w:w="3828" w:type="dxa"/>
          </w:tcPr>
          <w:p w14:paraId="26B8FA92"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Performance contracts signed with public universities (in percentage)</w:t>
            </w:r>
          </w:p>
        </w:tc>
        <w:tc>
          <w:tcPr>
            <w:tcW w:w="708" w:type="dxa"/>
            <w:vAlign w:val="center"/>
          </w:tcPr>
          <w:p w14:paraId="2171871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Q4/2023</w:t>
            </w:r>
          </w:p>
        </w:tc>
        <w:tc>
          <w:tcPr>
            <w:tcW w:w="1277" w:type="dxa"/>
            <w:vAlign w:val="center"/>
          </w:tcPr>
          <w:p w14:paraId="1B590F5F"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088327CA" w14:textId="77777777" w:rsidTr="002B1847">
        <w:trPr>
          <w:trHeight w:val="276"/>
        </w:trPr>
        <w:tc>
          <w:tcPr>
            <w:tcW w:w="3402" w:type="dxa"/>
          </w:tcPr>
          <w:p w14:paraId="5EF3A461"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Introduction of a system of periodic scientific performance evaluation</w:t>
            </w:r>
          </w:p>
        </w:tc>
        <w:tc>
          <w:tcPr>
            <w:tcW w:w="3828" w:type="dxa"/>
          </w:tcPr>
          <w:p w14:paraId="43F611FA"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Definition of the system of periodic evaluation of scientific performance introduced in the Law No 172/2005</w:t>
            </w:r>
          </w:p>
        </w:tc>
        <w:tc>
          <w:tcPr>
            <w:tcW w:w="708" w:type="dxa"/>
            <w:vAlign w:val="center"/>
          </w:tcPr>
          <w:p w14:paraId="521C7D82"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Q1/2022</w:t>
            </w:r>
          </w:p>
        </w:tc>
        <w:tc>
          <w:tcPr>
            <w:tcW w:w="1277" w:type="dxa"/>
            <w:vAlign w:val="center"/>
          </w:tcPr>
          <w:p w14:paraId="2A07CE54"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306E496D" w14:textId="77777777" w:rsidTr="002B1847">
        <w:trPr>
          <w:trHeight w:val="276"/>
        </w:trPr>
        <w:tc>
          <w:tcPr>
            <w:tcW w:w="3402" w:type="dxa"/>
          </w:tcPr>
          <w:p w14:paraId="2A9A177F"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Introduction of a system of periodic scientific performance evaluation</w:t>
            </w:r>
          </w:p>
        </w:tc>
        <w:tc>
          <w:tcPr>
            <w:tcW w:w="3828" w:type="dxa"/>
          </w:tcPr>
          <w:p w14:paraId="748435EE"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Performed evaluations</w:t>
            </w:r>
          </w:p>
        </w:tc>
        <w:tc>
          <w:tcPr>
            <w:tcW w:w="708" w:type="dxa"/>
            <w:vAlign w:val="center"/>
          </w:tcPr>
          <w:p w14:paraId="0F15E0A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Q4/2022</w:t>
            </w:r>
          </w:p>
        </w:tc>
        <w:tc>
          <w:tcPr>
            <w:tcW w:w="1277" w:type="dxa"/>
            <w:vAlign w:val="center"/>
          </w:tcPr>
          <w:p w14:paraId="55581D71"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4F75ACA8" w14:textId="77777777" w:rsidTr="002B1847">
        <w:trPr>
          <w:trHeight w:val="276"/>
        </w:trPr>
        <w:tc>
          <w:tcPr>
            <w:tcW w:w="3402" w:type="dxa"/>
          </w:tcPr>
          <w:p w14:paraId="1203981E"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A new approach to accreditation of higher education</w:t>
            </w:r>
          </w:p>
        </w:tc>
        <w:tc>
          <w:tcPr>
            <w:tcW w:w="3828" w:type="dxa"/>
          </w:tcPr>
          <w:p w14:paraId="2EEF6F3F"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Percentage of universities apply to check the compliance of internal quality systems and study programmes with standards</w:t>
            </w:r>
          </w:p>
        </w:tc>
        <w:tc>
          <w:tcPr>
            <w:tcW w:w="708" w:type="dxa"/>
            <w:vAlign w:val="center"/>
          </w:tcPr>
          <w:p w14:paraId="328B8E24"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Q4/2022</w:t>
            </w:r>
          </w:p>
        </w:tc>
        <w:tc>
          <w:tcPr>
            <w:tcW w:w="1277" w:type="dxa"/>
            <w:vAlign w:val="center"/>
          </w:tcPr>
          <w:p w14:paraId="2ED8D52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2D9A6D8D" w14:textId="77777777" w:rsidTr="002B1847">
        <w:trPr>
          <w:trHeight w:val="276"/>
        </w:trPr>
        <w:tc>
          <w:tcPr>
            <w:tcW w:w="3402" w:type="dxa"/>
          </w:tcPr>
          <w:p w14:paraId="706D760E"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lastRenderedPageBreak/>
              <w:t>Reform of the governance of universities</w:t>
            </w:r>
          </w:p>
        </w:tc>
        <w:tc>
          <w:tcPr>
            <w:tcW w:w="3828" w:type="dxa"/>
          </w:tcPr>
          <w:p w14:paraId="3256ECCD"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The reform of the management system of higher education institutions</w:t>
            </w:r>
          </w:p>
        </w:tc>
        <w:tc>
          <w:tcPr>
            <w:tcW w:w="708" w:type="dxa"/>
            <w:vAlign w:val="center"/>
          </w:tcPr>
          <w:p w14:paraId="4BC735B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Q4/2021</w:t>
            </w:r>
          </w:p>
        </w:tc>
        <w:tc>
          <w:tcPr>
            <w:tcW w:w="1277" w:type="dxa"/>
            <w:vAlign w:val="center"/>
          </w:tcPr>
          <w:p w14:paraId="34654F2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5E5EBB30" w14:textId="77777777" w:rsidTr="002B1847">
        <w:trPr>
          <w:trHeight w:val="276"/>
        </w:trPr>
        <w:tc>
          <w:tcPr>
            <w:tcW w:w="3402" w:type="dxa"/>
          </w:tcPr>
          <w:p w14:paraId="186980A8"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Concentration of excellent educational and research capacities</w:t>
            </w:r>
          </w:p>
        </w:tc>
        <w:tc>
          <w:tcPr>
            <w:tcW w:w="3828" w:type="dxa"/>
          </w:tcPr>
          <w:p w14:paraId="22797CFB"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Star bringing together of universities into larger units</w:t>
            </w:r>
          </w:p>
        </w:tc>
        <w:tc>
          <w:tcPr>
            <w:tcW w:w="708" w:type="dxa"/>
            <w:vAlign w:val="center"/>
          </w:tcPr>
          <w:p w14:paraId="29BC7BC2"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Q4/2021</w:t>
            </w:r>
          </w:p>
        </w:tc>
        <w:tc>
          <w:tcPr>
            <w:tcW w:w="1277" w:type="dxa"/>
            <w:vAlign w:val="center"/>
          </w:tcPr>
          <w:p w14:paraId="3EE47B66"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5774F502" w14:textId="77777777" w:rsidTr="002B1847">
        <w:trPr>
          <w:trHeight w:val="276"/>
        </w:trPr>
        <w:tc>
          <w:tcPr>
            <w:tcW w:w="3402" w:type="dxa"/>
          </w:tcPr>
          <w:p w14:paraId="7340170C"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Concentration of excellent educational and research capacities</w:t>
            </w:r>
          </w:p>
        </w:tc>
        <w:tc>
          <w:tcPr>
            <w:tcW w:w="3828" w:type="dxa"/>
          </w:tcPr>
          <w:p w14:paraId="7CC115CD"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Bringing together universities through consortia</w:t>
            </w:r>
          </w:p>
        </w:tc>
        <w:tc>
          <w:tcPr>
            <w:tcW w:w="708" w:type="dxa"/>
            <w:vAlign w:val="center"/>
          </w:tcPr>
          <w:p w14:paraId="166E4FCA"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20F7A4A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112981E8" w14:textId="77777777" w:rsidTr="002B1847">
        <w:trPr>
          <w:trHeight w:val="276"/>
        </w:trPr>
        <w:tc>
          <w:tcPr>
            <w:tcW w:w="3402" w:type="dxa"/>
          </w:tcPr>
          <w:p w14:paraId="3CE8331B"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Investment support for the strategic development of universities</w:t>
            </w:r>
          </w:p>
        </w:tc>
        <w:tc>
          <w:tcPr>
            <w:tcW w:w="3828" w:type="dxa"/>
          </w:tcPr>
          <w:p w14:paraId="32FD636F"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At least 2 calls concluded for supporting the strategic development of universities</w:t>
            </w:r>
          </w:p>
        </w:tc>
        <w:tc>
          <w:tcPr>
            <w:tcW w:w="708" w:type="dxa"/>
            <w:vAlign w:val="center"/>
          </w:tcPr>
          <w:p w14:paraId="3DDC5DE2"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Q3/2023</w:t>
            </w:r>
          </w:p>
        </w:tc>
        <w:tc>
          <w:tcPr>
            <w:tcW w:w="1277" w:type="dxa"/>
            <w:vAlign w:val="center"/>
          </w:tcPr>
          <w:p w14:paraId="4A0A88A8"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0053A6DD" w14:textId="77777777" w:rsidTr="002B1847">
        <w:trPr>
          <w:trHeight w:val="276"/>
        </w:trPr>
        <w:tc>
          <w:tcPr>
            <w:tcW w:w="3402" w:type="dxa"/>
          </w:tcPr>
          <w:p w14:paraId="006951D7"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Investment support for the strategic development of universities</w:t>
            </w:r>
          </w:p>
        </w:tc>
        <w:tc>
          <w:tcPr>
            <w:tcW w:w="3828" w:type="dxa"/>
          </w:tcPr>
          <w:p w14:paraId="63754D31"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Reconstructed or renovated university area and dormitory</w:t>
            </w:r>
          </w:p>
        </w:tc>
        <w:tc>
          <w:tcPr>
            <w:tcW w:w="708" w:type="dxa"/>
            <w:vAlign w:val="center"/>
          </w:tcPr>
          <w:p w14:paraId="261F3176"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15B949DF"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61994986" w14:textId="77777777" w:rsidTr="002B1847">
        <w:trPr>
          <w:trHeight w:val="276"/>
        </w:trPr>
        <w:tc>
          <w:tcPr>
            <w:tcW w:w="3402" w:type="dxa"/>
          </w:tcPr>
          <w:p w14:paraId="24351E44"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Reform of governance, evaluation and support in science, research and innovation</w:t>
            </w:r>
          </w:p>
        </w:tc>
        <w:tc>
          <w:tcPr>
            <w:tcW w:w="3828" w:type="dxa"/>
          </w:tcPr>
          <w:p w14:paraId="24D6D01A"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Reform of the governance and support for research, development and innovation.</w:t>
            </w:r>
          </w:p>
        </w:tc>
        <w:tc>
          <w:tcPr>
            <w:tcW w:w="708" w:type="dxa"/>
            <w:vAlign w:val="center"/>
          </w:tcPr>
          <w:p w14:paraId="5FFA3C8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Q1/2022</w:t>
            </w:r>
          </w:p>
        </w:tc>
        <w:tc>
          <w:tcPr>
            <w:tcW w:w="1277" w:type="dxa"/>
            <w:vAlign w:val="center"/>
          </w:tcPr>
          <w:p w14:paraId="1DF1D586"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0021569F" w14:textId="77777777" w:rsidTr="002B1847">
        <w:trPr>
          <w:trHeight w:val="276"/>
        </w:trPr>
        <w:tc>
          <w:tcPr>
            <w:tcW w:w="3402" w:type="dxa"/>
          </w:tcPr>
          <w:p w14:paraId="50A67D55"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Reform of governance, evaluation and support in science, research and innovation</w:t>
            </w:r>
          </w:p>
        </w:tc>
        <w:tc>
          <w:tcPr>
            <w:tcW w:w="3828" w:type="dxa"/>
          </w:tcPr>
          <w:p w14:paraId="1E23160D"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Design of the National overarching RDI Strategy</w:t>
            </w:r>
          </w:p>
        </w:tc>
        <w:tc>
          <w:tcPr>
            <w:tcW w:w="708" w:type="dxa"/>
            <w:vAlign w:val="center"/>
          </w:tcPr>
          <w:p w14:paraId="4311A0FA"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Q3/2022</w:t>
            </w:r>
          </w:p>
        </w:tc>
        <w:tc>
          <w:tcPr>
            <w:tcW w:w="1277" w:type="dxa"/>
            <w:vAlign w:val="center"/>
          </w:tcPr>
          <w:p w14:paraId="16596FC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0E2ADF67" w14:textId="77777777" w:rsidTr="002B1847">
        <w:trPr>
          <w:trHeight w:val="276"/>
        </w:trPr>
        <w:tc>
          <w:tcPr>
            <w:tcW w:w="3402" w:type="dxa"/>
          </w:tcPr>
          <w:p w14:paraId="1A04CFE1"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Reform of the organisation and funding of research institutions, in particular the Slovak Academy of Science</w:t>
            </w:r>
          </w:p>
        </w:tc>
        <w:tc>
          <w:tcPr>
            <w:tcW w:w="3828" w:type="dxa"/>
          </w:tcPr>
          <w:p w14:paraId="45A7B478"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Reform of the Slovak Academy of Science (SaS)</w:t>
            </w:r>
          </w:p>
        </w:tc>
        <w:tc>
          <w:tcPr>
            <w:tcW w:w="708" w:type="dxa"/>
            <w:vAlign w:val="center"/>
          </w:tcPr>
          <w:p w14:paraId="4DC33D9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Q4/2021</w:t>
            </w:r>
          </w:p>
        </w:tc>
        <w:tc>
          <w:tcPr>
            <w:tcW w:w="1277" w:type="dxa"/>
            <w:vAlign w:val="center"/>
          </w:tcPr>
          <w:p w14:paraId="561F69C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0F9C3D04" w14:textId="77777777" w:rsidTr="002B1847">
        <w:trPr>
          <w:trHeight w:val="276"/>
        </w:trPr>
        <w:tc>
          <w:tcPr>
            <w:tcW w:w="3402" w:type="dxa"/>
          </w:tcPr>
          <w:p w14:paraId="1DC9248C"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Promoting international cooperation and participation in Horizon Europe and EIT projects</w:t>
            </w:r>
          </w:p>
        </w:tc>
        <w:tc>
          <w:tcPr>
            <w:tcW w:w="3828" w:type="dxa"/>
          </w:tcPr>
          <w:p w14:paraId="488BD631"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Launch of calls for projects to support the participation of Slovak actors in Horizon Europe</w:t>
            </w:r>
          </w:p>
        </w:tc>
        <w:tc>
          <w:tcPr>
            <w:tcW w:w="708" w:type="dxa"/>
            <w:vAlign w:val="center"/>
          </w:tcPr>
          <w:p w14:paraId="37A4ECA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Q4/2022</w:t>
            </w:r>
          </w:p>
        </w:tc>
        <w:tc>
          <w:tcPr>
            <w:tcW w:w="1277" w:type="dxa"/>
            <w:vAlign w:val="center"/>
          </w:tcPr>
          <w:p w14:paraId="4D173D6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1A3ED6D4" w14:textId="77777777" w:rsidTr="002B1847">
        <w:trPr>
          <w:trHeight w:val="276"/>
        </w:trPr>
        <w:tc>
          <w:tcPr>
            <w:tcW w:w="3402" w:type="dxa"/>
          </w:tcPr>
          <w:p w14:paraId="77DD81B1"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Promoting international cooperation and participation in Horizon Europe and EIT projects</w:t>
            </w:r>
          </w:p>
        </w:tc>
        <w:tc>
          <w:tcPr>
            <w:tcW w:w="3828" w:type="dxa"/>
          </w:tcPr>
          <w:p w14:paraId="07C548D5"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projects aimed at increasing participation in Horizon Europe calls</w:t>
            </w:r>
          </w:p>
        </w:tc>
        <w:tc>
          <w:tcPr>
            <w:tcW w:w="708" w:type="dxa"/>
            <w:vAlign w:val="center"/>
          </w:tcPr>
          <w:p w14:paraId="3687CBA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Q1/2026</w:t>
            </w:r>
          </w:p>
        </w:tc>
        <w:tc>
          <w:tcPr>
            <w:tcW w:w="1277" w:type="dxa"/>
            <w:vAlign w:val="center"/>
          </w:tcPr>
          <w:p w14:paraId="129C88F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6C22B77D" w14:textId="77777777" w:rsidTr="002B1847">
        <w:trPr>
          <w:trHeight w:val="276"/>
        </w:trPr>
        <w:tc>
          <w:tcPr>
            <w:tcW w:w="3402" w:type="dxa"/>
          </w:tcPr>
          <w:p w14:paraId="77C442DA"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Supporting cooperation between companies, academia and R &amp; D organisations</w:t>
            </w:r>
          </w:p>
        </w:tc>
        <w:tc>
          <w:tcPr>
            <w:tcW w:w="3828" w:type="dxa"/>
          </w:tcPr>
          <w:p w14:paraId="3F459C1B"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Launch of calls for projects to support cooperation between companies, academia and R &amp; D organisations and vouchers</w:t>
            </w:r>
          </w:p>
        </w:tc>
        <w:tc>
          <w:tcPr>
            <w:tcW w:w="708" w:type="dxa"/>
            <w:vAlign w:val="center"/>
          </w:tcPr>
          <w:p w14:paraId="6C829BD6"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Q4/2022</w:t>
            </w:r>
          </w:p>
        </w:tc>
        <w:tc>
          <w:tcPr>
            <w:tcW w:w="1277" w:type="dxa"/>
            <w:vAlign w:val="center"/>
          </w:tcPr>
          <w:p w14:paraId="69A14D6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6C515DC8" w14:textId="77777777" w:rsidTr="002B1847">
        <w:trPr>
          <w:trHeight w:val="276"/>
        </w:trPr>
        <w:tc>
          <w:tcPr>
            <w:tcW w:w="3402" w:type="dxa"/>
          </w:tcPr>
          <w:p w14:paraId="0AE61F2A"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Supporting cooperation between companies, academia and R &amp; D organisations</w:t>
            </w:r>
          </w:p>
        </w:tc>
        <w:tc>
          <w:tcPr>
            <w:tcW w:w="3828" w:type="dxa"/>
          </w:tcPr>
          <w:p w14:paraId="39463F56"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collaborative projects and vouchers</w:t>
            </w:r>
          </w:p>
        </w:tc>
        <w:tc>
          <w:tcPr>
            <w:tcW w:w="708" w:type="dxa"/>
            <w:vAlign w:val="center"/>
          </w:tcPr>
          <w:p w14:paraId="56F89F1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Q4/2024</w:t>
            </w:r>
          </w:p>
        </w:tc>
        <w:tc>
          <w:tcPr>
            <w:tcW w:w="1277" w:type="dxa"/>
            <w:vAlign w:val="center"/>
          </w:tcPr>
          <w:p w14:paraId="1AFCB8F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50BC5268" w14:textId="77777777" w:rsidTr="002B1847">
        <w:trPr>
          <w:trHeight w:val="276"/>
        </w:trPr>
        <w:tc>
          <w:tcPr>
            <w:tcW w:w="3402" w:type="dxa"/>
          </w:tcPr>
          <w:p w14:paraId="0887B161"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Supporting cooperation between companies, academia and R &amp; D organisations</w:t>
            </w:r>
          </w:p>
        </w:tc>
        <w:tc>
          <w:tcPr>
            <w:tcW w:w="3828" w:type="dxa"/>
          </w:tcPr>
          <w:p w14:paraId="58AC831F"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Implementation of calls for projects to support cooperation between firms, academia and RD organisations and vouchers</w:t>
            </w:r>
          </w:p>
        </w:tc>
        <w:tc>
          <w:tcPr>
            <w:tcW w:w="708" w:type="dxa"/>
            <w:vAlign w:val="center"/>
          </w:tcPr>
          <w:p w14:paraId="6D2F0E88"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Q1/2026</w:t>
            </w:r>
          </w:p>
        </w:tc>
        <w:tc>
          <w:tcPr>
            <w:tcW w:w="1277" w:type="dxa"/>
            <w:vAlign w:val="center"/>
          </w:tcPr>
          <w:p w14:paraId="414D622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38D60D36" w14:textId="77777777" w:rsidTr="002B1847">
        <w:trPr>
          <w:trHeight w:val="276"/>
        </w:trPr>
        <w:tc>
          <w:tcPr>
            <w:tcW w:w="3402" w:type="dxa"/>
          </w:tcPr>
          <w:p w14:paraId="63B2357F"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Excellent science</w:t>
            </w:r>
          </w:p>
        </w:tc>
        <w:tc>
          <w:tcPr>
            <w:tcW w:w="3828" w:type="dxa"/>
          </w:tcPr>
          <w:p w14:paraId="46BB418C"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Launch of calls to support excellent researchers</w:t>
            </w:r>
          </w:p>
        </w:tc>
        <w:tc>
          <w:tcPr>
            <w:tcW w:w="708" w:type="dxa"/>
            <w:vAlign w:val="center"/>
          </w:tcPr>
          <w:p w14:paraId="18CE6DB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Q4/2022</w:t>
            </w:r>
          </w:p>
        </w:tc>
        <w:tc>
          <w:tcPr>
            <w:tcW w:w="1277" w:type="dxa"/>
            <w:vAlign w:val="center"/>
          </w:tcPr>
          <w:p w14:paraId="4254588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1236F12B" w14:textId="77777777" w:rsidTr="002B1847">
        <w:trPr>
          <w:trHeight w:val="276"/>
        </w:trPr>
        <w:tc>
          <w:tcPr>
            <w:tcW w:w="3402" w:type="dxa"/>
          </w:tcPr>
          <w:p w14:paraId="06C5B15A"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Excellent science</w:t>
            </w:r>
          </w:p>
        </w:tc>
        <w:tc>
          <w:tcPr>
            <w:tcW w:w="3828" w:type="dxa"/>
          </w:tcPr>
          <w:p w14:paraId="69319047"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excellent researchers supported</w:t>
            </w:r>
          </w:p>
        </w:tc>
        <w:tc>
          <w:tcPr>
            <w:tcW w:w="708" w:type="dxa"/>
            <w:vAlign w:val="center"/>
          </w:tcPr>
          <w:p w14:paraId="2D78D1A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Q1/2024</w:t>
            </w:r>
          </w:p>
        </w:tc>
        <w:tc>
          <w:tcPr>
            <w:tcW w:w="1277" w:type="dxa"/>
            <w:vAlign w:val="center"/>
          </w:tcPr>
          <w:p w14:paraId="0F10CA8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749C838A" w14:textId="77777777" w:rsidTr="002B1847">
        <w:trPr>
          <w:trHeight w:val="276"/>
        </w:trPr>
        <w:tc>
          <w:tcPr>
            <w:tcW w:w="3402" w:type="dxa"/>
          </w:tcPr>
          <w:p w14:paraId="60CEBAB6"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Excellent science</w:t>
            </w:r>
          </w:p>
        </w:tc>
        <w:tc>
          <w:tcPr>
            <w:tcW w:w="3828" w:type="dxa"/>
          </w:tcPr>
          <w:p w14:paraId="75DDCBE1"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Implementation of calls to support excellent researchers</w:t>
            </w:r>
          </w:p>
        </w:tc>
        <w:tc>
          <w:tcPr>
            <w:tcW w:w="708" w:type="dxa"/>
            <w:vAlign w:val="center"/>
          </w:tcPr>
          <w:p w14:paraId="58E368E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Q1/2026</w:t>
            </w:r>
          </w:p>
        </w:tc>
        <w:tc>
          <w:tcPr>
            <w:tcW w:w="1277" w:type="dxa"/>
            <w:vAlign w:val="center"/>
          </w:tcPr>
          <w:p w14:paraId="273D456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16A64DC3" w14:textId="77777777" w:rsidTr="002B1847">
        <w:trPr>
          <w:trHeight w:val="276"/>
        </w:trPr>
        <w:tc>
          <w:tcPr>
            <w:tcW w:w="3402" w:type="dxa"/>
          </w:tcPr>
          <w:p w14:paraId="336F4064"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Research and innovation to decarbonise the economy</w:t>
            </w:r>
          </w:p>
        </w:tc>
        <w:tc>
          <w:tcPr>
            <w:tcW w:w="3828" w:type="dxa"/>
          </w:tcPr>
          <w:p w14:paraId="4E060E86"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Launch of calls for thematic demand-driven projects addressing the challenges of green transition</w:t>
            </w:r>
          </w:p>
        </w:tc>
        <w:tc>
          <w:tcPr>
            <w:tcW w:w="708" w:type="dxa"/>
            <w:vAlign w:val="center"/>
          </w:tcPr>
          <w:p w14:paraId="59680E7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Q4/2022</w:t>
            </w:r>
          </w:p>
        </w:tc>
        <w:tc>
          <w:tcPr>
            <w:tcW w:w="1277" w:type="dxa"/>
            <w:vAlign w:val="center"/>
          </w:tcPr>
          <w:p w14:paraId="080082C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57826E3D" w14:textId="77777777" w:rsidTr="002B1847">
        <w:trPr>
          <w:trHeight w:val="276"/>
        </w:trPr>
        <w:tc>
          <w:tcPr>
            <w:tcW w:w="3402" w:type="dxa"/>
          </w:tcPr>
          <w:p w14:paraId="0501E52B"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Research and innovation to decarbonise the economy</w:t>
            </w:r>
          </w:p>
        </w:tc>
        <w:tc>
          <w:tcPr>
            <w:tcW w:w="3828" w:type="dxa"/>
          </w:tcPr>
          <w:p w14:paraId="34C1665B"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selected projects addressing the challenges of the green transition</w:t>
            </w:r>
          </w:p>
        </w:tc>
        <w:tc>
          <w:tcPr>
            <w:tcW w:w="708" w:type="dxa"/>
            <w:vAlign w:val="center"/>
          </w:tcPr>
          <w:p w14:paraId="7A8092B0"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Q4/2024</w:t>
            </w:r>
          </w:p>
        </w:tc>
        <w:tc>
          <w:tcPr>
            <w:tcW w:w="1277" w:type="dxa"/>
            <w:vAlign w:val="center"/>
          </w:tcPr>
          <w:p w14:paraId="31885DC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69835229" w14:textId="77777777" w:rsidTr="002B1847">
        <w:trPr>
          <w:trHeight w:val="276"/>
        </w:trPr>
        <w:tc>
          <w:tcPr>
            <w:tcW w:w="3402" w:type="dxa"/>
          </w:tcPr>
          <w:p w14:paraId="41CBF6EC"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Research and innovation to decarbonise the economy</w:t>
            </w:r>
          </w:p>
        </w:tc>
        <w:tc>
          <w:tcPr>
            <w:tcW w:w="3828" w:type="dxa"/>
          </w:tcPr>
          <w:p w14:paraId="48CC90A1"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Implementation of calls for thematic demand-driven projects addressing the challenges of green transition</w:t>
            </w:r>
          </w:p>
        </w:tc>
        <w:tc>
          <w:tcPr>
            <w:tcW w:w="708" w:type="dxa"/>
            <w:vAlign w:val="center"/>
          </w:tcPr>
          <w:p w14:paraId="6AD5429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Q1/2026</w:t>
            </w:r>
          </w:p>
        </w:tc>
        <w:tc>
          <w:tcPr>
            <w:tcW w:w="1277" w:type="dxa"/>
            <w:vAlign w:val="center"/>
          </w:tcPr>
          <w:p w14:paraId="1269378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10BD4C04" w14:textId="77777777" w:rsidTr="002B1847">
        <w:trPr>
          <w:trHeight w:val="276"/>
        </w:trPr>
        <w:tc>
          <w:tcPr>
            <w:tcW w:w="3402" w:type="dxa"/>
          </w:tcPr>
          <w:p w14:paraId="6DF3EA39"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Research and innovation for the digitalisation of the economy</w:t>
            </w:r>
          </w:p>
        </w:tc>
        <w:tc>
          <w:tcPr>
            <w:tcW w:w="3828" w:type="dxa"/>
          </w:tcPr>
          <w:p w14:paraId="416D8C29"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Launch of calls for thematic demand-driven projects addressing the challenges of digital transition</w:t>
            </w:r>
          </w:p>
        </w:tc>
        <w:tc>
          <w:tcPr>
            <w:tcW w:w="708" w:type="dxa"/>
            <w:vAlign w:val="center"/>
          </w:tcPr>
          <w:p w14:paraId="22A6D9B0"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Q4/2022</w:t>
            </w:r>
          </w:p>
        </w:tc>
        <w:tc>
          <w:tcPr>
            <w:tcW w:w="1277" w:type="dxa"/>
            <w:vAlign w:val="center"/>
          </w:tcPr>
          <w:p w14:paraId="75F9F1C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14E58547" w14:textId="77777777" w:rsidTr="002B1847">
        <w:trPr>
          <w:trHeight w:val="276"/>
        </w:trPr>
        <w:tc>
          <w:tcPr>
            <w:tcW w:w="3402" w:type="dxa"/>
          </w:tcPr>
          <w:p w14:paraId="4919FE82"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Research and innovation for the digitalisation of the economy</w:t>
            </w:r>
          </w:p>
        </w:tc>
        <w:tc>
          <w:tcPr>
            <w:tcW w:w="3828" w:type="dxa"/>
          </w:tcPr>
          <w:p w14:paraId="05459EE4"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RDI projects selected under the calls addressing the challenges of digital transformation.</w:t>
            </w:r>
          </w:p>
        </w:tc>
        <w:tc>
          <w:tcPr>
            <w:tcW w:w="708" w:type="dxa"/>
            <w:vAlign w:val="center"/>
          </w:tcPr>
          <w:p w14:paraId="5AED4640"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Q4/2024</w:t>
            </w:r>
          </w:p>
        </w:tc>
        <w:tc>
          <w:tcPr>
            <w:tcW w:w="1277" w:type="dxa"/>
            <w:vAlign w:val="center"/>
          </w:tcPr>
          <w:p w14:paraId="5BACF2A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4C1269CE" w14:textId="77777777" w:rsidTr="002B1847">
        <w:trPr>
          <w:trHeight w:val="276"/>
        </w:trPr>
        <w:tc>
          <w:tcPr>
            <w:tcW w:w="3402" w:type="dxa"/>
          </w:tcPr>
          <w:p w14:paraId="4436A665"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Research and innovation for the digitalisation of the economy</w:t>
            </w:r>
          </w:p>
        </w:tc>
        <w:tc>
          <w:tcPr>
            <w:tcW w:w="3828" w:type="dxa"/>
          </w:tcPr>
          <w:p w14:paraId="7F9A53F8"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Implementation of calls for thematic demand-driven projects addressing the challenges of digital transition</w:t>
            </w:r>
          </w:p>
        </w:tc>
        <w:tc>
          <w:tcPr>
            <w:tcW w:w="708" w:type="dxa"/>
            <w:vAlign w:val="center"/>
          </w:tcPr>
          <w:p w14:paraId="5E9444C8"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Q1/2026</w:t>
            </w:r>
          </w:p>
        </w:tc>
        <w:tc>
          <w:tcPr>
            <w:tcW w:w="1277" w:type="dxa"/>
            <w:vAlign w:val="center"/>
          </w:tcPr>
          <w:p w14:paraId="791F97E0"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25C60101" w14:textId="77777777" w:rsidTr="002B1847">
        <w:trPr>
          <w:trHeight w:val="276"/>
        </w:trPr>
        <w:tc>
          <w:tcPr>
            <w:tcW w:w="3402" w:type="dxa"/>
          </w:tcPr>
          <w:p w14:paraId="7971E05F"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Financial instruments to support innovation</w:t>
            </w:r>
          </w:p>
        </w:tc>
        <w:tc>
          <w:tcPr>
            <w:tcW w:w="3828" w:type="dxa"/>
          </w:tcPr>
          <w:p w14:paraId="20B982DE"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Launch and implementation of financial instruments to support innovation</w:t>
            </w:r>
          </w:p>
        </w:tc>
        <w:tc>
          <w:tcPr>
            <w:tcW w:w="708" w:type="dxa"/>
            <w:vAlign w:val="center"/>
          </w:tcPr>
          <w:p w14:paraId="07DE36E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Q4/2023</w:t>
            </w:r>
          </w:p>
        </w:tc>
        <w:tc>
          <w:tcPr>
            <w:tcW w:w="1277" w:type="dxa"/>
            <w:vAlign w:val="center"/>
          </w:tcPr>
          <w:p w14:paraId="72EDBF04"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0B311C5A" w14:textId="77777777" w:rsidTr="002B1847">
        <w:trPr>
          <w:trHeight w:val="276"/>
        </w:trPr>
        <w:tc>
          <w:tcPr>
            <w:tcW w:w="3402" w:type="dxa"/>
          </w:tcPr>
          <w:p w14:paraId="38214347"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Financial instruments to support innovation</w:t>
            </w:r>
          </w:p>
        </w:tc>
        <w:tc>
          <w:tcPr>
            <w:tcW w:w="3828" w:type="dxa"/>
          </w:tcPr>
          <w:p w14:paraId="6F1ED24F"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companies supported through financial instruments</w:t>
            </w:r>
          </w:p>
        </w:tc>
        <w:tc>
          <w:tcPr>
            <w:tcW w:w="708" w:type="dxa"/>
            <w:vAlign w:val="center"/>
          </w:tcPr>
          <w:p w14:paraId="0C77008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4C5C4788"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65FE1ABA" w14:textId="77777777" w:rsidTr="002B1847">
        <w:trPr>
          <w:trHeight w:val="276"/>
        </w:trPr>
        <w:tc>
          <w:tcPr>
            <w:tcW w:w="3402" w:type="dxa"/>
          </w:tcPr>
          <w:p w14:paraId="76196A68"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Reform of residence and labour legislation</w:t>
            </w:r>
          </w:p>
        </w:tc>
        <w:tc>
          <w:tcPr>
            <w:tcW w:w="3828" w:type="dxa"/>
          </w:tcPr>
          <w:p w14:paraId="4813FD16"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Scheme defining a new category of applicants for national visa (D).</w:t>
            </w:r>
          </w:p>
        </w:tc>
        <w:tc>
          <w:tcPr>
            <w:tcW w:w="708" w:type="dxa"/>
            <w:vAlign w:val="center"/>
          </w:tcPr>
          <w:p w14:paraId="41E0FEA6"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Q1/2022</w:t>
            </w:r>
          </w:p>
        </w:tc>
        <w:tc>
          <w:tcPr>
            <w:tcW w:w="1277" w:type="dxa"/>
            <w:vAlign w:val="center"/>
          </w:tcPr>
          <w:p w14:paraId="6F95EEF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6DE10FDB" w14:textId="77777777" w:rsidTr="002B1847">
        <w:trPr>
          <w:trHeight w:val="276"/>
        </w:trPr>
        <w:tc>
          <w:tcPr>
            <w:tcW w:w="3402" w:type="dxa"/>
          </w:tcPr>
          <w:p w14:paraId="60544209"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Reform of residence and labour legislation</w:t>
            </w:r>
          </w:p>
        </w:tc>
        <w:tc>
          <w:tcPr>
            <w:tcW w:w="3828" w:type="dxa"/>
          </w:tcPr>
          <w:p w14:paraId="1B7645C3"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Facilitation of the return to the country and increase of the attractiveness of the country for foreigners with family ties</w:t>
            </w:r>
          </w:p>
        </w:tc>
        <w:tc>
          <w:tcPr>
            <w:tcW w:w="708" w:type="dxa"/>
            <w:vAlign w:val="center"/>
          </w:tcPr>
          <w:p w14:paraId="235F124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Q1/2022</w:t>
            </w:r>
          </w:p>
        </w:tc>
        <w:tc>
          <w:tcPr>
            <w:tcW w:w="1277" w:type="dxa"/>
            <w:vAlign w:val="center"/>
          </w:tcPr>
          <w:p w14:paraId="114DB9E4"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39D28069" w14:textId="77777777" w:rsidTr="002B1847">
        <w:trPr>
          <w:trHeight w:val="276"/>
        </w:trPr>
        <w:tc>
          <w:tcPr>
            <w:tcW w:w="3402" w:type="dxa"/>
          </w:tcPr>
          <w:p w14:paraId="6E2A2EF4"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Simplification of the regime for the recognition of qualifications and professional qualifications for the exercise of regulated professions</w:t>
            </w:r>
          </w:p>
        </w:tc>
        <w:tc>
          <w:tcPr>
            <w:tcW w:w="3828" w:type="dxa"/>
          </w:tcPr>
          <w:p w14:paraId="63584425"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Simplification of the recognition of educational and professional qualifications</w:t>
            </w:r>
          </w:p>
        </w:tc>
        <w:tc>
          <w:tcPr>
            <w:tcW w:w="708" w:type="dxa"/>
            <w:vAlign w:val="center"/>
          </w:tcPr>
          <w:p w14:paraId="4C3B22DF"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Q1/2022</w:t>
            </w:r>
          </w:p>
        </w:tc>
        <w:tc>
          <w:tcPr>
            <w:tcW w:w="1277" w:type="dxa"/>
            <w:vAlign w:val="center"/>
          </w:tcPr>
          <w:p w14:paraId="13B5A04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0B6CF9F9" w14:textId="77777777" w:rsidTr="002B1847">
        <w:trPr>
          <w:trHeight w:val="276"/>
        </w:trPr>
        <w:tc>
          <w:tcPr>
            <w:tcW w:w="3402" w:type="dxa"/>
          </w:tcPr>
          <w:p w14:paraId="5B9513F6"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Support tools and assistance for specific target groups</w:t>
            </w:r>
          </w:p>
        </w:tc>
        <w:tc>
          <w:tcPr>
            <w:tcW w:w="3828" w:type="dxa"/>
          </w:tcPr>
          <w:p w14:paraId="012B99B7"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one-stop shops for integration in Slovakia</w:t>
            </w:r>
          </w:p>
        </w:tc>
        <w:tc>
          <w:tcPr>
            <w:tcW w:w="708" w:type="dxa"/>
            <w:vAlign w:val="center"/>
          </w:tcPr>
          <w:p w14:paraId="00B4B0B1"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Q4/2024</w:t>
            </w:r>
          </w:p>
        </w:tc>
        <w:tc>
          <w:tcPr>
            <w:tcW w:w="1277" w:type="dxa"/>
            <w:vAlign w:val="center"/>
          </w:tcPr>
          <w:p w14:paraId="2EEB140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49759694" w14:textId="77777777" w:rsidTr="002B1847">
        <w:trPr>
          <w:trHeight w:val="276"/>
        </w:trPr>
        <w:tc>
          <w:tcPr>
            <w:tcW w:w="3402" w:type="dxa"/>
          </w:tcPr>
          <w:p w14:paraId="6EBE75F8"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Support tools and assistance for specific target groups</w:t>
            </w:r>
          </w:p>
        </w:tc>
        <w:tc>
          <w:tcPr>
            <w:tcW w:w="3828" w:type="dxa"/>
          </w:tcPr>
          <w:p w14:paraId="1BC0AF9B"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beneficiaries using the IOM Migration Information Centre services</w:t>
            </w:r>
          </w:p>
        </w:tc>
        <w:tc>
          <w:tcPr>
            <w:tcW w:w="708" w:type="dxa"/>
            <w:vAlign w:val="center"/>
          </w:tcPr>
          <w:p w14:paraId="4A1D9CF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Q4/2024</w:t>
            </w:r>
          </w:p>
        </w:tc>
        <w:tc>
          <w:tcPr>
            <w:tcW w:w="1277" w:type="dxa"/>
            <w:vAlign w:val="center"/>
          </w:tcPr>
          <w:p w14:paraId="6D1B4010"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6440977F" w14:textId="77777777" w:rsidTr="002B1847">
        <w:trPr>
          <w:trHeight w:val="276"/>
        </w:trPr>
        <w:tc>
          <w:tcPr>
            <w:tcW w:w="3402" w:type="dxa"/>
          </w:tcPr>
          <w:p w14:paraId="3F1E93D7"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Strengthening relations with the diaspora</w:t>
            </w:r>
          </w:p>
        </w:tc>
        <w:tc>
          <w:tcPr>
            <w:tcW w:w="3828" w:type="dxa"/>
          </w:tcPr>
          <w:p w14:paraId="131A8469"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events strengthening relations with the diaspora</w:t>
            </w:r>
          </w:p>
        </w:tc>
        <w:tc>
          <w:tcPr>
            <w:tcW w:w="708" w:type="dxa"/>
            <w:vAlign w:val="center"/>
          </w:tcPr>
          <w:p w14:paraId="7B5679C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Q1/2026</w:t>
            </w:r>
          </w:p>
        </w:tc>
        <w:tc>
          <w:tcPr>
            <w:tcW w:w="1277" w:type="dxa"/>
            <w:vAlign w:val="center"/>
          </w:tcPr>
          <w:p w14:paraId="3F8B762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Not completed</w:t>
            </w:r>
          </w:p>
        </w:tc>
      </w:tr>
      <w:tr w:rsidR="00C24F6F" w:rsidRPr="003677B2" w14:paraId="4230E180" w14:textId="77777777" w:rsidTr="002B1847">
        <w:trPr>
          <w:trHeight w:val="276"/>
        </w:trPr>
        <w:tc>
          <w:tcPr>
            <w:tcW w:w="3402" w:type="dxa"/>
          </w:tcPr>
          <w:p w14:paraId="1D00E178"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Scholarships for domestic and foreign talented students</w:t>
            </w:r>
          </w:p>
        </w:tc>
        <w:tc>
          <w:tcPr>
            <w:tcW w:w="3828" w:type="dxa"/>
          </w:tcPr>
          <w:p w14:paraId="45D67583"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awarded scholarships for talented students.</w:t>
            </w:r>
          </w:p>
        </w:tc>
        <w:tc>
          <w:tcPr>
            <w:tcW w:w="708" w:type="dxa"/>
            <w:vAlign w:val="center"/>
          </w:tcPr>
          <w:p w14:paraId="4F66EFEA"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Q4/2024</w:t>
            </w:r>
          </w:p>
        </w:tc>
        <w:tc>
          <w:tcPr>
            <w:tcW w:w="1277" w:type="dxa"/>
            <w:vAlign w:val="center"/>
          </w:tcPr>
          <w:p w14:paraId="3B0ECF3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030F0646" w14:textId="77777777" w:rsidTr="002B1847">
        <w:trPr>
          <w:trHeight w:val="276"/>
        </w:trPr>
        <w:tc>
          <w:tcPr>
            <w:tcW w:w="3402" w:type="dxa"/>
          </w:tcPr>
          <w:p w14:paraId="6847C7E2"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Promoting internationalisation in the academic environment</w:t>
            </w:r>
          </w:p>
        </w:tc>
        <w:tc>
          <w:tcPr>
            <w:tcW w:w="3828" w:type="dxa"/>
          </w:tcPr>
          <w:p w14:paraId="24CC27E2"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Strategy for internationalisation of universities</w:t>
            </w:r>
          </w:p>
        </w:tc>
        <w:tc>
          <w:tcPr>
            <w:tcW w:w="708" w:type="dxa"/>
            <w:vAlign w:val="center"/>
          </w:tcPr>
          <w:p w14:paraId="4722C97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Q4/2021</w:t>
            </w:r>
          </w:p>
        </w:tc>
        <w:tc>
          <w:tcPr>
            <w:tcW w:w="1277" w:type="dxa"/>
            <w:vAlign w:val="center"/>
          </w:tcPr>
          <w:p w14:paraId="1C97B532"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12F47CC2" w14:textId="77777777" w:rsidTr="002B1847">
        <w:trPr>
          <w:trHeight w:val="276"/>
        </w:trPr>
        <w:tc>
          <w:tcPr>
            <w:tcW w:w="3402" w:type="dxa"/>
          </w:tcPr>
          <w:p w14:paraId="72706D5D"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Promoting internationalisation in the academic environment</w:t>
            </w:r>
          </w:p>
        </w:tc>
        <w:tc>
          <w:tcPr>
            <w:tcW w:w="3828" w:type="dxa"/>
          </w:tcPr>
          <w:p w14:paraId="5E2082FE"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projects aimed at internationalisation of Slovak higher education institutions or research institutions</w:t>
            </w:r>
          </w:p>
        </w:tc>
        <w:tc>
          <w:tcPr>
            <w:tcW w:w="708" w:type="dxa"/>
            <w:vAlign w:val="center"/>
          </w:tcPr>
          <w:p w14:paraId="204E44EF"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Q4/2025</w:t>
            </w:r>
          </w:p>
        </w:tc>
        <w:tc>
          <w:tcPr>
            <w:tcW w:w="1277" w:type="dxa"/>
            <w:vAlign w:val="center"/>
          </w:tcPr>
          <w:p w14:paraId="75B7458F"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4470CA79" w14:textId="77777777" w:rsidTr="002B1847">
        <w:trPr>
          <w:trHeight w:val="276"/>
        </w:trPr>
        <w:tc>
          <w:tcPr>
            <w:tcW w:w="3402" w:type="dxa"/>
          </w:tcPr>
          <w:p w14:paraId="4862D10E"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Optimisation of the hospital network</w:t>
            </w:r>
          </w:p>
        </w:tc>
        <w:tc>
          <w:tcPr>
            <w:tcW w:w="3828" w:type="dxa"/>
          </w:tcPr>
          <w:p w14:paraId="11FAD0DE"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Introduction of the hospital network</w:t>
            </w:r>
          </w:p>
        </w:tc>
        <w:tc>
          <w:tcPr>
            <w:tcW w:w="708" w:type="dxa"/>
            <w:vAlign w:val="center"/>
          </w:tcPr>
          <w:p w14:paraId="5E2B92C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Q1/2022</w:t>
            </w:r>
          </w:p>
        </w:tc>
        <w:tc>
          <w:tcPr>
            <w:tcW w:w="1277" w:type="dxa"/>
            <w:vAlign w:val="center"/>
          </w:tcPr>
          <w:p w14:paraId="48AA32EF"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5536231C" w14:textId="77777777" w:rsidTr="002B1847">
        <w:trPr>
          <w:trHeight w:val="276"/>
        </w:trPr>
        <w:tc>
          <w:tcPr>
            <w:tcW w:w="3402" w:type="dxa"/>
          </w:tcPr>
          <w:p w14:paraId="36146105"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Optimisation of the hospital network</w:t>
            </w:r>
          </w:p>
        </w:tc>
        <w:tc>
          <w:tcPr>
            <w:tcW w:w="3828" w:type="dxa"/>
          </w:tcPr>
          <w:p w14:paraId="46DAC738"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Share of the reprofiled hospitals (authorised within the scope of general and specialised hospitals) under the new hospital network</w:t>
            </w:r>
          </w:p>
        </w:tc>
        <w:tc>
          <w:tcPr>
            <w:tcW w:w="708" w:type="dxa"/>
            <w:vAlign w:val="center"/>
          </w:tcPr>
          <w:p w14:paraId="52199758"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Q4/2025</w:t>
            </w:r>
          </w:p>
        </w:tc>
        <w:tc>
          <w:tcPr>
            <w:tcW w:w="1277" w:type="dxa"/>
            <w:vAlign w:val="center"/>
          </w:tcPr>
          <w:p w14:paraId="3ACFE94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0073799A" w14:textId="77777777" w:rsidTr="002B1847">
        <w:trPr>
          <w:trHeight w:val="276"/>
        </w:trPr>
        <w:tc>
          <w:tcPr>
            <w:tcW w:w="3402" w:type="dxa"/>
          </w:tcPr>
          <w:p w14:paraId="18EDD7D8"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Reform of the preparation of health investment projects</w:t>
            </w:r>
          </w:p>
        </w:tc>
        <w:tc>
          <w:tcPr>
            <w:tcW w:w="3828" w:type="dxa"/>
          </w:tcPr>
          <w:p w14:paraId="777E37CE"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A prioritised investment plan according to the investment evaluation methodology adopted by the Ministry of Health</w:t>
            </w:r>
          </w:p>
        </w:tc>
        <w:tc>
          <w:tcPr>
            <w:tcW w:w="708" w:type="dxa"/>
            <w:vAlign w:val="center"/>
          </w:tcPr>
          <w:p w14:paraId="402FDED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Q2/2022</w:t>
            </w:r>
          </w:p>
        </w:tc>
        <w:tc>
          <w:tcPr>
            <w:tcW w:w="1277" w:type="dxa"/>
            <w:vAlign w:val="center"/>
          </w:tcPr>
          <w:p w14:paraId="07847B1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283B6ABC" w14:textId="77777777" w:rsidTr="002B1847">
        <w:trPr>
          <w:trHeight w:val="276"/>
        </w:trPr>
        <w:tc>
          <w:tcPr>
            <w:tcW w:w="3402" w:type="dxa"/>
          </w:tcPr>
          <w:p w14:paraId="690CC4A9"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Centralisation of the management of the largest hospitals</w:t>
            </w:r>
          </w:p>
        </w:tc>
        <w:tc>
          <w:tcPr>
            <w:tcW w:w="3828" w:type="dxa"/>
          </w:tcPr>
          <w:p w14:paraId="29E17EAF"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Establishment of a central hospital management body from an organisational, operational and economic point of view</w:t>
            </w:r>
          </w:p>
        </w:tc>
        <w:tc>
          <w:tcPr>
            <w:tcW w:w="708" w:type="dxa"/>
            <w:vAlign w:val="center"/>
          </w:tcPr>
          <w:p w14:paraId="4AC5C51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Q4/2023</w:t>
            </w:r>
          </w:p>
        </w:tc>
        <w:tc>
          <w:tcPr>
            <w:tcW w:w="1277" w:type="dxa"/>
            <w:vAlign w:val="center"/>
          </w:tcPr>
          <w:p w14:paraId="20278C3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43AAAB17" w14:textId="77777777" w:rsidTr="002B1847">
        <w:trPr>
          <w:trHeight w:val="276"/>
        </w:trPr>
        <w:tc>
          <w:tcPr>
            <w:tcW w:w="3402" w:type="dxa"/>
          </w:tcPr>
          <w:p w14:paraId="0A7A63B9"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Centralisation of the management of the largest hospitals</w:t>
            </w:r>
          </w:p>
        </w:tc>
        <w:tc>
          <w:tcPr>
            <w:tcW w:w="3828" w:type="dxa"/>
          </w:tcPr>
          <w:p w14:paraId="1450773E"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hospitals involved in central management system</w:t>
            </w:r>
          </w:p>
        </w:tc>
        <w:tc>
          <w:tcPr>
            <w:tcW w:w="708" w:type="dxa"/>
            <w:vAlign w:val="center"/>
          </w:tcPr>
          <w:p w14:paraId="6DFB407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Q2/2025</w:t>
            </w:r>
          </w:p>
        </w:tc>
        <w:tc>
          <w:tcPr>
            <w:tcW w:w="1277" w:type="dxa"/>
            <w:vAlign w:val="center"/>
          </w:tcPr>
          <w:p w14:paraId="5AE5F9B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490EEC87" w14:textId="77777777" w:rsidTr="002B1847">
        <w:trPr>
          <w:trHeight w:val="276"/>
        </w:trPr>
        <w:tc>
          <w:tcPr>
            <w:tcW w:w="3402" w:type="dxa"/>
          </w:tcPr>
          <w:p w14:paraId="05726C9F"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Optimising the emergency care network and the new definition of emergency care</w:t>
            </w:r>
          </w:p>
        </w:tc>
        <w:tc>
          <w:tcPr>
            <w:tcW w:w="3828" w:type="dxa"/>
          </w:tcPr>
          <w:p w14:paraId="11BDCC62"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Amendment to the law on Optimal emergency care network and new definition of emergency care</w:t>
            </w:r>
          </w:p>
        </w:tc>
        <w:tc>
          <w:tcPr>
            <w:tcW w:w="708" w:type="dxa"/>
            <w:vAlign w:val="center"/>
          </w:tcPr>
          <w:p w14:paraId="39567D0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Q1/2023</w:t>
            </w:r>
          </w:p>
        </w:tc>
        <w:tc>
          <w:tcPr>
            <w:tcW w:w="1277" w:type="dxa"/>
            <w:vAlign w:val="center"/>
          </w:tcPr>
          <w:p w14:paraId="4608576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12988920" w14:textId="77777777" w:rsidTr="002B1847">
        <w:trPr>
          <w:trHeight w:val="276"/>
        </w:trPr>
        <w:tc>
          <w:tcPr>
            <w:tcW w:w="3402" w:type="dxa"/>
          </w:tcPr>
          <w:p w14:paraId="5C94E184"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Reform of primary care provision for adults, children and youth</w:t>
            </w:r>
          </w:p>
        </w:tc>
        <w:tc>
          <w:tcPr>
            <w:tcW w:w="3828" w:type="dxa"/>
          </w:tcPr>
          <w:p w14:paraId="569C6310"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The new law on the establishment of the network of general care providers and the introduction of zoning</w:t>
            </w:r>
          </w:p>
        </w:tc>
        <w:tc>
          <w:tcPr>
            <w:tcW w:w="708" w:type="dxa"/>
            <w:vAlign w:val="center"/>
          </w:tcPr>
          <w:p w14:paraId="48913C0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Q2/2022</w:t>
            </w:r>
          </w:p>
        </w:tc>
        <w:tc>
          <w:tcPr>
            <w:tcW w:w="1277" w:type="dxa"/>
            <w:vAlign w:val="center"/>
          </w:tcPr>
          <w:p w14:paraId="06B96D08"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4E5A80A7" w14:textId="77777777" w:rsidTr="002B1847">
        <w:trPr>
          <w:trHeight w:val="276"/>
        </w:trPr>
        <w:tc>
          <w:tcPr>
            <w:tcW w:w="3402" w:type="dxa"/>
          </w:tcPr>
          <w:p w14:paraId="00D15377"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lastRenderedPageBreak/>
              <w:t>Support the opening of new primary care practices in underserved areas</w:t>
            </w:r>
          </w:p>
        </w:tc>
        <w:tc>
          <w:tcPr>
            <w:tcW w:w="3828" w:type="dxa"/>
          </w:tcPr>
          <w:p w14:paraId="797BB09A"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Public calls for the establishment of new primary care outpatient practices</w:t>
            </w:r>
          </w:p>
        </w:tc>
        <w:tc>
          <w:tcPr>
            <w:tcW w:w="708" w:type="dxa"/>
            <w:vAlign w:val="center"/>
          </w:tcPr>
          <w:p w14:paraId="193302E1"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Q2/2025</w:t>
            </w:r>
          </w:p>
        </w:tc>
        <w:tc>
          <w:tcPr>
            <w:tcW w:w="1277" w:type="dxa"/>
            <w:vAlign w:val="center"/>
          </w:tcPr>
          <w:p w14:paraId="5502253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6295E692" w14:textId="77777777" w:rsidTr="002B1847">
        <w:trPr>
          <w:trHeight w:val="276"/>
        </w:trPr>
        <w:tc>
          <w:tcPr>
            <w:tcW w:w="3402" w:type="dxa"/>
          </w:tcPr>
          <w:p w14:paraId="01066010"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New hospital network – construction, reconstruction and equipment</w:t>
            </w:r>
          </w:p>
        </w:tc>
        <w:tc>
          <w:tcPr>
            <w:tcW w:w="3828" w:type="dxa"/>
          </w:tcPr>
          <w:p w14:paraId="6C9FEDAC"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Hospital bed capacity available in upgraded hospital</w:t>
            </w:r>
          </w:p>
        </w:tc>
        <w:tc>
          <w:tcPr>
            <w:tcW w:w="708" w:type="dxa"/>
            <w:vAlign w:val="center"/>
          </w:tcPr>
          <w:p w14:paraId="4E6DD19A"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660ED88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1F08313E" w14:textId="77777777" w:rsidTr="002B1847">
        <w:trPr>
          <w:trHeight w:val="276"/>
        </w:trPr>
        <w:tc>
          <w:tcPr>
            <w:tcW w:w="3402" w:type="dxa"/>
          </w:tcPr>
          <w:p w14:paraId="2BBB50F9"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New hospital network – construction, reconstruction and equipment</w:t>
            </w:r>
          </w:p>
        </w:tc>
        <w:tc>
          <w:tcPr>
            <w:tcW w:w="3828" w:type="dxa"/>
          </w:tcPr>
          <w:p w14:paraId="4C1E2371"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Hospital bed capacity available at shell and core construction level.</w:t>
            </w:r>
          </w:p>
        </w:tc>
        <w:tc>
          <w:tcPr>
            <w:tcW w:w="708" w:type="dxa"/>
            <w:vAlign w:val="center"/>
          </w:tcPr>
          <w:p w14:paraId="3B428EBA"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036A45E6"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3FFBC5E2" w14:textId="77777777" w:rsidTr="002B1847">
        <w:trPr>
          <w:trHeight w:val="276"/>
        </w:trPr>
        <w:tc>
          <w:tcPr>
            <w:tcW w:w="3402" w:type="dxa"/>
          </w:tcPr>
          <w:p w14:paraId="1855E334"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Digitalisation in health</w:t>
            </w:r>
          </w:p>
        </w:tc>
        <w:tc>
          <w:tcPr>
            <w:tcW w:w="3828" w:type="dxa"/>
          </w:tcPr>
          <w:p w14:paraId="31FA06E7"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Central integration platform (CIP) procurement for 19 centrally managed public hospitals</w:t>
            </w:r>
          </w:p>
        </w:tc>
        <w:tc>
          <w:tcPr>
            <w:tcW w:w="708" w:type="dxa"/>
            <w:vAlign w:val="center"/>
          </w:tcPr>
          <w:p w14:paraId="5FE78A8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Q4/2025</w:t>
            </w:r>
          </w:p>
        </w:tc>
        <w:tc>
          <w:tcPr>
            <w:tcW w:w="1277" w:type="dxa"/>
            <w:vAlign w:val="center"/>
          </w:tcPr>
          <w:p w14:paraId="50BB6418"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37DD883A" w14:textId="77777777" w:rsidTr="002B1847">
        <w:trPr>
          <w:trHeight w:val="276"/>
        </w:trPr>
        <w:tc>
          <w:tcPr>
            <w:tcW w:w="3402" w:type="dxa"/>
          </w:tcPr>
          <w:p w14:paraId="38E34EC9"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Digitalisation in health</w:t>
            </w:r>
          </w:p>
        </w:tc>
        <w:tc>
          <w:tcPr>
            <w:tcW w:w="3828" w:type="dxa"/>
          </w:tcPr>
          <w:p w14:paraId="03524D24"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Increase in the provision of atrial fibrillation surgeries</w:t>
            </w:r>
          </w:p>
        </w:tc>
        <w:tc>
          <w:tcPr>
            <w:tcW w:w="708" w:type="dxa"/>
            <w:vAlign w:val="center"/>
          </w:tcPr>
          <w:p w14:paraId="07660292"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Q4/2024</w:t>
            </w:r>
          </w:p>
        </w:tc>
        <w:tc>
          <w:tcPr>
            <w:tcW w:w="1277" w:type="dxa"/>
            <w:vAlign w:val="center"/>
          </w:tcPr>
          <w:p w14:paraId="6F7D601F"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69D62978" w14:textId="77777777" w:rsidTr="002B1847">
        <w:trPr>
          <w:trHeight w:val="276"/>
        </w:trPr>
        <w:tc>
          <w:tcPr>
            <w:tcW w:w="3402" w:type="dxa"/>
          </w:tcPr>
          <w:p w14:paraId="48BFF741"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Construction and rehabilitation of ambulance stations</w:t>
            </w:r>
          </w:p>
        </w:tc>
        <w:tc>
          <w:tcPr>
            <w:tcW w:w="3828" w:type="dxa"/>
          </w:tcPr>
          <w:p w14:paraId="077D5ED2"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ambulance station constructed or reconstructed</w:t>
            </w:r>
          </w:p>
        </w:tc>
        <w:tc>
          <w:tcPr>
            <w:tcW w:w="708" w:type="dxa"/>
            <w:vAlign w:val="center"/>
          </w:tcPr>
          <w:p w14:paraId="6FAB487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19082DEA"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5C6E21D5" w14:textId="77777777" w:rsidTr="002B1847">
        <w:trPr>
          <w:trHeight w:val="276"/>
        </w:trPr>
        <w:tc>
          <w:tcPr>
            <w:tcW w:w="3402" w:type="dxa"/>
          </w:tcPr>
          <w:p w14:paraId="5801DB07"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Coordinated inter-ministerial cooperation and regulation</w:t>
            </w:r>
          </w:p>
        </w:tc>
        <w:tc>
          <w:tcPr>
            <w:tcW w:w="3828" w:type="dxa"/>
          </w:tcPr>
          <w:p w14:paraId="5A3C6DBD"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Establishment of one entity for mental health, and the expansion of the competencies for an association for psychologists</w:t>
            </w:r>
          </w:p>
        </w:tc>
        <w:tc>
          <w:tcPr>
            <w:tcW w:w="708" w:type="dxa"/>
            <w:vAlign w:val="center"/>
          </w:tcPr>
          <w:p w14:paraId="5B4ACF7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Q2/2025</w:t>
            </w:r>
          </w:p>
        </w:tc>
        <w:tc>
          <w:tcPr>
            <w:tcW w:w="1277" w:type="dxa"/>
            <w:vAlign w:val="center"/>
          </w:tcPr>
          <w:p w14:paraId="6005DFF8"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2929B7AE" w14:textId="77777777" w:rsidTr="002B1847">
        <w:trPr>
          <w:trHeight w:val="276"/>
        </w:trPr>
        <w:tc>
          <w:tcPr>
            <w:tcW w:w="3402" w:type="dxa"/>
          </w:tcPr>
          <w:p w14:paraId="0814C212"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Creation of detention facilities</w:t>
            </w:r>
          </w:p>
        </w:tc>
        <w:tc>
          <w:tcPr>
            <w:tcW w:w="3828" w:type="dxa"/>
          </w:tcPr>
          <w:p w14:paraId="1F65F047"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Patient capacity of detention facilities</w:t>
            </w:r>
          </w:p>
        </w:tc>
        <w:tc>
          <w:tcPr>
            <w:tcW w:w="708" w:type="dxa"/>
            <w:vAlign w:val="center"/>
          </w:tcPr>
          <w:p w14:paraId="24BF8F10"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Q4/2025</w:t>
            </w:r>
          </w:p>
        </w:tc>
        <w:tc>
          <w:tcPr>
            <w:tcW w:w="1277" w:type="dxa"/>
            <w:vAlign w:val="center"/>
          </w:tcPr>
          <w:p w14:paraId="63E0264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Not completed</w:t>
            </w:r>
          </w:p>
        </w:tc>
      </w:tr>
      <w:tr w:rsidR="00C24F6F" w:rsidRPr="003677B2" w14:paraId="2642D112" w14:textId="77777777" w:rsidTr="002B1847">
        <w:trPr>
          <w:trHeight w:val="276"/>
        </w:trPr>
        <w:tc>
          <w:tcPr>
            <w:tcW w:w="3402" w:type="dxa"/>
          </w:tcPr>
          <w:p w14:paraId="40785D09"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Building community-based mental healthcare centres</w:t>
            </w:r>
          </w:p>
        </w:tc>
        <w:tc>
          <w:tcPr>
            <w:tcW w:w="3828" w:type="dxa"/>
          </w:tcPr>
          <w:p w14:paraId="6495FF67"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created community-based mental health care centres</w:t>
            </w:r>
          </w:p>
        </w:tc>
        <w:tc>
          <w:tcPr>
            <w:tcW w:w="708" w:type="dxa"/>
            <w:vAlign w:val="center"/>
          </w:tcPr>
          <w:p w14:paraId="69740A2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Q4/2025</w:t>
            </w:r>
          </w:p>
        </w:tc>
        <w:tc>
          <w:tcPr>
            <w:tcW w:w="1277" w:type="dxa"/>
            <w:vAlign w:val="center"/>
          </w:tcPr>
          <w:p w14:paraId="23B65E0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Not completed</w:t>
            </w:r>
          </w:p>
        </w:tc>
      </w:tr>
      <w:tr w:rsidR="00C24F6F" w:rsidRPr="003677B2" w14:paraId="535644EB" w14:textId="77777777" w:rsidTr="002B1847">
        <w:trPr>
          <w:trHeight w:val="276"/>
        </w:trPr>
        <w:tc>
          <w:tcPr>
            <w:tcW w:w="3402" w:type="dxa"/>
          </w:tcPr>
          <w:p w14:paraId="6C5B69CA"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Humanisation of institutional psychiatric care</w:t>
            </w:r>
          </w:p>
        </w:tc>
        <w:tc>
          <w:tcPr>
            <w:tcW w:w="3828" w:type="dxa"/>
          </w:tcPr>
          <w:p w14:paraId="09F66AD0"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Reconstruction of institutional psychiatric care</w:t>
            </w:r>
          </w:p>
        </w:tc>
        <w:tc>
          <w:tcPr>
            <w:tcW w:w="708" w:type="dxa"/>
            <w:vAlign w:val="center"/>
          </w:tcPr>
          <w:p w14:paraId="4D6C6DE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Q4/2025</w:t>
            </w:r>
          </w:p>
        </w:tc>
        <w:tc>
          <w:tcPr>
            <w:tcW w:w="1277" w:type="dxa"/>
            <w:vAlign w:val="center"/>
          </w:tcPr>
          <w:p w14:paraId="53C1F80F"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335427BE" w14:textId="77777777" w:rsidTr="002B1847">
        <w:trPr>
          <w:trHeight w:val="276"/>
        </w:trPr>
        <w:tc>
          <w:tcPr>
            <w:tcW w:w="3402" w:type="dxa"/>
          </w:tcPr>
          <w:p w14:paraId="2F9ED3AC"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Training in mental health for staff</w:t>
            </w:r>
          </w:p>
        </w:tc>
        <w:tc>
          <w:tcPr>
            <w:tcW w:w="3828" w:type="dxa"/>
          </w:tcPr>
          <w:p w14:paraId="7B2B4153"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persons trained in mental healthcare</w:t>
            </w:r>
          </w:p>
        </w:tc>
        <w:tc>
          <w:tcPr>
            <w:tcW w:w="708" w:type="dxa"/>
            <w:vAlign w:val="center"/>
          </w:tcPr>
          <w:p w14:paraId="4576172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Q2/2025</w:t>
            </w:r>
          </w:p>
        </w:tc>
        <w:tc>
          <w:tcPr>
            <w:tcW w:w="1277" w:type="dxa"/>
            <w:vAlign w:val="center"/>
          </w:tcPr>
          <w:p w14:paraId="5E63BCF0"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1A6D581C" w14:textId="77777777" w:rsidTr="002B1847">
        <w:trPr>
          <w:trHeight w:val="276"/>
        </w:trPr>
        <w:tc>
          <w:tcPr>
            <w:tcW w:w="3402" w:type="dxa"/>
          </w:tcPr>
          <w:p w14:paraId="3E8574B9"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Integration and financing of long-term social and health care</w:t>
            </w:r>
          </w:p>
        </w:tc>
        <w:tc>
          <w:tcPr>
            <w:tcW w:w="3828" w:type="dxa"/>
          </w:tcPr>
          <w:p w14:paraId="20DBA8BD"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New legislative framework for long-term health and palliative care</w:t>
            </w:r>
          </w:p>
        </w:tc>
        <w:tc>
          <w:tcPr>
            <w:tcW w:w="708" w:type="dxa"/>
            <w:vAlign w:val="center"/>
          </w:tcPr>
          <w:p w14:paraId="25E511B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Q1/2023</w:t>
            </w:r>
          </w:p>
        </w:tc>
        <w:tc>
          <w:tcPr>
            <w:tcW w:w="1277" w:type="dxa"/>
            <w:vAlign w:val="center"/>
          </w:tcPr>
          <w:p w14:paraId="5FE6202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52CDF97A" w14:textId="77777777" w:rsidTr="002B1847">
        <w:trPr>
          <w:trHeight w:val="276"/>
        </w:trPr>
        <w:tc>
          <w:tcPr>
            <w:tcW w:w="3402" w:type="dxa"/>
          </w:tcPr>
          <w:p w14:paraId="6FD9E404"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Integration and financing of long-term social and health care</w:t>
            </w:r>
          </w:p>
        </w:tc>
        <w:tc>
          <w:tcPr>
            <w:tcW w:w="3828" w:type="dxa"/>
          </w:tcPr>
          <w:p w14:paraId="150D4FFD"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Publication of the concept of financing social services for public debate</w:t>
            </w:r>
          </w:p>
        </w:tc>
        <w:tc>
          <w:tcPr>
            <w:tcW w:w="708" w:type="dxa"/>
            <w:vAlign w:val="center"/>
          </w:tcPr>
          <w:p w14:paraId="3AC24AF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Q4/2023</w:t>
            </w:r>
          </w:p>
        </w:tc>
        <w:tc>
          <w:tcPr>
            <w:tcW w:w="1277" w:type="dxa"/>
            <w:vAlign w:val="center"/>
          </w:tcPr>
          <w:p w14:paraId="4AC3C0F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12CC6FCF" w14:textId="77777777" w:rsidTr="002B1847">
        <w:trPr>
          <w:trHeight w:val="276"/>
        </w:trPr>
        <w:tc>
          <w:tcPr>
            <w:tcW w:w="3402" w:type="dxa"/>
          </w:tcPr>
          <w:p w14:paraId="42E896EF"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Integration and financing of long-term social and health care</w:t>
            </w:r>
          </w:p>
        </w:tc>
        <w:tc>
          <w:tcPr>
            <w:tcW w:w="3828" w:type="dxa"/>
          </w:tcPr>
          <w:p w14:paraId="6FF331F4"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The new financing system of social services – introduction of a personal budget</w:t>
            </w:r>
          </w:p>
        </w:tc>
        <w:tc>
          <w:tcPr>
            <w:tcW w:w="708" w:type="dxa"/>
            <w:vAlign w:val="center"/>
          </w:tcPr>
          <w:p w14:paraId="5FD04364"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Q4/2025</w:t>
            </w:r>
          </w:p>
        </w:tc>
        <w:tc>
          <w:tcPr>
            <w:tcW w:w="1277" w:type="dxa"/>
            <w:vAlign w:val="center"/>
          </w:tcPr>
          <w:p w14:paraId="53B646F1"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7C8C7685" w14:textId="77777777" w:rsidTr="002B1847">
        <w:trPr>
          <w:trHeight w:val="276"/>
        </w:trPr>
        <w:tc>
          <w:tcPr>
            <w:tcW w:w="3402" w:type="dxa"/>
          </w:tcPr>
          <w:p w14:paraId="47EA0D06"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Assessment of care needs</w:t>
            </w:r>
          </w:p>
        </w:tc>
        <w:tc>
          <w:tcPr>
            <w:tcW w:w="3828" w:type="dxa"/>
          </w:tcPr>
          <w:p w14:paraId="79027B30"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Unification of the assessment system</w:t>
            </w:r>
          </w:p>
        </w:tc>
        <w:tc>
          <w:tcPr>
            <w:tcW w:w="708" w:type="dxa"/>
            <w:vAlign w:val="center"/>
          </w:tcPr>
          <w:p w14:paraId="6F3CE2B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Q1/2024</w:t>
            </w:r>
          </w:p>
        </w:tc>
        <w:tc>
          <w:tcPr>
            <w:tcW w:w="1277" w:type="dxa"/>
            <w:vAlign w:val="center"/>
          </w:tcPr>
          <w:p w14:paraId="0DD341B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590BC42C" w14:textId="77777777" w:rsidTr="002B1847">
        <w:trPr>
          <w:trHeight w:val="276"/>
        </w:trPr>
        <w:tc>
          <w:tcPr>
            <w:tcW w:w="3402" w:type="dxa"/>
          </w:tcPr>
          <w:p w14:paraId="33ABCE3E"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Consolidation of the supervision of social care and provision of necessary infrastructure</w:t>
            </w:r>
          </w:p>
        </w:tc>
        <w:tc>
          <w:tcPr>
            <w:tcW w:w="3828" w:type="dxa"/>
          </w:tcPr>
          <w:p w14:paraId="6113F929"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Reform of the supervision of social care</w:t>
            </w:r>
          </w:p>
        </w:tc>
        <w:tc>
          <w:tcPr>
            <w:tcW w:w="708" w:type="dxa"/>
            <w:vAlign w:val="center"/>
          </w:tcPr>
          <w:p w14:paraId="564A9586"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Q2/2022</w:t>
            </w:r>
          </w:p>
        </w:tc>
        <w:tc>
          <w:tcPr>
            <w:tcW w:w="1277" w:type="dxa"/>
            <w:vAlign w:val="center"/>
          </w:tcPr>
          <w:p w14:paraId="06572AA6"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1E605426" w14:textId="77777777" w:rsidTr="002B1847">
        <w:trPr>
          <w:trHeight w:val="276"/>
        </w:trPr>
        <w:tc>
          <w:tcPr>
            <w:tcW w:w="3402" w:type="dxa"/>
          </w:tcPr>
          <w:p w14:paraId="3371A9B9"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Consolidation of the supervision of social care and provision of necessary infrastructure</w:t>
            </w:r>
          </w:p>
        </w:tc>
        <w:tc>
          <w:tcPr>
            <w:tcW w:w="3828" w:type="dxa"/>
          </w:tcPr>
          <w:p w14:paraId="2A88DA9A"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Establishment of a unified supervisory system with headquarter and 8 branches</w:t>
            </w:r>
          </w:p>
        </w:tc>
        <w:tc>
          <w:tcPr>
            <w:tcW w:w="708" w:type="dxa"/>
            <w:vAlign w:val="center"/>
          </w:tcPr>
          <w:p w14:paraId="5F3708D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Q1/2024</w:t>
            </w:r>
          </w:p>
        </w:tc>
        <w:tc>
          <w:tcPr>
            <w:tcW w:w="1277" w:type="dxa"/>
            <w:vAlign w:val="center"/>
          </w:tcPr>
          <w:p w14:paraId="5D5B9B4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774E8750" w14:textId="77777777" w:rsidTr="002B1847">
        <w:trPr>
          <w:trHeight w:val="276"/>
        </w:trPr>
        <w:tc>
          <w:tcPr>
            <w:tcW w:w="3402" w:type="dxa"/>
          </w:tcPr>
          <w:p w14:paraId="7089047A"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Enhancing community-based social care capacities</w:t>
            </w:r>
          </w:p>
        </w:tc>
        <w:tc>
          <w:tcPr>
            <w:tcW w:w="3828" w:type="dxa"/>
          </w:tcPr>
          <w:p w14:paraId="537DB1E2"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Enhancement of capacities of community-based residential services and health-social low-capacity facilities</w:t>
            </w:r>
          </w:p>
        </w:tc>
        <w:tc>
          <w:tcPr>
            <w:tcW w:w="708" w:type="dxa"/>
            <w:vAlign w:val="center"/>
          </w:tcPr>
          <w:p w14:paraId="181E04C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52AAA37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Delayed</w:t>
            </w:r>
          </w:p>
        </w:tc>
      </w:tr>
      <w:tr w:rsidR="00C24F6F" w:rsidRPr="003677B2" w14:paraId="19E63ABD" w14:textId="77777777" w:rsidTr="002B1847">
        <w:trPr>
          <w:trHeight w:val="276"/>
        </w:trPr>
        <w:tc>
          <w:tcPr>
            <w:tcW w:w="3402" w:type="dxa"/>
          </w:tcPr>
          <w:p w14:paraId="1AA9FBE7"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Enhancing community-based social care capacities</w:t>
            </w:r>
          </w:p>
        </w:tc>
        <w:tc>
          <w:tcPr>
            <w:tcW w:w="3828" w:type="dxa"/>
          </w:tcPr>
          <w:p w14:paraId="06319FDE"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Expansion of outpatient service capacities</w:t>
            </w:r>
          </w:p>
        </w:tc>
        <w:tc>
          <w:tcPr>
            <w:tcW w:w="708" w:type="dxa"/>
            <w:vAlign w:val="center"/>
          </w:tcPr>
          <w:p w14:paraId="38CEBE0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6E5DA740"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Delayed</w:t>
            </w:r>
          </w:p>
        </w:tc>
      </w:tr>
      <w:tr w:rsidR="00C24F6F" w:rsidRPr="003677B2" w14:paraId="6E07BF08" w14:textId="77777777" w:rsidTr="002B1847">
        <w:trPr>
          <w:trHeight w:val="276"/>
        </w:trPr>
        <w:tc>
          <w:tcPr>
            <w:tcW w:w="3402" w:type="dxa"/>
          </w:tcPr>
          <w:p w14:paraId="30681B22"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Extension and renewal of after-care and nursing capacities</w:t>
            </w:r>
          </w:p>
        </w:tc>
        <w:tc>
          <w:tcPr>
            <w:tcW w:w="3828" w:type="dxa"/>
          </w:tcPr>
          <w:p w14:paraId="24E5C337"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Extension and renewal of home nursing providers</w:t>
            </w:r>
          </w:p>
        </w:tc>
        <w:tc>
          <w:tcPr>
            <w:tcW w:w="708" w:type="dxa"/>
            <w:vAlign w:val="center"/>
          </w:tcPr>
          <w:p w14:paraId="1D7EE2F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Q1/2025</w:t>
            </w:r>
          </w:p>
        </w:tc>
        <w:tc>
          <w:tcPr>
            <w:tcW w:w="1277" w:type="dxa"/>
            <w:vAlign w:val="center"/>
          </w:tcPr>
          <w:p w14:paraId="27D6946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2EF87930" w14:textId="77777777" w:rsidTr="002B1847">
        <w:trPr>
          <w:trHeight w:val="276"/>
        </w:trPr>
        <w:tc>
          <w:tcPr>
            <w:tcW w:w="3402" w:type="dxa"/>
          </w:tcPr>
          <w:p w14:paraId="3A3875AA"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Extension and renewal of after-care and nursing capacities</w:t>
            </w:r>
          </w:p>
        </w:tc>
        <w:tc>
          <w:tcPr>
            <w:tcW w:w="3828" w:type="dxa"/>
          </w:tcPr>
          <w:p w14:paraId="2306D9FE"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Creation of after-care beds by reconstructing existing acute and chronic beds or by building aftercare beds</w:t>
            </w:r>
          </w:p>
        </w:tc>
        <w:tc>
          <w:tcPr>
            <w:tcW w:w="708" w:type="dxa"/>
            <w:vAlign w:val="center"/>
          </w:tcPr>
          <w:p w14:paraId="58E5B9F1"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001B3622"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Delayed</w:t>
            </w:r>
          </w:p>
        </w:tc>
      </w:tr>
      <w:tr w:rsidR="00C24F6F" w:rsidRPr="003677B2" w14:paraId="7C455905" w14:textId="77777777" w:rsidTr="002B1847">
        <w:trPr>
          <w:trHeight w:val="276"/>
        </w:trPr>
        <w:tc>
          <w:tcPr>
            <w:tcW w:w="3402" w:type="dxa"/>
          </w:tcPr>
          <w:p w14:paraId="0D4E012E"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Enhancing and restoring palliative care capacities</w:t>
            </w:r>
          </w:p>
        </w:tc>
        <w:tc>
          <w:tcPr>
            <w:tcW w:w="3828" w:type="dxa"/>
          </w:tcPr>
          <w:p w14:paraId="0490024E"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Expansion and renewal of residential palliative care capacities</w:t>
            </w:r>
          </w:p>
        </w:tc>
        <w:tc>
          <w:tcPr>
            <w:tcW w:w="708" w:type="dxa"/>
            <w:vAlign w:val="center"/>
          </w:tcPr>
          <w:p w14:paraId="23B50D7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Q3/2025</w:t>
            </w:r>
          </w:p>
        </w:tc>
        <w:tc>
          <w:tcPr>
            <w:tcW w:w="1277" w:type="dxa"/>
            <w:vAlign w:val="center"/>
          </w:tcPr>
          <w:p w14:paraId="73D2E26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0292B5CF" w14:textId="77777777" w:rsidTr="002B1847">
        <w:trPr>
          <w:trHeight w:val="276"/>
        </w:trPr>
        <w:tc>
          <w:tcPr>
            <w:tcW w:w="3402" w:type="dxa"/>
          </w:tcPr>
          <w:p w14:paraId="0B75048A"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Enhancing and restoring palliative care capacities</w:t>
            </w:r>
          </w:p>
        </w:tc>
        <w:tc>
          <w:tcPr>
            <w:tcW w:w="3828" w:type="dxa"/>
          </w:tcPr>
          <w:p w14:paraId="233BCF04"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Extension and renewal of the mobile hospices network (indicator: number of new and rebuilt units)</w:t>
            </w:r>
          </w:p>
        </w:tc>
        <w:tc>
          <w:tcPr>
            <w:tcW w:w="708" w:type="dxa"/>
            <w:vAlign w:val="center"/>
          </w:tcPr>
          <w:p w14:paraId="48819EB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Q1/2025</w:t>
            </w:r>
          </w:p>
        </w:tc>
        <w:tc>
          <w:tcPr>
            <w:tcW w:w="1277" w:type="dxa"/>
            <w:vAlign w:val="center"/>
          </w:tcPr>
          <w:p w14:paraId="2FB309F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18A5B9C3" w14:textId="77777777" w:rsidTr="002B1847">
        <w:trPr>
          <w:trHeight w:val="276"/>
        </w:trPr>
        <w:tc>
          <w:tcPr>
            <w:tcW w:w="3402" w:type="dxa"/>
          </w:tcPr>
          <w:p w14:paraId="51556E96"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Reducing regulatory burden for businesses</w:t>
            </w:r>
          </w:p>
        </w:tc>
        <w:tc>
          <w:tcPr>
            <w:tcW w:w="3828" w:type="dxa"/>
          </w:tcPr>
          <w:p w14:paraId="558046A9"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introduction of the new regulatory burden reduction tools: – Implementation of the "1in-2out" rule – Introduction of ex-post evaluation of existing regulations (legislative and non-legislative materials) – Introduction of protection against unjustified goldplating</w:t>
            </w:r>
          </w:p>
        </w:tc>
        <w:tc>
          <w:tcPr>
            <w:tcW w:w="708" w:type="dxa"/>
            <w:vAlign w:val="center"/>
          </w:tcPr>
          <w:p w14:paraId="3523ADE4"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Q1/2023</w:t>
            </w:r>
          </w:p>
        </w:tc>
        <w:tc>
          <w:tcPr>
            <w:tcW w:w="1277" w:type="dxa"/>
            <w:vAlign w:val="center"/>
          </w:tcPr>
          <w:p w14:paraId="34D2DE4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6F057F0C" w14:textId="77777777" w:rsidTr="002B1847">
        <w:trPr>
          <w:trHeight w:val="276"/>
        </w:trPr>
        <w:tc>
          <w:tcPr>
            <w:tcW w:w="3402" w:type="dxa"/>
          </w:tcPr>
          <w:p w14:paraId="28D42643"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Reducing regulatory burden for businesses</w:t>
            </w:r>
          </w:p>
        </w:tc>
        <w:tc>
          <w:tcPr>
            <w:tcW w:w="3828" w:type="dxa"/>
          </w:tcPr>
          <w:p w14:paraId="6DCCA98F"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Reduction of the administrative burden on entrepreneurs</w:t>
            </w:r>
          </w:p>
        </w:tc>
        <w:tc>
          <w:tcPr>
            <w:tcW w:w="708" w:type="dxa"/>
            <w:vAlign w:val="center"/>
          </w:tcPr>
          <w:p w14:paraId="5F91CF41"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Q4/2024</w:t>
            </w:r>
          </w:p>
        </w:tc>
        <w:tc>
          <w:tcPr>
            <w:tcW w:w="1277" w:type="dxa"/>
            <w:vAlign w:val="center"/>
          </w:tcPr>
          <w:p w14:paraId="77C8D7A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500327B3" w14:textId="77777777" w:rsidTr="002B1847">
        <w:trPr>
          <w:trHeight w:val="276"/>
        </w:trPr>
        <w:tc>
          <w:tcPr>
            <w:tcW w:w="3402" w:type="dxa"/>
          </w:tcPr>
          <w:p w14:paraId="40E7F2DC"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Harmonising and digitalising insolvency procedures</w:t>
            </w:r>
          </w:p>
        </w:tc>
        <w:tc>
          <w:tcPr>
            <w:tcW w:w="3828" w:type="dxa"/>
          </w:tcPr>
          <w:p w14:paraId="1D5CB35F"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Reform of the insolvency framework</w:t>
            </w:r>
          </w:p>
        </w:tc>
        <w:tc>
          <w:tcPr>
            <w:tcW w:w="708" w:type="dxa"/>
            <w:vAlign w:val="center"/>
          </w:tcPr>
          <w:p w14:paraId="085A0800"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Q1/2023</w:t>
            </w:r>
          </w:p>
        </w:tc>
        <w:tc>
          <w:tcPr>
            <w:tcW w:w="1277" w:type="dxa"/>
            <w:vAlign w:val="center"/>
          </w:tcPr>
          <w:p w14:paraId="00F19C3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578BC7CD" w14:textId="77777777" w:rsidTr="002B1847">
        <w:trPr>
          <w:trHeight w:val="276"/>
        </w:trPr>
        <w:tc>
          <w:tcPr>
            <w:tcW w:w="3402" w:type="dxa"/>
          </w:tcPr>
          <w:p w14:paraId="2416D493"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Public procurement procedures</w:t>
            </w:r>
          </w:p>
        </w:tc>
        <w:tc>
          <w:tcPr>
            <w:tcW w:w="3828" w:type="dxa"/>
          </w:tcPr>
          <w:p w14:paraId="1AE5C27A"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Reform of the Public Procurement Procedures Act</w:t>
            </w:r>
          </w:p>
        </w:tc>
        <w:tc>
          <w:tcPr>
            <w:tcW w:w="708" w:type="dxa"/>
            <w:vAlign w:val="center"/>
          </w:tcPr>
          <w:p w14:paraId="7B62893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Q1/2022</w:t>
            </w:r>
          </w:p>
        </w:tc>
        <w:tc>
          <w:tcPr>
            <w:tcW w:w="1277" w:type="dxa"/>
            <w:vAlign w:val="center"/>
          </w:tcPr>
          <w:p w14:paraId="0E36634A"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26A00122" w14:textId="77777777" w:rsidTr="002B1847">
        <w:trPr>
          <w:trHeight w:val="276"/>
        </w:trPr>
        <w:tc>
          <w:tcPr>
            <w:tcW w:w="3402" w:type="dxa"/>
          </w:tcPr>
          <w:p w14:paraId="287CECF9"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Public procurement procedures</w:t>
            </w:r>
          </w:p>
        </w:tc>
        <w:tc>
          <w:tcPr>
            <w:tcW w:w="3828" w:type="dxa"/>
          </w:tcPr>
          <w:p w14:paraId="5B9BDCB4"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Digitalisation of public procurement processes through a single electronic platform.</w:t>
            </w:r>
          </w:p>
        </w:tc>
        <w:tc>
          <w:tcPr>
            <w:tcW w:w="708" w:type="dxa"/>
            <w:vAlign w:val="center"/>
          </w:tcPr>
          <w:p w14:paraId="056ED3D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Q2/2023</w:t>
            </w:r>
          </w:p>
        </w:tc>
        <w:tc>
          <w:tcPr>
            <w:tcW w:w="1277" w:type="dxa"/>
            <w:vAlign w:val="center"/>
          </w:tcPr>
          <w:p w14:paraId="07C1888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2B5FD41A" w14:textId="77777777" w:rsidTr="002B1847">
        <w:trPr>
          <w:trHeight w:val="276"/>
        </w:trPr>
        <w:tc>
          <w:tcPr>
            <w:tcW w:w="3402" w:type="dxa"/>
          </w:tcPr>
          <w:p w14:paraId="63583783"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Capacities for reforms to reduce regulatory burden</w:t>
            </w:r>
          </w:p>
        </w:tc>
        <w:tc>
          <w:tcPr>
            <w:tcW w:w="3828" w:type="dxa"/>
          </w:tcPr>
          <w:p w14:paraId="4A568557"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Application of the 1in-2out rule, the principle of protection against unjustified goldplating and ex post evaluations of existing regulation</w:t>
            </w:r>
          </w:p>
        </w:tc>
        <w:tc>
          <w:tcPr>
            <w:tcW w:w="708" w:type="dxa"/>
            <w:vAlign w:val="center"/>
          </w:tcPr>
          <w:p w14:paraId="744631E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Q2/2025</w:t>
            </w:r>
          </w:p>
        </w:tc>
        <w:tc>
          <w:tcPr>
            <w:tcW w:w="1277" w:type="dxa"/>
            <w:vAlign w:val="center"/>
          </w:tcPr>
          <w:p w14:paraId="43F50F7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10CCB160" w14:textId="77777777" w:rsidTr="002B1847">
        <w:trPr>
          <w:trHeight w:val="276"/>
        </w:trPr>
        <w:tc>
          <w:tcPr>
            <w:tcW w:w="3402" w:type="dxa"/>
          </w:tcPr>
          <w:p w14:paraId="1658AAEF"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Digitalisation of insolvency processes</w:t>
            </w:r>
          </w:p>
        </w:tc>
        <w:tc>
          <w:tcPr>
            <w:tcW w:w="3828" w:type="dxa"/>
          </w:tcPr>
          <w:p w14:paraId="62A26338"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A single, fully digitised insolvency process is fully operational.</w:t>
            </w:r>
          </w:p>
        </w:tc>
        <w:tc>
          <w:tcPr>
            <w:tcW w:w="708" w:type="dxa"/>
            <w:vAlign w:val="center"/>
          </w:tcPr>
          <w:p w14:paraId="0AC557BA"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Q4/2024</w:t>
            </w:r>
          </w:p>
        </w:tc>
        <w:tc>
          <w:tcPr>
            <w:tcW w:w="1277" w:type="dxa"/>
            <w:vAlign w:val="center"/>
          </w:tcPr>
          <w:p w14:paraId="4FC34220"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614170CF" w14:textId="77777777" w:rsidTr="002B1847">
        <w:trPr>
          <w:trHeight w:val="276"/>
        </w:trPr>
        <w:tc>
          <w:tcPr>
            <w:tcW w:w="3402" w:type="dxa"/>
          </w:tcPr>
          <w:p w14:paraId="17BD6AFF"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Reorganising the judicial map</w:t>
            </w:r>
          </w:p>
        </w:tc>
        <w:tc>
          <w:tcPr>
            <w:tcW w:w="3828" w:type="dxa"/>
          </w:tcPr>
          <w:p w14:paraId="58BE782D"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Definition of a new judicial map</w:t>
            </w:r>
          </w:p>
        </w:tc>
        <w:tc>
          <w:tcPr>
            <w:tcW w:w="708" w:type="dxa"/>
            <w:vAlign w:val="center"/>
          </w:tcPr>
          <w:p w14:paraId="1E15316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Q4/2021</w:t>
            </w:r>
          </w:p>
        </w:tc>
        <w:tc>
          <w:tcPr>
            <w:tcW w:w="1277" w:type="dxa"/>
            <w:vAlign w:val="center"/>
          </w:tcPr>
          <w:p w14:paraId="2E14710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5486C01D" w14:textId="77777777" w:rsidTr="002B1847">
        <w:trPr>
          <w:trHeight w:val="276"/>
        </w:trPr>
        <w:tc>
          <w:tcPr>
            <w:tcW w:w="3402" w:type="dxa"/>
          </w:tcPr>
          <w:p w14:paraId="2691AFC9"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Reorganising the judicial map</w:t>
            </w:r>
          </w:p>
        </w:tc>
        <w:tc>
          <w:tcPr>
            <w:tcW w:w="3828" w:type="dxa"/>
          </w:tcPr>
          <w:p w14:paraId="3E116BCA"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The introduction of the new court network</w:t>
            </w:r>
          </w:p>
        </w:tc>
        <w:tc>
          <w:tcPr>
            <w:tcW w:w="708" w:type="dxa"/>
            <w:vAlign w:val="center"/>
          </w:tcPr>
          <w:p w14:paraId="3D60FFF2"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Q1/2023</w:t>
            </w:r>
          </w:p>
        </w:tc>
        <w:tc>
          <w:tcPr>
            <w:tcW w:w="1277" w:type="dxa"/>
            <w:vAlign w:val="center"/>
          </w:tcPr>
          <w:p w14:paraId="4D47BF6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4D412850" w14:textId="77777777" w:rsidTr="002B1847">
        <w:trPr>
          <w:trHeight w:val="276"/>
        </w:trPr>
        <w:tc>
          <w:tcPr>
            <w:tcW w:w="3402" w:type="dxa"/>
          </w:tcPr>
          <w:p w14:paraId="5084EF60"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Fighting corruption and strengthening the integrity and independence of the judiciary</w:t>
            </w:r>
          </w:p>
        </w:tc>
        <w:tc>
          <w:tcPr>
            <w:tcW w:w="3828" w:type="dxa"/>
          </w:tcPr>
          <w:p w14:paraId="16E023B9"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Package of laws to fight corruption and strengthen integrity and independence of the justice system</w:t>
            </w:r>
          </w:p>
        </w:tc>
        <w:tc>
          <w:tcPr>
            <w:tcW w:w="708" w:type="dxa"/>
            <w:vAlign w:val="center"/>
          </w:tcPr>
          <w:p w14:paraId="2FC72EA0"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Q3/2021</w:t>
            </w:r>
          </w:p>
        </w:tc>
        <w:tc>
          <w:tcPr>
            <w:tcW w:w="1277" w:type="dxa"/>
            <w:vAlign w:val="center"/>
          </w:tcPr>
          <w:p w14:paraId="07546F5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66B9BA88" w14:textId="77777777" w:rsidTr="002B1847">
        <w:trPr>
          <w:trHeight w:val="276"/>
        </w:trPr>
        <w:tc>
          <w:tcPr>
            <w:tcW w:w="3402" w:type="dxa"/>
          </w:tcPr>
          <w:p w14:paraId="57B4639F"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Buildings for the reorganised court system</w:t>
            </w:r>
          </w:p>
        </w:tc>
        <w:tc>
          <w:tcPr>
            <w:tcW w:w="3828" w:type="dxa"/>
          </w:tcPr>
          <w:p w14:paraId="3E5EAD71"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Reconstructed area of court buildings in m²</w:t>
            </w:r>
          </w:p>
        </w:tc>
        <w:tc>
          <w:tcPr>
            <w:tcW w:w="708" w:type="dxa"/>
            <w:vAlign w:val="center"/>
          </w:tcPr>
          <w:p w14:paraId="5130AA5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53044AE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Delayed</w:t>
            </w:r>
          </w:p>
        </w:tc>
      </w:tr>
      <w:tr w:rsidR="00C24F6F" w:rsidRPr="003677B2" w14:paraId="1CD1054B" w14:textId="77777777" w:rsidTr="002B1847">
        <w:trPr>
          <w:trHeight w:val="276"/>
        </w:trPr>
        <w:tc>
          <w:tcPr>
            <w:tcW w:w="3402" w:type="dxa"/>
          </w:tcPr>
          <w:p w14:paraId="7E35EBF6"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Buildings for the reorganised court system</w:t>
            </w:r>
          </w:p>
        </w:tc>
        <w:tc>
          <w:tcPr>
            <w:tcW w:w="3828" w:type="dxa"/>
          </w:tcPr>
          <w:p w14:paraId="75AA4688"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Area of court buildings constructed or purchased (in m²)</w:t>
            </w:r>
          </w:p>
        </w:tc>
        <w:tc>
          <w:tcPr>
            <w:tcW w:w="708" w:type="dxa"/>
            <w:vAlign w:val="center"/>
          </w:tcPr>
          <w:p w14:paraId="2060CD8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Q4/2025</w:t>
            </w:r>
          </w:p>
        </w:tc>
        <w:tc>
          <w:tcPr>
            <w:tcW w:w="1277" w:type="dxa"/>
            <w:vAlign w:val="center"/>
          </w:tcPr>
          <w:p w14:paraId="3CB8E90A"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Not completed</w:t>
            </w:r>
          </w:p>
        </w:tc>
      </w:tr>
      <w:tr w:rsidR="00C24F6F" w:rsidRPr="003677B2" w14:paraId="71502F82" w14:textId="77777777" w:rsidTr="002B1847">
        <w:trPr>
          <w:trHeight w:val="276"/>
        </w:trPr>
        <w:tc>
          <w:tcPr>
            <w:tcW w:w="3402" w:type="dxa"/>
          </w:tcPr>
          <w:p w14:paraId="19C4CDDD"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Digitalisation and analytical capacities</w:t>
            </w:r>
          </w:p>
        </w:tc>
        <w:tc>
          <w:tcPr>
            <w:tcW w:w="3828" w:type="dxa"/>
          </w:tcPr>
          <w:p w14:paraId="2E1A52EE"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Development and handover of an IT system – Business Register</w:t>
            </w:r>
          </w:p>
        </w:tc>
        <w:tc>
          <w:tcPr>
            <w:tcW w:w="708" w:type="dxa"/>
            <w:vAlign w:val="center"/>
          </w:tcPr>
          <w:p w14:paraId="42EC3E6A"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7C234D0F"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Delayed</w:t>
            </w:r>
          </w:p>
        </w:tc>
      </w:tr>
      <w:tr w:rsidR="00C24F6F" w:rsidRPr="003677B2" w14:paraId="1FEE679A" w14:textId="77777777" w:rsidTr="002B1847">
        <w:trPr>
          <w:trHeight w:val="276"/>
        </w:trPr>
        <w:tc>
          <w:tcPr>
            <w:tcW w:w="3402" w:type="dxa"/>
          </w:tcPr>
          <w:p w14:paraId="2C3B8032"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Digitalisation and analytical capacities</w:t>
            </w:r>
          </w:p>
        </w:tc>
        <w:tc>
          <w:tcPr>
            <w:tcW w:w="3828" w:type="dxa"/>
          </w:tcPr>
          <w:p w14:paraId="01B1BC49"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Modernisation of court IT equipment for the court staff</w:t>
            </w:r>
          </w:p>
        </w:tc>
        <w:tc>
          <w:tcPr>
            <w:tcW w:w="708" w:type="dxa"/>
            <w:vAlign w:val="center"/>
          </w:tcPr>
          <w:p w14:paraId="1A90DFE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Q2/2025</w:t>
            </w:r>
          </w:p>
        </w:tc>
        <w:tc>
          <w:tcPr>
            <w:tcW w:w="1277" w:type="dxa"/>
            <w:vAlign w:val="center"/>
          </w:tcPr>
          <w:p w14:paraId="42E9D71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60DB9022" w14:textId="77777777" w:rsidTr="002B1847">
        <w:trPr>
          <w:trHeight w:val="276"/>
        </w:trPr>
        <w:tc>
          <w:tcPr>
            <w:tcW w:w="3402" w:type="dxa"/>
          </w:tcPr>
          <w:p w14:paraId="18094049"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Digitalisation and analytical capacities</w:t>
            </w:r>
          </w:p>
        </w:tc>
        <w:tc>
          <w:tcPr>
            <w:tcW w:w="3828" w:type="dxa"/>
          </w:tcPr>
          <w:p w14:paraId="35F3F2FB"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Creation of an analytical support platform for access to case law in courts</w:t>
            </w:r>
          </w:p>
        </w:tc>
        <w:tc>
          <w:tcPr>
            <w:tcW w:w="708" w:type="dxa"/>
            <w:vAlign w:val="center"/>
          </w:tcPr>
          <w:p w14:paraId="6ABD6571"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Q4/2025</w:t>
            </w:r>
          </w:p>
        </w:tc>
        <w:tc>
          <w:tcPr>
            <w:tcW w:w="1277" w:type="dxa"/>
            <w:vAlign w:val="center"/>
          </w:tcPr>
          <w:p w14:paraId="7EE98D38"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5206D75C" w14:textId="77777777" w:rsidTr="002B1847">
        <w:trPr>
          <w:trHeight w:val="276"/>
        </w:trPr>
        <w:tc>
          <w:tcPr>
            <w:tcW w:w="3402" w:type="dxa"/>
          </w:tcPr>
          <w:p w14:paraId="62354CAE"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Making the fight against corruption and money laundering more effective</w:t>
            </w:r>
          </w:p>
        </w:tc>
        <w:tc>
          <w:tcPr>
            <w:tcW w:w="3828" w:type="dxa"/>
          </w:tcPr>
          <w:p w14:paraId="31CB915E"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Reforms to streamline and improve financial investigations</w:t>
            </w:r>
          </w:p>
        </w:tc>
        <w:tc>
          <w:tcPr>
            <w:tcW w:w="708" w:type="dxa"/>
            <w:vAlign w:val="center"/>
          </w:tcPr>
          <w:p w14:paraId="69949B0A"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Q1/2022</w:t>
            </w:r>
          </w:p>
        </w:tc>
        <w:tc>
          <w:tcPr>
            <w:tcW w:w="1277" w:type="dxa"/>
            <w:vAlign w:val="center"/>
          </w:tcPr>
          <w:p w14:paraId="050CAAF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31C1FB0D" w14:textId="77777777" w:rsidTr="002B1847">
        <w:trPr>
          <w:trHeight w:val="276"/>
        </w:trPr>
        <w:tc>
          <w:tcPr>
            <w:tcW w:w="3402" w:type="dxa"/>
          </w:tcPr>
          <w:p w14:paraId="6B80CF44"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Modernising and building capacity of the police force</w:t>
            </w:r>
          </w:p>
        </w:tc>
        <w:tc>
          <w:tcPr>
            <w:tcW w:w="3828" w:type="dxa"/>
          </w:tcPr>
          <w:p w14:paraId="479C64A8"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Implementation of organisational changes to police to increase the efficiency of crime detection, investigation and detection of corruption</w:t>
            </w:r>
          </w:p>
        </w:tc>
        <w:tc>
          <w:tcPr>
            <w:tcW w:w="708" w:type="dxa"/>
            <w:vAlign w:val="center"/>
          </w:tcPr>
          <w:p w14:paraId="55CE4BB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Q4/2021</w:t>
            </w:r>
          </w:p>
        </w:tc>
        <w:tc>
          <w:tcPr>
            <w:tcW w:w="1277" w:type="dxa"/>
            <w:vAlign w:val="center"/>
          </w:tcPr>
          <w:p w14:paraId="663C48C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6C506A1F" w14:textId="77777777" w:rsidTr="002B1847">
        <w:trPr>
          <w:trHeight w:val="276"/>
        </w:trPr>
        <w:tc>
          <w:tcPr>
            <w:tcW w:w="3402" w:type="dxa"/>
          </w:tcPr>
          <w:p w14:paraId="79C8F0FE"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Optimising crisis management</w:t>
            </w:r>
          </w:p>
        </w:tc>
        <w:tc>
          <w:tcPr>
            <w:tcW w:w="3828" w:type="dxa"/>
          </w:tcPr>
          <w:p w14:paraId="2CD24739"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Entry into force of the optimised crisis management</w:t>
            </w:r>
          </w:p>
        </w:tc>
        <w:tc>
          <w:tcPr>
            <w:tcW w:w="708" w:type="dxa"/>
            <w:vAlign w:val="center"/>
          </w:tcPr>
          <w:p w14:paraId="1A030E6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Q1/2023</w:t>
            </w:r>
          </w:p>
        </w:tc>
        <w:tc>
          <w:tcPr>
            <w:tcW w:w="1277" w:type="dxa"/>
            <w:vAlign w:val="center"/>
          </w:tcPr>
          <w:p w14:paraId="024D58B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089F3656" w14:textId="77777777" w:rsidTr="002B1847">
        <w:trPr>
          <w:trHeight w:val="276"/>
        </w:trPr>
        <w:tc>
          <w:tcPr>
            <w:tcW w:w="3402" w:type="dxa"/>
          </w:tcPr>
          <w:p w14:paraId="64040FB6"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lastRenderedPageBreak/>
              <w:t>Tools and capacity for the fight against corruption and money laundering</w:t>
            </w:r>
          </w:p>
        </w:tc>
        <w:tc>
          <w:tcPr>
            <w:tcW w:w="3828" w:type="dxa"/>
          </w:tcPr>
          <w:p w14:paraId="0ADBB1FB"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Providing necessary Infrastructure to support the fight against money laundering and corruption</w:t>
            </w:r>
          </w:p>
        </w:tc>
        <w:tc>
          <w:tcPr>
            <w:tcW w:w="708" w:type="dxa"/>
            <w:vAlign w:val="center"/>
          </w:tcPr>
          <w:p w14:paraId="29479D2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Q4/2023</w:t>
            </w:r>
          </w:p>
        </w:tc>
        <w:tc>
          <w:tcPr>
            <w:tcW w:w="1277" w:type="dxa"/>
            <w:vAlign w:val="center"/>
          </w:tcPr>
          <w:p w14:paraId="3B640EF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2E8988CF" w14:textId="77777777" w:rsidTr="002B1847">
        <w:trPr>
          <w:trHeight w:val="276"/>
        </w:trPr>
        <w:tc>
          <w:tcPr>
            <w:tcW w:w="3402" w:type="dxa"/>
          </w:tcPr>
          <w:p w14:paraId="5EF4267B"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Tools and capacity for the fight against corruption and money laundering</w:t>
            </w:r>
          </w:p>
        </w:tc>
        <w:tc>
          <w:tcPr>
            <w:tcW w:w="3828" w:type="dxa"/>
          </w:tcPr>
          <w:p w14:paraId="57752116"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Retraining police officers in financial investigations and analytical activities</w:t>
            </w:r>
          </w:p>
        </w:tc>
        <w:tc>
          <w:tcPr>
            <w:tcW w:w="708" w:type="dxa"/>
            <w:vAlign w:val="center"/>
          </w:tcPr>
          <w:p w14:paraId="4383321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Q4/2023</w:t>
            </w:r>
          </w:p>
        </w:tc>
        <w:tc>
          <w:tcPr>
            <w:tcW w:w="1277" w:type="dxa"/>
            <w:vAlign w:val="center"/>
          </w:tcPr>
          <w:p w14:paraId="1B267CA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21B5FA16" w14:textId="77777777" w:rsidTr="002B1847">
        <w:trPr>
          <w:trHeight w:val="276"/>
        </w:trPr>
        <w:tc>
          <w:tcPr>
            <w:tcW w:w="3402" w:type="dxa"/>
          </w:tcPr>
          <w:p w14:paraId="6D523B1F"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Equipping and digitalising the police force</w:t>
            </w:r>
          </w:p>
        </w:tc>
        <w:tc>
          <w:tcPr>
            <w:tcW w:w="3828" w:type="dxa"/>
          </w:tcPr>
          <w:p w14:paraId="06B310DF"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Training related to the police reform are rolled out</w:t>
            </w:r>
          </w:p>
        </w:tc>
        <w:tc>
          <w:tcPr>
            <w:tcW w:w="708" w:type="dxa"/>
            <w:vAlign w:val="center"/>
          </w:tcPr>
          <w:p w14:paraId="1E9AF130"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Q4/2024</w:t>
            </w:r>
          </w:p>
        </w:tc>
        <w:tc>
          <w:tcPr>
            <w:tcW w:w="1277" w:type="dxa"/>
            <w:vAlign w:val="center"/>
          </w:tcPr>
          <w:p w14:paraId="39237E6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7DF2A1F7" w14:textId="77777777" w:rsidTr="002B1847">
        <w:trPr>
          <w:trHeight w:val="276"/>
        </w:trPr>
        <w:tc>
          <w:tcPr>
            <w:tcW w:w="3402" w:type="dxa"/>
          </w:tcPr>
          <w:p w14:paraId="5D47D357"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Equipping and digitalising the police force</w:t>
            </w:r>
          </w:p>
        </w:tc>
        <w:tc>
          <w:tcPr>
            <w:tcW w:w="3828" w:type="dxa"/>
          </w:tcPr>
          <w:p w14:paraId="27839709"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Purchase of new vehicles (10 % of the fleet) of electric and hybrid vehicles</w:t>
            </w:r>
          </w:p>
        </w:tc>
        <w:tc>
          <w:tcPr>
            <w:tcW w:w="708" w:type="dxa"/>
            <w:vAlign w:val="center"/>
          </w:tcPr>
          <w:p w14:paraId="7E45F35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Q4/2022</w:t>
            </w:r>
          </w:p>
        </w:tc>
        <w:tc>
          <w:tcPr>
            <w:tcW w:w="1277" w:type="dxa"/>
            <w:vAlign w:val="center"/>
          </w:tcPr>
          <w:p w14:paraId="5C95E80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79941722" w14:textId="77777777" w:rsidTr="002B1847">
        <w:trPr>
          <w:trHeight w:val="276"/>
        </w:trPr>
        <w:tc>
          <w:tcPr>
            <w:tcW w:w="3402" w:type="dxa"/>
          </w:tcPr>
          <w:p w14:paraId="603C69A1"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Equipping and digitalising the police force</w:t>
            </w:r>
          </w:p>
        </w:tc>
        <w:tc>
          <w:tcPr>
            <w:tcW w:w="3828" w:type="dxa"/>
          </w:tcPr>
          <w:p w14:paraId="08AD2AB8"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Extent of the renovated floor area of police buildings to reduce the energy intensity of buildings (in m²)</w:t>
            </w:r>
          </w:p>
        </w:tc>
        <w:tc>
          <w:tcPr>
            <w:tcW w:w="708" w:type="dxa"/>
            <w:vAlign w:val="center"/>
          </w:tcPr>
          <w:p w14:paraId="764C978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Q2/2025</w:t>
            </w:r>
          </w:p>
        </w:tc>
        <w:tc>
          <w:tcPr>
            <w:tcW w:w="1277" w:type="dxa"/>
            <w:vAlign w:val="center"/>
          </w:tcPr>
          <w:p w14:paraId="735E0934"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Not completed</w:t>
            </w:r>
          </w:p>
        </w:tc>
      </w:tr>
      <w:tr w:rsidR="00C24F6F" w:rsidRPr="003677B2" w14:paraId="4F0A3400" w14:textId="77777777" w:rsidTr="002B1847">
        <w:trPr>
          <w:trHeight w:val="276"/>
        </w:trPr>
        <w:tc>
          <w:tcPr>
            <w:tcW w:w="3402" w:type="dxa"/>
          </w:tcPr>
          <w:p w14:paraId="41486E4F"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Equipping and digitalising the police force</w:t>
            </w:r>
          </w:p>
        </w:tc>
        <w:tc>
          <w:tcPr>
            <w:tcW w:w="3828" w:type="dxa"/>
          </w:tcPr>
          <w:p w14:paraId="12BCA963"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Electronicising residence permit processes to simplify processes for the public</w:t>
            </w:r>
          </w:p>
        </w:tc>
        <w:tc>
          <w:tcPr>
            <w:tcW w:w="708" w:type="dxa"/>
            <w:vAlign w:val="center"/>
          </w:tcPr>
          <w:p w14:paraId="6ABB08E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Q4/2024</w:t>
            </w:r>
          </w:p>
        </w:tc>
        <w:tc>
          <w:tcPr>
            <w:tcW w:w="1277" w:type="dxa"/>
            <w:vAlign w:val="center"/>
          </w:tcPr>
          <w:p w14:paraId="2450E91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1CF80D89" w14:textId="77777777" w:rsidTr="002B1847">
        <w:trPr>
          <w:trHeight w:val="276"/>
        </w:trPr>
        <w:tc>
          <w:tcPr>
            <w:tcW w:w="3402" w:type="dxa"/>
          </w:tcPr>
          <w:p w14:paraId="5579C362"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Equipping and digitalising the police force</w:t>
            </w:r>
          </w:p>
        </w:tc>
        <w:tc>
          <w:tcPr>
            <w:tcW w:w="3828" w:type="dxa"/>
          </w:tcPr>
          <w:p w14:paraId="3B496935"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Upgrade of the system for detecting road traffic infringements</w:t>
            </w:r>
          </w:p>
        </w:tc>
        <w:tc>
          <w:tcPr>
            <w:tcW w:w="708" w:type="dxa"/>
            <w:vAlign w:val="center"/>
          </w:tcPr>
          <w:p w14:paraId="0A55F198"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1E2217C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Delayed</w:t>
            </w:r>
          </w:p>
        </w:tc>
      </w:tr>
      <w:tr w:rsidR="00C24F6F" w:rsidRPr="003677B2" w14:paraId="679713AC" w14:textId="77777777" w:rsidTr="002B1847">
        <w:trPr>
          <w:trHeight w:val="276"/>
        </w:trPr>
        <w:tc>
          <w:tcPr>
            <w:tcW w:w="3402" w:type="dxa"/>
          </w:tcPr>
          <w:p w14:paraId="732BF01F"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Equipping and digitalising the police force</w:t>
            </w:r>
          </w:p>
        </w:tc>
        <w:tc>
          <w:tcPr>
            <w:tcW w:w="3828" w:type="dxa"/>
          </w:tcPr>
          <w:p w14:paraId="77A7CDAB"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New artificial intelligence platform</w:t>
            </w:r>
          </w:p>
        </w:tc>
        <w:tc>
          <w:tcPr>
            <w:tcW w:w="708" w:type="dxa"/>
            <w:vAlign w:val="center"/>
          </w:tcPr>
          <w:p w14:paraId="7B8A156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7B64DD9F"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198198A5" w14:textId="77777777" w:rsidTr="002B1847">
        <w:trPr>
          <w:trHeight w:val="276"/>
        </w:trPr>
        <w:tc>
          <w:tcPr>
            <w:tcW w:w="3402" w:type="dxa"/>
          </w:tcPr>
          <w:p w14:paraId="29DA9184"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Modernisation of the fire and rescue system</w:t>
            </w:r>
          </w:p>
        </w:tc>
        <w:tc>
          <w:tcPr>
            <w:tcW w:w="3828" w:type="dxa"/>
          </w:tcPr>
          <w:p w14:paraId="410D3B3C"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Modernisation of firefighting stations</w:t>
            </w:r>
          </w:p>
        </w:tc>
        <w:tc>
          <w:tcPr>
            <w:tcW w:w="708" w:type="dxa"/>
            <w:vAlign w:val="center"/>
          </w:tcPr>
          <w:p w14:paraId="33A6552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0F1E53C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Delayed</w:t>
            </w:r>
          </w:p>
        </w:tc>
      </w:tr>
      <w:tr w:rsidR="00C24F6F" w:rsidRPr="003677B2" w14:paraId="34C150DC" w14:textId="77777777" w:rsidTr="002B1847">
        <w:trPr>
          <w:trHeight w:val="276"/>
        </w:trPr>
        <w:tc>
          <w:tcPr>
            <w:tcW w:w="3402" w:type="dxa"/>
          </w:tcPr>
          <w:p w14:paraId="1BC9BC1F"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Modernisation of the fire and rescue system</w:t>
            </w:r>
          </w:p>
        </w:tc>
        <w:tc>
          <w:tcPr>
            <w:tcW w:w="3828" w:type="dxa"/>
          </w:tcPr>
          <w:p w14:paraId="2542C45C"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Delivery of an Integrated Security Centre and a virtual Integrated Security Centre</w:t>
            </w:r>
          </w:p>
        </w:tc>
        <w:tc>
          <w:tcPr>
            <w:tcW w:w="708" w:type="dxa"/>
            <w:vAlign w:val="center"/>
          </w:tcPr>
          <w:p w14:paraId="0D73C1C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2CDCFC21"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Delayed</w:t>
            </w:r>
          </w:p>
        </w:tc>
      </w:tr>
      <w:tr w:rsidR="00C24F6F" w:rsidRPr="003677B2" w14:paraId="69CBA5F8" w14:textId="77777777" w:rsidTr="002B1847">
        <w:trPr>
          <w:trHeight w:val="276"/>
        </w:trPr>
        <w:tc>
          <w:tcPr>
            <w:tcW w:w="3402" w:type="dxa"/>
          </w:tcPr>
          <w:p w14:paraId="7747DDB6"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Streamlining, optimising and strengthening administrative capacity at different levels of government</w:t>
            </w:r>
          </w:p>
        </w:tc>
        <w:tc>
          <w:tcPr>
            <w:tcW w:w="3828" w:type="dxa"/>
          </w:tcPr>
          <w:p w14:paraId="1B118E7F"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Minimising implementation risk by establishing a coordination, financial and implementing body (NIKA) for the Recovery and Resilience Facility</w:t>
            </w:r>
          </w:p>
        </w:tc>
        <w:tc>
          <w:tcPr>
            <w:tcW w:w="708" w:type="dxa"/>
            <w:vAlign w:val="center"/>
          </w:tcPr>
          <w:p w14:paraId="0B946FE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Q3/2022</w:t>
            </w:r>
          </w:p>
        </w:tc>
        <w:tc>
          <w:tcPr>
            <w:tcW w:w="1277" w:type="dxa"/>
            <w:vAlign w:val="center"/>
          </w:tcPr>
          <w:p w14:paraId="5895117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7A8CF6F5" w14:textId="77777777" w:rsidTr="002B1847">
        <w:trPr>
          <w:trHeight w:val="276"/>
        </w:trPr>
        <w:tc>
          <w:tcPr>
            <w:tcW w:w="3402" w:type="dxa"/>
          </w:tcPr>
          <w:p w14:paraId="44AB0D96"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Streamlining, optimising and strengthening administrative capacity at different levels of government</w:t>
            </w:r>
          </w:p>
        </w:tc>
        <w:tc>
          <w:tcPr>
            <w:tcW w:w="3828" w:type="dxa"/>
          </w:tcPr>
          <w:p w14:paraId="7134FBF2"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Audit &amp; controls: legal basis</w:t>
            </w:r>
          </w:p>
        </w:tc>
        <w:tc>
          <w:tcPr>
            <w:tcW w:w="708" w:type="dxa"/>
            <w:vAlign w:val="center"/>
          </w:tcPr>
          <w:p w14:paraId="18B2658F"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Q4/2021</w:t>
            </w:r>
          </w:p>
        </w:tc>
        <w:tc>
          <w:tcPr>
            <w:tcW w:w="1277" w:type="dxa"/>
            <w:vAlign w:val="center"/>
          </w:tcPr>
          <w:p w14:paraId="0EEECF22"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367A6E4C" w14:textId="77777777" w:rsidTr="002B1847">
        <w:trPr>
          <w:trHeight w:val="276"/>
        </w:trPr>
        <w:tc>
          <w:tcPr>
            <w:tcW w:w="3402" w:type="dxa"/>
          </w:tcPr>
          <w:p w14:paraId="0CEB0A45"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Streamlining, optimising and strengthening administrative capacity at different levels of government</w:t>
            </w:r>
          </w:p>
        </w:tc>
        <w:tc>
          <w:tcPr>
            <w:tcW w:w="3828" w:type="dxa"/>
          </w:tcPr>
          <w:p w14:paraId="2FF5B6E2"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RRP Repository System: information for monitoring implementation of RRP</w:t>
            </w:r>
          </w:p>
        </w:tc>
        <w:tc>
          <w:tcPr>
            <w:tcW w:w="708" w:type="dxa"/>
            <w:vAlign w:val="center"/>
          </w:tcPr>
          <w:p w14:paraId="0075D05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Q4/2021</w:t>
            </w:r>
          </w:p>
        </w:tc>
        <w:tc>
          <w:tcPr>
            <w:tcW w:w="1277" w:type="dxa"/>
            <w:vAlign w:val="center"/>
          </w:tcPr>
          <w:p w14:paraId="42C5B9E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4AA92766" w14:textId="77777777" w:rsidTr="002B1847">
        <w:trPr>
          <w:trHeight w:val="276"/>
        </w:trPr>
        <w:tc>
          <w:tcPr>
            <w:tcW w:w="3402" w:type="dxa"/>
          </w:tcPr>
          <w:p w14:paraId="11E63D91"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Streamlining, optimising and strengthening administrative capacity at different levels of government</w:t>
            </w:r>
          </w:p>
        </w:tc>
        <w:tc>
          <w:tcPr>
            <w:tcW w:w="3828" w:type="dxa"/>
          </w:tcPr>
          <w:p w14:paraId="48D4A2FD"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Establishment of shared service centres.</w:t>
            </w:r>
          </w:p>
        </w:tc>
        <w:tc>
          <w:tcPr>
            <w:tcW w:w="708" w:type="dxa"/>
            <w:vAlign w:val="center"/>
          </w:tcPr>
          <w:p w14:paraId="207DB06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Q4/2024</w:t>
            </w:r>
          </w:p>
        </w:tc>
        <w:tc>
          <w:tcPr>
            <w:tcW w:w="1277" w:type="dxa"/>
            <w:vAlign w:val="center"/>
          </w:tcPr>
          <w:p w14:paraId="10E5603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6A2B9002" w14:textId="77777777" w:rsidTr="002B1847">
        <w:trPr>
          <w:trHeight w:val="276"/>
        </w:trPr>
        <w:tc>
          <w:tcPr>
            <w:tcW w:w="3402" w:type="dxa"/>
          </w:tcPr>
          <w:p w14:paraId="565952D7"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Streamlining, optimising and strengthening administrative capacity at different levels of government</w:t>
            </w:r>
          </w:p>
        </w:tc>
        <w:tc>
          <w:tcPr>
            <w:tcW w:w="3828" w:type="dxa"/>
          </w:tcPr>
          <w:p w14:paraId="3BCBD354"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New hardware equipment for public administration (Ministry of Interior of the SR)</w:t>
            </w:r>
          </w:p>
        </w:tc>
        <w:tc>
          <w:tcPr>
            <w:tcW w:w="708" w:type="dxa"/>
            <w:vAlign w:val="center"/>
          </w:tcPr>
          <w:p w14:paraId="15771376"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1432567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Delayed</w:t>
            </w:r>
          </w:p>
        </w:tc>
      </w:tr>
      <w:tr w:rsidR="00C24F6F" w:rsidRPr="003677B2" w14:paraId="5E3B0CF1" w14:textId="77777777" w:rsidTr="002B1847">
        <w:trPr>
          <w:trHeight w:val="276"/>
        </w:trPr>
        <w:tc>
          <w:tcPr>
            <w:tcW w:w="3402" w:type="dxa"/>
          </w:tcPr>
          <w:p w14:paraId="24407DD6"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Streamlining, optimising and strengthening administrative capacity at different levels of government</w:t>
            </w:r>
          </w:p>
        </w:tc>
        <w:tc>
          <w:tcPr>
            <w:tcW w:w="3828" w:type="dxa"/>
          </w:tcPr>
          <w:p w14:paraId="59283DCD"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New hardware equipment for public administration.</w:t>
            </w:r>
          </w:p>
        </w:tc>
        <w:tc>
          <w:tcPr>
            <w:tcW w:w="708" w:type="dxa"/>
            <w:vAlign w:val="center"/>
          </w:tcPr>
          <w:p w14:paraId="77D7D11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2D7E381A"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Delayed</w:t>
            </w:r>
          </w:p>
        </w:tc>
      </w:tr>
      <w:tr w:rsidR="00C24F6F" w:rsidRPr="003677B2" w14:paraId="54A80E7F" w14:textId="77777777" w:rsidTr="002B1847">
        <w:trPr>
          <w:trHeight w:val="276"/>
        </w:trPr>
        <w:tc>
          <w:tcPr>
            <w:tcW w:w="3402" w:type="dxa"/>
          </w:tcPr>
          <w:p w14:paraId="1A6C6F0A"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Creating eGovernment solutions for priority life situations</w:t>
            </w:r>
          </w:p>
        </w:tc>
        <w:tc>
          <w:tcPr>
            <w:tcW w:w="3828" w:type="dxa"/>
          </w:tcPr>
          <w:p w14:paraId="4CECA547"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Investment plan for priority life situations</w:t>
            </w:r>
          </w:p>
        </w:tc>
        <w:tc>
          <w:tcPr>
            <w:tcW w:w="708" w:type="dxa"/>
            <w:vAlign w:val="center"/>
          </w:tcPr>
          <w:p w14:paraId="2D8D7C0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Q4/2022</w:t>
            </w:r>
          </w:p>
        </w:tc>
        <w:tc>
          <w:tcPr>
            <w:tcW w:w="1277" w:type="dxa"/>
            <w:vAlign w:val="center"/>
          </w:tcPr>
          <w:p w14:paraId="27DC9760"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7AA427ED" w14:textId="77777777" w:rsidTr="002B1847">
        <w:trPr>
          <w:trHeight w:val="276"/>
        </w:trPr>
        <w:tc>
          <w:tcPr>
            <w:tcW w:w="3402" w:type="dxa"/>
          </w:tcPr>
          <w:p w14:paraId="4E41090F"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Creating eGovernment solutions for priority life situations</w:t>
            </w:r>
          </w:p>
        </w:tc>
        <w:tc>
          <w:tcPr>
            <w:tcW w:w="3828" w:type="dxa"/>
          </w:tcPr>
          <w:p w14:paraId="30056602"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Roadmap of the priority life situations</w:t>
            </w:r>
          </w:p>
        </w:tc>
        <w:tc>
          <w:tcPr>
            <w:tcW w:w="708" w:type="dxa"/>
            <w:vAlign w:val="center"/>
          </w:tcPr>
          <w:p w14:paraId="5A27213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Q4/2023</w:t>
            </w:r>
          </w:p>
        </w:tc>
        <w:tc>
          <w:tcPr>
            <w:tcW w:w="1277" w:type="dxa"/>
            <w:vAlign w:val="center"/>
          </w:tcPr>
          <w:p w14:paraId="2A32D1B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3AAC968C" w14:textId="77777777" w:rsidTr="002B1847">
        <w:trPr>
          <w:trHeight w:val="276"/>
        </w:trPr>
        <w:tc>
          <w:tcPr>
            <w:tcW w:w="3402" w:type="dxa"/>
          </w:tcPr>
          <w:p w14:paraId="069CB61F"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Central management of IT resources</w:t>
            </w:r>
          </w:p>
        </w:tc>
        <w:tc>
          <w:tcPr>
            <w:tcW w:w="3828" w:type="dxa"/>
          </w:tcPr>
          <w:p w14:paraId="45038307"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Central platform for the use of IT resources (digital market place)</w:t>
            </w:r>
          </w:p>
        </w:tc>
        <w:tc>
          <w:tcPr>
            <w:tcW w:w="708" w:type="dxa"/>
            <w:vAlign w:val="center"/>
          </w:tcPr>
          <w:p w14:paraId="32C66D20"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Q4/2023</w:t>
            </w:r>
          </w:p>
        </w:tc>
        <w:tc>
          <w:tcPr>
            <w:tcW w:w="1277" w:type="dxa"/>
            <w:vAlign w:val="center"/>
          </w:tcPr>
          <w:p w14:paraId="0155265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003C0F29" w14:textId="77777777" w:rsidTr="002B1847">
        <w:trPr>
          <w:trHeight w:val="276"/>
        </w:trPr>
        <w:tc>
          <w:tcPr>
            <w:tcW w:w="3402" w:type="dxa"/>
          </w:tcPr>
          <w:p w14:paraId="0A184285"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Managing the digital transformation of the economy and society</w:t>
            </w:r>
          </w:p>
        </w:tc>
        <w:tc>
          <w:tcPr>
            <w:tcW w:w="3828" w:type="dxa"/>
          </w:tcPr>
          <w:p w14:paraId="5FBC9619"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Action Plan for the Digital Transformation of Slovakia for years 2023-2026</w:t>
            </w:r>
          </w:p>
        </w:tc>
        <w:tc>
          <w:tcPr>
            <w:tcW w:w="708" w:type="dxa"/>
            <w:vAlign w:val="center"/>
          </w:tcPr>
          <w:p w14:paraId="60D7163F"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Q4/2022</w:t>
            </w:r>
          </w:p>
        </w:tc>
        <w:tc>
          <w:tcPr>
            <w:tcW w:w="1277" w:type="dxa"/>
            <w:vAlign w:val="center"/>
          </w:tcPr>
          <w:p w14:paraId="367D4E92"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7EED1968" w14:textId="77777777" w:rsidTr="002B1847">
        <w:trPr>
          <w:trHeight w:val="276"/>
        </w:trPr>
        <w:tc>
          <w:tcPr>
            <w:tcW w:w="3402" w:type="dxa"/>
          </w:tcPr>
          <w:p w14:paraId="1B1E3C63"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Standardisation of technical and procedural cybersecurity solutions (ITVS – Information technologies for public administration)</w:t>
            </w:r>
          </w:p>
        </w:tc>
        <w:tc>
          <w:tcPr>
            <w:tcW w:w="3828" w:type="dxa"/>
          </w:tcPr>
          <w:p w14:paraId="71FF670C"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National Concept for Informatisation of Public Administration (NKIVS) 2021-2030</w:t>
            </w:r>
          </w:p>
        </w:tc>
        <w:tc>
          <w:tcPr>
            <w:tcW w:w="708" w:type="dxa"/>
            <w:vAlign w:val="center"/>
          </w:tcPr>
          <w:p w14:paraId="6E2131B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Q4/2021</w:t>
            </w:r>
          </w:p>
        </w:tc>
        <w:tc>
          <w:tcPr>
            <w:tcW w:w="1277" w:type="dxa"/>
            <w:vAlign w:val="center"/>
          </w:tcPr>
          <w:p w14:paraId="0A7D2B26"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5F837F47" w14:textId="77777777" w:rsidTr="002B1847">
        <w:trPr>
          <w:trHeight w:val="276"/>
        </w:trPr>
        <w:tc>
          <w:tcPr>
            <w:tcW w:w="3402" w:type="dxa"/>
          </w:tcPr>
          <w:p w14:paraId="68F4AB5B"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Cybersecurity training and skills (ITVS – Information technologies for public administration)</w:t>
            </w:r>
          </w:p>
        </w:tc>
        <w:tc>
          <w:tcPr>
            <w:tcW w:w="3828" w:type="dxa"/>
          </w:tcPr>
          <w:p w14:paraId="0D5EB693"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IT staff in the public administration trained in cybersecurity</w:t>
            </w:r>
          </w:p>
        </w:tc>
        <w:tc>
          <w:tcPr>
            <w:tcW w:w="708" w:type="dxa"/>
            <w:vAlign w:val="center"/>
          </w:tcPr>
          <w:p w14:paraId="058EEA31"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56BB038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Delayed</w:t>
            </w:r>
          </w:p>
        </w:tc>
      </w:tr>
      <w:tr w:rsidR="00C24F6F" w:rsidRPr="003677B2" w14:paraId="183A701A" w14:textId="77777777" w:rsidTr="002B1847">
        <w:trPr>
          <w:trHeight w:val="276"/>
        </w:trPr>
        <w:tc>
          <w:tcPr>
            <w:tcW w:w="3402" w:type="dxa"/>
          </w:tcPr>
          <w:p w14:paraId="52B69ED5"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A strategic approach to education in digital skills in cooperation with representatives of key stakeholders</w:t>
            </w:r>
          </w:p>
        </w:tc>
        <w:tc>
          <w:tcPr>
            <w:tcW w:w="3828" w:type="dxa"/>
          </w:tcPr>
          <w:p w14:paraId="42F83BA1"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National Digital Skills Strategy</w:t>
            </w:r>
          </w:p>
        </w:tc>
        <w:tc>
          <w:tcPr>
            <w:tcW w:w="708" w:type="dxa"/>
            <w:vAlign w:val="center"/>
          </w:tcPr>
          <w:p w14:paraId="481458B1"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Q4/2022</w:t>
            </w:r>
          </w:p>
        </w:tc>
        <w:tc>
          <w:tcPr>
            <w:tcW w:w="1277" w:type="dxa"/>
            <w:vAlign w:val="center"/>
          </w:tcPr>
          <w:p w14:paraId="4F9B69E6"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1685C85F" w14:textId="77777777" w:rsidTr="002B1847">
        <w:trPr>
          <w:trHeight w:val="276"/>
        </w:trPr>
        <w:tc>
          <w:tcPr>
            <w:tcW w:w="3402" w:type="dxa"/>
          </w:tcPr>
          <w:p w14:paraId="14EB5D3B"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Better services for citizens and businesses</w:t>
            </w:r>
          </w:p>
        </w:tc>
        <w:tc>
          <w:tcPr>
            <w:tcW w:w="3828" w:type="dxa"/>
          </w:tcPr>
          <w:p w14:paraId="2464545C"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priority life situations launched and made available to the public using eGovernment solutions</w:t>
            </w:r>
          </w:p>
        </w:tc>
        <w:tc>
          <w:tcPr>
            <w:tcW w:w="708" w:type="dxa"/>
            <w:vAlign w:val="center"/>
          </w:tcPr>
          <w:p w14:paraId="3805228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380AEF2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Delayed</w:t>
            </w:r>
          </w:p>
        </w:tc>
      </w:tr>
      <w:tr w:rsidR="00C24F6F" w:rsidRPr="003677B2" w14:paraId="6D1E84BE" w14:textId="77777777" w:rsidTr="002B1847">
        <w:trPr>
          <w:trHeight w:val="276"/>
        </w:trPr>
        <w:tc>
          <w:tcPr>
            <w:tcW w:w="3402" w:type="dxa"/>
          </w:tcPr>
          <w:p w14:paraId="25649B23"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Digital transformation of public service delivery</w:t>
            </w:r>
          </w:p>
        </w:tc>
        <w:tc>
          <w:tcPr>
            <w:tcW w:w="3828" w:type="dxa"/>
          </w:tcPr>
          <w:p w14:paraId="1FA05127"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Digital transformation of processes of sections in the public administration</w:t>
            </w:r>
          </w:p>
        </w:tc>
        <w:tc>
          <w:tcPr>
            <w:tcW w:w="708" w:type="dxa"/>
            <w:vAlign w:val="center"/>
          </w:tcPr>
          <w:p w14:paraId="64560AE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53EE040F"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Delayed</w:t>
            </w:r>
          </w:p>
        </w:tc>
      </w:tr>
      <w:tr w:rsidR="00C24F6F" w:rsidRPr="003677B2" w14:paraId="67294F2D" w14:textId="77777777" w:rsidTr="002B1847">
        <w:trPr>
          <w:trHeight w:val="276"/>
        </w:trPr>
        <w:tc>
          <w:tcPr>
            <w:tcW w:w="3402" w:type="dxa"/>
          </w:tcPr>
          <w:p w14:paraId="46D7704C"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Engaging in European multi-country projects related to the digital economy</w:t>
            </w:r>
          </w:p>
        </w:tc>
        <w:tc>
          <w:tcPr>
            <w:tcW w:w="3828" w:type="dxa"/>
          </w:tcPr>
          <w:p w14:paraId="51FBF670"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Digital Innovation Hubs/ European Digital Innovation Hubs</w:t>
            </w:r>
          </w:p>
        </w:tc>
        <w:tc>
          <w:tcPr>
            <w:tcW w:w="708" w:type="dxa"/>
            <w:vAlign w:val="center"/>
          </w:tcPr>
          <w:p w14:paraId="4A2A16E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Q3/2022</w:t>
            </w:r>
          </w:p>
        </w:tc>
        <w:tc>
          <w:tcPr>
            <w:tcW w:w="1277" w:type="dxa"/>
            <w:vAlign w:val="center"/>
          </w:tcPr>
          <w:p w14:paraId="4BBE860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735AD97C" w14:textId="77777777" w:rsidTr="002B1847">
        <w:trPr>
          <w:trHeight w:val="276"/>
        </w:trPr>
        <w:tc>
          <w:tcPr>
            <w:tcW w:w="3402" w:type="dxa"/>
          </w:tcPr>
          <w:p w14:paraId="36CF62DD"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Engaging in European multi-country projects related to the digital economy</w:t>
            </w:r>
          </w:p>
        </w:tc>
        <w:tc>
          <w:tcPr>
            <w:tcW w:w="3828" w:type="dxa"/>
          </w:tcPr>
          <w:p w14:paraId="4D10993E"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Supercomputer for the Slovak Republic</w:t>
            </w:r>
          </w:p>
        </w:tc>
        <w:tc>
          <w:tcPr>
            <w:tcW w:w="708" w:type="dxa"/>
            <w:vAlign w:val="center"/>
          </w:tcPr>
          <w:p w14:paraId="10D3BB04"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Q4/2025</w:t>
            </w:r>
          </w:p>
        </w:tc>
        <w:tc>
          <w:tcPr>
            <w:tcW w:w="1277" w:type="dxa"/>
            <w:vAlign w:val="center"/>
          </w:tcPr>
          <w:p w14:paraId="25BA339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0D39FBA5" w14:textId="77777777" w:rsidTr="002B1847">
        <w:trPr>
          <w:trHeight w:val="276"/>
        </w:trPr>
        <w:tc>
          <w:tcPr>
            <w:tcW w:w="3402" w:type="dxa"/>
          </w:tcPr>
          <w:p w14:paraId="7F5666E0"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Engaging in European multi-country projects related to the digital economy</w:t>
            </w:r>
          </w:p>
        </w:tc>
        <w:tc>
          <w:tcPr>
            <w:tcW w:w="3828" w:type="dxa"/>
          </w:tcPr>
          <w:p w14:paraId="30B590E5"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Disbursement of EUR 8 711 034.58</w:t>
            </w:r>
          </w:p>
        </w:tc>
        <w:tc>
          <w:tcPr>
            <w:tcW w:w="708" w:type="dxa"/>
            <w:vAlign w:val="center"/>
          </w:tcPr>
          <w:p w14:paraId="40845BD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30C4E961"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Delayed</w:t>
            </w:r>
          </w:p>
        </w:tc>
      </w:tr>
      <w:tr w:rsidR="00C24F6F" w:rsidRPr="003677B2" w14:paraId="59527CCB" w14:textId="77777777" w:rsidTr="002B1847">
        <w:trPr>
          <w:trHeight w:val="276"/>
        </w:trPr>
        <w:tc>
          <w:tcPr>
            <w:tcW w:w="3402" w:type="dxa"/>
          </w:tcPr>
          <w:p w14:paraId="04778E69"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Support for projects aiming at the development of digital technologies and infrastructure</w:t>
            </w:r>
          </w:p>
        </w:tc>
        <w:tc>
          <w:tcPr>
            <w:tcW w:w="3828" w:type="dxa"/>
          </w:tcPr>
          <w:p w14:paraId="799EFEB9"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Design of support scheme for development and application of digital technologies</w:t>
            </w:r>
          </w:p>
        </w:tc>
        <w:tc>
          <w:tcPr>
            <w:tcW w:w="708" w:type="dxa"/>
            <w:vAlign w:val="center"/>
          </w:tcPr>
          <w:p w14:paraId="639F0254"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Q2/2022</w:t>
            </w:r>
          </w:p>
        </w:tc>
        <w:tc>
          <w:tcPr>
            <w:tcW w:w="1277" w:type="dxa"/>
            <w:vAlign w:val="center"/>
          </w:tcPr>
          <w:p w14:paraId="66294BE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01DC4034" w14:textId="77777777" w:rsidTr="002B1847">
        <w:trPr>
          <w:trHeight w:val="276"/>
        </w:trPr>
        <w:tc>
          <w:tcPr>
            <w:tcW w:w="3402" w:type="dxa"/>
          </w:tcPr>
          <w:p w14:paraId="4C8A4C57"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Support for projects aiming at the development of digital technologies and infrastructure</w:t>
            </w:r>
          </w:p>
        </w:tc>
        <w:tc>
          <w:tcPr>
            <w:tcW w:w="3828" w:type="dxa"/>
          </w:tcPr>
          <w:p w14:paraId="709F8237"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Disbursement of EUR 7 908 365.43</w:t>
            </w:r>
          </w:p>
        </w:tc>
        <w:tc>
          <w:tcPr>
            <w:tcW w:w="708" w:type="dxa"/>
            <w:vAlign w:val="center"/>
          </w:tcPr>
          <w:p w14:paraId="3253654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4462156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Delayed</w:t>
            </w:r>
          </w:p>
        </w:tc>
      </w:tr>
      <w:tr w:rsidR="00C24F6F" w:rsidRPr="003677B2" w14:paraId="1FBD781F" w14:textId="77777777" w:rsidTr="002B1847">
        <w:trPr>
          <w:trHeight w:val="276"/>
        </w:trPr>
        <w:tc>
          <w:tcPr>
            <w:tcW w:w="3402" w:type="dxa"/>
          </w:tcPr>
          <w:p w14:paraId="7997C34F"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Support for projects aiming at the development of digital technologies and infrastructure</w:t>
            </w:r>
          </w:p>
        </w:tc>
        <w:tc>
          <w:tcPr>
            <w:tcW w:w="3828" w:type="dxa"/>
          </w:tcPr>
          <w:p w14:paraId="4E2CA549"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projects for the development of digital technologies</w:t>
            </w:r>
          </w:p>
        </w:tc>
        <w:tc>
          <w:tcPr>
            <w:tcW w:w="708" w:type="dxa"/>
            <w:vAlign w:val="center"/>
          </w:tcPr>
          <w:p w14:paraId="21CDCE8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6F7968F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Delayed</w:t>
            </w:r>
          </w:p>
        </w:tc>
      </w:tr>
      <w:tr w:rsidR="00C24F6F" w:rsidRPr="003677B2" w14:paraId="1CEFB3A3" w14:textId="77777777" w:rsidTr="002B1847">
        <w:trPr>
          <w:trHeight w:val="276"/>
        </w:trPr>
        <w:tc>
          <w:tcPr>
            <w:tcW w:w="3402" w:type="dxa"/>
          </w:tcPr>
          <w:p w14:paraId="42B5F861"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Hackathons</w:t>
            </w:r>
          </w:p>
        </w:tc>
        <w:tc>
          <w:tcPr>
            <w:tcW w:w="3828" w:type="dxa"/>
          </w:tcPr>
          <w:p w14:paraId="5A068724"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organised hackathons</w:t>
            </w:r>
          </w:p>
        </w:tc>
        <w:tc>
          <w:tcPr>
            <w:tcW w:w="708" w:type="dxa"/>
            <w:vAlign w:val="center"/>
          </w:tcPr>
          <w:p w14:paraId="477B4B1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Q3/2025</w:t>
            </w:r>
          </w:p>
        </w:tc>
        <w:tc>
          <w:tcPr>
            <w:tcW w:w="1277" w:type="dxa"/>
            <w:vAlign w:val="center"/>
          </w:tcPr>
          <w:p w14:paraId="5FFD8BF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0C579175" w14:textId="77777777" w:rsidTr="002B1847">
        <w:trPr>
          <w:trHeight w:val="276"/>
        </w:trPr>
        <w:tc>
          <w:tcPr>
            <w:tcW w:w="3402" w:type="dxa"/>
          </w:tcPr>
          <w:p w14:paraId="32CB486F"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Preventive measures, speed of incident detection and resolution (ITVS – Information technologies for public administration)</w:t>
            </w:r>
          </w:p>
        </w:tc>
        <w:tc>
          <w:tcPr>
            <w:tcW w:w="3828" w:type="dxa"/>
          </w:tcPr>
          <w:p w14:paraId="3BA6AA75"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secured IT systems in the public administration environment</w:t>
            </w:r>
          </w:p>
        </w:tc>
        <w:tc>
          <w:tcPr>
            <w:tcW w:w="708" w:type="dxa"/>
            <w:vAlign w:val="center"/>
          </w:tcPr>
          <w:p w14:paraId="03E62612"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Q4/2024</w:t>
            </w:r>
          </w:p>
        </w:tc>
        <w:tc>
          <w:tcPr>
            <w:tcW w:w="1277" w:type="dxa"/>
            <w:vAlign w:val="center"/>
          </w:tcPr>
          <w:p w14:paraId="2F4F32A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3373B9BA" w14:textId="77777777" w:rsidTr="002B1847">
        <w:trPr>
          <w:trHeight w:val="276"/>
        </w:trPr>
        <w:tc>
          <w:tcPr>
            <w:tcW w:w="3402" w:type="dxa"/>
          </w:tcPr>
          <w:p w14:paraId="1673E5FC"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Preventive measures, speed of incident detection and resolution (ITVS – Information technologies for public administration)</w:t>
            </w:r>
          </w:p>
        </w:tc>
        <w:tc>
          <w:tcPr>
            <w:tcW w:w="3828" w:type="dxa"/>
          </w:tcPr>
          <w:p w14:paraId="774ABC07"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Security audits of IT systems and applications in the public administration and reconstruction of secured spaces for critical infrastructure</w:t>
            </w:r>
          </w:p>
        </w:tc>
        <w:tc>
          <w:tcPr>
            <w:tcW w:w="708" w:type="dxa"/>
            <w:vAlign w:val="center"/>
          </w:tcPr>
          <w:p w14:paraId="091C3D5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Q1/2026</w:t>
            </w:r>
          </w:p>
        </w:tc>
        <w:tc>
          <w:tcPr>
            <w:tcW w:w="1277" w:type="dxa"/>
            <w:vAlign w:val="center"/>
          </w:tcPr>
          <w:p w14:paraId="1B695878"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565EC04D" w14:textId="77777777" w:rsidTr="002B1847">
        <w:trPr>
          <w:trHeight w:val="276"/>
        </w:trPr>
        <w:tc>
          <w:tcPr>
            <w:tcW w:w="3402" w:type="dxa"/>
          </w:tcPr>
          <w:p w14:paraId="79A8EF01"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Digital skills of seniors or disadvantaged people</w:t>
            </w:r>
          </w:p>
        </w:tc>
        <w:tc>
          <w:tcPr>
            <w:tcW w:w="3828" w:type="dxa"/>
          </w:tcPr>
          <w:p w14:paraId="60E602C8"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seniors and disadvantaged people trained in basic digital skills</w:t>
            </w:r>
          </w:p>
        </w:tc>
        <w:tc>
          <w:tcPr>
            <w:tcW w:w="708" w:type="dxa"/>
            <w:vAlign w:val="center"/>
          </w:tcPr>
          <w:p w14:paraId="73059196"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Q2/2022</w:t>
            </w:r>
          </w:p>
        </w:tc>
        <w:tc>
          <w:tcPr>
            <w:tcW w:w="1277" w:type="dxa"/>
            <w:vAlign w:val="center"/>
          </w:tcPr>
          <w:p w14:paraId="37AF2D04"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1736597C" w14:textId="77777777" w:rsidTr="002B1847">
        <w:trPr>
          <w:trHeight w:val="276"/>
        </w:trPr>
        <w:tc>
          <w:tcPr>
            <w:tcW w:w="3402" w:type="dxa"/>
          </w:tcPr>
          <w:p w14:paraId="0C043F9D"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Digital skills of seniors or disadvantaged people</w:t>
            </w:r>
          </w:p>
        </w:tc>
        <w:tc>
          <w:tcPr>
            <w:tcW w:w="3828" w:type="dxa"/>
          </w:tcPr>
          <w:p w14:paraId="1A092442"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seniors and disadvantaged people trained in digital skills and having received a digital equipment</w:t>
            </w:r>
          </w:p>
        </w:tc>
        <w:tc>
          <w:tcPr>
            <w:tcW w:w="708" w:type="dxa"/>
            <w:vAlign w:val="center"/>
          </w:tcPr>
          <w:p w14:paraId="6BC0B09F"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5A44A9E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Delayed</w:t>
            </w:r>
          </w:p>
        </w:tc>
      </w:tr>
      <w:tr w:rsidR="00C24F6F" w:rsidRPr="003677B2" w14:paraId="7746E885" w14:textId="77777777" w:rsidTr="002B1847">
        <w:trPr>
          <w:trHeight w:val="276"/>
        </w:trPr>
        <w:tc>
          <w:tcPr>
            <w:tcW w:w="3402" w:type="dxa"/>
          </w:tcPr>
          <w:p w14:paraId="1B13B2BB"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Improving the sustainability of the pension system</w:t>
            </w:r>
          </w:p>
        </w:tc>
        <w:tc>
          <w:tcPr>
            <w:tcW w:w="3828" w:type="dxa"/>
          </w:tcPr>
          <w:p w14:paraId="5DBC6AC0"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Pension system reform</w:t>
            </w:r>
          </w:p>
        </w:tc>
        <w:tc>
          <w:tcPr>
            <w:tcW w:w="708" w:type="dxa"/>
            <w:vAlign w:val="center"/>
          </w:tcPr>
          <w:p w14:paraId="2058382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Q1/2023</w:t>
            </w:r>
          </w:p>
        </w:tc>
        <w:tc>
          <w:tcPr>
            <w:tcW w:w="1277" w:type="dxa"/>
            <w:vAlign w:val="center"/>
          </w:tcPr>
          <w:p w14:paraId="736EA89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6E4E2259" w14:textId="77777777" w:rsidTr="002B1847">
        <w:trPr>
          <w:trHeight w:val="276"/>
        </w:trPr>
        <w:tc>
          <w:tcPr>
            <w:tcW w:w="3402" w:type="dxa"/>
          </w:tcPr>
          <w:p w14:paraId="765328BB"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Introducing multi-annual expenditure ceilings</w:t>
            </w:r>
          </w:p>
        </w:tc>
        <w:tc>
          <w:tcPr>
            <w:tcW w:w="3828" w:type="dxa"/>
          </w:tcPr>
          <w:p w14:paraId="6F4E75DB"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Anchoring expenditure ceilings in Law 523/2004 on the budgetary rules</w:t>
            </w:r>
          </w:p>
        </w:tc>
        <w:tc>
          <w:tcPr>
            <w:tcW w:w="708" w:type="dxa"/>
            <w:vAlign w:val="center"/>
          </w:tcPr>
          <w:p w14:paraId="300C505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Q4/2021</w:t>
            </w:r>
          </w:p>
        </w:tc>
        <w:tc>
          <w:tcPr>
            <w:tcW w:w="1277" w:type="dxa"/>
            <w:vAlign w:val="center"/>
          </w:tcPr>
          <w:p w14:paraId="6373D8B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5168A2B8" w14:textId="77777777" w:rsidTr="002B1847">
        <w:trPr>
          <w:trHeight w:val="276"/>
        </w:trPr>
        <w:tc>
          <w:tcPr>
            <w:tcW w:w="3402" w:type="dxa"/>
          </w:tcPr>
          <w:p w14:paraId="468894D0"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Streamlining public investment</w:t>
            </w:r>
          </w:p>
        </w:tc>
        <w:tc>
          <w:tcPr>
            <w:tcW w:w="3828" w:type="dxa"/>
          </w:tcPr>
          <w:p w14:paraId="00C1B95F"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application of the methodology for the procedures for preparing and prioritising investments</w:t>
            </w:r>
          </w:p>
        </w:tc>
        <w:tc>
          <w:tcPr>
            <w:tcW w:w="708" w:type="dxa"/>
            <w:vAlign w:val="center"/>
          </w:tcPr>
          <w:p w14:paraId="22F121C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17A93526"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34F783B5" w14:textId="77777777" w:rsidTr="002B1847">
        <w:trPr>
          <w:trHeight w:val="276"/>
        </w:trPr>
        <w:tc>
          <w:tcPr>
            <w:tcW w:w="3402" w:type="dxa"/>
          </w:tcPr>
          <w:p w14:paraId="36375FF9"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lastRenderedPageBreak/>
              <w:t>Promoting sustainable energy</w:t>
            </w:r>
          </w:p>
        </w:tc>
        <w:tc>
          <w:tcPr>
            <w:tcW w:w="3828" w:type="dxa"/>
          </w:tcPr>
          <w:p w14:paraId="05699DA4"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Technical assistance to accelerate and improve the quality of environmental permitting procedures</w:t>
            </w:r>
          </w:p>
        </w:tc>
        <w:tc>
          <w:tcPr>
            <w:tcW w:w="708" w:type="dxa"/>
            <w:vAlign w:val="center"/>
          </w:tcPr>
          <w:p w14:paraId="3FD14950"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5AF6466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0F4D457A" w14:textId="77777777" w:rsidTr="002B1847">
        <w:trPr>
          <w:trHeight w:val="276"/>
        </w:trPr>
        <w:tc>
          <w:tcPr>
            <w:tcW w:w="3402" w:type="dxa"/>
          </w:tcPr>
          <w:p w14:paraId="168489A1"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Promoting sustainable energy</w:t>
            </w:r>
          </w:p>
        </w:tc>
        <w:tc>
          <w:tcPr>
            <w:tcW w:w="3828" w:type="dxa"/>
          </w:tcPr>
          <w:p w14:paraId="75A094EA"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Entry into force of legislative and procedural changes</w:t>
            </w:r>
          </w:p>
        </w:tc>
        <w:tc>
          <w:tcPr>
            <w:tcW w:w="708" w:type="dxa"/>
            <w:vAlign w:val="center"/>
          </w:tcPr>
          <w:p w14:paraId="2C7DD46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Q2/2025</w:t>
            </w:r>
          </w:p>
        </w:tc>
        <w:tc>
          <w:tcPr>
            <w:tcW w:w="1277" w:type="dxa"/>
            <w:vAlign w:val="center"/>
          </w:tcPr>
          <w:p w14:paraId="7249ABB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69A3956B" w14:textId="77777777" w:rsidTr="002B1847">
        <w:trPr>
          <w:trHeight w:val="276"/>
        </w:trPr>
        <w:tc>
          <w:tcPr>
            <w:tcW w:w="3402" w:type="dxa"/>
          </w:tcPr>
          <w:p w14:paraId="226F2394"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Promoting sustainable energy</w:t>
            </w:r>
          </w:p>
        </w:tc>
        <w:tc>
          <w:tcPr>
            <w:tcW w:w="3828" w:type="dxa"/>
          </w:tcPr>
          <w:p w14:paraId="1CB49878"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Passportisation of geothermal wells</w:t>
            </w:r>
          </w:p>
        </w:tc>
        <w:tc>
          <w:tcPr>
            <w:tcW w:w="708" w:type="dxa"/>
            <w:vAlign w:val="center"/>
          </w:tcPr>
          <w:p w14:paraId="5749F3C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4B1B193A"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14B784D0" w14:textId="77777777" w:rsidTr="002B1847">
        <w:trPr>
          <w:trHeight w:val="276"/>
        </w:trPr>
        <w:tc>
          <w:tcPr>
            <w:tcW w:w="3402" w:type="dxa"/>
          </w:tcPr>
          <w:p w14:paraId="43A8116C"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Promoting sustainable energy</w:t>
            </w:r>
          </w:p>
        </w:tc>
        <w:tc>
          <w:tcPr>
            <w:tcW w:w="3828" w:type="dxa"/>
          </w:tcPr>
          <w:p w14:paraId="21B13720"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Entry into force of legislative amendment</w:t>
            </w:r>
          </w:p>
        </w:tc>
        <w:tc>
          <w:tcPr>
            <w:tcW w:w="708" w:type="dxa"/>
            <w:vAlign w:val="center"/>
          </w:tcPr>
          <w:p w14:paraId="269C86C4"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Q3/2024</w:t>
            </w:r>
          </w:p>
        </w:tc>
        <w:tc>
          <w:tcPr>
            <w:tcW w:w="1277" w:type="dxa"/>
            <w:vAlign w:val="center"/>
          </w:tcPr>
          <w:p w14:paraId="5DEAD342"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12CD5F8C" w14:textId="77777777" w:rsidTr="002B1847">
        <w:trPr>
          <w:trHeight w:val="276"/>
        </w:trPr>
        <w:tc>
          <w:tcPr>
            <w:tcW w:w="3402" w:type="dxa"/>
          </w:tcPr>
          <w:p w14:paraId="5F6EE060"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Promoting sustainable energy</w:t>
            </w:r>
          </w:p>
        </w:tc>
        <w:tc>
          <w:tcPr>
            <w:tcW w:w="3828" w:type="dxa"/>
          </w:tcPr>
          <w:p w14:paraId="3BA2A149"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Establishment of Best Available Technology (BAT) centre and provision of BAT reference documents</w:t>
            </w:r>
          </w:p>
        </w:tc>
        <w:tc>
          <w:tcPr>
            <w:tcW w:w="708" w:type="dxa"/>
            <w:vAlign w:val="center"/>
          </w:tcPr>
          <w:p w14:paraId="6912424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Q4/2025</w:t>
            </w:r>
          </w:p>
        </w:tc>
        <w:tc>
          <w:tcPr>
            <w:tcW w:w="1277" w:type="dxa"/>
            <w:vAlign w:val="center"/>
          </w:tcPr>
          <w:p w14:paraId="7C84EEE2"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1CEC548E" w14:textId="77777777" w:rsidTr="002B1847">
        <w:trPr>
          <w:trHeight w:val="276"/>
        </w:trPr>
        <w:tc>
          <w:tcPr>
            <w:tcW w:w="3402" w:type="dxa"/>
          </w:tcPr>
          <w:p w14:paraId="6BD732AE"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Promoting sustainable energy</w:t>
            </w:r>
          </w:p>
        </w:tc>
        <w:tc>
          <w:tcPr>
            <w:tcW w:w="3828" w:type="dxa"/>
          </w:tcPr>
          <w:p w14:paraId="39C03F96"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Assessment of the trajectories of sustainable use of biomass and supply of biomass in Slovakia</w:t>
            </w:r>
          </w:p>
        </w:tc>
        <w:tc>
          <w:tcPr>
            <w:tcW w:w="708" w:type="dxa"/>
            <w:vAlign w:val="center"/>
          </w:tcPr>
          <w:p w14:paraId="1F54396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Q2/2025</w:t>
            </w:r>
          </w:p>
        </w:tc>
        <w:tc>
          <w:tcPr>
            <w:tcW w:w="1277" w:type="dxa"/>
            <w:vAlign w:val="center"/>
          </w:tcPr>
          <w:p w14:paraId="7D2C05E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6CC3B398" w14:textId="77777777" w:rsidTr="002B1847">
        <w:trPr>
          <w:trHeight w:val="276"/>
        </w:trPr>
        <w:tc>
          <w:tcPr>
            <w:tcW w:w="3402" w:type="dxa"/>
          </w:tcPr>
          <w:p w14:paraId="31747E04"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Promoting sustainable energy</w:t>
            </w:r>
          </w:p>
        </w:tc>
        <w:tc>
          <w:tcPr>
            <w:tcW w:w="3828" w:type="dxa"/>
          </w:tcPr>
          <w:p w14:paraId="5D131C4B"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Developing and promoting the production of bio-methane, organic fertilisers and the circular bio-economy</w:t>
            </w:r>
          </w:p>
        </w:tc>
        <w:tc>
          <w:tcPr>
            <w:tcW w:w="708" w:type="dxa"/>
            <w:vAlign w:val="center"/>
          </w:tcPr>
          <w:p w14:paraId="413155F8"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Q4/2025</w:t>
            </w:r>
          </w:p>
        </w:tc>
        <w:tc>
          <w:tcPr>
            <w:tcW w:w="1277" w:type="dxa"/>
            <w:vAlign w:val="center"/>
          </w:tcPr>
          <w:p w14:paraId="1CBBD414"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5B1CB0D5" w14:textId="77777777" w:rsidTr="002B1847">
        <w:trPr>
          <w:trHeight w:val="276"/>
        </w:trPr>
        <w:tc>
          <w:tcPr>
            <w:tcW w:w="3402" w:type="dxa"/>
          </w:tcPr>
          <w:p w14:paraId="2ACDAE21"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Supporting the green transition in renewables</w:t>
            </w:r>
          </w:p>
        </w:tc>
        <w:tc>
          <w:tcPr>
            <w:tcW w:w="3828" w:type="dxa"/>
          </w:tcPr>
          <w:p w14:paraId="2F9DEEA6"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Entry into force of legislation on ‘go-to areas’ for renewables and publication of the draft methodology for the establishment of ‘go-to areas’</w:t>
            </w:r>
          </w:p>
        </w:tc>
        <w:tc>
          <w:tcPr>
            <w:tcW w:w="708" w:type="dxa"/>
            <w:vAlign w:val="center"/>
          </w:tcPr>
          <w:p w14:paraId="58D914C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Q4/2024</w:t>
            </w:r>
          </w:p>
        </w:tc>
        <w:tc>
          <w:tcPr>
            <w:tcW w:w="1277" w:type="dxa"/>
            <w:vAlign w:val="center"/>
          </w:tcPr>
          <w:p w14:paraId="1AFF9C52"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004FD24C" w14:textId="77777777" w:rsidTr="002B1847">
        <w:trPr>
          <w:trHeight w:val="276"/>
        </w:trPr>
        <w:tc>
          <w:tcPr>
            <w:tcW w:w="3402" w:type="dxa"/>
          </w:tcPr>
          <w:p w14:paraId="76B8BA4F"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Supporting the green transition in renewables</w:t>
            </w:r>
          </w:p>
        </w:tc>
        <w:tc>
          <w:tcPr>
            <w:tcW w:w="3828" w:type="dxa"/>
          </w:tcPr>
          <w:p w14:paraId="27D06E39"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Establishment of pilot ‘go-to areas’ suitable for wind energy development. Adoption and application of the final methodology for the establishment of go-to areas.</w:t>
            </w:r>
          </w:p>
        </w:tc>
        <w:tc>
          <w:tcPr>
            <w:tcW w:w="708" w:type="dxa"/>
            <w:vAlign w:val="center"/>
          </w:tcPr>
          <w:p w14:paraId="02214E90"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Q4/2025</w:t>
            </w:r>
          </w:p>
        </w:tc>
        <w:tc>
          <w:tcPr>
            <w:tcW w:w="1277" w:type="dxa"/>
            <w:vAlign w:val="center"/>
          </w:tcPr>
          <w:p w14:paraId="52CF933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Not completed</w:t>
            </w:r>
          </w:p>
        </w:tc>
      </w:tr>
      <w:tr w:rsidR="00C24F6F" w:rsidRPr="003677B2" w14:paraId="25F289FB" w14:textId="77777777" w:rsidTr="002B1847">
        <w:trPr>
          <w:trHeight w:val="276"/>
        </w:trPr>
        <w:tc>
          <w:tcPr>
            <w:tcW w:w="3402" w:type="dxa"/>
          </w:tcPr>
          <w:p w14:paraId="114356E6"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Supporting the green transition in renewables</w:t>
            </w:r>
          </w:p>
        </w:tc>
        <w:tc>
          <w:tcPr>
            <w:tcW w:w="3828" w:type="dxa"/>
          </w:tcPr>
          <w:p w14:paraId="5F696C41"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Publication of Hydrogen Action Plan</w:t>
            </w:r>
          </w:p>
        </w:tc>
        <w:tc>
          <w:tcPr>
            <w:tcW w:w="708" w:type="dxa"/>
            <w:vAlign w:val="center"/>
          </w:tcPr>
          <w:p w14:paraId="6A6AD262"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Q2/2024</w:t>
            </w:r>
          </w:p>
        </w:tc>
        <w:tc>
          <w:tcPr>
            <w:tcW w:w="1277" w:type="dxa"/>
            <w:vAlign w:val="center"/>
          </w:tcPr>
          <w:p w14:paraId="1F15E4A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6B1A21CE" w14:textId="77777777" w:rsidTr="002B1847">
        <w:trPr>
          <w:trHeight w:val="276"/>
        </w:trPr>
        <w:tc>
          <w:tcPr>
            <w:tcW w:w="3402" w:type="dxa"/>
          </w:tcPr>
          <w:p w14:paraId="64A42072"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Supporting the green transition in renewables</w:t>
            </w:r>
          </w:p>
        </w:tc>
        <w:tc>
          <w:tcPr>
            <w:tcW w:w="3828" w:type="dxa"/>
          </w:tcPr>
          <w:p w14:paraId="077DB372"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Measures to promote the uptake of hydrogen</w:t>
            </w:r>
          </w:p>
        </w:tc>
        <w:tc>
          <w:tcPr>
            <w:tcW w:w="708" w:type="dxa"/>
            <w:vAlign w:val="center"/>
          </w:tcPr>
          <w:p w14:paraId="7C59E3D1"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Q2/2025</w:t>
            </w:r>
          </w:p>
        </w:tc>
        <w:tc>
          <w:tcPr>
            <w:tcW w:w="1277" w:type="dxa"/>
            <w:vAlign w:val="center"/>
          </w:tcPr>
          <w:p w14:paraId="1F85CD1A"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3F5DA4CD" w14:textId="77777777" w:rsidTr="002B1847">
        <w:trPr>
          <w:trHeight w:val="276"/>
        </w:trPr>
        <w:tc>
          <w:tcPr>
            <w:tcW w:w="3402" w:type="dxa"/>
          </w:tcPr>
          <w:p w14:paraId="648FC0FD"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Supporting the green transition in renewables</w:t>
            </w:r>
          </w:p>
        </w:tc>
        <w:tc>
          <w:tcPr>
            <w:tcW w:w="3828" w:type="dxa"/>
          </w:tcPr>
          <w:p w14:paraId="79EB8C23"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Measures streamlining and accelerating the connection of renewables to the grid</w:t>
            </w:r>
          </w:p>
        </w:tc>
        <w:tc>
          <w:tcPr>
            <w:tcW w:w="708" w:type="dxa"/>
            <w:vAlign w:val="center"/>
          </w:tcPr>
          <w:p w14:paraId="5C6C1FF0"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Q1/2025</w:t>
            </w:r>
          </w:p>
        </w:tc>
        <w:tc>
          <w:tcPr>
            <w:tcW w:w="1277" w:type="dxa"/>
            <w:vAlign w:val="center"/>
          </w:tcPr>
          <w:p w14:paraId="3B12128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7EE0A9D6" w14:textId="77777777" w:rsidTr="002B1847">
        <w:trPr>
          <w:trHeight w:val="276"/>
        </w:trPr>
        <w:tc>
          <w:tcPr>
            <w:tcW w:w="3402" w:type="dxa"/>
          </w:tcPr>
          <w:p w14:paraId="06882B8F"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Modernisation and digitalisation of transmission system and regional distribution systems</w:t>
            </w:r>
          </w:p>
        </w:tc>
        <w:tc>
          <w:tcPr>
            <w:tcW w:w="3828" w:type="dxa"/>
          </w:tcPr>
          <w:p w14:paraId="30FBD3AF"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Completion of investments into modernisation of distribution networks in the Slovak Republic</w:t>
            </w:r>
          </w:p>
        </w:tc>
        <w:tc>
          <w:tcPr>
            <w:tcW w:w="708" w:type="dxa"/>
            <w:vAlign w:val="center"/>
          </w:tcPr>
          <w:p w14:paraId="47F4A608"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0F92695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34E27305" w14:textId="77777777" w:rsidTr="002B1847">
        <w:trPr>
          <w:trHeight w:val="276"/>
        </w:trPr>
        <w:tc>
          <w:tcPr>
            <w:tcW w:w="3402" w:type="dxa"/>
          </w:tcPr>
          <w:p w14:paraId="0BE07886"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Modernisation and digitalisation of transmission system and regional distribution systems</w:t>
            </w:r>
          </w:p>
        </w:tc>
        <w:tc>
          <w:tcPr>
            <w:tcW w:w="3828" w:type="dxa"/>
          </w:tcPr>
          <w:p w14:paraId="3D7C50DF"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Entry into operation of the Energy Data Centre</w:t>
            </w:r>
          </w:p>
        </w:tc>
        <w:tc>
          <w:tcPr>
            <w:tcW w:w="708" w:type="dxa"/>
            <w:vAlign w:val="center"/>
          </w:tcPr>
          <w:p w14:paraId="65374A95"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Q3/2024</w:t>
            </w:r>
          </w:p>
        </w:tc>
        <w:tc>
          <w:tcPr>
            <w:tcW w:w="1277" w:type="dxa"/>
            <w:vAlign w:val="center"/>
          </w:tcPr>
          <w:p w14:paraId="15353296"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Fulfilled</w:t>
            </w:r>
          </w:p>
        </w:tc>
      </w:tr>
      <w:tr w:rsidR="00C24F6F" w:rsidRPr="003677B2" w14:paraId="42D5928D" w14:textId="77777777" w:rsidTr="002B1847">
        <w:trPr>
          <w:trHeight w:val="276"/>
        </w:trPr>
        <w:tc>
          <w:tcPr>
            <w:tcW w:w="3402" w:type="dxa"/>
          </w:tcPr>
          <w:p w14:paraId="6E634814"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Management of central government buildings</w:t>
            </w:r>
          </w:p>
        </w:tc>
        <w:tc>
          <w:tcPr>
            <w:tcW w:w="3828" w:type="dxa"/>
          </w:tcPr>
          <w:p w14:paraId="71D1091F"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Strategy for the management of central government buildings</w:t>
            </w:r>
          </w:p>
        </w:tc>
        <w:tc>
          <w:tcPr>
            <w:tcW w:w="708" w:type="dxa"/>
            <w:vAlign w:val="center"/>
          </w:tcPr>
          <w:p w14:paraId="7B57CCCA"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Q2/2025</w:t>
            </w:r>
          </w:p>
        </w:tc>
        <w:tc>
          <w:tcPr>
            <w:tcW w:w="1277" w:type="dxa"/>
            <w:vAlign w:val="center"/>
          </w:tcPr>
          <w:p w14:paraId="72585C30"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11DD7F0D" w14:textId="77777777" w:rsidTr="002B1847">
        <w:trPr>
          <w:trHeight w:val="276"/>
        </w:trPr>
        <w:tc>
          <w:tcPr>
            <w:tcW w:w="3402" w:type="dxa"/>
          </w:tcPr>
          <w:p w14:paraId="16640178"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Management of central government buildings</w:t>
            </w:r>
          </w:p>
        </w:tc>
        <w:tc>
          <w:tcPr>
            <w:tcW w:w="3828" w:type="dxa"/>
          </w:tcPr>
          <w:p w14:paraId="15990EB2"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Establishment of a central coordinating body for the administrative buildings of the central government</w:t>
            </w:r>
          </w:p>
        </w:tc>
        <w:tc>
          <w:tcPr>
            <w:tcW w:w="708" w:type="dxa"/>
            <w:vAlign w:val="center"/>
          </w:tcPr>
          <w:p w14:paraId="2BD57BB0"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37F6CB2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48B9406E" w14:textId="77777777" w:rsidTr="002B1847">
        <w:trPr>
          <w:trHeight w:val="276"/>
        </w:trPr>
        <w:tc>
          <w:tcPr>
            <w:tcW w:w="3402" w:type="dxa"/>
          </w:tcPr>
          <w:p w14:paraId="795FD94E"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Increasing the energy efficiency of public buildings</w:t>
            </w:r>
          </w:p>
        </w:tc>
        <w:tc>
          <w:tcPr>
            <w:tcW w:w="3828" w:type="dxa"/>
          </w:tcPr>
          <w:p w14:paraId="6D207F64"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Total floor area of buildings with installed energy efficiency measures</w:t>
            </w:r>
          </w:p>
        </w:tc>
        <w:tc>
          <w:tcPr>
            <w:tcW w:w="708" w:type="dxa"/>
            <w:vAlign w:val="center"/>
          </w:tcPr>
          <w:p w14:paraId="12C41B7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085F3D24"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Delayed</w:t>
            </w:r>
          </w:p>
        </w:tc>
      </w:tr>
      <w:tr w:rsidR="00C24F6F" w:rsidRPr="003677B2" w14:paraId="1B8AE1D1" w14:textId="77777777" w:rsidTr="002B1847">
        <w:trPr>
          <w:trHeight w:val="276"/>
        </w:trPr>
        <w:tc>
          <w:tcPr>
            <w:tcW w:w="3402" w:type="dxa"/>
          </w:tcPr>
          <w:p w14:paraId="05E99834"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Supporting the renovation of households at risk of energy poverty</w:t>
            </w:r>
          </w:p>
        </w:tc>
        <w:tc>
          <w:tcPr>
            <w:tcW w:w="3828" w:type="dxa"/>
          </w:tcPr>
          <w:p w14:paraId="6D80A701"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renovated houses of people at risk of energy poverty</w:t>
            </w:r>
          </w:p>
        </w:tc>
        <w:tc>
          <w:tcPr>
            <w:tcW w:w="708" w:type="dxa"/>
            <w:vAlign w:val="center"/>
          </w:tcPr>
          <w:p w14:paraId="7B93C054"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Q3/2025</w:t>
            </w:r>
          </w:p>
        </w:tc>
        <w:tc>
          <w:tcPr>
            <w:tcW w:w="1277" w:type="dxa"/>
            <w:vAlign w:val="center"/>
          </w:tcPr>
          <w:p w14:paraId="6E46572A"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76429B6A" w14:textId="77777777" w:rsidTr="002B1847">
        <w:trPr>
          <w:trHeight w:val="276"/>
        </w:trPr>
        <w:tc>
          <w:tcPr>
            <w:tcW w:w="3402" w:type="dxa"/>
          </w:tcPr>
          <w:p w14:paraId="3A05D6A2"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Supporting the renovation of households at risk of energy poverty</w:t>
            </w:r>
          </w:p>
        </w:tc>
        <w:tc>
          <w:tcPr>
            <w:tcW w:w="3828" w:type="dxa"/>
          </w:tcPr>
          <w:p w14:paraId="0D07D82D"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consultations provided</w:t>
            </w:r>
          </w:p>
        </w:tc>
        <w:tc>
          <w:tcPr>
            <w:tcW w:w="708" w:type="dxa"/>
            <w:vAlign w:val="center"/>
          </w:tcPr>
          <w:p w14:paraId="00FCE93A"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018C165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Delayed</w:t>
            </w:r>
          </w:p>
        </w:tc>
      </w:tr>
      <w:tr w:rsidR="00C24F6F" w:rsidRPr="003677B2" w14:paraId="0EFFE86B" w14:textId="77777777" w:rsidTr="002B1847">
        <w:trPr>
          <w:trHeight w:val="276"/>
        </w:trPr>
        <w:tc>
          <w:tcPr>
            <w:tcW w:w="3402" w:type="dxa"/>
          </w:tcPr>
          <w:p w14:paraId="74512E98"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Schools' equipment and training</w:t>
            </w:r>
          </w:p>
        </w:tc>
        <w:tc>
          <w:tcPr>
            <w:tcW w:w="3828" w:type="dxa"/>
          </w:tcPr>
          <w:p w14:paraId="69758343"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New training modules in educational programmes of secondary vocational schools provided in the school year 2025/26</w:t>
            </w:r>
          </w:p>
        </w:tc>
        <w:tc>
          <w:tcPr>
            <w:tcW w:w="708" w:type="dxa"/>
            <w:vAlign w:val="center"/>
          </w:tcPr>
          <w:p w14:paraId="5C399FE4"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Q4/2025</w:t>
            </w:r>
          </w:p>
        </w:tc>
        <w:tc>
          <w:tcPr>
            <w:tcW w:w="1277" w:type="dxa"/>
            <w:vAlign w:val="center"/>
          </w:tcPr>
          <w:p w14:paraId="29B7E604"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48AB7693" w14:textId="77777777" w:rsidTr="002B1847">
        <w:trPr>
          <w:trHeight w:val="276"/>
        </w:trPr>
        <w:tc>
          <w:tcPr>
            <w:tcW w:w="3402" w:type="dxa"/>
          </w:tcPr>
          <w:p w14:paraId="0A8416DC"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Communication for REPowerEU chapter implementation</w:t>
            </w:r>
          </w:p>
        </w:tc>
        <w:tc>
          <w:tcPr>
            <w:tcW w:w="3828" w:type="dxa"/>
          </w:tcPr>
          <w:p w14:paraId="086D9C10"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communication campaigns</w:t>
            </w:r>
          </w:p>
        </w:tc>
        <w:tc>
          <w:tcPr>
            <w:tcW w:w="708" w:type="dxa"/>
            <w:vAlign w:val="center"/>
          </w:tcPr>
          <w:p w14:paraId="7008D6B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1E233B6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467B425B" w14:textId="77777777" w:rsidTr="002B1847">
        <w:trPr>
          <w:trHeight w:val="276"/>
        </w:trPr>
        <w:tc>
          <w:tcPr>
            <w:tcW w:w="3402" w:type="dxa"/>
          </w:tcPr>
          <w:p w14:paraId="74F0C528"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Creation of a database and data exchange system on the energy performance of buildings</w:t>
            </w:r>
          </w:p>
        </w:tc>
        <w:tc>
          <w:tcPr>
            <w:tcW w:w="3828" w:type="dxa"/>
          </w:tcPr>
          <w:p w14:paraId="53C894FA"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Data collection of energy certificates and renovation passports of public buildings</w:t>
            </w:r>
          </w:p>
        </w:tc>
        <w:tc>
          <w:tcPr>
            <w:tcW w:w="708" w:type="dxa"/>
            <w:vAlign w:val="center"/>
          </w:tcPr>
          <w:p w14:paraId="510827FD"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40F307B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Delayed</w:t>
            </w:r>
          </w:p>
        </w:tc>
      </w:tr>
      <w:tr w:rsidR="00C24F6F" w:rsidRPr="003677B2" w14:paraId="0CBBA49A" w14:textId="77777777" w:rsidTr="002B1847">
        <w:trPr>
          <w:trHeight w:val="276"/>
        </w:trPr>
        <w:tc>
          <w:tcPr>
            <w:tcW w:w="3402" w:type="dxa"/>
          </w:tcPr>
          <w:p w14:paraId="01AD7F38"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Development of low-carbon transport infrastructure</w:t>
            </w:r>
          </w:p>
        </w:tc>
        <w:tc>
          <w:tcPr>
            <w:tcW w:w="3828" w:type="dxa"/>
          </w:tcPr>
          <w:p w14:paraId="77F638DE"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Length of reconstructed or upgraded track infrastructure for clean passenger transport (in weighted km)</w:t>
            </w:r>
          </w:p>
        </w:tc>
        <w:tc>
          <w:tcPr>
            <w:tcW w:w="708" w:type="dxa"/>
            <w:vAlign w:val="center"/>
          </w:tcPr>
          <w:p w14:paraId="3BF09F54"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191D1BAE"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1E10CB54" w14:textId="77777777" w:rsidTr="002B1847">
        <w:trPr>
          <w:trHeight w:val="276"/>
        </w:trPr>
        <w:tc>
          <w:tcPr>
            <w:tcW w:w="3402" w:type="dxa"/>
          </w:tcPr>
          <w:p w14:paraId="15A658E0"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Promoting clean passenger transport</w:t>
            </w:r>
          </w:p>
        </w:tc>
        <w:tc>
          <w:tcPr>
            <w:tcW w:w="3828" w:type="dxa"/>
          </w:tcPr>
          <w:p w14:paraId="29AC544E"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Number of clean passenger rolling stock procured (weighted)</w:t>
            </w:r>
          </w:p>
        </w:tc>
        <w:tc>
          <w:tcPr>
            <w:tcW w:w="708" w:type="dxa"/>
            <w:vAlign w:val="center"/>
          </w:tcPr>
          <w:p w14:paraId="532B006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33BABDD1"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4E13F03F" w14:textId="77777777" w:rsidTr="002B1847">
        <w:trPr>
          <w:trHeight w:val="276"/>
        </w:trPr>
        <w:tc>
          <w:tcPr>
            <w:tcW w:w="3402" w:type="dxa"/>
          </w:tcPr>
          <w:p w14:paraId="0555052D"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Skills for green transition</w:t>
            </w:r>
          </w:p>
        </w:tc>
        <w:tc>
          <w:tcPr>
            <w:tcW w:w="3828" w:type="dxa"/>
          </w:tcPr>
          <w:p w14:paraId="29B4308B"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New training modules in educational programmes of secondary vocational schools and a training programme for teachers and adults</w:t>
            </w:r>
          </w:p>
        </w:tc>
        <w:tc>
          <w:tcPr>
            <w:tcW w:w="708" w:type="dxa"/>
            <w:vAlign w:val="center"/>
          </w:tcPr>
          <w:p w14:paraId="00B709E2"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Q4/2024</w:t>
            </w:r>
          </w:p>
        </w:tc>
        <w:tc>
          <w:tcPr>
            <w:tcW w:w="1277" w:type="dxa"/>
            <w:vAlign w:val="center"/>
          </w:tcPr>
          <w:p w14:paraId="0902DE39"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r w:rsidR="00C24F6F" w:rsidRPr="003677B2" w14:paraId="683EEB7A" w14:textId="77777777" w:rsidTr="002B1847">
        <w:trPr>
          <w:trHeight w:val="276"/>
        </w:trPr>
        <w:tc>
          <w:tcPr>
            <w:tcW w:w="3402" w:type="dxa"/>
          </w:tcPr>
          <w:p w14:paraId="6DF4876C"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Renovation of public historical and listed buildings</w:t>
            </w:r>
          </w:p>
        </w:tc>
        <w:tc>
          <w:tcPr>
            <w:tcW w:w="3828" w:type="dxa"/>
          </w:tcPr>
          <w:p w14:paraId="58FC3D5C"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Renovation of public historical and listed buildings</w:t>
            </w:r>
          </w:p>
        </w:tc>
        <w:tc>
          <w:tcPr>
            <w:tcW w:w="708" w:type="dxa"/>
            <w:vAlign w:val="center"/>
          </w:tcPr>
          <w:p w14:paraId="5FCAC777"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0153004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5BCC4FD8" w14:textId="77777777" w:rsidTr="002B1847">
        <w:trPr>
          <w:trHeight w:val="276"/>
        </w:trPr>
        <w:tc>
          <w:tcPr>
            <w:tcW w:w="3402" w:type="dxa"/>
          </w:tcPr>
          <w:p w14:paraId="50DC83EF"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Investment 2 on building forests resilient to climate change.</w:t>
            </w:r>
          </w:p>
        </w:tc>
        <w:tc>
          <w:tcPr>
            <w:tcW w:w="3828" w:type="dxa"/>
          </w:tcPr>
          <w:p w14:paraId="36BE3A3F"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Sustainable reforestation activities</w:t>
            </w:r>
          </w:p>
        </w:tc>
        <w:tc>
          <w:tcPr>
            <w:tcW w:w="708" w:type="dxa"/>
            <w:vAlign w:val="center"/>
          </w:tcPr>
          <w:p w14:paraId="3ACD553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Q2/2026</w:t>
            </w:r>
          </w:p>
        </w:tc>
        <w:tc>
          <w:tcPr>
            <w:tcW w:w="1277" w:type="dxa"/>
            <w:vAlign w:val="center"/>
          </w:tcPr>
          <w:p w14:paraId="724BAA2C"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On track</w:t>
            </w:r>
          </w:p>
        </w:tc>
      </w:tr>
      <w:tr w:rsidR="00C24F6F" w:rsidRPr="003677B2" w14:paraId="67E779B8" w14:textId="77777777" w:rsidTr="002B1847">
        <w:trPr>
          <w:trHeight w:val="276"/>
        </w:trPr>
        <w:tc>
          <w:tcPr>
            <w:tcW w:w="3402" w:type="dxa"/>
          </w:tcPr>
          <w:p w14:paraId="48200708" w14:textId="77777777" w:rsidR="00C24F6F" w:rsidRPr="003677B2" w:rsidRDefault="00C24F6F" w:rsidP="002B1847">
            <w:pPr>
              <w:jc w:val="both"/>
              <w:rPr>
                <w:rFonts w:ascii="Arial Narrow" w:hAnsi="Arial Narrow"/>
                <w:sz w:val="15"/>
                <w:szCs w:val="15"/>
                <w:lang w:val="en-US"/>
              </w:rPr>
            </w:pPr>
            <w:r>
              <w:rPr>
                <w:rFonts w:ascii="Arial Narrow" w:hAnsi="Arial Narrow"/>
                <w:sz w:val="15"/>
                <w:szCs w:val="15"/>
                <w:lang w:val="en-US"/>
              </w:rPr>
              <w:t>Audit and Control</w:t>
            </w:r>
          </w:p>
        </w:tc>
        <w:tc>
          <w:tcPr>
            <w:tcW w:w="3828" w:type="dxa"/>
          </w:tcPr>
          <w:p w14:paraId="0FBA9786" w14:textId="77777777" w:rsidR="00C24F6F" w:rsidRPr="003677B2" w:rsidRDefault="00C24F6F" w:rsidP="002B1847">
            <w:pPr>
              <w:rPr>
                <w:rFonts w:ascii="Arial Narrow" w:hAnsi="Arial Narrow"/>
                <w:sz w:val="15"/>
                <w:szCs w:val="15"/>
                <w:lang w:val="en-US"/>
              </w:rPr>
            </w:pPr>
            <w:r>
              <w:rPr>
                <w:rFonts w:ascii="Arial Narrow" w:hAnsi="Arial Narrow"/>
                <w:sz w:val="15"/>
                <w:szCs w:val="15"/>
                <w:lang w:val="en-US"/>
              </w:rPr>
              <w:t>Adoption a) of a corruption risk management methodology and b) of procedures regarding the supervision by NIKA of that methodology's implementation</w:t>
            </w:r>
          </w:p>
        </w:tc>
        <w:tc>
          <w:tcPr>
            <w:tcW w:w="708" w:type="dxa"/>
            <w:vAlign w:val="center"/>
          </w:tcPr>
          <w:p w14:paraId="0453AC73"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Q2/2025</w:t>
            </w:r>
          </w:p>
        </w:tc>
        <w:tc>
          <w:tcPr>
            <w:tcW w:w="1277" w:type="dxa"/>
            <w:vAlign w:val="center"/>
          </w:tcPr>
          <w:p w14:paraId="190B772B" w14:textId="77777777" w:rsidR="00C24F6F" w:rsidRPr="003677B2" w:rsidRDefault="00C24F6F" w:rsidP="002B1847">
            <w:pPr>
              <w:jc w:val="center"/>
              <w:rPr>
                <w:rFonts w:ascii="Arial Narrow" w:hAnsi="Arial Narrow"/>
                <w:sz w:val="15"/>
                <w:szCs w:val="15"/>
                <w:lang w:val="en-US"/>
              </w:rPr>
            </w:pPr>
            <w:r>
              <w:rPr>
                <w:rFonts w:ascii="Arial Narrow" w:hAnsi="Arial Narrow"/>
                <w:sz w:val="15"/>
                <w:szCs w:val="15"/>
                <w:lang w:val="en-US"/>
              </w:rPr>
              <w:t>Completed</w:t>
            </w:r>
          </w:p>
        </w:tc>
      </w:tr>
    </w:tbl>
    <w:p w14:paraId="36358486" w14:textId="77777777" w:rsidR="00C24F6F" w:rsidRPr="002F5AA0" w:rsidRDefault="00C24F6F" w:rsidP="00C24F6F">
      <w:pPr>
        <w:rPr>
          <w:rFonts w:ascii="Arial Narrow" w:hAnsi="Arial Narrow"/>
        </w:rPr>
      </w:pPr>
    </w:p>
    <w:p w14:paraId="3E29EC1C" w14:textId="77777777" w:rsidR="00C24F6F" w:rsidRPr="002F5AA0" w:rsidRDefault="00C24F6F" w:rsidP="00C24F6F">
      <w:pPr>
        <w:rPr>
          <w:rFonts w:ascii="Arial Narrow" w:hAnsi="Arial Narrow"/>
        </w:rPr>
      </w:pPr>
    </w:p>
    <w:p w14:paraId="71C21546" w14:textId="77777777" w:rsidR="00D9527E" w:rsidRPr="001C4FC1" w:rsidRDefault="00D9527E" w:rsidP="00D9527E"/>
    <w:p w14:paraId="3FED3813" w14:textId="77777777" w:rsidR="00F90AB7" w:rsidRPr="001C4FC1" w:rsidRDefault="00F90AB7" w:rsidP="0062288B">
      <w:pPr>
        <w:rPr>
          <w:rFonts w:ascii="Arial Narrow" w:hAnsi="Arial Narrow"/>
          <w:b/>
          <w:bCs/>
        </w:rPr>
      </w:pPr>
    </w:p>
    <w:sectPr w:rsidR="00F90AB7" w:rsidRPr="001C4FC1" w:rsidSect="00A90574">
      <w:footerReference w:type="even" r:id="rId153"/>
      <w:footerReference w:type="default" r:id="rId154"/>
      <w:footerReference w:type="first" r:id="rId155"/>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49CA5" w14:textId="77777777" w:rsidR="00D90CC3" w:rsidRDefault="00D90CC3" w:rsidP="006C6FB9">
      <w:pPr>
        <w:spacing w:after="0" w:line="240" w:lineRule="auto"/>
      </w:pPr>
      <w:r>
        <w:separator/>
      </w:r>
    </w:p>
  </w:endnote>
  <w:endnote w:type="continuationSeparator" w:id="0">
    <w:p w14:paraId="5A47C83A" w14:textId="77777777" w:rsidR="00D90CC3" w:rsidRDefault="00D90CC3" w:rsidP="006C6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NeueHaasGroteskText W02">
    <w:altName w:val="Calibri"/>
    <w:charset w:val="EE"/>
    <w:family w:val="swiss"/>
    <w:pitch w:val="variable"/>
    <w:sig w:usb0="800000AF" w:usb1="4000204A" w:usb2="00000000" w:usb3="00000000" w:csb0="00000093" w:csb1="00000000"/>
  </w:font>
  <w:font w:name="Times">
    <w:panose1 w:val="02020603050405020304"/>
    <w:charset w:val="EE"/>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A493F" w14:textId="4797F086" w:rsidR="00A37D3D" w:rsidRPr="00B664CB" w:rsidRDefault="00A90574">
    <w:pPr>
      <w:pStyle w:val="Pta"/>
      <w:jc w:val="right"/>
      <w:rPr>
        <w:rFonts w:ascii="Arial Narrow" w:hAnsi="Arial Narrow"/>
      </w:rPr>
    </w:pPr>
    <w:r>
      <w:rPr>
        <w:noProof/>
        <w:lang w:eastAsia="sk-SK"/>
      </w:rPr>
      <mc:AlternateContent>
        <mc:Choice Requires="wps">
          <w:drawing>
            <wp:anchor distT="0" distB="0" distL="114300" distR="114300" simplePos="0" relativeHeight="251701248" behindDoc="0" locked="0" layoutInCell="1" allowOverlap="1" wp14:anchorId="2AF31095" wp14:editId="5A5FE969">
              <wp:simplePos x="0" y="0"/>
              <wp:positionH relativeFrom="column">
                <wp:posOffset>548005</wp:posOffset>
              </wp:positionH>
              <wp:positionV relativeFrom="paragraph">
                <wp:posOffset>-250825</wp:posOffset>
              </wp:positionV>
              <wp:extent cx="5943600" cy="733425"/>
              <wp:effectExtent l="0" t="0" r="0" b="9525"/>
              <wp:wrapNone/>
              <wp:docPr id="380662800" name="Obdĺžnik 2"/>
              <wp:cNvGraphicFramePr/>
              <a:graphic xmlns:a="http://schemas.openxmlformats.org/drawingml/2006/main">
                <a:graphicData uri="http://schemas.microsoft.com/office/word/2010/wordprocessingShape">
                  <wps:wsp>
                    <wps:cNvSpPr/>
                    <wps:spPr>
                      <a:xfrm>
                        <a:off x="0" y="0"/>
                        <a:ext cx="5943600" cy="73342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DEF71" id="Obdĺžnik 2" o:spid="_x0000_s1026" style="position:absolute;margin-left:43.15pt;margin-top:-19.75pt;width:468pt;height:57.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" fillcolor="white [3212]" stroked="f" strokeweight="1pt"/>
          </w:pict>
        </mc:Fallback>
      </mc:AlternateContent>
    </w:r>
    <w:r w:rsidR="00A37D3D">
      <w:rPr>
        <w:noProof/>
        <w:lang w:eastAsia="sk-SK"/>
      </w:rPr>
      <mc:AlternateContent>
        <mc:Choice Requires="wps">
          <w:drawing>
            <wp:anchor distT="0" distB="0" distL="114300" distR="114300" simplePos="0" relativeHeight="251678720" behindDoc="0" locked="0" layoutInCell="1" allowOverlap="1" wp14:anchorId="72D4DB3D" wp14:editId="781ED6B1">
              <wp:simplePos x="0" y="0"/>
              <wp:positionH relativeFrom="column">
                <wp:posOffset>682625</wp:posOffset>
              </wp:positionH>
              <wp:positionV relativeFrom="paragraph">
                <wp:posOffset>-152427</wp:posOffset>
              </wp:positionV>
              <wp:extent cx="4856251" cy="457200"/>
              <wp:effectExtent l="0" t="0" r="0" b="0"/>
              <wp:wrapNone/>
              <wp:docPr id="18" name="Textové pole 18"/>
              <wp:cNvGraphicFramePr/>
              <a:graphic xmlns:a="http://schemas.openxmlformats.org/drawingml/2006/main">
                <a:graphicData uri="http://schemas.microsoft.com/office/word/2010/wordprocessingShape">
                  <wps:wsp>
                    <wps:cNvSpPr txBox="1"/>
                    <wps:spPr bwMode="auto">
                      <a:xfrm>
                        <a:off x="0" y="0"/>
                        <a:ext cx="4856251" cy="457200"/>
                      </a:xfrm>
                      <a:prstGeom prst="rect">
                        <a:avLst/>
                      </a:prstGeom>
                      <a:noFill/>
                      <a:ln w="9525">
                        <a:noFill/>
                        <a:miter lim="800000"/>
                        <a:headEnd/>
                        <a:tailEnd/>
                      </a:ln>
                    </wps:spPr>
                    <wps:txbx>
                      <w:txbxContent>
                        <w:p w14:paraId="175A3DF7" w14:textId="77777777" w:rsidR="00A37D3D" w:rsidRPr="00B664CB" w:rsidRDefault="00A37D3D" w:rsidP="00B664CB">
                          <w:pPr>
                            <w:pStyle w:val="ifptext"/>
                            <w:jc w:val="right"/>
                            <w:rPr>
                              <w:color w:val="808080"/>
                            </w:rPr>
                          </w:pPr>
                          <w:r>
                            <w:rPr>
                              <w:color w:val="808080"/>
                            </w:rPr>
                            <w:t>Výročná správa o pokroku</w:t>
                          </w:r>
                          <w:r>
                            <w:rPr>
                              <w:color w:val="808080"/>
                            </w:rPr>
                            <w:br/>
                          </w:r>
                          <w:r w:rsidRPr="00B664CB">
                            <w:rPr>
                              <w:color w:val="808080"/>
                            </w:rPr>
                            <w:t>Slovenskej republiky</w:t>
                          </w:r>
                          <w:r>
                            <w:rPr>
                              <w:color w:val="808080"/>
                            </w:rPr>
                            <w:t xml:space="preserve"> 2025</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D4DB3D" id="_x0000_t202" coordsize="21600,21600" o:spt="202" path="m,l,21600r21600,l21600,xe">
              <v:stroke joinstyle="miter"/>
              <v:path gradientshapeok="t" o:connecttype="rect"/>
            </v:shapetype>
            <v:shape id="Textové pole 18" o:spid="_x0000_s1026" type="#_x0000_t202" style="position:absolute;left:0;text-align:left;margin-left:53.75pt;margin-top:-12pt;width:382.4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" filled="f" stroked="f">
              <v:textbox>
                <w:txbxContent>
                  <w:p w14:paraId="175A3DF7" w14:textId="77777777" w:rsidR="00A37D3D" w:rsidRPr="00B664CB" w:rsidRDefault="00A37D3D" w:rsidP="00B664CB">
                    <w:pPr>
                      <w:pStyle w:val="ifptext"/>
                      <w:jc w:val="right"/>
                      <w:rPr>
                        <w:color w:val="808080"/>
                      </w:rPr>
                    </w:pPr>
                    <w:r>
                      <w:rPr>
                        <w:color w:val="808080"/>
                      </w:rPr>
                      <w:t>Výročná správa o pokroku</w:t>
                    </w:r>
                    <w:r>
                      <w:rPr>
                        <w:color w:val="808080"/>
                      </w:rPr>
                      <w:br/>
                    </w:r>
                    <w:r w:rsidRPr="00B664CB">
                      <w:rPr>
                        <w:color w:val="808080"/>
                      </w:rPr>
                      <w:t>Slovenskej republiky</w:t>
                    </w:r>
                    <w:r>
                      <w:rPr>
                        <w:color w:val="808080"/>
                      </w:rPr>
                      <w:t xml:space="preserve"> 2025</w:t>
                    </w:r>
                  </w:p>
                </w:txbxContent>
              </v:textbox>
            </v:shape>
          </w:pict>
        </mc:Fallback>
      </mc:AlternateContent>
    </w:r>
    <w:r w:rsidR="00A37D3D" w:rsidRPr="008D4615">
      <w:rPr>
        <w:noProof/>
        <w:lang w:eastAsia="sk-SK"/>
      </w:rPr>
      <mc:AlternateContent>
        <mc:Choice Requires="wps">
          <w:drawing>
            <wp:anchor distT="0" distB="0" distL="114300" distR="114300" simplePos="0" relativeHeight="251679744" behindDoc="1" locked="0" layoutInCell="0" allowOverlap="1" wp14:anchorId="6F2A4A15" wp14:editId="4468F327">
              <wp:simplePos x="0" y="0"/>
              <wp:positionH relativeFrom="page">
                <wp:posOffset>6449695</wp:posOffset>
              </wp:positionH>
              <wp:positionV relativeFrom="page">
                <wp:posOffset>10075240</wp:posOffset>
              </wp:positionV>
              <wp:extent cx="47625" cy="224155"/>
              <wp:effectExtent l="0" t="0" r="9525" b="4445"/>
              <wp:wrapNone/>
              <wp:docPr id="23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7625" cy="224155"/>
                      </a:xfrm>
                      <a:prstGeom prst="rect">
                        <a:avLst/>
                      </a:prstGeom>
                      <a:solidFill>
                        <a:srgbClr val="37AB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5F694" id="Rectangle 14" o:spid="_x0000_s1026" style="position:absolute;margin-left:507.85pt;margin-top:793.35pt;width:3.75pt;height:17.65pt;rotation:180;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" o:allowincell="f" fillcolor="#37abe1" stroked="f">
              <v:path arrowok="t"/>
              <w10:wrap anchorx="page" anchory="page"/>
            </v:rect>
          </w:pict>
        </mc:Fallback>
      </mc:AlternateContent>
    </w:r>
    <w:sdt>
      <w:sdtPr>
        <w:id w:val="-1190216059"/>
        <w:docPartObj>
          <w:docPartGallery w:val="Page Numbers (Bottom of Page)"/>
          <w:docPartUnique/>
        </w:docPartObj>
      </w:sdtPr>
      <w:sdtEndPr>
        <w:rPr>
          <w:rFonts w:ascii="Arial Narrow" w:hAnsi="Arial Narrow"/>
        </w:rPr>
      </w:sdtEndPr>
      <w:sdtContent>
        <w:r w:rsidR="00A37D3D" w:rsidRPr="00B664CB">
          <w:rPr>
            <w:rFonts w:ascii="Arial Narrow" w:hAnsi="Arial Narrow"/>
          </w:rPr>
          <w:fldChar w:fldCharType="begin"/>
        </w:r>
        <w:r w:rsidR="00A37D3D" w:rsidRPr="00B664CB">
          <w:rPr>
            <w:rFonts w:ascii="Arial Narrow" w:hAnsi="Arial Narrow"/>
          </w:rPr>
          <w:instrText>PAGE   \* MERGEFORMAT</w:instrText>
        </w:r>
        <w:r w:rsidR="00A37D3D" w:rsidRPr="00B664CB">
          <w:rPr>
            <w:rFonts w:ascii="Arial Narrow" w:hAnsi="Arial Narrow"/>
          </w:rPr>
          <w:fldChar w:fldCharType="separate"/>
        </w:r>
        <w:r w:rsidR="00A37D3D" w:rsidRPr="00B664CB">
          <w:rPr>
            <w:rFonts w:ascii="Arial Narrow" w:hAnsi="Arial Narrow"/>
          </w:rPr>
          <w:t>2</w:t>
        </w:r>
        <w:r w:rsidR="00A37D3D" w:rsidRPr="00B664CB">
          <w:rPr>
            <w:rFonts w:ascii="Arial Narrow" w:hAnsi="Arial Narrow"/>
          </w:rPr>
          <w:fldChar w:fldCharType="end"/>
        </w:r>
      </w:sdtContent>
    </w:sdt>
  </w:p>
  <w:p w14:paraId="22B8B19B" w14:textId="77777777" w:rsidR="00A37D3D" w:rsidRDefault="00A37D3D">
    <w:pPr>
      <w:pStyle w:val="Pt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AA8FB" w14:textId="77777777" w:rsidR="00C24F6F" w:rsidRDefault="00C24F6F">
    <w:pPr>
      <w:pStyle w:val="Pta"/>
    </w:pPr>
    <w:r>
      <w:rPr>
        <w:noProof/>
      </w:rPr>
      <mc:AlternateContent>
        <mc:Choice Requires="wps">
          <w:drawing>
            <wp:anchor distT="0" distB="0" distL="0" distR="0" simplePos="0" relativeHeight="251687936" behindDoc="0" locked="0" layoutInCell="1" allowOverlap="1" wp14:anchorId="4C5B4D3F" wp14:editId="65AF41B3">
              <wp:simplePos x="635" y="635"/>
              <wp:positionH relativeFrom="page">
                <wp:align>left</wp:align>
              </wp:positionH>
              <wp:positionV relativeFrom="page">
                <wp:align>bottom</wp:align>
              </wp:positionV>
              <wp:extent cx="630555" cy="357505"/>
              <wp:effectExtent l="0" t="0" r="17145" b="0"/>
              <wp:wrapNone/>
              <wp:docPr id="1435474804" name="Textové pole 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0555" cy="357505"/>
                      </a:xfrm>
                      <a:prstGeom prst="rect">
                        <a:avLst/>
                      </a:prstGeom>
                      <a:noFill/>
                      <a:ln>
                        <a:noFill/>
                      </a:ln>
                    </wps:spPr>
                    <wps:txbx>
                      <w:txbxContent>
                        <w:p w14:paraId="521BAFC8" w14:textId="77777777" w:rsidR="00C24F6F" w:rsidRPr="008E7F52" w:rsidRDefault="00C24F6F" w:rsidP="008E7F52">
                          <w:pPr>
                            <w:spacing w:after="0"/>
                            <w:rPr>
                              <w:rFonts w:ascii="Calibri" w:eastAsia="Calibri" w:hAnsi="Calibri" w:cs="Calibri"/>
                              <w:noProof/>
                              <w:color w:val="000000"/>
                              <w:sz w:val="20"/>
                              <w:szCs w:val="20"/>
                            </w:rPr>
                          </w:pPr>
                          <w:r w:rsidRPr="008E7F52">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5B4D3F" id="_x0000_t202" coordsize="21600,21600" o:spt="202" path="m,l,21600r21600,l21600,xe">
              <v:stroke joinstyle="miter"/>
              <v:path gradientshapeok="t" o:connecttype="rect"/>
            </v:shapetype>
            <v:shape id="_x0000_s1043" type="#_x0000_t202" alt="Interné" style="position:absolute;margin-left:0;margin-top:0;width:49.65pt;height:28.15pt;z-index:2516879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" filled="f" stroked="f">
              <v:textbox style="mso-fit-shape-to-text:t" inset="20pt,0,0,15pt">
                <w:txbxContent>
                  <w:p w14:paraId="521BAFC8" w14:textId="77777777" w:rsidR="00C24F6F" w:rsidRPr="008E7F52" w:rsidRDefault="00C24F6F" w:rsidP="008E7F52">
                    <w:pPr>
                      <w:spacing w:after="0"/>
                      <w:rPr>
                        <w:rFonts w:ascii="Calibri" w:eastAsia="Calibri" w:hAnsi="Calibri" w:cs="Calibri"/>
                        <w:noProof/>
                        <w:color w:val="000000"/>
                        <w:sz w:val="20"/>
                        <w:szCs w:val="20"/>
                      </w:rPr>
                    </w:pPr>
                    <w:r w:rsidRPr="008E7F52">
                      <w:rPr>
                        <w:rFonts w:ascii="Calibri" w:eastAsia="Calibri" w:hAnsi="Calibri" w:cs="Calibri"/>
                        <w:noProof/>
                        <w:color w:val="000000"/>
                        <w:sz w:val="20"/>
                        <w:szCs w:val="20"/>
                      </w:rPr>
                      <w:t>Interné</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C92F" w14:textId="51C5986D" w:rsidR="0059117B" w:rsidRDefault="0059117B">
    <w:pPr>
      <w:pStyle w:val="Pta"/>
    </w:pPr>
    <w:r>
      <w:rPr>
        <w:noProof/>
      </w:rPr>
      <mc:AlternateContent>
        <mc:Choice Requires="wps">
          <w:drawing>
            <wp:anchor distT="0" distB="0" distL="0" distR="0" simplePos="0" relativeHeight="251659264" behindDoc="0" locked="0" layoutInCell="1" allowOverlap="1" wp14:anchorId="24757FB7" wp14:editId="21DCF0AC">
              <wp:simplePos x="635" y="635"/>
              <wp:positionH relativeFrom="page">
                <wp:align>left</wp:align>
              </wp:positionH>
              <wp:positionV relativeFrom="page">
                <wp:align>bottom</wp:align>
              </wp:positionV>
              <wp:extent cx="630555" cy="357505"/>
              <wp:effectExtent l="0" t="0" r="17145" b="0"/>
              <wp:wrapNone/>
              <wp:docPr id="177083758"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0555" cy="357505"/>
                      </a:xfrm>
                      <a:prstGeom prst="rect">
                        <a:avLst/>
                      </a:prstGeom>
                      <a:noFill/>
                      <a:ln>
                        <a:noFill/>
                      </a:ln>
                    </wps:spPr>
                    <wps:txbx>
                      <w:txbxContent>
                        <w:p w14:paraId="732D427B" w14:textId="2A5C64B1" w:rsidR="0059117B" w:rsidRPr="0059117B" w:rsidRDefault="0059117B" w:rsidP="0059117B">
                          <w:pPr>
                            <w:spacing w:after="0"/>
                            <w:rPr>
                              <w:rFonts w:ascii="Calibri" w:eastAsia="Calibri" w:hAnsi="Calibri" w:cs="Calibri"/>
                              <w:noProof/>
                              <w:color w:val="000000"/>
                              <w:sz w:val="20"/>
                              <w:szCs w:val="20"/>
                            </w:rPr>
                          </w:pPr>
                          <w:r w:rsidRPr="0059117B">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757FB7" id="_x0000_t202" coordsize="21600,21600" o:spt="202" path="m,l,21600r21600,l21600,xe">
              <v:stroke joinstyle="miter"/>
              <v:path gradientshapeok="t" o:connecttype="rect"/>
            </v:shapetype>
            <v:shape id="_x0000_s1044" type="#_x0000_t202" alt="Interné" style="position:absolute;margin-left:0;margin-top:0;width:49.6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" filled="f" stroked="f">
              <v:textbox style="mso-fit-shape-to-text:t" inset="20pt,0,0,15pt">
                <w:txbxContent>
                  <w:p w14:paraId="732D427B" w14:textId="2A5C64B1" w:rsidR="0059117B" w:rsidRPr="0059117B" w:rsidRDefault="0059117B" w:rsidP="0059117B">
                    <w:pPr>
                      <w:spacing w:after="0"/>
                      <w:rPr>
                        <w:rFonts w:ascii="Calibri" w:eastAsia="Calibri" w:hAnsi="Calibri" w:cs="Calibri"/>
                        <w:noProof/>
                        <w:color w:val="000000"/>
                        <w:sz w:val="20"/>
                        <w:szCs w:val="20"/>
                      </w:rPr>
                    </w:pPr>
                    <w:r w:rsidRPr="0059117B">
                      <w:rPr>
                        <w:rFonts w:ascii="Calibri" w:eastAsia="Calibri" w:hAnsi="Calibri" w:cs="Calibri"/>
                        <w:noProof/>
                        <w:color w:val="000000"/>
                        <w:sz w:val="20"/>
                        <w:szCs w:val="20"/>
                      </w:rPr>
                      <w:t>Interné</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743B8" w14:textId="7BA16D60" w:rsidR="00A90574" w:rsidRPr="00A90574" w:rsidRDefault="00A90574" w:rsidP="00A90574">
    <w:pPr>
      <w:pStyle w:val="Pta"/>
      <w:jc w:val="right"/>
      <w:rPr>
        <w:rFonts w:ascii="Arial Narrow" w:hAnsi="Arial Narrow"/>
      </w:rPr>
    </w:pPr>
    <w:r w:rsidRPr="008D4615">
      <w:rPr>
        <w:noProof/>
        <w:lang w:eastAsia="sk-SK"/>
      </w:rPr>
      <mc:AlternateContent>
        <mc:Choice Requires="wps">
          <w:drawing>
            <wp:anchor distT="0" distB="0" distL="114300" distR="114300" simplePos="0" relativeHeight="251696128" behindDoc="1" locked="0" layoutInCell="0" allowOverlap="1" wp14:anchorId="79A32073" wp14:editId="5926EF78">
              <wp:simplePos x="0" y="0"/>
              <wp:positionH relativeFrom="page">
                <wp:posOffset>6399530</wp:posOffset>
              </wp:positionH>
              <wp:positionV relativeFrom="page">
                <wp:posOffset>10046335</wp:posOffset>
              </wp:positionV>
              <wp:extent cx="47625" cy="224155"/>
              <wp:effectExtent l="0" t="0" r="9525" b="4445"/>
              <wp:wrapNone/>
              <wp:docPr id="36368754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7625" cy="224155"/>
                      </a:xfrm>
                      <a:prstGeom prst="rect">
                        <a:avLst/>
                      </a:prstGeom>
                      <a:solidFill>
                        <a:srgbClr val="37AB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E9039" id="Rectangle 14" o:spid="_x0000_s1026" style="position:absolute;margin-left:503.9pt;margin-top:791.05pt;width:3.75pt;height:17.65pt;rotation:180;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" o:allowincell="f" fillcolor="#37abe1" stroked="f">
              <v:path arrowok="t"/>
              <w10:wrap anchorx="page" anchory="page"/>
            </v:rect>
          </w:pict>
        </mc:Fallback>
      </mc:AlternateContent>
    </w:r>
    <w:r>
      <w:rPr>
        <w:noProof/>
        <w:lang w:eastAsia="sk-SK"/>
      </w:rPr>
      <mc:AlternateContent>
        <mc:Choice Requires="wps">
          <w:drawing>
            <wp:anchor distT="0" distB="0" distL="114300" distR="114300" simplePos="0" relativeHeight="251695104" behindDoc="0" locked="0" layoutInCell="1" allowOverlap="1" wp14:anchorId="3EA76055" wp14:editId="32E459D5">
              <wp:simplePos x="0" y="0"/>
              <wp:positionH relativeFrom="column">
                <wp:posOffset>607695</wp:posOffset>
              </wp:positionH>
              <wp:positionV relativeFrom="paragraph">
                <wp:posOffset>-146685</wp:posOffset>
              </wp:positionV>
              <wp:extent cx="4855845" cy="457200"/>
              <wp:effectExtent l="0" t="0" r="0" b="0"/>
              <wp:wrapNone/>
              <wp:docPr id="656409622" name="Textové pole 656409622"/>
              <wp:cNvGraphicFramePr/>
              <a:graphic xmlns:a="http://schemas.openxmlformats.org/drawingml/2006/main">
                <a:graphicData uri="http://schemas.microsoft.com/office/word/2010/wordprocessingShape">
                  <wps:wsp>
                    <wps:cNvSpPr txBox="1"/>
                    <wps:spPr bwMode="auto">
                      <a:xfrm>
                        <a:off x="0" y="0"/>
                        <a:ext cx="4855845" cy="457200"/>
                      </a:xfrm>
                      <a:prstGeom prst="rect">
                        <a:avLst/>
                      </a:prstGeom>
                      <a:noFill/>
                      <a:ln w="9525">
                        <a:noFill/>
                        <a:miter lim="800000"/>
                        <a:headEnd/>
                        <a:tailEnd/>
                      </a:ln>
                    </wps:spPr>
                    <wps:txbx>
                      <w:txbxContent>
                        <w:p w14:paraId="2FE7F2DE" w14:textId="77777777" w:rsidR="00A90574" w:rsidRPr="00B664CB" w:rsidRDefault="00A90574" w:rsidP="00B664CB">
                          <w:pPr>
                            <w:pStyle w:val="ifptext"/>
                            <w:jc w:val="right"/>
                            <w:rPr>
                              <w:color w:val="808080"/>
                            </w:rPr>
                          </w:pPr>
                          <w:r>
                            <w:rPr>
                              <w:color w:val="808080"/>
                            </w:rPr>
                            <w:t>Výročná správa o pokroku</w:t>
                          </w:r>
                          <w:r>
                            <w:rPr>
                              <w:color w:val="808080"/>
                            </w:rPr>
                            <w:br/>
                          </w:r>
                          <w:r w:rsidRPr="00B664CB">
                            <w:rPr>
                              <w:color w:val="808080"/>
                            </w:rPr>
                            <w:t>Slovenskej republiky</w:t>
                          </w:r>
                          <w:r>
                            <w:rPr>
                              <w:color w:val="808080"/>
                            </w:rPr>
                            <w:t xml:space="preserve"> 2025</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A76055" id="_x0000_t202" coordsize="21600,21600" o:spt="202" path="m,l,21600r21600,l21600,xe">
              <v:stroke joinstyle="miter"/>
              <v:path gradientshapeok="t" o:connecttype="rect"/>
            </v:shapetype>
            <v:shape id="Textové pole 656409622" o:spid="_x0000_s1045" type="#_x0000_t202" style="position:absolute;left:0;text-align:left;margin-left:47.85pt;margin-top:-11.55pt;width:382.35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" filled="f" stroked="f">
              <v:textbox>
                <w:txbxContent>
                  <w:p w14:paraId="2FE7F2DE" w14:textId="77777777" w:rsidR="00A90574" w:rsidRPr="00B664CB" w:rsidRDefault="00A90574" w:rsidP="00B664CB">
                    <w:pPr>
                      <w:pStyle w:val="ifptext"/>
                      <w:jc w:val="right"/>
                      <w:rPr>
                        <w:color w:val="808080"/>
                      </w:rPr>
                    </w:pPr>
                    <w:r>
                      <w:rPr>
                        <w:color w:val="808080"/>
                      </w:rPr>
                      <w:t>Výročná správa o pokroku</w:t>
                    </w:r>
                    <w:r>
                      <w:rPr>
                        <w:color w:val="808080"/>
                      </w:rPr>
                      <w:br/>
                    </w:r>
                    <w:r w:rsidRPr="00B664CB">
                      <w:rPr>
                        <w:color w:val="808080"/>
                      </w:rPr>
                      <w:t>Slovenskej republiky</w:t>
                    </w:r>
                    <w:r>
                      <w:rPr>
                        <w:color w:val="808080"/>
                      </w:rPr>
                      <w:t xml:space="preserve"> 2025</w:t>
                    </w:r>
                  </w:p>
                </w:txbxContent>
              </v:textbox>
            </v:shape>
          </w:pict>
        </mc:Fallback>
      </mc:AlternateContent>
    </w:r>
    <w:sdt>
      <w:sdtPr>
        <w:id w:val="-1759507831"/>
        <w:docPartObj>
          <w:docPartGallery w:val="Page Numbers (Bottom of Page)"/>
          <w:docPartUnique/>
        </w:docPartObj>
      </w:sdtPr>
      <w:sdtEndPr>
        <w:rPr>
          <w:rFonts w:ascii="Arial Narrow" w:hAnsi="Arial Narrow"/>
        </w:rPr>
      </w:sdtEndPr>
      <w:sdtContent>
        <w:r w:rsidRPr="00B664CB">
          <w:rPr>
            <w:rFonts w:ascii="Arial Narrow" w:hAnsi="Arial Narrow"/>
          </w:rPr>
          <w:fldChar w:fldCharType="begin"/>
        </w:r>
        <w:r w:rsidRPr="00B664CB">
          <w:rPr>
            <w:rFonts w:ascii="Arial Narrow" w:hAnsi="Arial Narrow"/>
          </w:rPr>
          <w:instrText>PAGE   \* MERGEFORMAT</w:instrText>
        </w:r>
        <w:r w:rsidRPr="00B664CB">
          <w:rPr>
            <w:rFonts w:ascii="Arial Narrow" w:hAnsi="Arial Narrow"/>
          </w:rPr>
          <w:fldChar w:fldCharType="separate"/>
        </w:r>
        <w:r w:rsidRPr="00B664CB">
          <w:rPr>
            <w:rFonts w:ascii="Arial Narrow" w:hAnsi="Arial Narrow"/>
          </w:rPr>
          <w:t>2</w:t>
        </w:r>
        <w:r w:rsidRPr="00B664CB">
          <w:rPr>
            <w:rFonts w:ascii="Arial Narrow" w:hAnsi="Arial Narrow"/>
          </w:rPr>
          <w:fldChar w:fldCharType="end"/>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7C2E" w14:textId="3314E753" w:rsidR="0059117B" w:rsidRDefault="0059117B">
    <w:pPr>
      <w:pStyle w:val="Pta"/>
    </w:pPr>
    <w:r>
      <w:rPr>
        <w:noProof/>
      </w:rPr>
      <mc:AlternateContent>
        <mc:Choice Requires="wps">
          <w:drawing>
            <wp:anchor distT="0" distB="0" distL="0" distR="0" simplePos="0" relativeHeight="251658240" behindDoc="0" locked="0" layoutInCell="1" allowOverlap="1" wp14:anchorId="43FB3345" wp14:editId="352C21E0">
              <wp:simplePos x="635" y="635"/>
              <wp:positionH relativeFrom="page">
                <wp:align>left</wp:align>
              </wp:positionH>
              <wp:positionV relativeFrom="page">
                <wp:align>bottom</wp:align>
              </wp:positionV>
              <wp:extent cx="630555" cy="357505"/>
              <wp:effectExtent l="0" t="0" r="17145" b="0"/>
              <wp:wrapNone/>
              <wp:docPr id="2141067325" name="Textové pole 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0555" cy="357505"/>
                      </a:xfrm>
                      <a:prstGeom prst="rect">
                        <a:avLst/>
                      </a:prstGeom>
                      <a:noFill/>
                      <a:ln>
                        <a:noFill/>
                      </a:ln>
                    </wps:spPr>
                    <wps:txbx>
                      <w:txbxContent>
                        <w:p w14:paraId="34FA7FE6" w14:textId="09096A95" w:rsidR="0059117B" w:rsidRPr="0059117B" w:rsidRDefault="0059117B" w:rsidP="0059117B">
                          <w:pPr>
                            <w:spacing w:after="0"/>
                            <w:rPr>
                              <w:rFonts w:ascii="Calibri" w:eastAsia="Calibri" w:hAnsi="Calibri" w:cs="Calibri"/>
                              <w:noProof/>
                              <w:color w:val="000000"/>
                              <w:sz w:val="20"/>
                              <w:szCs w:val="20"/>
                            </w:rPr>
                          </w:pPr>
                          <w:r w:rsidRPr="0059117B">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FB3345" id="_x0000_t202" coordsize="21600,21600" o:spt="202" path="m,l,21600r21600,l21600,xe">
              <v:stroke joinstyle="miter"/>
              <v:path gradientshapeok="t" o:connecttype="rect"/>
            </v:shapetype>
            <v:shape id="_x0000_s1046" type="#_x0000_t202" alt="Interné" style="position:absolute;margin-left:0;margin-top:0;width:49.6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" filled="f" stroked="f">
              <v:textbox style="mso-fit-shape-to-text:t" inset="20pt,0,0,15pt">
                <w:txbxContent>
                  <w:p w14:paraId="34FA7FE6" w14:textId="09096A95" w:rsidR="0059117B" w:rsidRPr="0059117B" w:rsidRDefault="0059117B" w:rsidP="0059117B">
                    <w:pPr>
                      <w:spacing w:after="0"/>
                      <w:rPr>
                        <w:rFonts w:ascii="Calibri" w:eastAsia="Calibri" w:hAnsi="Calibri" w:cs="Calibri"/>
                        <w:noProof/>
                        <w:color w:val="000000"/>
                        <w:sz w:val="20"/>
                        <w:szCs w:val="20"/>
                      </w:rPr>
                    </w:pPr>
                    <w:r w:rsidRPr="0059117B">
                      <w:rPr>
                        <w:rFonts w:ascii="Calibri" w:eastAsia="Calibri" w:hAnsi="Calibri" w:cs="Calibri"/>
                        <w:noProof/>
                        <w:color w:val="000000"/>
                        <w:sz w:val="20"/>
                        <w:szCs w:val="2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817515"/>
      <w:docPartObj>
        <w:docPartGallery w:val="Page Numbers (Bottom of Page)"/>
        <w:docPartUnique/>
      </w:docPartObj>
    </w:sdtPr>
    <w:sdtEndPr>
      <w:rPr>
        <w:rFonts w:ascii="Arial Narrow" w:hAnsi="Arial Narrow"/>
      </w:rPr>
    </w:sdtEndPr>
    <w:sdtContent>
      <w:p w14:paraId="798E2259" w14:textId="410F6C70" w:rsidR="00A90574" w:rsidRPr="00A90574" w:rsidRDefault="00A90574">
        <w:pPr>
          <w:pStyle w:val="Pta"/>
          <w:jc w:val="right"/>
          <w:rPr>
            <w:rFonts w:ascii="Arial Narrow" w:hAnsi="Arial Narrow"/>
          </w:rPr>
        </w:pPr>
        <w:r>
          <w:rPr>
            <w:noProof/>
            <w:lang w:eastAsia="sk-SK"/>
          </w:rPr>
          <mc:AlternateContent>
            <mc:Choice Requires="wps">
              <w:drawing>
                <wp:anchor distT="0" distB="0" distL="114300" distR="114300" simplePos="0" relativeHeight="251692032" behindDoc="0" locked="0" layoutInCell="1" allowOverlap="1" wp14:anchorId="7561C8F5" wp14:editId="1F7212F3">
                  <wp:simplePos x="0" y="0"/>
                  <wp:positionH relativeFrom="column">
                    <wp:posOffset>676275</wp:posOffset>
                  </wp:positionH>
                  <wp:positionV relativeFrom="paragraph">
                    <wp:posOffset>-142875</wp:posOffset>
                  </wp:positionV>
                  <wp:extent cx="4855845" cy="457200"/>
                  <wp:effectExtent l="0" t="0" r="0" b="0"/>
                  <wp:wrapNone/>
                  <wp:docPr id="901961991" name="Textové pole 901961991"/>
                  <wp:cNvGraphicFramePr/>
                  <a:graphic xmlns:a="http://schemas.openxmlformats.org/drawingml/2006/main">
                    <a:graphicData uri="http://schemas.microsoft.com/office/word/2010/wordprocessingShape">
                      <wps:wsp>
                        <wps:cNvSpPr txBox="1"/>
                        <wps:spPr bwMode="auto">
                          <a:xfrm>
                            <a:off x="0" y="0"/>
                            <a:ext cx="4855845" cy="457200"/>
                          </a:xfrm>
                          <a:prstGeom prst="rect">
                            <a:avLst/>
                          </a:prstGeom>
                          <a:noFill/>
                          <a:ln w="9525">
                            <a:noFill/>
                            <a:miter lim="800000"/>
                            <a:headEnd/>
                            <a:tailEnd/>
                          </a:ln>
                        </wps:spPr>
                        <wps:txbx>
                          <w:txbxContent>
                            <w:p w14:paraId="46EF4002" w14:textId="77777777" w:rsidR="00A90574" w:rsidRPr="00B664CB" w:rsidRDefault="00A90574" w:rsidP="00A90574">
                              <w:pPr>
                                <w:pStyle w:val="ifptext"/>
                                <w:jc w:val="right"/>
                                <w:rPr>
                                  <w:color w:val="808080"/>
                                </w:rPr>
                              </w:pPr>
                              <w:r>
                                <w:rPr>
                                  <w:color w:val="808080"/>
                                </w:rPr>
                                <w:t>Výročná správa o pokroku</w:t>
                              </w:r>
                              <w:r>
                                <w:rPr>
                                  <w:color w:val="808080"/>
                                </w:rPr>
                                <w:br/>
                              </w:r>
                              <w:r w:rsidRPr="00B664CB">
                                <w:rPr>
                                  <w:color w:val="808080"/>
                                </w:rPr>
                                <w:t>Slovenskej republiky</w:t>
                              </w:r>
                              <w:r>
                                <w:rPr>
                                  <w:color w:val="808080"/>
                                </w:rPr>
                                <w:t xml:space="preserve"> 2026</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1C8F5" id="_x0000_t202" coordsize="21600,21600" o:spt="202" path="m,l,21600r21600,l21600,xe">
                  <v:stroke joinstyle="miter"/>
                  <v:path gradientshapeok="t" o:connecttype="rect"/>
                </v:shapetype>
                <v:shape id="Textové pole 901961991" o:spid="_x0000_s1029" type="#_x0000_t202" style="position:absolute;left:0;text-align:left;margin-left:53.25pt;margin-top:-11.25pt;width:382.35pt;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" filled="f" stroked="f">
                  <v:textbox>
                    <w:txbxContent>
                      <w:p w14:paraId="46EF4002" w14:textId="77777777" w:rsidR="00A90574" w:rsidRPr="00B664CB" w:rsidRDefault="00A90574" w:rsidP="00A90574">
                        <w:pPr>
                          <w:pStyle w:val="ifptext"/>
                          <w:jc w:val="right"/>
                          <w:rPr>
                            <w:color w:val="808080"/>
                          </w:rPr>
                        </w:pPr>
                        <w:r>
                          <w:rPr>
                            <w:color w:val="808080"/>
                          </w:rPr>
                          <w:t>Výročná správa o pokroku</w:t>
                        </w:r>
                        <w:r>
                          <w:rPr>
                            <w:color w:val="808080"/>
                          </w:rPr>
                          <w:br/>
                        </w:r>
                        <w:r w:rsidRPr="00B664CB">
                          <w:rPr>
                            <w:color w:val="808080"/>
                          </w:rPr>
                          <w:t>Slovenskej republiky</w:t>
                        </w:r>
                        <w:r>
                          <w:rPr>
                            <w:color w:val="808080"/>
                          </w:rPr>
                          <w:t xml:space="preserve"> 2026</w:t>
                        </w:r>
                      </w:p>
                    </w:txbxContent>
                  </v:textbox>
                </v:shape>
              </w:pict>
            </mc:Fallback>
          </mc:AlternateContent>
        </w:r>
        <w:r w:rsidRPr="008D4615">
          <w:rPr>
            <w:noProof/>
            <w:lang w:eastAsia="sk-SK"/>
          </w:rPr>
          <mc:AlternateContent>
            <mc:Choice Requires="wps">
              <w:drawing>
                <wp:anchor distT="0" distB="0" distL="114300" distR="114300" simplePos="0" relativeHeight="251693056" behindDoc="1" locked="0" layoutInCell="0" allowOverlap="1" wp14:anchorId="70771D84" wp14:editId="2CAEC76B">
                  <wp:simplePos x="0" y="0"/>
                  <wp:positionH relativeFrom="page">
                    <wp:posOffset>6441440</wp:posOffset>
                  </wp:positionH>
                  <wp:positionV relativeFrom="page">
                    <wp:posOffset>10067925</wp:posOffset>
                  </wp:positionV>
                  <wp:extent cx="47625" cy="224155"/>
                  <wp:effectExtent l="0" t="0" r="9525" b="4445"/>
                  <wp:wrapNone/>
                  <wp:docPr id="27118239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7625" cy="224155"/>
                          </a:xfrm>
                          <a:prstGeom prst="rect">
                            <a:avLst/>
                          </a:prstGeom>
                          <a:solidFill>
                            <a:srgbClr val="37AB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6496B" id="Rectangle 14" o:spid="_x0000_s1026" style="position:absolute;margin-left:507.2pt;margin-top:792.75pt;width:3.75pt;height:17.65pt;rotation:180;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" o:allowincell="f" fillcolor="#37abe1" stroked="f">
                  <v:path arrowok="t"/>
                  <w10:wrap anchorx="page" anchory="page"/>
                </v:rect>
              </w:pict>
            </mc:Fallback>
          </mc:AlternateContent>
        </w:r>
        <w:r w:rsidRPr="00A90574">
          <w:rPr>
            <w:rFonts w:ascii="Arial Narrow" w:hAnsi="Arial Narrow"/>
          </w:rPr>
          <w:fldChar w:fldCharType="begin"/>
        </w:r>
        <w:r w:rsidRPr="00A90574">
          <w:rPr>
            <w:rFonts w:ascii="Arial Narrow" w:hAnsi="Arial Narrow"/>
          </w:rPr>
          <w:instrText>PAGE   \* MERGEFORMAT</w:instrText>
        </w:r>
        <w:r w:rsidRPr="00A90574">
          <w:rPr>
            <w:rFonts w:ascii="Arial Narrow" w:hAnsi="Arial Narrow"/>
          </w:rPr>
          <w:fldChar w:fldCharType="separate"/>
        </w:r>
        <w:r w:rsidRPr="00A90574">
          <w:rPr>
            <w:rFonts w:ascii="Arial Narrow" w:hAnsi="Arial Narrow"/>
          </w:rPr>
          <w:t>2</w:t>
        </w:r>
        <w:r w:rsidRPr="00A90574">
          <w:rPr>
            <w:rFonts w:ascii="Arial Narrow" w:hAnsi="Arial Narrow"/>
          </w:rPr>
          <w:fldChar w:fldCharType="end"/>
        </w:r>
      </w:p>
    </w:sdtContent>
  </w:sdt>
  <w:p w14:paraId="54851343" w14:textId="0C0A132B" w:rsidR="00A90574" w:rsidRDefault="00A90574">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64F5E" w14:textId="77777777" w:rsidR="00A90574" w:rsidRPr="00B664CB" w:rsidRDefault="00A90574">
    <w:pPr>
      <w:pStyle w:val="Pta"/>
      <w:jc w:val="right"/>
      <w:rPr>
        <w:rFonts w:ascii="Arial Narrow" w:hAnsi="Arial Narrow"/>
      </w:rPr>
    </w:pPr>
    <w:r>
      <w:rPr>
        <w:noProof/>
        <w:lang w:eastAsia="sk-SK"/>
      </w:rPr>
      <mc:AlternateContent>
        <mc:Choice Requires="wps">
          <w:drawing>
            <wp:anchor distT="0" distB="0" distL="114300" distR="114300" simplePos="0" relativeHeight="251699200" behindDoc="0" locked="0" layoutInCell="1" allowOverlap="1" wp14:anchorId="0DF6B4BD" wp14:editId="4C805EBF">
              <wp:simplePos x="0" y="0"/>
              <wp:positionH relativeFrom="column">
                <wp:posOffset>682625</wp:posOffset>
              </wp:positionH>
              <wp:positionV relativeFrom="paragraph">
                <wp:posOffset>-152427</wp:posOffset>
              </wp:positionV>
              <wp:extent cx="4856251" cy="457200"/>
              <wp:effectExtent l="0" t="0" r="0" b="0"/>
              <wp:wrapNone/>
              <wp:docPr id="1929808808" name="Textové pole 1929808808"/>
              <wp:cNvGraphicFramePr/>
              <a:graphic xmlns:a="http://schemas.openxmlformats.org/drawingml/2006/main">
                <a:graphicData uri="http://schemas.microsoft.com/office/word/2010/wordprocessingShape">
                  <wps:wsp>
                    <wps:cNvSpPr txBox="1"/>
                    <wps:spPr bwMode="auto">
                      <a:xfrm>
                        <a:off x="0" y="0"/>
                        <a:ext cx="4856251" cy="457200"/>
                      </a:xfrm>
                      <a:prstGeom prst="rect">
                        <a:avLst/>
                      </a:prstGeom>
                      <a:noFill/>
                      <a:ln w="9525">
                        <a:noFill/>
                        <a:miter lim="800000"/>
                        <a:headEnd/>
                        <a:tailEnd/>
                      </a:ln>
                    </wps:spPr>
                    <wps:txbx>
                      <w:txbxContent>
                        <w:p w14:paraId="160A1775" w14:textId="77777777" w:rsidR="00A90574" w:rsidRPr="00B664CB" w:rsidRDefault="00A90574" w:rsidP="00B664CB">
                          <w:pPr>
                            <w:pStyle w:val="ifptext"/>
                            <w:jc w:val="right"/>
                            <w:rPr>
                              <w:color w:val="808080"/>
                            </w:rPr>
                          </w:pPr>
                          <w:r>
                            <w:rPr>
                              <w:color w:val="808080"/>
                            </w:rPr>
                            <w:t>Výročná správa o pokroku</w:t>
                          </w:r>
                          <w:r>
                            <w:rPr>
                              <w:color w:val="808080"/>
                            </w:rPr>
                            <w:br/>
                          </w:r>
                          <w:r w:rsidRPr="00B664CB">
                            <w:rPr>
                              <w:color w:val="808080"/>
                            </w:rPr>
                            <w:t>Slovenskej republiky</w:t>
                          </w:r>
                          <w:r>
                            <w:rPr>
                              <w:color w:val="808080"/>
                            </w:rPr>
                            <w:t xml:space="preserve"> 2025</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6B4BD" id="_x0000_t202" coordsize="21600,21600" o:spt="202" path="m,l,21600r21600,l21600,xe">
              <v:stroke joinstyle="miter"/>
              <v:path gradientshapeok="t" o:connecttype="rect"/>
            </v:shapetype>
            <v:shape id="Textové pole 1929808808" o:spid="_x0000_s1032" type="#_x0000_t202" style="position:absolute;left:0;text-align:left;margin-left:53.75pt;margin-top:-12pt;width:382.4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" filled="f" stroked="f">
              <v:textbox>
                <w:txbxContent>
                  <w:p w14:paraId="160A1775" w14:textId="77777777" w:rsidR="00A90574" w:rsidRPr="00B664CB" w:rsidRDefault="00A90574" w:rsidP="00B664CB">
                    <w:pPr>
                      <w:pStyle w:val="ifptext"/>
                      <w:jc w:val="right"/>
                      <w:rPr>
                        <w:color w:val="808080"/>
                      </w:rPr>
                    </w:pPr>
                    <w:r>
                      <w:rPr>
                        <w:color w:val="808080"/>
                      </w:rPr>
                      <w:t>Výročná správa o pokroku</w:t>
                    </w:r>
                    <w:r>
                      <w:rPr>
                        <w:color w:val="808080"/>
                      </w:rPr>
                      <w:br/>
                    </w:r>
                    <w:r w:rsidRPr="00B664CB">
                      <w:rPr>
                        <w:color w:val="808080"/>
                      </w:rPr>
                      <w:t>Slovenskej republiky</w:t>
                    </w:r>
                    <w:r>
                      <w:rPr>
                        <w:color w:val="808080"/>
                      </w:rPr>
                      <w:t xml:space="preserve"> 2025</w:t>
                    </w:r>
                  </w:p>
                </w:txbxContent>
              </v:textbox>
            </v:shape>
          </w:pict>
        </mc:Fallback>
      </mc:AlternateContent>
    </w:r>
    <w:r w:rsidRPr="008D4615">
      <w:rPr>
        <w:noProof/>
        <w:lang w:eastAsia="sk-SK"/>
      </w:rPr>
      <mc:AlternateContent>
        <mc:Choice Requires="wps">
          <w:drawing>
            <wp:anchor distT="0" distB="0" distL="114300" distR="114300" simplePos="0" relativeHeight="251700224" behindDoc="1" locked="0" layoutInCell="0" allowOverlap="1" wp14:anchorId="73BFA60B" wp14:editId="1A51D9FA">
              <wp:simplePos x="0" y="0"/>
              <wp:positionH relativeFrom="page">
                <wp:posOffset>6449695</wp:posOffset>
              </wp:positionH>
              <wp:positionV relativeFrom="page">
                <wp:posOffset>10075240</wp:posOffset>
              </wp:positionV>
              <wp:extent cx="47625" cy="224155"/>
              <wp:effectExtent l="0" t="0" r="9525" b="4445"/>
              <wp:wrapNone/>
              <wp:docPr id="38684851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7625" cy="224155"/>
                      </a:xfrm>
                      <a:prstGeom prst="rect">
                        <a:avLst/>
                      </a:prstGeom>
                      <a:solidFill>
                        <a:srgbClr val="37AB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CED17" id="Rectangle 14" o:spid="_x0000_s1026" style="position:absolute;margin-left:507.85pt;margin-top:793.35pt;width:3.75pt;height:17.65pt;rotation:180;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" o:allowincell="f" fillcolor="#37abe1" stroked="f">
              <v:path arrowok="t"/>
              <w10:wrap anchorx="page" anchory="page"/>
            </v:rect>
          </w:pict>
        </mc:Fallback>
      </mc:AlternateContent>
    </w:r>
    <w:sdt>
      <w:sdtPr>
        <w:id w:val="-1576118913"/>
        <w:docPartObj>
          <w:docPartGallery w:val="Page Numbers (Bottom of Page)"/>
          <w:docPartUnique/>
        </w:docPartObj>
      </w:sdtPr>
      <w:sdtEndPr>
        <w:rPr>
          <w:rFonts w:ascii="Arial Narrow" w:hAnsi="Arial Narrow"/>
        </w:rPr>
      </w:sdtEndPr>
      <w:sdtContent>
        <w:r w:rsidRPr="00B664CB">
          <w:rPr>
            <w:rFonts w:ascii="Arial Narrow" w:hAnsi="Arial Narrow"/>
          </w:rPr>
          <w:fldChar w:fldCharType="begin"/>
        </w:r>
        <w:r w:rsidRPr="00B664CB">
          <w:rPr>
            <w:rFonts w:ascii="Arial Narrow" w:hAnsi="Arial Narrow"/>
          </w:rPr>
          <w:instrText>PAGE   \* MERGEFORMAT</w:instrText>
        </w:r>
        <w:r w:rsidRPr="00B664CB">
          <w:rPr>
            <w:rFonts w:ascii="Arial Narrow" w:hAnsi="Arial Narrow"/>
          </w:rPr>
          <w:fldChar w:fldCharType="separate"/>
        </w:r>
        <w:r w:rsidRPr="00B664CB">
          <w:rPr>
            <w:rFonts w:ascii="Arial Narrow" w:hAnsi="Arial Narrow"/>
          </w:rPr>
          <w:t>2</w:t>
        </w:r>
        <w:r w:rsidRPr="00B664CB">
          <w:rPr>
            <w:rFonts w:ascii="Arial Narrow" w:hAnsi="Arial Narrow"/>
          </w:rPr>
          <w:fldChar w:fldCharType="end"/>
        </w:r>
      </w:sdtContent>
    </w:sdt>
  </w:p>
  <w:p w14:paraId="15FFB606" w14:textId="77777777" w:rsidR="00A90574" w:rsidRDefault="00A90574">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4ED3C" w14:textId="77777777" w:rsidR="00AA20CF" w:rsidRPr="00B664CB" w:rsidRDefault="00AA20CF">
    <w:pPr>
      <w:pStyle w:val="Pta"/>
      <w:jc w:val="right"/>
      <w:rPr>
        <w:rFonts w:ascii="Arial Narrow" w:hAnsi="Arial Narrow"/>
      </w:rPr>
    </w:pPr>
    <w:r>
      <w:rPr>
        <w:noProof/>
        <w:lang w:eastAsia="sk-SK"/>
      </w:rPr>
      <mc:AlternateContent>
        <mc:Choice Requires="wps">
          <w:drawing>
            <wp:anchor distT="0" distB="0" distL="114300" distR="114300" simplePos="0" relativeHeight="251666432" behindDoc="0" locked="0" layoutInCell="1" allowOverlap="1" wp14:anchorId="28E8C3F3" wp14:editId="04B20AF0">
              <wp:simplePos x="0" y="0"/>
              <wp:positionH relativeFrom="column">
                <wp:posOffset>694689</wp:posOffset>
              </wp:positionH>
              <wp:positionV relativeFrom="paragraph">
                <wp:posOffset>-128877</wp:posOffset>
              </wp:positionV>
              <wp:extent cx="4856251" cy="457200"/>
              <wp:effectExtent l="0" t="0" r="0" b="0"/>
              <wp:wrapNone/>
              <wp:docPr id="353319580" name="Textové pole 353319580"/>
              <wp:cNvGraphicFramePr/>
              <a:graphic xmlns:a="http://schemas.openxmlformats.org/drawingml/2006/main">
                <a:graphicData uri="http://schemas.microsoft.com/office/word/2010/wordprocessingShape">
                  <wps:wsp>
                    <wps:cNvSpPr txBox="1"/>
                    <wps:spPr bwMode="auto">
                      <a:xfrm>
                        <a:off x="0" y="0"/>
                        <a:ext cx="4856251" cy="457200"/>
                      </a:xfrm>
                      <a:prstGeom prst="rect">
                        <a:avLst/>
                      </a:prstGeom>
                      <a:noFill/>
                      <a:ln w="9525">
                        <a:noFill/>
                        <a:miter lim="800000"/>
                        <a:headEnd/>
                        <a:tailEnd/>
                      </a:ln>
                    </wps:spPr>
                    <wps:txbx>
                      <w:txbxContent>
                        <w:p w14:paraId="0A25A99A" w14:textId="77777777" w:rsidR="00AA20CF" w:rsidRPr="00B664CB" w:rsidRDefault="00AA20CF" w:rsidP="00B664CB">
                          <w:pPr>
                            <w:pStyle w:val="ifptext"/>
                            <w:jc w:val="right"/>
                            <w:rPr>
                              <w:color w:val="808080"/>
                            </w:rPr>
                          </w:pPr>
                          <w:r>
                            <w:rPr>
                              <w:color w:val="808080"/>
                            </w:rPr>
                            <w:t>Výročná správa o pokroku</w:t>
                          </w:r>
                          <w:r>
                            <w:rPr>
                              <w:color w:val="808080"/>
                            </w:rPr>
                            <w:br/>
                          </w:r>
                          <w:r w:rsidRPr="00B664CB">
                            <w:rPr>
                              <w:color w:val="808080"/>
                            </w:rPr>
                            <w:t>Slovenskej republiky</w:t>
                          </w:r>
                          <w:r>
                            <w:rPr>
                              <w:color w:val="808080"/>
                            </w:rPr>
                            <w:t xml:space="preserve"> 2026</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E8C3F3" id="_x0000_t202" coordsize="21600,21600" o:spt="202" path="m,l,21600r21600,l21600,xe">
              <v:stroke joinstyle="miter"/>
              <v:path gradientshapeok="t" o:connecttype="rect"/>
            </v:shapetype>
            <v:shape id="Textové pole 353319580" o:spid="_x0000_s1035" type="#_x0000_t202" style="position:absolute;left:0;text-align:left;margin-left:54.7pt;margin-top:-10.15pt;width:382.4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" filled="f" stroked="f">
              <v:textbox>
                <w:txbxContent>
                  <w:p w14:paraId="0A25A99A" w14:textId="77777777" w:rsidR="00AA20CF" w:rsidRPr="00B664CB" w:rsidRDefault="00AA20CF" w:rsidP="00B664CB">
                    <w:pPr>
                      <w:pStyle w:val="ifptext"/>
                      <w:jc w:val="right"/>
                      <w:rPr>
                        <w:color w:val="808080"/>
                      </w:rPr>
                    </w:pPr>
                    <w:r>
                      <w:rPr>
                        <w:color w:val="808080"/>
                      </w:rPr>
                      <w:t>Výročná správa o pokroku</w:t>
                    </w:r>
                    <w:r>
                      <w:rPr>
                        <w:color w:val="808080"/>
                      </w:rPr>
                      <w:br/>
                    </w:r>
                    <w:r w:rsidRPr="00B664CB">
                      <w:rPr>
                        <w:color w:val="808080"/>
                      </w:rPr>
                      <w:t>Slovenskej republiky</w:t>
                    </w:r>
                    <w:r>
                      <w:rPr>
                        <w:color w:val="808080"/>
                      </w:rPr>
                      <w:t xml:space="preserve"> 2026</w:t>
                    </w:r>
                  </w:p>
                </w:txbxContent>
              </v:textbox>
            </v:shape>
          </w:pict>
        </mc:Fallback>
      </mc:AlternateContent>
    </w:r>
    <w:r w:rsidRPr="008D4615">
      <w:rPr>
        <w:noProof/>
        <w:lang w:eastAsia="sk-SK"/>
      </w:rPr>
      <mc:AlternateContent>
        <mc:Choice Requires="wps">
          <w:drawing>
            <wp:anchor distT="0" distB="0" distL="114300" distR="114300" simplePos="0" relativeHeight="251667456" behindDoc="1" locked="0" layoutInCell="0" allowOverlap="1" wp14:anchorId="3D5A3B81" wp14:editId="49A9A50C">
              <wp:simplePos x="0" y="0"/>
              <wp:positionH relativeFrom="page">
                <wp:posOffset>6449695</wp:posOffset>
              </wp:positionH>
              <wp:positionV relativeFrom="page">
                <wp:posOffset>10082530</wp:posOffset>
              </wp:positionV>
              <wp:extent cx="47625" cy="224155"/>
              <wp:effectExtent l="0" t="0" r="9525" b="4445"/>
              <wp:wrapNone/>
              <wp:docPr id="11954333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7625" cy="224155"/>
                      </a:xfrm>
                      <a:prstGeom prst="rect">
                        <a:avLst/>
                      </a:prstGeom>
                      <a:solidFill>
                        <a:srgbClr val="37AB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A1449" id="Rectangle 14" o:spid="_x0000_s1026" style="position:absolute;margin-left:507.85pt;margin-top:793.9pt;width:3.75pt;height:17.65pt;rotation:180;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" o:allowincell="f" fillcolor="#37abe1" stroked="f">
              <v:path arrowok="t"/>
              <w10:wrap anchorx="page" anchory="page"/>
            </v:rect>
          </w:pict>
        </mc:Fallback>
      </mc:AlternateContent>
    </w:r>
    <w:sdt>
      <w:sdtPr>
        <w:id w:val="-1322884008"/>
        <w:docPartObj>
          <w:docPartGallery w:val="Page Numbers (Bottom of Page)"/>
          <w:docPartUnique/>
        </w:docPartObj>
      </w:sdtPr>
      <w:sdtEndPr>
        <w:rPr>
          <w:rFonts w:ascii="Arial Narrow" w:hAnsi="Arial Narrow"/>
        </w:rPr>
      </w:sdtEndPr>
      <w:sdtContent>
        <w:r w:rsidRPr="00B664CB">
          <w:rPr>
            <w:rFonts w:ascii="Arial Narrow" w:hAnsi="Arial Narrow"/>
          </w:rPr>
          <w:fldChar w:fldCharType="begin"/>
        </w:r>
        <w:r w:rsidRPr="00B664CB">
          <w:rPr>
            <w:rFonts w:ascii="Arial Narrow" w:hAnsi="Arial Narrow"/>
          </w:rPr>
          <w:instrText>PAGE   \* MERGEFORMAT</w:instrText>
        </w:r>
        <w:r w:rsidRPr="00B664CB">
          <w:rPr>
            <w:rFonts w:ascii="Arial Narrow" w:hAnsi="Arial Narrow"/>
          </w:rPr>
          <w:fldChar w:fldCharType="separate"/>
        </w:r>
        <w:r w:rsidRPr="00B664CB">
          <w:rPr>
            <w:rFonts w:ascii="Arial Narrow" w:hAnsi="Arial Narrow"/>
          </w:rPr>
          <w:t>2</w:t>
        </w:r>
        <w:r w:rsidRPr="00B664CB">
          <w:rPr>
            <w:rFonts w:ascii="Arial Narrow" w:hAnsi="Arial Narrow"/>
          </w:rPr>
          <w:fldChar w:fldCharType="end"/>
        </w:r>
      </w:sdtContent>
    </w:sdt>
  </w:p>
  <w:p w14:paraId="425E065E" w14:textId="77777777" w:rsidR="00AA20CF" w:rsidRDefault="00AA20CF">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FC825" w14:textId="77777777" w:rsidR="00AA20CF" w:rsidRPr="00A46BD9" w:rsidRDefault="00AA20CF">
    <w:pPr>
      <w:pStyle w:val="Pta"/>
    </w:pPr>
    <w:r w:rsidRPr="00A46BD9">
      <w:rPr>
        <w:noProof/>
      </w:rPr>
      <mc:AlternateContent>
        <mc:Choice Requires="wps">
          <w:drawing>
            <wp:anchor distT="0" distB="0" distL="0" distR="0" simplePos="0" relativeHeight="251665408" behindDoc="0" locked="0" layoutInCell="1" allowOverlap="1" wp14:anchorId="0C2D8764" wp14:editId="49AFCC7D">
              <wp:simplePos x="635" y="635"/>
              <wp:positionH relativeFrom="page">
                <wp:align>left</wp:align>
              </wp:positionH>
              <wp:positionV relativeFrom="page">
                <wp:align>bottom</wp:align>
              </wp:positionV>
              <wp:extent cx="630555" cy="357505"/>
              <wp:effectExtent l="0" t="0" r="17145" b="0"/>
              <wp:wrapNone/>
              <wp:docPr id="745644200"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0555" cy="357505"/>
                      </a:xfrm>
                      <a:prstGeom prst="rect">
                        <a:avLst/>
                      </a:prstGeom>
                      <a:noFill/>
                      <a:ln>
                        <a:noFill/>
                      </a:ln>
                    </wps:spPr>
                    <wps:txbx>
                      <w:txbxContent>
                        <w:p w14:paraId="22BADFE2" w14:textId="77777777" w:rsidR="00AA20CF" w:rsidRPr="00A46BD9" w:rsidRDefault="00AA20CF" w:rsidP="00056E6E">
                          <w:pPr>
                            <w:spacing w:after="0"/>
                            <w:rPr>
                              <w:rFonts w:ascii="Calibri" w:eastAsia="Calibri" w:hAnsi="Calibri" w:cs="Calibri"/>
                              <w:color w:val="000000"/>
                              <w:sz w:val="20"/>
                              <w:szCs w:val="20"/>
                            </w:rPr>
                          </w:pPr>
                          <w:r w:rsidRPr="00A46BD9">
                            <w:rPr>
                              <w:rFonts w:ascii="Calibri" w:eastAsia="Calibri" w:hAnsi="Calibri" w:cs="Calibri"/>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2D8764" id="_x0000_t202" coordsize="21600,21600" o:spt="202" path="m,l,21600r21600,l21600,xe">
              <v:stroke joinstyle="miter"/>
              <v:path gradientshapeok="t" o:connecttype="rect"/>
            </v:shapetype>
            <v:shape id="_x0000_s1036" type="#_x0000_t202" alt="Interné" style="position:absolute;margin-left:0;margin-top:0;width:49.65pt;height:28.1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" filled="f" stroked="f">
              <v:textbox style="mso-fit-shape-to-text:t" inset="20pt,0,0,15pt">
                <w:txbxContent>
                  <w:p w14:paraId="22BADFE2" w14:textId="77777777" w:rsidR="00AA20CF" w:rsidRPr="00A46BD9" w:rsidRDefault="00AA20CF" w:rsidP="00056E6E">
                    <w:pPr>
                      <w:spacing w:after="0"/>
                      <w:rPr>
                        <w:rFonts w:ascii="Calibri" w:eastAsia="Calibri" w:hAnsi="Calibri" w:cs="Calibri"/>
                        <w:color w:val="000000"/>
                        <w:sz w:val="20"/>
                        <w:szCs w:val="20"/>
                      </w:rPr>
                    </w:pPr>
                    <w:r w:rsidRPr="00A46BD9">
                      <w:rPr>
                        <w:rFonts w:ascii="Calibri" w:eastAsia="Calibri" w:hAnsi="Calibri" w:cs="Calibri"/>
                        <w:color w:val="000000"/>
                        <w:sz w:val="20"/>
                        <w:szCs w:val="20"/>
                      </w:rPr>
                      <w:t>Interné</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51EE" w14:textId="77777777" w:rsidR="00AA20CF" w:rsidRPr="00A46BD9" w:rsidRDefault="00AA20CF">
    <w:pPr>
      <w:pStyle w:val="Pta"/>
      <w:jc w:val="right"/>
      <w:rPr>
        <w:rFonts w:ascii="Arial Narrow" w:hAnsi="Arial Narrow"/>
      </w:rPr>
    </w:pPr>
    <w:r w:rsidRPr="00A46BD9">
      <w:rPr>
        <w:noProof/>
        <w:lang w:eastAsia="sk-SK"/>
      </w:rPr>
      <mc:AlternateContent>
        <mc:Choice Requires="wps">
          <w:drawing>
            <wp:anchor distT="0" distB="0" distL="114300" distR="114300" simplePos="0" relativeHeight="251662336" behindDoc="0" locked="0" layoutInCell="1" allowOverlap="1" wp14:anchorId="7844A3FC" wp14:editId="7C53ECCF">
              <wp:simplePos x="0" y="0"/>
              <wp:positionH relativeFrom="column">
                <wp:posOffset>694689</wp:posOffset>
              </wp:positionH>
              <wp:positionV relativeFrom="paragraph">
                <wp:posOffset>-128877</wp:posOffset>
              </wp:positionV>
              <wp:extent cx="4856251" cy="457200"/>
              <wp:effectExtent l="0" t="0" r="0" b="0"/>
              <wp:wrapNone/>
              <wp:docPr id="1739507559" name="Textové pole 1739507559"/>
              <wp:cNvGraphicFramePr/>
              <a:graphic xmlns:a="http://schemas.openxmlformats.org/drawingml/2006/main">
                <a:graphicData uri="http://schemas.microsoft.com/office/word/2010/wordprocessingShape">
                  <wps:wsp>
                    <wps:cNvSpPr txBox="1"/>
                    <wps:spPr bwMode="auto">
                      <a:xfrm>
                        <a:off x="0" y="0"/>
                        <a:ext cx="4856251" cy="457200"/>
                      </a:xfrm>
                      <a:prstGeom prst="rect">
                        <a:avLst/>
                      </a:prstGeom>
                      <a:noFill/>
                      <a:ln w="9525">
                        <a:noFill/>
                        <a:miter lim="800000"/>
                        <a:headEnd/>
                        <a:tailEnd/>
                      </a:ln>
                    </wps:spPr>
                    <wps:txbx>
                      <w:txbxContent>
                        <w:p w14:paraId="0393450D" w14:textId="77777777" w:rsidR="00AA20CF" w:rsidRPr="00A46BD9" w:rsidRDefault="00AA20CF" w:rsidP="00B664CB">
                          <w:pPr>
                            <w:pStyle w:val="ifptext"/>
                            <w:jc w:val="right"/>
                            <w:rPr>
                              <w:color w:val="808080"/>
                            </w:rPr>
                          </w:pPr>
                          <w:r w:rsidRPr="00A46BD9">
                            <w:rPr>
                              <w:color w:val="808080"/>
                            </w:rPr>
                            <w:t>Výročná správa o pokroku</w:t>
                          </w:r>
                          <w:r w:rsidRPr="00A46BD9">
                            <w:rPr>
                              <w:color w:val="808080"/>
                            </w:rPr>
                            <w:br/>
                            <w:t>Slovenskej republiky 202</w:t>
                          </w:r>
                          <w:r>
                            <w:rPr>
                              <w:color w:val="808080"/>
                            </w:rPr>
                            <w:t>6</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44A3FC" id="_x0000_t202" coordsize="21600,21600" o:spt="202" path="m,l,21600r21600,l21600,xe">
              <v:stroke joinstyle="miter"/>
              <v:path gradientshapeok="t" o:connecttype="rect"/>
            </v:shapetype>
            <v:shape id="Textové pole 1739507559" o:spid="_x0000_s1037" type="#_x0000_t202" style="position:absolute;left:0;text-align:left;margin-left:54.7pt;margin-top:-10.15pt;width:382.4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" filled="f" stroked="f">
              <v:textbox>
                <w:txbxContent>
                  <w:p w14:paraId="0393450D" w14:textId="77777777" w:rsidR="00AA20CF" w:rsidRPr="00A46BD9" w:rsidRDefault="00AA20CF" w:rsidP="00B664CB">
                    <w:pPr>
                      <w:pStyle w:val="ifptext"/>
                      <w:jc w:val="right"/>
                      <w:rPr>
                        <w:color w:val="808080"/>
                      </w:rPr>
                    </w:pPr>
                    <w:r w:rsidRPr="00A46BD9">
                      <w:rPr>
                        <w:color w:val="808080"/>
                      </w:rPr>
                      <w:t>Výročná správa o pokroku</w:t>
                    </w:r>
                    <w:r w:rsidRPr="00A46BD9">
                      <w:rPr>
                        <w:color w:val="808080"/>
                      </w:rPr>
                      <w:br/>
                      <w:t>Slovenskej republiky 202</w:t>
                    </w:r>
                    <w:r>
                      <w:rPr>
                        <w:color w:val="808080"/>
                      </w:rPr>
                      <w:t>6</w:t>
                    </w:r>
                  </w:p>
                </w:txbxContent>
              </v:textbox>
            </v:shape>
          </w:pict>
        </mc:Fallback>
      </mc:AlternateContent>
    </w:r>
    <w:r w:rsidRPr="00A46BD9">
      <w:rPr>
        <w:noProof/>
        <w:lang w:eastAsia="sk-SK"/>
      </w:rPr>
      <mc:AlternateContent>
        <mc:Choice Requires="wps">
          <w:drawing>
            <wp:anchor distT="0" distB="0" distL="114300" distR="114300" simplePos="0" relativeHeight="251663360" behindDoc="1" locked="0" layoutInCell="0" allowOverlap="1" wp14:anchorId="3AB0C18D" wp14:editId="29FE1DE8">
              <wp:simplePos x="0" y="0"/>
              <wp:positionH relativeFrom="page">
                <wp:posOffset>6449695</wp:posOffset>
              </wp:positionH>
              <wp:positionV relativeFrom="page">
                <wp:posOffset>10082530</wp:posOffset>
              </wp:positionV>
              <wp:extent cx="47625" cy="224155"/>
              <wp:effectExtent l="0" t="0" r="9525" b="4445"/>
              <wp:wrapNone/>
              <wp:docPr id="176985056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7625" cy="224155"/>
                      </a:xfrm>
                      <a:prstGeom prst="rect">
                        <a:avLst/>
                      </a:prstGeom>
                      <a:solidFill>
                        <a:srgbClr val="37AB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F4470" id="Rectangle 14" o:spid="_x0000_s1026" style="position:absolute;margin-left:507.85pt;margin-top:793.9pt;width:3.75pt;height:17.65pt;rotation:18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" o:allowincell="f" fillcolor="#37abe1" stroked="f">
              <v:path arrowok="t"/>
              <w10:wrap anchorx="page" anchory="page"/>
            </v:rect>
          </w:pict>
        </mc:Fallback>
      </mc:AlternateContent>
    </w:r>
    <w:sdt>
      <w:sdtPr>
        <w:id w:val="-1989388808"/>
        <w:docPartObj>
          <w:docPartGallery w:val="Page Numbers (Bottom of Page)"/>
          <w:docPartUnique/>
        </w:docPartObj>
      </w:sdtPr>
      <w:sdtEndPr>
        <w:rPr>
          <w:rFonts w:ascii="Arial Narrow" w:hAnsi="Arial Narrow"/>
        </w:rPr>
      </w:sdtEndPr>
      <w:sdtContent>
        <w:r w:rsidRPr="00A46BD9">
          <w:rPr>
            <w:rFonts w:ascii="Arial Narrow" w:hAnsi="Arial Narrow"/>
          </w:rPr>
          <w:fldChar w:fldCharType="begin"/>
        </w:r>
        <w:r w:rsidRPr="00A46BD9">
          <w:rPr>
            <w:rFonts w:ascii="Arial Narrow" w:hAnsi="Arial Narrow"/>
          </w:rPr>
          <w:instrText>PAGE   \* MERGEFORMAT</w:instrText>
        </w:r>
        <w:r w:rsidRPr="00A46BD9">
          <w:rPr>
            <w:rFonts w:ascii="Arial Narrow" w:hAnsi="Arial Narrow"/>
          </w:rPr>
          <w:fldChar w:fldCharType="separate"/>
        </w:r>
        <w:r w:rsidRPr="00A46BD9">
          <w:rPr>
            <w:rFonts w:ascii="Arial Narrow" w:hAnsi="Arial Narrow"/>
          </w:rPr>
          <w:t>2</w:t>
        </w:r>
        <w:r w:rsidRPr="00A46BD9">
          <w:rPr>
            <w:rFonts w:ascii="Arial Narrow" w:hAnsi="Arial Narrow"/>
          </w:rPr>
          <w:fldChar w:fldCharType="end"/>
        </w:r>
      </w:sdtContent>
    </w:sdt>
  </w:p>
  <w:p w14:paraId="40B2FA84" w14:textId="77777777" w:rsidR="00AA20CF" w:rsidRPr="00A46BD9" w:rsidRDefault="00AA20CF">
    <w:pPr>
      <w:pStyle w:val="Pt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1BBE2" w14:textId="77777777" w:rsidR="00AA20CF" w:rsidRPr="00A46BD9" w:rsidRDefault="00AA20CF">
    <w:pPr>
      <w:pStyle w:val="Pta"/>
    </w:pPr>
    <w:r w:rsidRPr="00A46BD9">
      <w:rPr>
        <w:noProof/>
      </w:rPr>
      <mc:AlternateContent>
        <mc:Choice Requires="wps">
          <w:drawing>
            <wp:anchor distT="0" distB="0" distL="0" distR="0" simplePos="0" relativeHeight="251664384" behindDoc="0" locked="0" layoutInCell="1" allowOverlap="1" wp14:anchorId="14CE2566" wp14:editId="437D84E8">
              <wp:simplePos x="635" y="635"/>
              <wp:positionH relativeFrom="page">
                <wp:align>left</wp:align>
              </wp:positionH>
              <wp:positionV relativeFrom="page">
                <wp:align>bottom</wp:align>
              </wp:positionV>
              <wp:extent cx="630555" cy="357505"/>
              <wp:effectExtent l="0" t="0" r="17145" b="0"/>
              <wp:wrapNone/>
              <wp:docPr id="71366374" name="Textové pole 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0555" cy="357505"/>
                      </a:xfrm>
                      <a:prstGeom prst="rect">
                        <a:avLst/>
                      </a:prstGeom>
                      <a:noFill/>
                      <a:ln>
                        <a:noFill/>
                      </a:ln>
                    </wps:spPr>
                    <wps:txbx>
                      <w:txbxContent>
                        <w:p w14:paraId="1E274204" w14:textId="77777777" w:rsidR="00AA20CF" w:rsidRPr="00A46BD9" w:rsidRDefault="00AA20CF" w:rsidP="00056E6E">
                          <w:pPr>
                            <w:spacing w:after="0"/>
                            <w:rPr>
                              <w:rFonts w:ascii="Calibri" w:eastAsia="Calibri" w:hAnsi="Calibri" w:cs="Calibri"/>
                              <w:color w:val="000000"/>
                              <w:sz w:val="20"/>
                              <w:szCs w:val="20"/>
                            </w:rPr>
                          </w:pPr>
                          <w:r w:rsidRPr="00A46BD9">
                            <w:rPr>
                              <w:rFonts w:ascii="Calibri" w:eastAsia="Calibri" w:hAnsi="Calibri" w:cs="Calibri"/>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CE2566" id="_x0000_t202" coordsize="21600,21600" o:spt="202" path="m,l,21600r21600,l21600,xe">
              <v:stroke joinstyle="miter"/>
              <v:path gradientshapeok="t" o:connecttype="rect"/>
            </v:shapetype>
            <v:shape id="Textové pole 1" o:spid="_x0000_s1038" type="#_x0000_t202" alt="Interné" style="position:absolute;margin-left:0;margin-top:0;width:49.65pt;height:28.1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" filled="f" stroked="f">
              <v:textbox style="mso-fit-shape-to-text:t" inset="20pt,0,0,15pt">
                <w:txbxContent>
                  <w:p w14:paraId="1E274204" w14:textId="77777777" w:rsidR="00AA20CF" w:rsidRPr="00A46BD9" w:rsidRDefault="00AA20CF" w:rsidP="00056E6E">
                    <w:pPr>
                      <w:spacing w:after="0"/>
                      <w:rPr>
                        <w:rFonts w:ascii="Calibri" w:eastAsia="Calibri" w:hAnsi="Calibri" w:cs="Calibri"/>
                        <w:color w:val="000000"/>
                        <w:sz w:val="20"/>
                        <w:szCs w:val="20"/>
                      </w:rPr>
                    </w:pPr>
                    <w:r w:rsidRPr="00A46BD9">
                      <w:rPr>
                        <w:rFonts w:ascii="Calibri" w:eastAsia="Calibri" w:hAnsi="Calibri" w:cs="Calibri"/>
                        <w:color w:val="000000"/>
                        <w:sz w:val="20"/>
                        <w:szCs w:val="20"/>
                      </w:rPr>
                      <w:t>Interné</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FBB36" w14:textId="77777777" w:rsidR="00C24F6F" w:rsidRDefault="00C24F6F">
    <w:pPr>
      <w:pStyle w:val="Pta"/>
    </w:pPr>
    <w:r>
      <w:rPr>
        <w:noProof/>
      </w:rPr>
      <mc:AlternateContent>
        <mc:Choice Requires="wps">
          <w:drawing>
            <wp:anchor distT="0" distB="0" distL="0" distR="0" simplePos="0" relativeHeight="251688960" behindDoc="0" locked="0" layoutInCell="1" allowOverlap="1" wp14:anchorId="1D5C1188" wp14:editId="70194F84">
              <wp:simplePos x="635" y="635"/>
              <wp:positionH relativeFrom="page">
                <wp:align>left</wp:align>
              </wp:positionH>
              <wp:positionV relativeFrom="page">
                <wp:align>bottom</wp:align>
              </wp:positionV>
              <wp:extent cx="630555" cy="357505"/>
              <wp:effectExtent l="0" t="0" r="17145" b="0"/>
              <wp:wrapNone/>
              <wp:docPr id="255614470"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0555" cy="357505"/>
                      </a:xfrm>
                      <a:prstGeom prst="rect">
                        <a:avLst/>
                      </a:prstGeom>
                      <a:noFill/>
                      <a:ln>
                        <a:noFill/>
                      </a:ln>
                    </wps:spPr>
                    <wps:txbx>
                      <w:txbxContent>
                        <w:p w14:paraId="021B4EC3" w14:textId="77777777" w:rsidR="00C24F6F" w:rsidRPr="008E7F52" w:rsidRDefault="00C24F6F" w:rsidP="008E7F52">
                          <w:pPr>
                            <w:spacing w:after="0"/>
                            <w:rPr>
                              <w:rFonts w:ascii="Calibri" w:eastAsia="Calibri" w:hAnsi="Calibri" w:cs="Calibri"/>
                              <w:noProof/>
                              <w:color w:val="000000"/>
                              <w:sz w:val="20"/>
                              <w:szCs w:val="20"/>
                            </w:rPr>
                          </w:pPr>
                          <w:r w:rsidRPr="008E7F52">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D5C1188" id="_x0000_t202" coordsize="21600,21600" o:spt="202" path="m,l,21600r21600,l21600,xe">
              <v:stroke joinstyle="miter"/>
              <v:path gradientshapeok="t" o:connecttype="rect"/>
            </v:shapetype>
            <v:shape id="_x0000_s1041" type="#_x0000_t202" alt="Interné" style="position:absolute;margin-left:0;margin-top:0;width:49.65pt;height:28.15pt;z-index:2516889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" filled="f" stroked="f">
              <v:textbox style="mso-fit-shape-to-text:t" inset="20pt,0,0,15pt">
                <w:txbxContent>
                  <w:p w14:paraId="021B4EC3" w14:textId="77777777" w:rsidR="00C24F6F" w:rsidRPr="008E7F52" w:rsidRDefault="00C24F6F" w:rsidP="008E7F52">
                    <w:pPr>
                      <w:spacing w:after="0"/>
                      <w:rPr>
                        <w:rFonts w:ascii="Calibri" w:eastAsia="Calibri" w:hAnsi="Calibri" w:cs="Calibri"/>
                        <w:noProof/>
                        <w:color w:val="000000"/>
                        <w:sz w:val="20"/>
                        <w:szCs w:val="20"/>
                      </w:rPr>
                    </w:pPr>
                    <w:r w:rsidRPr="008E7F52">
                      <w:rPr>
                        <w:rFonts w:ascii="Calibri" w:eastAsia="Calibri" w:hAnsi="Calibri" w:cs="Calibri"/>
                        <w:noProof/>
                        <w:color w:val="000000"/>
                        <w:sz w:val="20"/>
                        <w:szCs w:val="20"/>
                      </w:rPr>
                      <w:t>Interné</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692BF" w14:textId="7D5715F2" w:rsidR="00C24F6F" w:rsidRPr="00B664CB" w:rsidRDefault="00C24F6F">
    <w:pPr>
      <w:pStyle w:val="Pta"/>
      <w:jc w:val="right"/>
      <w:rPr>
        <w:rFonts w:ascii="Arial Narrow" w:hAnsi="Arial Narrow"/>
      </w:rPr>
    </w:pPr>
    <w:r w:rsidRPr="008D4615">
      <w:rPr>
        <w:noProof/>
        <w:lang w:eastAsia="sk-SK"/>
      </w:rPr>
      <mc:AlternateContent>
        <mc:Choice Requires="wps">
          <w:drawing>
            <wp:anchor distT="0" distB="0" distL="114300" distR="114300" simplePos="0" relativeHeight="251686912" behindDoc="1" locked="0" layoutInCell="0" allowOverlap="1" wp14:anchorId="7FAB19EA" wp14:editId="10F1CF64">
              <wp:simplePos x="0" y="0"/>
              <wp:positionH relativeFrom="page">
                <wp:posOffset>6400469</wp:posOffset>
              </wp:positionH>
              <wp:positionV relativeFrom="page">
                <wp:posOffset>10074910</wp:posOffset>
              </wp:positionV>
              <wp:extent cx="47625" cy="224155"/>
              <wp:effectExtent l="0" t="0" r="9525" b="4445"/>
              <wp:wrapNone/>
              <wp:docPr id="101937398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7625" cy="224155"/>
                      </a:xfrm>
                      <a:prstGeom prst="rect">
                        <a:avLst/>
                      </a:prstGeom>
                      <a:solidFill>
                        <a:srgbClr val="37AB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1D375" id="Rectangle 14" o:spid="_x0000_s1026" style="position:absolute;margin-left:503.95pt;margin-top:793.3pt;width:3.75pt;height:17.65pt;rotation:180;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" o:allowincell="f" fillcolor="#37abe1" stroked="f">
              <v:path arrowok="t"/>
              <w10:wrap anchorx="page" anchory="page"/>
            </v:rect>
          </w:pict>
        </mc:Fallback>
      </mc:AlternateContent>
    </w:r>
    <w:r>
      <w:rPr>
        <w:noProof/>
        <w:lang w:eastAsia="sk-SK"/>
      </w:rPr>
      <mc:AlternateContent>
        <mc:Choice Requires="wps">
          <w:drawing>
            <wp:anchor distT="0" distB="0" distL="114300" distR="114300" simplePos="0" relativeHeight="251685888" behindDoc="0" locked="0" layoutInCell="1" allowOverlap="1" wp14:anchorId="53753C05" wp14:editId="538C6714">
              <wp:simplePos x="0" y="0"/>
              <wp:positionH relativeFrom="column">
                <wp:posOffset>607695</wp:posOffset>
              </wp:positionH>
              <wp:positionV relativeFrom="paragraph">
                <wp:posOffset>-146685</wp:posOffset>
              </wp:positionV>
              <wp:extent cx="4855845" cy="457200"/>
              <wp:effectExtent l="0" t="0" r="0" b="0"/>
              <wp:wrapNone/>
              <wp:docPr id="1760257716" name="Textové pole 1760257716"/>
              <wp:cNvGraphicFramePr/>
              <a:graphic xmlns:a="http://schemas.openxmlformats.org/drawingml/2006/main">
                <a:graphicData uri="http://schemas.microsoft.com/office/word/2010/wordprocessingShape">
                  <wps:wsp>
                    <wps:cNvSpPr txBox="1"/>
                    <wps:spPr bwMode="auto">
                      <a:xfrm>
                        <a:off x="0" y="0"/>
                        <a:ext cx="4855845" cy="457200"/>
                      </a:xfrm>
                      <a:prstGeom prst="rect">
                        <a:avLst/>
                      </a:prstGeom>
                      <a:noFill/>
                      <a:ln w="9525">
                        <a:noFill/>
                        <a:miter lim="800000"/>
                        <a:headEnd/>
                        <a:tailEnd/>
                      </a:ln>
                    </wps:spPr>
                    <wps:txbx>
                      <w:txbxContent>
                        <w:p w14:paraId="2387DEFC" w14:textId="77777777" w:rsidR="00C24F6F" w:rsidRPr="00B664CB" w:rsidRDefault="00C24F6F" w:rsidP="00B664CB">
                          <w:pPr>
                            <w:pStyle w:val="ifptext"/>
                            <w:jc w:val="right"/>
                            <w:rPr>
                              <w:color w:val="808080"/>
                            </w:rPr>
                          </w:pPr>
                          <w:r>
                            <w:rPr>
                              <w:color w:val="808080"/>
                            </w:rPr>
                            <w:t>Výročná správa o pokroku</w:t>
                          </w:r>
                          <w:r>
                            <w:rPr>
                              <w:color w:val="808080"/>
                            </w:rPr>
                            <w:br/>
                          </w:r>
                          <w:r w:rsidRPr="00B664CB">
                            <w:rPr>
                              <w:color w:val="808080"/>
                            </w:rPr>
                            <w:t>Slovenskej republiky</w:t>
                          </w:r>
                          <w:r>
                            <w:rPr>
                              <w:color w:val="808080"/>
                            </w:rPr>
                            <w:t xml:space="preserve"> 2025</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753C05" id="_x0000_t202" coordsize="21600,21600" o:spt="202" path="m,l,21600r21600,l21600,xe">
              <v:stroke joinstyle="miter"/>
              <v:path gradientshapeok="t" o:connecttype="rect"/>
            </v:shapetype>
            <v:shape id="Textové pole 1760257716" o:spid="_x0000_s1042" type="#_x0000_t202" style="position:absolute;left:0;text-align:left;margin-left:47.85pt;margin-top:-11.55pt;width:382.35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" filled="f" stroked="f">
              <v:textbox>
                <w:txbxContent>
                  <w:p w14:paraId="2387DEFC" w14:textId="77777777" w:rsidR="00C24F6F" w:rsidRPr="00B664CB" w:rsidRDefault="00C24F6F" w:rsidP="00B664CB">
                    <w:pPr>
                      <w:pStyle w:val="ifptext"/>
                      <w:jc w:val="right"/>
                      <w:rPr>
                        <w:color w:val="808080"/>
                      </w:rPr>
                    </w:pPr>
                    <w:r>
                      <w:rPr>
                        <w:color w:val="808080"/>
                      </w:rPr>
                      <w:t>Výročná správa o pokroku</w:t>
                    </w:r>
                    <w:r>
                      <w:rPr>
                        <w:color w:val="808080"/>
                      </w:rPr>
                      <w:br/>
                    </w:r>
                    <w:r w:rsidRPr="00B664CB">
                      <w:rPr>
                        <w:color w:val="808080"/>
                      </w:rPr>
                      <w:t>Slovenskej republiky</w:t>
                    </w:r>
                    <w:r>
                      <w:rPr>
                        <w:color w:val="808080"/>
                      </w:rPr>
                      <w:t xml:space="preserve"> 2025</w:t>
                    </w:r>
                  </w:p>
                </w:txbxContent>
              </v:textbox>
            </v:shape>
          </w:pict>
        </mc:Fallback>
      </mc:AlternateContent>
    </w:r>
    <w:sdt>
      <w:sdtPr>
        <w:id w:val="-721523403"/>
        <w:docPartObj>
          <w:docPartGallery w:val="Page Numbers (Bottom of Page)"/>
          <w:docPartUnique/>
        </w:docPartObj>
      </w:sdtPr>
      <w:sdtEndPr>
        <w:rPr>
          <w:rFonts w:ascii="Arial Narrow" w:hAnsi="Arial Narrow"/>
        </w:rPr>
      </w:sdtEndPr>
      <w:sdtContent>
        <w:r w:rsidRPr="00B664CB">
          <w:rPr>
            <w:rFonts w:ascii="Arial Narrow" w:hAnsi="Arial Narrow"/>
          </w:rPr>
          <w:fldChar w:fldCharType="begin"/>
        </w:r>
        <w:r w:rsidRPr="00B664CB">
          <w:rPr>
            <w:rFonts w:ascii="Arial Narrow" w:hAnsi="Arial Narrow"/>
          </w:rPr>
          <w:instrText>PAGE   \* MERGEFORMAT</w:instrText>
        </w:r>
        <w:r w:rsidRPr="00B664CB">
          <w:rPr>
            <w:rFonts w:ascii="Arial Narrow" w:hAnsi="Arial Narrow"/>
          </w:rPr>
          <w:fldChar w:fldCharType="separate"/>
        </w:r>
        <w:r w:rsidRPr="00B664CB">
          <w:rPr>
            <w:rFonts w:ascii="Arial Narrow" w:hAnsi="Arial Narrow"/>
          </w:rPr>
          <w:t>2</w:t>
        </w:r>
        <w:r w:rsidRPr="00B664CB">
          <w:rPr>
            <w:rFonts w:ascii="Arial Narrow" w:hAnsi="Arial Narrow"/>
          </w:rPr>
          <w:fldChar w:fldCharType="end"/>
        </w:r>
      </w:sdtContent>
    </w:sdt>
  </w:p>
  <w:p w14:paraId="57589283" w14:textId="77777777" w:rsidR="00C24F6F" w:rsidRDefault="00C24F6F" w:rsidP="00A90574">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2D72C" w14:textId="77777777" w:rsidR="00D90CC3" w:rsidRDefault="00D90CC3" w:rsidP="006C6FB9">
      <w:pPr>
        <w:spacing w:after="0" w:line="240" w:lineRule="auto"/>
      </w:pPr>
      <w:r>
        <w:separator/>
      </w:r>
    </w:p>
  </w:footnote>
  <w:footnote w:type="continuationSeparator" w:id="0">
    <w:p w14:paraId="0AD6C6A3" w14:textId="77777777" w:rsidR="00D90CC3" w:rsidRDefault="00D90CC3" w:rsidP="006C6FB9">
      <w:pPr>
        <w:spacing w:after="0" w:line="240" w:lineRule="auto"/>
      </w:pPr>
      <w:r>
        <w:continuationSeparator/>
      </w:r>
    </w:p>
  </w:footnote>
  <w:footnote w:id="1">
    <w:p w14:paraId="5248CA51" w14:textId="32C7C5D7" w:rsidR="004A6D37" w:rsidRPr="00E81344" w:rsidRDefault="004A6D37" w:rsidP="004A6D37">
      <w:pPr>
        <w:pStyle w:val="Textpoznmkypodiarou"/>
        <w:jc w:val="both"/>
        <w:rPr>
          <w:rFonts w:ascii="Arial Narrow" w:hAnsi="Arial Narrow"/>
          <w:sz w:val="16"/>
          <w:szCs w:val="16"/>
          <w:lang w:val="sk-SK"/>
        </w:rPr>
      </w:pPr>
      <w:r w:rsidRPr="00E81344">
        <w:rPr>
          <w:rStyle w:val="Odkaznapoznmkupodiarou"/>
          <w:rFonts w:ascii="Arial Narrow" w:hAnsi="Arial Narrow"/>
          <w:sz w:val="16"/>
          <w:szCs w:val="16"/>
          <w:lang w:val="sk-SK"/>
        </w:rPr>
        <w:footnoteRef/>
      </w:r>
      <w:r w:rsidRPr="00E81344">
        <w:rPr>
          <w:rFonts w:ascii="Arial Narrow" w:hAnsi="Arial Narrow"/>
          <w:sz w:val="16"/>
          <w:szCs w:val="16"/>
          <w:lang w:val="sk-SK"/>
        </w:rPr>
        <w:t xml:space="preserve"> Jesenná prognóza EK z novembra 2025 na roky 2025-2027. Roky 2028-2040, referenčná trajektória makroekonomických ukazovateľov EK pre Národný strednodobý fiškálny-štrukturálny plán SR roky 2027-2040, posledná aktualizácia z júna 2024. Rozdiel medzi prognózami EK a MF SR sú aj z dôvodu rôzneho dátumu tvorby prognóz (prognóza MF SR je novšia</w:t>
      </w:r>
      <w:r w:rsidR="00A37D3D" w:rsidRPr="00E81344">
        <w:rPr>
          <w:rFonts w:ascii="Arial Narrow" w:hAnsi="Arial Narrow"/>
          <w:sz w:val="16"/>
          <w:szCs w:val="16"/>
          <w:lang w:val="sk-SK"/>
        </w:rPr>
        <w:t xml:space="preserve"> – februára 2026</w:t>
      </w:r>
      <w:r w:rsidRPr="00E81344">
        <w:rPr>
          <w:rFonts w:ascii="Arial Narrow" w:hAnsi="Arial Narrow"/>
          <w:sz w:val="16"/>
          <w:szCs w:val="16"/>
          <w:lang w:val="sk-SK"/>
        </w:rPr>
        <w:t xml:space="preserve">). </w:t>
      </w:r>
    </w:p>
  </w:footnote>
  <w:footnote w:id="2">
    <w:p w14:paraId="4D8671FF" w14:textId="77777777" w:rsidR="004A6D37" w:rsidRPr="00E81344" w:rsidRDefault="004A6D37" w:rsidP="004A6D37">
      <w:pPr>
        <w:pStyle w:val="Textpoznmkypodiarou"/>
        <w:jc w:val="both"/>
        <w:rPr>
          <w:rFonts w:ascii="Arial Narrow" w:hAnsi="Arial Narrow"/>
          <w:sz w:val="16"/>
          <w:szCs w:val="16"/>
          <w:lang w:val="sk-SK"/>
        </w:rPr>
      </w:pPr>
      <w:r w:rsidRPr="00E81344">
        <w:rPr>
          <w:rStyle w:val="Odkaznapoznmkupodiarou"/>
          <w:rFonts w:ascii="Arial Narrow" w:hAnsi="Arial Narrow"/>
          <w:sz w:val="16"/>
          <w:szCs w:val="16"/>
          <w:lang w:val="sk-SK"/>
        </w:rPr>
        <w:footnoteRef/>
      </w:r>
      <w:r w:rsidRPr="00E81344">
        <w:rPr>
          <w:rFonts w:ascii="Arial Narrow" w:hAnsi="Arial Narrow"/>
          <w:sz w:val="16"/>
          <w:szCs w:val="16"/>
          <w:lang w:val="sk-SK"/>
        </w:rPr>
        <w:t xml:space="preserve"> V oboch rokoch sa však inflácia bude pohybovať veľmi blízko hraničnej hodnoty potrebnej pre spustenie mimoriadneho valorizovania.</w:t>
      </w:r>
    </w:p>
  </w:footnote>
  <w:footnote w:id="3">
    <w:p w14:paraId="02097228" w14:textId="2B129FAA" w:rsidR="004A6D37" w:rsidRPr="00E81344" w:rsidRDefault="004A6D37" w:rsidP="004A6D37">
      <w:pPr>
        <w:pStyle w:val="Textpoznmkypodiarou"/>
        <w:jc w:val="both"/>
        <w:rPr>
          <w:rFonts w:ascii="Arial Narrow" w:hAnsi="Arial Narrow"/>
          <w:sz w:val="16"/>
          <w:szCs w:val="16"/>
          <w:lang w:val="sk-SK"/>
        </w:rPr>
      </w:pPr>
      <w:r w:rsidRPr="00E81344">
        <w:rPr>
          <w:rStyle w:val="Odkaznapoznmkupodiarou"/>
          <w:rFonts w:ascii="Arial Narrow" w:hAnsi="Arial Narrow"/>
          <w:sz w:val="16"/>
          <w:szCs w:val="16"/>
          <w:lang w:val="sk-SK"/>
        </w:rPr>
        <w:footnoteRef/>
      </w:r>
      <w:r w:rsidRPr="00E81344">
        <w:rPr>
          <w:rFonts w:ascii="Arial Narrow" w:hAnsi="Arial Narrow"/>
          <w:sz w:val="16"/>
          <w:szCs w:val="16"/>
          <w:lang w:val="sk-SK"/>
        </w:rPr>
        <w:t xml:space="preserve"> Ide o opatrenia: polovičný odpočet DPH na podnikové autá, daňová amnestia na nezaplatené dane z minulosti, zákon proti vynúteným živnostiam a zavedenie platenia odvodov z pracovných odmien aj počas PN a materskej.</w:t>
      </w:r>
    </w:p>
  </w:footnote>
  <w:footnote w:id="4">
    <w:p w14:paraId="3F6D1FAE" w14:textId="77777777" w:rsidR="004A6D37" w:rsidRPr="00E81344" w:rsidRDefault="004A6D37" w:rsidP="004A6D37">
      <w:pPr>
        <w:pStyle w:val="Textpoznmkypodiarou"/>
        <w:jc w:val="both"/>
        <w:rPr>
          <w:rFonts w:ascii="Arial Narrow" w:hAnsi="Arial Narrow"/>
          <w:sz w:val="16"/>
          <w:szCs w:val="16"/>
          <w:lang w:val="sk-SK"/>
        </w:rPr>
      </w:pPr>
      <w:r w:rsidRPr="00E81344">
        <w:rPr>
          <w:rStyle w:val="Odkaznapoznmkupodiarou"/>
          <w:rFonts w:ascii="Arial Narrow" w:hAnsi="Arial Narrow"/>
          <w:sz w:val="16"/>
          <w:szCs w:val="16"/>
          <w:lang w:val="sk-SK"/>
        </w:rPr>
        <w:footnoteRef/>
      </w:r>
      <w:r w:rsidRPr="00E81344">
        <w:rPr>
          <w:rFonts w:ascii="Arial Narrow" w:hAnsi="Arial Narrow"/>
          <w:sz w:val="16"/>
          <w:szCs w:val="16"/>
          <w:lang w:val="sk-SK"/>
        </w:rPr>
        <w:t xml:space="preserve"> Oproti roku 2023 ide o navýšenie iba o 0,4 % HDP, keďže na konci roka 2023 boli vyplatené dodatočné dôchodcovské dávky v objeme 0,3 % HDP. Celkové opatrenia súčasnej vlády v roku 2024 sú v objeme 0,7 % HDP.</w:t>
      </w:r>
    </w:p>
  </w:footnote>
  <w:footnote w:id="5">
    <w:p w14:paraId="58652410" w14:textId="77777777" w:rsidR="004A6D37" w:rsidRPr="00E81344" w:rsidRDefault="004A6D37" w:rsidP="004A6D37">
      <w:pPr>
        <w:pStyle w:val="Textpoznmkypodiarou"/>
        <w:jc w:val="both"/>
        <w:rPr>
          <w:rFonts w:ascii="Arial Narrow" w:hAnsi="Arial Narrow"/>
          <w:sz w:val="16"/>
          <w:szCs w:val="16"/>
          <w:lang w:val="sk-SK"/>
        </w:rPr>
      </w:pPr>
      <w:r w:rsidRPr="00E81344">
        <w:rPr>
          <w:rStyle w:val="Odkaznapoznmkupodiarou"/>
          <w:rFonts w:ascii="Arial Narrow" w:hAnsi="Arial Narrow"/>
          <w:sz w:val="16"/>
          <w:szCs w:val="16"/>
          <w:lang w:val="sk-SK"/>
        </w:rPr>
        <w:footnoteRef/>
      </w:r>
      <w:r w:rsidRPr="00E81344">
        <w:rPr>
          <w:rFonts w:ascii="Arial Narrow" w:hAnsi="Arial Narrow"/>
          <w:sz w:val="16"/>
          <w:szCs w:val="16"/>
          <w:lang w:val="sk-SK"/>
        </w:rPr>
        <w:t xml:space="preserve"> </w:t>
      </w:r>
      <w:r w:rsidRPr="00E81344">
        <w:rPr>
          <w:rFonts w:ascii="Arial Narrow" w:hAnsi="Arial Narrow"/>
          <w:bCs/>
          <w:sz w:val="16"/>
          <w:szCs w:val="16"/>
          <w:lang w:val="sk-SK"/>
        </w:rPr>
        <w:t>Príspevky na opatrovanie po novom bude dostávať priamo odkázaná osoba, a nie opatrovateľ, čo jej umožní flexibilnejšie financovať starostlivosť</w:t>
      </w:r>
      <w:r w:rsidRPr="00E81344">
        <w:rPr>
          <w:rStyle w:val="ifptextbChar"/>
          <w:bCs/>
          <w:sz w:val="16"/>
          <w:szCs w:val="16"/>
          <w:lang w:val="sk-SK"/>
        </w:rPr>
        <w:t>.</w:t>
      </w:r>
    </w:p>
  </w:footnote>
  <w:footnote w:id="6">
    <w:p w14:paraId="3B256017" w14:textId="6EDEF100" w:rsidR="004A6D37" w:rsidRPr="00E81344" w:rsidRDefault="004A6D37" w:rsidP="004A6D37">
      <w:pPr>
        <w:pStyle w:val="Textpoznmkypodiarou"/>
        <w:jc w:val="both"/>
        <w:rPr>
          <w:rFonts w:ascii="Arial Narrow" w:hAnsi="Arial Narrow"/>
          <w:lang w:val="sk-SK"/>
        </w:rPr>
      </w:pPr>
      <w:r w:rsidRPr="00E81344">
        <w:rPr>
          <w:rStyle w:val="Odkaznapoznmkupodiarou"/>
          <w:rFonts w:ascii="Arial Narrow" w:hAnsi="Arial Narrow"/>
          <w:sz w:val="16"/>
          <w:szCs w:val="16"/>
          <w:lang w:val="sk-SK"/>
        </w:rPr>
        <w:footnoteRef/>
      </w:r>
      <w:r w:rsidRPr="00E81344">
        <w:rPr>
          <w:rFonts w:ascii="Arial Narrow" w:hAnsi="Arial Narrow"/>
          <w:sz w:val="16"/>
          <w:szCs w:val="16"/>
          <w:lang w:val="sk-SK"/>
        </w:rPr>
        <w:t xml:space="preserve"> Časť </w:t>
      </w:r>
      <w:r w:rsidR="002944A6" w:rsidRPr="00E81344">
        <w:rPr>
          <w:rFonts w:ascii="Arial Narrow" w:hAnsi="Arial Narrow"/>
          <w:sz w:val="16"/>
          <w:szCs w:val="16"/>
          <w:lang w:val="sk-SK"/>
        </w:rPr>
        <w:t xml:space="preserve">zhoršenia </w:t>
      </w:r>
      <w:r w:rsidRPr="00E81344">
        <w:rPr>
          <w:rFonts w:ascii="Arial Narrow" w:hAnsi="Arial Narrow"/>
          <w:sz w:val="16"/>
          <w:szCs w:val="16"/>
          <w:lang w:val="sk-SK"/>
        </w:rPr>
        <w:t>efektívnosti výberu môžu spôsobovať aj opatrenia vlády, napríklad existencia veľkého objemu rôznych výnimiek voči základným sadzbám daní. Vo všeobecnosti však výber daní voči makroekonomickým základniam klesá najmä v čase nízkeho hospodárskeho rastu.</w:t>
      </w:r>
      <w:r w:rsidRPr="00E81344">
        <w:rPr>
          <w:rFonts w:ascii="Arial Narrow" w:hAnsi="Arial Narrow"/>
          <w:lang w:val="sk-SK"/>
        </w:rPr>
        <w:t xml:space="preserve"> </w:t>
      </w:r>
    </w:p>
  </w:footnote>
  <w:footnote w:id="7">
    <w:p w14:paraId="192AD2F9" w14:textId="77777777" w:rsidR="00577C32" w:rsidRPr="00E81344" w:rsidRDefault="00577C32" w:rsidP="00577C32">
      <w:pPr>
        <w:pStyle w:val="Textpoznmkypodiarou"/>
        <w:jc w:val="both"/>
        <w:rPr>
          <w:rFonts w:ascii="Arial Narrow" w:hAnsi="Arial Narrow"/>
          <w:sz w:val="16"/>
          <w:szCs w:val="16"/>
          <w:lang w:val="sk-SK"/>
        </w:rPr>
      </w:pPr>
      <w:r w:rsidRPr="00E81344">
        <w:rPr>
          <w:rStyle w:val="Odkaznapoznmkupodiarou"/>
          <w:rFonts w:ascii="Arial Narrow" w:hAnsi="Arial Narrow"/>
          <w:sz w:val="16"/>
          <w:szCs w:val="16"/>
          <w:lang w:val="sk-SK"/>
        </w:rPr>
        <w:footnoteRef/>
      </w:r>
      <w:r w:rsidRPr="00E81344">
        <w:rPr>
          <w:rFonts w:ascii="Arial Narrow" w:hAnsi="Arial Narrow"/>
          <w:sz w:val="16"/>
          <w:szCs w:val="16"/>
          <w:lang w:val="sk-SK"/>
        </w:rPr>
        <w:t xml:space="preserve"> Rast čistých výdavkov predstavuje medziročnú zmenu výdavkov verejnej správy očistenú o výdavky financované zo zdrojov EÚ (klasické eurofondy a Plán obnovy), úrokové náklady, výdavky na spolufinancovanie, jednorazové výdavky a cyklické dávky v nezamestnanosti. Z takto upravených celkových výdavkov sú ešte odpočítané diskrečné príjmové opatrenia vlády, ktoré zohľadňujú opatrenia na príjmovej strane rozpočtu.</w:t>
      </w:r>
    </w:p>
  </w:footnote>
  <w:footnote w:id="8">
    <w:p w14:paraId="1AEC562D" w14:textId="77777777" w:rsidR="00577C32" w:rsidRPr="00E81344" w:rsidRDefault="00577C32" w:rsidP="00577C32">
      <w:pPr>
        <w:pStyle w:val="Textpoznmkypodiarou"/>
        <w:jc w:val="both"/>
        <w:rPr>
          <w:rFonts w:ascii="Arial Narrow" w:hAnsi="Arial Narrow"/>
          <w:sz w:val="16"/>
          <w:szCs w:val="16"/>
        </w:rPr>
      </w:pPr>
      <w:r w:rsidRPr="00E81344">
        <w:rPr>
          <w:rStyle w:val="Odkaznapoznmkupodiarou"/>
          <w:rFonts w:ascii="Arial Narrow" w:hAnsi="Arial Narrow"/>
          <w:sz w:val="16"/>
          <w:szCs w:val="16"/>
          <w:lang w:val="sk-SK"/>
        </w:rPr>
        <w:footnoteRef/>
      </w:r>
      <w:r w:rsidRPr="00E81344">
        <w:rPr>
          <w:rFonts w:ascii="Arial Narrow" w:hAnsi="Arial Narrow"/>
          <w:sz w:val="16"/>
          <w:szCs w:val="16"/>
          <w:lang w:val="sk-SK"/>
        </w:rPr>
        <w:t xml:space="preserve"> Výročná správa v súlade s Nariadením EP a Rady (EÚ) č. 2024/1263 z 29. apríla 2024 hodnotí dosiahnutý pokrok už v prechodnom období roku 2024, hoci strednodobý fiškálno-štrukturálny plán bol vypracovaný na roky 2025-2028.</w:t>
      </w:r>
    </w:p>
  </w:footnote>
  <w:footnote w:id="9">
    <w:p w14:paraId="77B2CD44" w14:textId="77777777" w:rsidR="00577C32" w:rsidRPr="00E81344" w:rsidRDefault="00577C32" w:rsidP="00577C32">
      <w:pPr>
        <w:pStyle w:val="Textpoznmkypodiarou"/>
        <w:jc w:val="both"/>
        <w:rPr>
          <w:rFonts w:ascii="Arial Narrow" w:hAnsi="Arial Narrow"/>
          <w:sz w:val="16"/>
          <w:szCs w:val="16"/>
          <w:lang w:val="sk-SK"/>
        </w:rPr>
      </w:pPr>
      <w:r w:rsidRPr="00E81344">
        <w:rPr>
          <w:rStyle w:val="Odkaznapoznmkupodiarou"/>
          <w:rFonts w:ascii="Arial Narrow" w:hAnsi="Arial Narrow"/>
          <w:sz w:val="16"/>
          <w:szCs w:val="16"/>
          <w:lang w:val="sk-SK"/>
        </w:rPr>
        <w:footnoteRef/>
      </w:r>
      <w:r w:rsidRPr="00E81344">
        <w:rPr>
          <w:rFonts w:ascii="Arial Narrow" w:hAnsi="Arial Narrow"/>
          <w:sz w:val="16"/>
          <w:szCs w:val="16"/>
          <w:lang w:val="sk-SK"/>
        </w:rPr>
        <w:t xml:space="preserve"> </w:t>
      </w:r>
      <w:r w:rsidRPr="00E81344">
        <w:rPr>
          <w:rFonts w:ascii="Arial Narrow" w:hAnsi="Arial Narrow"/>
          <w:bCs/>
          <w:sz w:val="16"/>
          <w:szCs w:val="16"/>
          <w:lang w:val="sk-SK"/>
        </w:rPr>
        <w:t>Rok 2024 bol prechodným obdobím medzi starým a novým systémom fiškálnych pravidiel, preto sa nové výdavkové pravidlo začalo plnohodnotne uplatňovať až od roku 2025. Na rok 2024 Slovensko dostalo len nezáväzné – viac formálne odporúčanie. Európska komisia preto vo svojich odhadoch pre referenčnú trajektóriu predpokladala, že výdavky Slovenska budú v roku 2024 rásť voľnejším tempom. Vyššia povolená miera rastu výdavkov bola daná aj tým, že Komisia pôvodne očakávala vyššiu infláciu</w:t>
      </w:r>
    </w:p>
  </w:footnote>
  <w:footnote w:id="10">
    <w:p w14:paraId="2179B080" w14:textId="77777777" w:rsidR="00577C32" w:rsidRPr="00E81344" w:rsidRDefault="00577C32" w:rsidP="00577C32">
      <w:pPr>
        <w:pStyle w:val="Textpoznmkypodiarou"/>
        <w:jc w:val="both"/>
        <w:rPr>
          <w:rFonts w:ascii="Arial Narrow" w:hAnsi="Arial Narrow"/>
          <w:szCs w:val="16"/>
        </w:rPr>
      </w:pPr>
      <w:r w:rsidRPr="00E81344">
        <w:rPr>
          <w:rStyle w:val="Odkaznapoznmkupodiarou"/>
          <w:rFonts w:ascii="Arial Narrow" w:hAnsi="Arial Narrow"/>
          <w:sz w:val="16"/>
          <w:szCs w:val="16"/>
          <w:lang w:val="sk-SK"/>
        </w:rPr>
        <w:footnoteRef/>
      </w:r>
      <w:r w:rsidRPr="00E81344">
        <w:rPr>
          <w:rFonts w:ascii="Arial Narrow" w:hAnsi="Arial Narrow"/>
          <w:sz w:val="16"/>
          <w:szCs w:val="16"/>
          <w:lang w:val="sk-SK"/>
        </w:rPr>
        <w:t xml:space="preserve"> Výročná správa o pokroku vyhodnocuje splnenie rastu čistých výdavkov voči stanovenému tempu v strednodobom pláne na roky 2025 až 2028.</w:t>
      </w:r>
    </w:p>
  </w:footnote>
  <w:footnote w:id="11">
    <w:p w14:paraId="60B7D18D" w14:textId="64291A46" w:rsidR="00885BFB" w:rsidRPr="00E81344" w:rsidRDefault="00885BFB">
      <w:pPr>
        <w:pStyle w:val="Textpoznmkypodiarou"/>
        <w:rPr>
          <w:rFonts w:ascii="Arial Narrow" w:hAnsi="Arial Narrow"/>
          <w:lang w:val="sk-SK"/>
        </w:rPr>
      </w:pPr>
      <w:r w:rsidRPr="00E81344">
        <w:rPr>
          <w:rStyle w:val="Odkaznapoznmkupodiarou"/>
          <w:rFonts w:ascii="Arial Narrow" w:hAnsi="Arial Narrow"/>
          <w:sz w:val="16"/>
          <w:szCs w:val="16"/>
          <w:lang w:val="sk-SK"/>
        </w:rPr>
        <w:footnoteRef/>
      </w:r>
      <w:r w:rsidRPr="00E81344">
        <w:rPr>
          <w:rFonts w:ascii="Arial Narrow" w:hAnsi="Arial Narrow"/>
          <w:sz w:val="16"/>
          <w:szCs w:val="16"/>
        </w:rPr>
        <w:t xml:space="preserve"> </w:t>
      </w:r>
      <w:r w:rsidRPr="00E81344">
        <w:rPr>
          <w:rFonts w:ascii="Arial Narrow" w:hAnsi="Arial Narrow"/>
          <w:sz w:val="16"/>
          <w:szCs w:val="16"/>
          <w:lang w:val="sk-SK"/>
        </w:rPr>
        <w:t>V rozpočtovej knihe uvádzaná ako rezerva na riešenie negatívnych vplyvov vývoja rozpočtového hospodárenia.</w:t>
      </w:r>
    </w:p>
  </w:footnote>
  <w:footnote w:id="12">
    <w:p w14:paraId="5474EFA5" w14:textId="77777777" w:rsidR="00577C32" w:rsidRPr="00E81344" w:rsidRDefault="00577C32" w:rsidP="00577C32">
      <w:pPr>
        <w:pStyle w:val="Textpoznmkypodiarou"/>
        <w:jc w:val="both"/>
        <w:rPr>
          <w:rFonts w:ascii="Arial Narrow" w:hAnsi="Arial Narrow"/>
          <w:sz w:val="16"/>
          <w:szCs w:val="16"/>
          <w:lang w:val="sk-SK"/>
        </w:rPr>
      </w:pPr>
      <w:r w:rsidRPr="00E81344">
        <w:rPr>
          <w:rStyle w:val="Odkaznapoznmkupodiarou"/>
          <w:rFonts w:ascii="Arial Narrow" w:hAnsi="Arial Narrow"/>
          <w:sz w:val="16"/>
          <w:szCs w:val="16"/>
          <w:lang w:val="sk-SK"/>
        </w:rPr>
        <w:footnoteRef/>
      </w:r>
      <w:r w:rsidRPr="00E81344">
        <w:rPr>
          <w:rFonts w:ascii="Arial Narrow" w:hAnsi="Arial Narrow"/>
          <w:sz w:val="16"/>
          <w:szCs w:val="16"/>
          <w:lang w:val="sk-SK"/>
        </w:rPr>
        <w:t xml:space="preserve"> Súčasťou odporúčania Rady pri EDP okrem stanovenej trajektórie rastu čistých výdavkov ostáva aj predpoklad zníženia deficitu v konkrétnom termíne, ktorý je však odvodený z trajektórie výdavkov.</w:t>
      </w:r>
    </w:p>
  </w:footnote>
  <w:footnote w:id="13">
    <w:p w14:paraId="251A8248" w14:textId="77777777" w:rsidR="00577C32" w:rsidRPr="00E81344" w:rsidRDefault="00577C32" w:rsidP="00577C32">
      <w:pPr>
        <w:pStyle w:val="Textpoznmkypodiarou"/>
        <w:jc w:val="both"/>
        <w:rPr>
          <w:rFonts w:ascii="Arial Narrow" w:hAnsi="Arial Narrow"/>
          <w:szCs w:val="16"/>
        </w:rPr>
      </w:pPr>
      <w:r w:rsidRPr="00E81344">
        <w:rPr>
          <w:rStyle w:val="Odkaznapoznmkupodiarou"/>
          <w:rFonts w:ascii="Arial Narrow" w:hAnsi="Arial Narrow"/>
          <w:sz w:val="16"/>
          <w:szCs w:val="16"/>
          <w:lang w:val="sk-SK"/>
        </w:rPr>
        <w:footnoteRef/>
      </w:r>
      <w:r w:rsidRPr="00E81344">
        <w:rPr>
          <w:rFonts w:ascii="Arial Narrow" w:hAnsi="Arial Narrow"/>
          <w:sz w:val="16"/>
          <w:szCs w:val="16"/>
          <w:lang w:val="sk-SK"/>
        </w:rPr>
        <w:t xml:space="preserve"> Proti-cyklickosť výdavkového pravidla vyplýva z faktu, že príjmy rozpočtu môžu voľne fluktuovať s ekonomickým cyklom a vláda na ich vývoj nemusí reagovať. V priaznivých ekonomických časoch pri nerozpočtovaných dodatočných príjmoch tak pravidlo neumožňuje vláde minúť viac a deficit klesá rýchlejšie. Naopak, v nepriaznivých časoch pravidlo nenúti vládu konsolidovať viac pri výpadku príjmov, čo pôsobí proti-cyklicky, ale zároveň odďaľuje dosiahnutie cieleného deficitu. Nesplnenie deficitu pri dodržaní trajektórie výdavkov sa podľa pravidiel nebude považovať za nesúlad s odporúčaním a termín pre pokles deficitu pod 3  % HDP by sa mal v takom prípade predĺžiť.</w:t>
      </w:r>
    </w:p>
  </w:footnote>
  <w:footnote w:id="14">
    <w:p w14:paraId="182A29DF" w14:textId="2A3CCACE" w:rsidR="00D9527E" w:rsidRPr="00E81344" w:rsidRDefault="00D9527E" w:rsidP="00D9527E">
      <w:pPr>
        <w:pStyle w:val="Textpoznmkypodiarou"/>
        <w:rPr>
          <w:rFonts w:ascii="Arial Narrow" w:hAnsi="Arial Narrow"/>
          <w:sz w:val="16"/>
          <w:szCs w:val="16"/>
          <w:lang w:val="sk-SK"/>
        </w:rPr>
      </w:pPr>
      <w:r w:rsidRPr="00E81344">
        <w:rPr>
          <w:rStyle w:val="Odkaznapoznmkupodiarou"/>
          <w:rFonts w:ascii="Arial Narrow" w:hAnsi="Arial Narrow"/>
          <w:sz w:val="16"/>
          <w:szCs w:val="16"/>
          <w:lang w:val="sk-SK"/>
        </w:rPr>
        <w:footnoteRef/>
      </w:r>
      <w:r w:rsidRPr="00E81344">
        <w:rPr>
          <w:rFonts w:ascii="Arial Narrow" w:hAnsi="Arial Narrow"/>
          <w:sz w:val="16"/>
          <w:szCs w:val="16"/>
          <w:lang w:val="sk-SK"/>
        </w:rPr>
        <w:t xml:space="preserve"> Ide o vplyv len pre daný rok 2027. Nejde o kumulatívne vyčíslenie, ktoré je zobrazené v </w:t>
      </w:r>
      <w:r w:rsidR="005149F3" w:rsidRPr="00E81344">
        <w:rPr>
          <w:rFonts w:ascii="Arial Narrow" w:hAnsi="Arial Narrow"/>
          <w:sz w:val="16"/>
          <w:szCs w:val="16"/>
          <w:lang w:val="sk-SK"/>
        </w:rPr>
        <w:t>boxe</w:t>
      </w:r>
      <w:r w:rsidRPr="00E81344">
        <w:rPr>
          <w:rFonts w:ascii="Arial Narrow" w:hAnsi="Arial Narrow"/>
          <w:sz w:val="16"/>
          <w:szCs w:val="16"/>
          <w:lang w:val="sk-SK"/>
        </w:rPr>
        <w:t xml:space="preserve"> 1 v časti Makroekonomické prostredie.</w:t>
      </w:r>
    </w:p>
  </w:footnote>
  <w:footnote w:id="15">
    <w:p w14:paraId="2494FBD9" w14:textId="3D2C128D" w:rsidR="00D9527E" w:rsidRPr="00E81344" w:rsidRDefault="00D9527E" w:rsidP="00D9527E">
      <w:pPr>
        <w:pStyle w:val="Textpoznmkypodiarou"/>
        <w:jc w:val="both"/>
        <w:rPr>
          <w:rFonts w:ascii="Arial Narrow" w:hAnsi="Arial Narrow"/>
        </w:rPr>
      </w:pPr>
      <w:r w:rsidRPr="00E81344">
        <w:rPr>
          <w:rStyle w:val="Odkaznapoznmkupodiarou"/>
          <w:rFonts w:ascii="Arial Narrow" w:hAnsi="Arial Narrow"/>
          <w:sz w:val="16"/>
          <w:szCs w:val="16"/>
          <w:lang w:val="sk-SK"/>
        </w:rPr>
        <w:footnoteRef/>
      </w:r>
      <w:r w:rsidRPr="00E81344">
        <w:rPr>
          <w:rFonts w:ascii="Arial Narrow" w:hAnsi="Arial Narrow"/>
          <w:sz w:val="16"/>
          <w:szCs w:val="16"/>
          <w:lang w:val="sk-SK"/>
        </w:rPr>
        <w:t xml:space="preserve"> </w:t>
      </w:r>
      <w:r w:rsidR="00A5193E" w:rsidRPr="00E81344">
        <w:rPr>
          <w:rFonts w:ascii="Arial Narrow" w:hAnsi="Arial Narrow"/>
          <w:sz w:val="16"/>
          <w:szCs w:val="16"/>
          <w:lang w:val="sk-SK"/>
        </w:rPr>
        <w:t xml:space="preserve">Bez započítania obrannej výnimky. </w:t>
      </w:r>
      <w:r w:rsidRPr="00E81344">
        <w:rPr>
          <w:rFonts w:ascii="Arial Narrow" w:hAnsi="Arial Narrow"/>
          <w:sz w:val="16"/>
          <w:szCs w:val="16"/>
          <w:lang w:val="sk-SK"/>
        </w:rPr>
        <w:t>Plneni</w:t>
      </w:r>
      <w:r w:rsidR="00A5193E" w:rsidRPr="00E81344">
        <w:rPr>
          <w:rFonts w:ascii="Arial Narrow" w:hAnsi="Arial Narrow"/>
          <w:sz w:val="16"/>
          <w:szCs w:val="16"/>
          <w:lang w:val="sk-SK"/>
        </w:rPr>
        <w:t>u</w:t>
      </w:r>
      <w:r w:rsidRPr="00E81344">
        <w:rPr>
          <w:rFonts w:ascii="Arial Narrow" w:hAnsi="Arial Narrow"/>
          <w:sz w:val="16"/>
          <w:szCs w:val="16"/>
          <w:lang w:val="sk-SK"/>
        </w:rPr>
        <w:t xml:space="preserve"> rastu čistých výdavkov </w:t>
      </w:r>
      <w:r w:rsidR="00A5193E" w:rsidRPr="00E81344">
        <w:rPr>
          <w:rFonts w:ascii="Arial Narrow" w:hAnsi="Arial Narrow"/>
          <w:sz w:val="16"/>
          <w:szCs w:val="16"/>
          <w:lang w:val="sk-SK"/>
        </w:rPr>
        <w:t xml:space="preserve">by dodatočne </w:t>
      </w:r>
      <w:r w:rsidRPr="00E81344">
        <w:rPr>
          <w:rFonts w:ascii="Arial Narrow" w:hAnsi="Arial Narrow"/>
          <w:sz w:val="16"/>
          <w:szCs w:val="16"/>
          <w:lang w:val="sk-SK"/>
        </w:rPr>
        <w:t>pom</w:t>
      </w:r>
      <w:r w:rsidR="00A5193E" w:rsidRPr="00E81344">
        <w:rPr>
          <w:rFonts w:ascii="Arial Narrow" w:hAnsi="Arial Narrow"/>
          <w:sz w:val="16"/>
          <w:szCs w:val="16"/>
          <w:lang w:val="sk-SK"/>
        </w:rPr>
        <w:t>ohlo</w:t>
      </w:r>
      <w:r w:rsidRPr="00E81344">
        <w:rPr>
          <w:rFonts w:ascii="Arial Narrow" w:hAnsi="Arial Narrow"/>
          <w:sz w:val="16"/>
          <w:szCs w:val="16"/>
          <w:lang w:val="sk-SK"/>
        </w:rPr>
        <w:t xml:space="preserve"> aj to, že Európska komisia aktivovaním únikovej doložky z fiškálnych pravidiel v marci minulého roka umožnila zohľadniť navýšenie obranných výdavkov, a to bez vplyvu na plnenie záväzkov zo strednodobého plánu.</w:t>
      </w:r>
    </w:p>
  </w:footnote>
  <w:footnote w:id="16">
    <w:p w14:paraId="022151E8" w14:textId="6029DB19" w:rsidR="00D9527E" w:rsidRPr="00E81344" w:rsidRDefault="00D9527E" w:rsidP="00D9527E">
      <w:pPr>
        <w:pStyle w:val="Textpoznmkypodiarou"/>
        <w:jc w:val="both"/>
        <w:rPr>
          <w:rFonts w:ascii="Arial Narrow" w:hAnsi="Arial Narrow"/>
          <w:sz w:val="16"/>
          <w:szCs w:val="16"/>
          <w:lang w:val="sk-SK"/>
        </w:rPr>
      </w:pPr>
      <w:r w:rsidRPr="00E81344">
        <w:rPr>
          <w:rStyle w:val="Odkaznapoznmkupodiarou"/>
          <w:rFonts w:ascii="Arial Narrow" w:hAnsi="Arial Narrow"/>
          <w:sz w:val="16"/>
          <w:szCs w:val="16"/>
          <w:lang w:val="sk-SK"/>
        </w:rPr>
        <w:footnoteRef/>
      </w:r>
      <w:r w:rsidRPr="00E81344">
        <w:rPr>
          <w:rFonts w:ascii="Arial Narrow" w:hAnsi="Arial Narrow"/>
          <w:sz w:val="16"/>
          <w:szCs w:val="16"/>
          <w:lang w:val="sk-SK"/>
        </w:rPr>
        <w:t xml:space="preserve"> V roku 202</w:t>
      </w:r>
      <w:r w:rsidR="003A02BC" w:rsidRPr="00E81344">
        <w:rPr>
          <w:rFonts w:ascii="Arial Narrow" w:hAnsi="Arial Narrow"/>
          <w:sz w:val="16"/>
          <w:szCs w:val="16"/>
          <w:lang w:val="sk-SK"/>
        </w:rPr>
        <w:t>5</w:t>
      </w:r>
      <w:r w:rsidRPr="00E81344">
        <w:rPr>
          <w:rFonts w:ascii="Arial Narrow" w:hAnsi="Arial Narrow"/>
          <w:sz w:val="16"/>
          <w:szCs w:val="16"/>
          <w:lang w:val="sk-SK"/>
        </w:rPr>
        <w:t xml:space="preserve"> dlh verejnej správy predstavoval úroveň </w:t>
      </w:r>
      <w:r w:rsidR="003A02BC" w:rsidRPr="00E81344">
        <w:rPr>
          <w:rFonts w:ascii="Arial Narrow" w:hAnsi="Arial Narrow"/>
          <w:sz w:val="16"/>
          <w:szCs w:val="16"/>
          <w:lang w:val="sk-SK"/>
        </w:rPr>
        <w:t>61</w:t>
      </w:r>
      <w:r w:rsidRPr="00E81344">
        <w:rPr>
          <w:rFonts w:ascii="Arial Narrow" w:hAnsi="Arial Narrow"/>
          <w:sz w:val="16"/>
          <w:szCs w:val="16"/>
          <w:lang w:val="sk-SK"/>
        </w:rPr>
        <w:t>,</w:t>
      </w:r>
      <w:r w:rsidR="003A02BC" w:rsidRPr="00E81344">
        <w:rPr>
          <w:rFonts w:ascii="Arial Narrow" w:hAnsi="Arial Narrow"/>
          <w:sz w:val="16"/>
          <w:szCs w:val="16"/>
          <w:lang w:val="sk-SK"/>
        </w:rPr>
        <w:t>4</w:t>
      </w:r>
      <w:r w:rsidRPr="00E81344">
        <w:rPr>
          <w:rFonts w:ascii="Arial Narrow" w:hAnsi="Arial Narrow"/>
          <w:sz w:val="16"/>
          <w:szCs w:val="16"/>
          <w:lang w:val="sk-SK"/>
        </w:rPr>
        <w:t xml:space="preserve"> % HDP, vyše </w:t>
      </w:r>
      <w:r w:rsidR="002423A9" w:rsidRPr="00E81344">
        <w:rPr>
          <w:rFonts w:ascii="Arial Narrow" w:hAnsi="Arial Narrow"/>
          <w:sz w:val="16"/>
          <w:szCs w:val="16"/>
          <w:lang w:val="sk-SK"/>
        </w:rPr>
        <w:t>9</w:t>
      </w:r>
      <w:r w:rsidRPr="00E81344">
        <w:rPr>
          <w:rFonts w:ascii="Arial Narrow" w:hAnsi="Arial Narrow"/>
          <w:sz w:val="16"/>
          <w:szCs w:val="16"/>
          <w:lang w:val="sk-SK"/>
        </w:rPr>
        <w:t xml:space="preserve"> p. b. nad dolnou hranicou najvyššieho sankčného pásma (5</w:t>
      </w:r>
      <w:r w:rsidR="002423A9" w:rsidRPr="00E81344">
        <w:rPr>
          <w:rFonts w:ascii="Arial Narrow" w:hAnsi="Arial Narrow"/>
          <w:sz w:val="16"/>
          <w:szCs w:val="16"/>
          <w:lang w:val="sk-SK"/>
        </w:rPr>
        <w:t>2</w:t>
      </w:r>
      <w:r w:rsidRPr="00E81344">
        <w:rPr>
          <w:rFonts w:ascii="Arial Narrow" w:hAnsi="Arial Narrow"/>
          <w:sz w:val="16"/>
          <w:szCs w:val="16"/>
          <w:lang w:val="sk-SK"/>
        </w:rPr>
        <w:t xml:space="preserve"> % HDP). </w:t>
      </w:r>
    </w:p>
  </w:footnote>
  <w:footnote w:id="17">
    <w:p w14:paraId="11233B62" w14:textId="77777777" w:rsidR="00AA20CF" w:rsidRPr="00E81344" w:rsidRDefault="00AA20CF" w:rsidP="00AA20CF">
      <w:pPr>
        <w:pStyle w:val="Textpoznmkypodiarou"/>
        <w:rPr>
          <w:rFonts w:ascii="Arial Narrow" w:hAnsi="Arial Narrow"/>
          <w:sz w:val="16"/>
          <w:szCs w:val="16"/>
        </w:rPr>
      </w:pPr>
      <w:r w:rsidRPr="00E81344">
        <w:rPr>
          <w:rStyle w:val="Odkaznapoznmkupodiarou"/>
          <w:rFonts w:ascii="Arial Narrow" w:hAnsi="Arial Narrow"/>
          <w:sz w:val="16"/>
          <w:szCs w:val="16"/>
        </w:rPr>
        <w:footnoteRef/>
      </w:r>
      <w:r w:rsidRPr="00E81344">
        <w:rPr>
          <w:rFonts w:ascii="Arial Narrow" w:hAnsi="Arial Narrow"/>
          <w:sz w:val="16"/>
          <w:szCs w:val="16"/>
        </w:rPr>
        <w:t xml:space="preserve"> </w:t>
      </w:r>
      <w:hyperlink r:id="rId1" w:history="1">
        <w:r w:rsidRPr="00E81344">
          <w:rPr>
            <w:rStyle w:val="Hypertextovprepojenie"/>
            <w:rFonts w:ascii="Arial Narrow" w:hAnsi="Arial Narrow"/>
            <w:sz w:val="16"/>
            <w:szCs w:val="16"/>
          </w:rPr>
          <w:t>Usmernenia k vypracovaniu Výročnej správy o pokroku</w:t>
        </w:r>
      </w:hyperlink>
      <w:r w:rsidRPr="00E81344">
        <w:rPr>
          <w:rStyle w:val="Hypertextovprepojenie"/>
          <w:rFonts w:ascii="Arial Narrow" w:hAnsi="Arial Narrow"/>
          <w:sz w:val="16"/>
          <w:szCs w:val="16"/>
        </w:rPr>
        <w:t>.</w:t>
      </w:r>
    </w:p>
  </w:footnote>
  <w:footnote w:id="18">
    <w:p w14:paraId="0FA9C6EB" w14:textId="57A63A80" w:rsidR="00AA20CF" w:rsidRPr="00E81344" w:rsidRDefault="00AA20CF" w:rsidP="00AA20CF">
      <w:pPr>
        <w:pStyle w:val="Textpoznmkypodiarou"/>
        <w:rPr>
          <w:rFonts w:ascii="Arial Narrow" w:hAnsi="Arial Narrow"/>
          <w:sz w:val="16"/>
          <w:szCs w:val="16"/>
        </w:rPr>
      </w:pPr>
      <w:r w:rsidRPr="00E81344">
        <w:rPr>
          <w:rStyle w:val="Odkaznapoznmkupodiarou"/>
          <w:rFonts w:ascii="Arial Narrow" w:hAnsi="Arial Narrow"/>
          <w:sz w:val="16"/>
          <w:szCs w:val="16"/>
        </w:rPr>
        <w:footnoteRef/>
      </w:r>
      <w:r w:rsidRPr="00E81344">
        <w:rPr>
          <w:rFonts w:ascii="Arial Narrow" w:hAnsi="Arial Narrow"/>
          <w:sz w:val="16"/>
          <w:szCs w:val="16"/>
        </w:rPr>
        <w:t xml:space="preserve"> 5 opatrení z POO už bolo dokončených v momente schválenia MTP.</w:t>
      </w:r>
    </w:p>
  </w:footnote>
  <w:footnote w:id="19">
    <w:p w14:paraId="7F40CE34" w14:textId="77777777" w:rsidR="00AA20CF" w:rsidRPr="00E81344" w:rsidRDefault="00AA20CF" w:rsidP="00AA20CF">
      <w:pPr>
        <w:pStyle w:val="Textpoznmkypodiarou"/>
        <w:jc w:val="both"/>
        <w:rPr>
          <w:rFonts w:ascii="Arial Narrow" w:hAnsi="Arial Narrow"/>
          <w:sz w:val="16"/>
          <w:szCs w:val="16"/>
        </w:rPr>
      </w:pPr>
      <w:r w:rsidRPr="00E81344">
        <w:rPr>
          <w:rStyle w:val="Odkaznapoznmkupodiarou"/>
          <w:rFonts w:ascii="Arial Narrow" w:hAnsi="Arial Narrow"/>
          <w:sz w:val="16"/>
          <w:szCs w:val="16"/>
        </w:rPr>
        <w:footnoteRef/>
      </w:r>
      <w:r w:rsidRPr="00E81344">
        <w:rPr>
          <w:rFonts w:ascii="Arial Narrow" w:hAnsi="Arial Narrow"/>
          <w:sz w:val="16"/>
          <w:szCs w:val="16"/>
        </w:rPr>
        <w:t xml:space="preserve"> Ide o tieto priority: i) spravodlivá zelená transformácia vrátane súladu s európskym právnym predpisom v oblasti klímy; ii) spravodlivá digitálna transformácia  iii) sociálna a hospodárska odolnosť vrátane Európskeho piliera sociálnych práv; iv) energetická bezpečnosť a v) v prípade potreby budovanie obranných spôsobilostí. Viac informácií možno nájsť v </w:t>
      </w:r>
      <w:hyperlink r:id="rId2" w:history="1">
        <w:r w:rsidRPr="00E81344">
          <w:rPr>
            <w:rStyle w:val="Hypertextovprepojenie"/>
            <w:rFonts w:ascii="Arial Narrow" w:hAnsi="Arial Narrow"/>
            <w:sz w:val="16"/>
            <w:szCs w:val="16"/>
          </w:rPr>
          <w:t>Usmernení k vypracovaniu správ o pokroku</w:t>
        </w:r>
      </w:hyperlink>
      <w:r w:rsidRPr="00E81344">
        <w:rPr>
          <w:rFonts w:ascii="Arial Narrow" w:hAnsi="Arial Narrow"/>
          <w:sz w:val="16"/>
          <w:szCs w:val="16"/>
        </w:rPr>
        <w:t>.</w:t>
      </w:r>
    </w:p>
  </w:footnote>
  <w:footnote w:id="20">
    <w:p w14:paraId="7433A0DE" w14:textId="77777777" w:rsidR="00AA20CF" w:rsidRPr="00E81344" w:rsidRDefault="00AA20CF" w:rsidP="00AA20CF">
      <w:pPr>
        <w:pStyle w:val="Textpoznmkypodiarou"/>
        <w:rPr>
          <w:rFonts w:ascii="Arial Narrow" w:hAnsi="Arial Narrow"/>
          <w:sz w:val="16"/>
          <w:szCs w:val="16"/>
        </w:rPr>
      </w:pPr>
      <w:r w:rsidRPr="00E81344">
        <w:rPr>
          <w:rStyle w:val="Odkaznapoznmkupodiarou"/>
          <w:rFonts w:ascii="Arial Narrow" w:hAnsi="Arial Narrow"/>
          <w:sz w:val="16"/>
          <w:szCs w:val="16"/>
        </w:rPr>
        <w:footnoteRef/>
      </w:r>
      <w:r w:rsidRPr="00E81344">
        <w:rPr>
          <w:rFonts w:ascii="Arial Narrow" w:hAnsi="Arial Narrow"/>
          <w:sz w:val="16"/>
          <w:szCs w:val="16"/>
        </w:rPr>
        <w:t xml:space="preserve"> </w:t>
      </w:r>
      <w:hyperlink r:id="rId3" w:history="1">
        <w:r w:rsidRPr="00E81344">
          <w:rPr>
            <w:rStyle w:val="Hypertextovprepojenie"/>
            <w:rFonts w:ascii="Arial Narrow" w:hAnsi="Arial Narrow"/>
            <w:sz w:val="16"/>
            <w:szCs w:val="16"/>
          </w:rPr>
          <w:t>Country-specific recommendations database</w:t>
        </w:r>
      </w:hyperlink>
      <w:r w:rsidRPr="00E81344">
        <w:rPr>
          <w:rStyle w:val="Hypertextovprepojenie"/>
          <w:rFonts w:ascii="Arial Narrow" w:hAnsi="Arial Narrow"/>
          <w:sz w:val="16"/>
          <w:szCs w:val="16"/>
        </w:rPr>
        <w:t>.</w:t>
      </w:r>
    </w:p>
  </w:footnote>
  <w:footnote w:id="21">
    <w:p w14:paraId="7BAF47C6" w14:textId="77777777" w:rsidR="00AA20CF" w:rsidRPr="00E81344" w:rsidRDefault="00AA20CF" w:rsidP="00AA20CF">
      <w:pPr>
        <w:pStyle w:val="Textpoznmkypodiarou"/>
        <w:jc w:val="both"/>
        <w:rPr>
          <w:rFonts w:ascii="Arial Narrow" w:hAnsi="Arial Narrow"/>
          <w:sz w:val="16"/>
          <w:szCs w:val="16"/>
        </w:rPr>
      </w:pPr>
      <w:r w:rsidRPr="00E81344">
        <w:rPr>
          <w:rStyle w:val="Odkaznapoznmkupodiarou"/>
          <w:rFonts w:ascii="Arial Narrow" w:hAnsi="Arial Narrow"/>
          <w:sz w:val="16"/>
          <w:szCs w:val="16"/>
        </w:rPr>
        <w:footnoteRef/>
      </w:r>
      <w:r w:rsidRPr="00E81344">
        <w:rPr>
          <w:rFonts w:ascii="Arial Narrow" w:hAnsi="Arial Narrow"/>
          <w:sz w:val="16"/>
          <w:szCs w:val="16"/>
        </w:rPr>
        <w:t xml:space="preserve"> Agenda 2030, schválená členskými štátmi OSN, predstavuje sústavné globálne úsilie monitorovať sociálno-ekonomický rozvoj s cieľom dosiahnuť dlhodobú udržateľnosť. Obsahuje definíciu </w:t>
      </w:r>
      <w:hyperlink r:id="rId4" w:history="1">
        <w:r w:rsidRPr="00E81344">
          <w:rPr>
            <w:rStyle w:val="Hypertextovprepojenie"/>
            <w:rFonts w:ascii="Arial Narrow" w:hAnsi="Arial Narrow"/>
            <w:sz w:val="16"/>
            <w:szCs w:val="16"/>
          </w:rPr>
          <w:t>17 oblastí udržateľného rozvoja</w:t>
        </w:r>
      </w:hyperlink>
      <w:r w:rsidRPr="00E81344">
        <w:rPr>
          <w:rFonts w:ascii="Arial Narrow" w:hAnsi="Arial Narrow"/>
          <w:sz w:val="16"/>
          <w:szCs w:val="16"/>
        </w:rPr>
        <w:t xml:space="preserve"> a 169 merateľných cieľov, pričom kladie dôraz na spravodlivú distribúciu ekonomickej prosperity aj s ohľadom na budúce generácie. Slovensko sa pripojilo k implementácii Agendy 2030 v marci 2016.</w:t>
      </w:r>
    </w:p>
  </w:footnote>
  <w:footnote w:id="22">
    <w:p w14:paraId="0E618320" w14:textId="77777777" w:rsidR="00AA20CF" w:rsidRPr="00E81344" w:rsidRDefault="00AA20CF" w:rsidP="00AA20CF">
      <w:pPr>
        <w:pStyle w:val="Textpoznmkypodiarou"/>
        <w:jc w:val="both"/>
        <w:rPr>
          <w:rFonts w:ascii="Arial Narrow" w:hAnsi="Arial Narrow"/>
          <w:sz w:val="16"/>
          <w:szCs w:val="16"/>
        </w:rPr>
      </w:pPr>
      <w:r w:rsidRPr="00E81344">
        <w:rPr>
          <w:rStyle w:val="Odkaznapoznmkupodiarou"/>
          <w:rFonts w:ascii="Arial Narrow" w:hAnsi="Arial Narrow"/>
          <w:sz w:val="16"/>
          <w:szCs w:val="16"/>
        </w:rPr>
        <w:footnoteRef/>
      </w:r>
      <w:r w:rsidRPr="00E81344">
        <w:rPr>
          <w:rFonts w:ascii="Arial Narrow" w:hAnsi="Arial Narrow"/>
          <w:sz w:val="16"/>
          <w:szCs w:val="16"/>
        </w:rPr>
        <w:t xml:space="preserve"> Účelom </w:t>
      </w:r>
      <w:hyperlink r:id="rId5" w:history="1">
        <w:r w:rsidRPr="00E81344">
          <w:rPr>
            <w:rStyle w:val="Hypertextovprepojenie"/>
            <w:rFonts w:ascii="Arial Narrow" w:hAnsi="Arial Narrow"/>
            <w:sz w:val="16"/>
            <w:szCs w:val="16"/>
          </w:rPr>
          <w:t>EPSP</w:t>
        </w:r>
      </w:hyperlink>
      <w:r w:rsidRPr="00E81344">
        <w:rPr>
          <w:rFonts w:ascii="Arial Narrow" w:hAnsi="Arial Narrow"/>
          <w:sz w:val="16"/>
          <w:szCs w:val="16"/>
        </w:rPr>
        <w:t xml:space="preserve"> je posilnenie uplatňovania práv občanov EÚ v troch rámcových kapitolách: i) rovnaké príležitosti a prístup na trh práce, ii) spravodlivé pracovné podmienky a iii) sociálna ochrana a začleňovanie, ktoré sú následne konkrétnejšie vymedzené v 20 základných zásadách.</w:t>
      </w:r>
    </w:p>
  </w:footnote>
  <w:footnote w:id="23">
    <w:p w14:paraId="4DF01068" w14:textId="77777777" w:rsidR="00AA20CF" w:rsidRPr="00E81344" w:rsidRDefault="00AA20CF" w:rsidP="00AA20CF">
      <w:pPr>
        <w:pStyle w:val="Textpoznmkypodiarou"/>
        <w:jc w:val="both"/>
        <w:rPr>
          <w:rFonts w:ascii="Arial Narrow" w:hAnsi="Arial Narrow"/>
        </w:rPr>
      </w:pPr>
      <w:r w:rsidRPr="00E81344">
        <w:rPr>
          <w:rStyle w:val="Odkaznapoznmkupodiarou"/>
          <w:rFonts w:ascii="Arial Narrow" w:hAnsi="Arial Narrow"/>
          <w:sz w:val="16"/>
          <w:szCs w:val="16"/>
        </w:rPr>
        <w:footnoteRef/>
      </w:r>
      <w:r w:rsidRPr="00E81344">
        <w:rPr>
          <w:rStyle w:val="Odkaznapoznmkupodiarou"/>
          <w:rFonts w:ascii="Arial Narrow" w:hAnsi="Arial Narrow"/>
          <w:sz w:val="16"/>
          <w:szCs w:val="16"/>
        </w:rPr>
        <w:t xml:space="preserve"> </w:t>
      </w:r>
      <w:r w:rsidRPr="00E81344">
        <w:rPr>
          <w:rFonts w:ascii="Arial Narrow" w:hAnsi="Arial Narrow"/>
          <w:sz w:val="16"/>
          <w:szCs w:val="16"/>
        </w:rPr>
        <w:t xml:space="preserve">V zmysle bodu 2.6 </w:t>
      </w:r>
      <w:hyperlink r:id="rId6" w:history="1">
        <w:r w:rsidRPr="00E81344">
          <w:rPr>
            <w:rStyle w:val="Hypertextovprepojenie"/>
            <w:rFonts w:ascii="Arial Narrow" w:hAnsi="Arial Narrow"/>
            <w:sz w:val="16"/>
            <w:szCs w:val="16"/>
          </w:rPr>
          <w:t>usmernenia k vypracovaniu Správy o pokroku</w:t>
        </w:r>
      </w:hyperlink>
      <w:r w:rsidRPr="00E81344">
        <w:rPr>
          <w:rFonts w:ascii="Arial Narrow" w:hAnsi="Arial Narrow"/>
          <w:sz w:val="16"/>
          <w:szCs w:val="16"/>
        </w:rPr>
        <w:t xml:space="preserve"> sa požaduje aj identifikácia väzieb jednotlivých opatrení na ciele udržateľného rozvoja (SDG) a zásady Európskeho piliera sociálnych práv (EPSP), ktoré sú súčasťou hodnotiaceho rámca európskeho semestra.</w:t>
      </w:r>
    </w:p>
  </w:footnote>
  <w:footnote w:id="24">
    <w:p w14:paraId="0DB23EF3" w14:textId="77777777" w:rsidR="00AA20CF" w:rsidRPr="00E81344" w:rsidRDefault="00AA20CF" w:rsidP="00AA20CF">
      <w:pPr>
        <w:pStyle w:val="Textpoznmkypodiarou"/>
        <w:jc w:val="both"/>
        <w:rPr>
          <w:rFonts w:ascii="Arial Narrow" w:hAnsi="Arial Narrow"/>
          <w:sz w:val="16"/>
          <w:szCs w:val="16"/>
        </w:rPr>
      </w:pPr>
      <w:r w:rsidRPr="00E81344">
        <w:rPr>
          <w:rStyle w:val="Odkaznapoznmkupodiarou"/>
          <w:rFonts w:ascii="Arial Narrow" w:hAnsi="Arial Narrow"/>
          <w:sz w:val="16"/>
          <w:szCs w:val="16"/>
        </w:rPr>
        <w:footnoteRef/>
      </w:r>
      <w:r w:rsidRPr="00E81344">
        <w:rPr>
          <w:rFonts w:ascii="Arial Narrow" w:hAnsi="Arial Narrow"/>
          <w:sz w:val="16"/>
          <w:szCs w:val="16"/>
        </w:rPr>
        <w:t xml:space="preserve"> „S cieľom zachovať konzistentnú identifikáciu opatrení je číslovanie reforiem a investícií v tabuľkách 5 a 7 zachované podľa predchádzajúcich verzií APR, resp. MTP. Z tohto dôvodu nemusí byť číselný rad súvislý ani reflektovať aktuálne poradie opatrení.</w:t>
      </w:r>
    </w:p>
  </w:footnote>
  <w:footnote w:id="25">
    <w:p w14:paraId="5BBDAA27" w14:textId="77777777" w:rsidR="00C24F6F" w:rsidRPr="00E81344" w:rsidRDefault="00C24F6F" w:rsidP="00C24F6F">
      <w:pPr>
        <w:pStyle w:val="Textpoznmkypodiarou"/>
        <w:jc w:val="both"/>
        <w:rPr>
          <w:rFonts w:ascii="Arial Narrow" w:hAnsi="Arial Narrow"/>
          <w:sz w:val="16"/>
          <w:szCs w:val="16"/>
        </w:rPr>
      </w:pPr>
      <w:r w:rsidRPr="00E81344">
        <w:rPr>
          <w:rStyle w:val="Odkaznapoznmkupodiarou"/>
          <w:rFonts w:ascii="Arial Narrow" w:hAnsi="Arial Narrow"/>
          <w:sz w:val="16"/>
          <w:szCs w:val="16"/>
        </w:rPr>
        <w:footnoteRef/>
      </w:r>
      <w:r w:rsidRPr="00E81344">
        <w:rPr>
          <w:rStyle w:val="Odkaznapoznmkupodiarou"/>
          <w:rFonts w:ascii="Arial Narrow" w:hAnsi="Arial Narrow"/>
          <w:sz w:val="16"/>
          <w:szCs w:val="16"/>
        </w:rPr>
        <w:t xml:space="preserve"> </w:t>
      </w:r>
      <w:r w:rsidRPr="00E81344">
        <w:rPr>
          <w:rFonts w:ascii="Arial Narrow" w:hAnsi="Arial Narrow"/>
          <w:sz w:val="16"/>
          <w:szCs w:val="16"/>
        </w:rPr>
        <w:t>Podmienené záväzky sú definované prostredníctvom účtovnej legislatívy ako potenciálne záväzky, ktoré vznikli v dôsledku minulej udalosti a povinnosť ich zrealizovania v budúcnosti nie je istá. Vykazujú sa v poznámkach účtovných závierok a nie v súvahe z dôvodu neistôt týkajúcich sa načasovania alebo výšky budúceho vysporiadania záväzku. Vzhľadom na uvedené sa ako podmienené záväzky vykazujú napríklad poskytnuté záruky, záväzky z právnych/súdnych sporov, budúce záväzky zo všeobecne platných právnych predpisov, alebo sú to iné finančné povinnosti, zákonná alebo zmluvná povinnosť odobrať určité produkty, povinnosti z nájomných zmlúv, a podobne. Zdrojom údajov sú ročné účtovné závierky subjektov verejnej správy a subjektov pod kontrolou vlády, predložené za posledné účtovné obdobie. Vzhľadom na dostupnosť údajov len na ročnej báze za predchádzajúce obdobie, môže dochádzať k časovému oneskoreniu vývoja podmienených záväzkov v bežnom roku a najbližším rozpočtovaným obdobím.</w:t>
      </w:r>
    </w:p>
  </w:footnote>
  <w:footnote w:id="26">
    <w:p w14:paraId="16356F84" w14:textId="77777777" w:rsidR="00C24F6F" w:rsidRPr="00E81344" w:rsidRDefault="00C24F6F" w:rsidP="00C24F6F">
      <w:pPr>
        <w:pStyle w:val="Textpoznmkypodiarou"/>
        <w:jc w:val="both"/>
        <w:rPr>
          <w:rFonts w:ascii="Arial Narrow" w:hAnsi="Arial Narrow"/>
          <w:sz w:val="16"/>
          <w:szCs w:val="16"/>
        </w:rPr>
      </w:pPr>
      <w:r w:rsidRPr="00E81344">
        <w:rPr>
          <w:rStyle w:val="Odkaznapoznmkupodiarou"/>
          <w:rFonts w:ascii="Arial Narrow" w:hAnsi="Arial Narrow"/>
          <w:sz w:val="16"/>
          <w:szCs w:val="16"/>
        </w:rPr>
        <w:footnoteRef/>
      </w:r>
      <w:r w:rsidRPr="00E81344">
        <w:rPr>
          <w:rFonts w:ascii="Arial Narrow" w:hAnsi="Arial Narrow"/>
          <w:sz w:val="16"/>
          <w:szCs w:val="16"/>
        </w:rPr>
        <w:t xml:space="preserve"> V rámci dát za rok 2025 je dominantnou kategóriou podmienených záväzkov ústrednej správy položka ostatné podmienené záväzky (9,9 mld. eur), ktorá z prevažnej časti odráža potencionálne záväzky SR vyplývajúce z členstva v európskych záchranných mechanizmoch – konkrétne splatný kapitál (6,1 mld. eur) a záruky poskytnuté v rámci EFSF (2,3 mld. eur k 31.12.2023). Tieto záväzky sú podmienené vznikom závažných finančných problémov v eurozóne a ich aktiváciou príslušnými riadiacimi orgánmi.</w:t>
      </w:r>
    </w:p>
  </w:footnote>
  <w:footnote w:id="27">
    <w:p w14:paraId="1B03CA29" w14:textId="77777777" w:rsidR="00C24F6F" w:rsidRPr="00E81344" w:rsidRDefault="00C24F6F" w:rsidP="00C24F6F">
      <w:pPr>
        <w:pStyle w:val="Textpoznmkypodiarou"/>
        <w:jc w:val="both"/>
        <w:rPr>
          <w:rFonts w:ascii="Arial Narrow" w:hAnsi="Arial Narrow"/>
          <w:kern w:val="0"/>
          <w:sz w:val="16"/>
          <w:szCs w:val="16"/>
        </w:rPr>
      </w:pPr>
      <w:r w:rsidRPr="00E81344">
        <w:rPr>
          <w:rStyle w:val="Odkaznapoznmkupodiarou"/>
          <w:rFonts w:ascii="Arial Narrow" w:hAnsi="Arial Narrow"/>
          <w:sz w:val="16"/>
          <w:szCs w:val="16"/>
        </w:rPr>
        <w:footnoteRef/>
      </w:r>
      <w:r w:rsidRPr="00E81344">
        <w:rPr>
          <w:rFonts w:ascii="Arial Narrow" w:hAnsi="Arial Narrow"/>
          <w:sz w:val="16"/>
          <w:szCs w:val="16"/>
        </w:rPr>
        <w:t>Ide o hrubé dáta za rok 2025, účtovné jednotky ešte nemajú v mnohých prípadoch ani textovú časť poznámok a audítori sú iba na začiatku auditných prác v čase písania dokumentu. Účtovné jednotky častokrát upravujú ešte výšku podmienených záväzkov pred zostavením konsolidovanej účtovnej závierky (KÚZ), čo môže mať výrazný vplyv.</w:t>
      </w:r>
    </w:p>
  </w:footnote>
  <w:footnote w:id="28">
    <w:p w14:paraId="7B6F4B00" w14:textId="77777777" w:rsidR="00C24F6F" w:rsidRPr="00E81344" w:rsidRDefault="00C24F6F" w:rsidP="00C24F6F">
      <w:pPr>
        <w:pStyle w:val="Textpoznmkypodiarou"/>
        <w:jc w:val="both"/>
        <w:rPr>
          <w:rFonts w:ascii="Arial Narrow" w:hAnsi="Arial Narrow"/>
          <w:sz w:val="16"/>
          <w:szCs w:val="16"/>
        </w:rPr>
      </w:pPr>
      <w:r w:rsidRPr="00E81344">
        <w:rPr>
          <w:rStyle w:val="Odkaznapoznmkupodiarou"/>
          <w:rFonts w:ascii="Arial Narrow" w:hAnsi="Arial Narrow"/>
          <w:sz w:val="16"/>
          <w:szCs w:val="16"/>
        </w:rPr>
        <w:footnoteRef/>
      </w:r>
      <w:r w:rsidRPr="00E81344">
        <w:rPr>
          <w:rFonts w:ascii="Arial Narrow" w:hAnsi="Arial Narrow"/>
          <w:sz w:val="16"/>
          <w:szCs w:val="16"/>
        </w:rPr>
        <w:t xml:space="preserve"> Oproti minulému roku došlo k zníženiu o 31,6 p. b., pričom značná časť tohto rozdielu (17,3 p. b.) vychádza z aktualizácie dlhodobých predpokladov vývoja úrokových sadzieb. Výpočet implicitných záväzkov je obzvlášť citlivý na zmenu práve v tomto predpoklade z dôsledku diskontovania budúcich výdavkov.</w:t>
      </w:r>
    </w:p>
  </w:footnote>
  <w:footnote w:id="29">
    <w:p w14:paraId="779D4378" w14:textId="77777777" w:rsidR="00C24F6F" w:rsidRPr="00E81344" w:rsidRDefault="00C24F6F" w:rsidP="00C24F6F">
      <w:pPr>
        <w:pStyle w:val="Textpoznmkypodiarou"/>
        <w:jc w:val="both"/>
        <w:rPr>
          <w:rFonts w:ascii="Arial Narrow" w:hAnsi="Arial Narrow"/>
          <w:sz w:val="16"/>
          <w:szCs w:val="16"/>
        </w:rPr>
      </w:pPr>
      <w:r w:rsidRPr="00E81344">
        <w:rPr>
          <w:rStyle w:val="Odkaznapoznmkupodiarou"/>
          <w:rFonts w:ascii="Arial Narrow" w:hAnsi="Arial Narrow"/>
          <w:sz w:val="16"/>
          <w:szCs w:val="16"/>
        </w:rPr>
        <w:footnoteRef/>
      </w:r>
      <w:r w:rsidRPr="00E81344">
        <w:rPr>
          <w:rStyle w:val="Odkaznapoznmkupodiarou"/>
          <w:rFonts w:ascii="Arial Narrow" w:hAnsi="Arial Narrow"/>
          <w:sz w:val="16"/>
          <w:szCs w:val="16"/>
        </w:rPr>
        <w:t xml:space="preserve"> </w:t>
      </w:r>
      <w:r w:rsidRPr="00E81344">
        <w:rPr>
          <w:rFonts w:ascii="Arial Narrow" w:hAnsi="Arial Narrow"/>
          <w:sz w:val="16"/>
          <w:szCs w:val="16"/>
        </w:rPr>
        <w:t xml:space="preserve">Definícia implicitných záväzkov podľa zákona č. 493/2011 o rozpočtovej zodpovednosti vychádza z koncepcie čistých implicitných záväzkov, čo znamená, že okrem budúcich výdavkov zahŕňa aj budúce príjmy. Pri použití konečného horizontu ide teda o odlišnú definíciu v porovnaní s </w:t>
      </w:r>
      <w:hyperlink r:id="rId7" w:history="1">
        <w:r w:rsidRPr="00E81344">
          <w:rPr>
            <w:rStyle w:val="Hypertextovprepojenie"/>
            <w:rFonts w:ascii="Arial Narrow" w:hAnsi="Arial Narrow"/>
            <w:sz w:val="16"/>
            <w:szCs w:val="16"/>
          </w:rPr>
          <w:t>definíciou implicitných záväzkov v národných účtoch</w:t>
        </w:r>
      </w:hyperlink>
      <w:r w:rsidRPr="00E81344">
        <w:rPr>
          <w:rFonts w:ascii="Arial Narrow" w:hAnsi="Arial Narrow"/>
          <w:sz w:val="16"/>
          <w:szCs w:val="16"/>
        </w:rPr>
        <w:t>, ktorá v tomto horizonte zohľadňuje iba budúce výdavky (hrubé implicitné záväzky).</w:t>
      </w:r>
    </w:p>
  </w:footnote>
  <w:footnote w:id="30">
    <w:p w14:paraId="67325830" w14:textId="77777777" w:rsidR="00C24F6F" w:rsidRPr="00E81344" w:rsidRDefault="00C24F6F" w:rsidP="00C24F6F">
      <w:pPr>
        <w:pStyle w:val="Textpoznmkypodiarou"/>
        <w:jc w:val="both"/>
        <w:rPr>
          <w:rFonts w:ascii="Arial Narrow" w:hAnsi="Arial Narrow"/>
        </w:rPr>
      </w:pPr>
      <w:r w:rsidRPr="00E81344">
        <w:rPr>
          <w:rStyle w:val="Odkaznapoznmkupodiarou"/>
          <w:rFonts w:ascii="Arial Narrow" w:hAnsi="Arial Narrow"/>
          <w:sz w:val="16"/>
          <w:szCs w:val="16"/>
        </w:rPr>
        <w:footnoteRef/>
      </w:r>
      <w:r w:rsidRPr="00E81344">
        <w:rPr>
          <w:rStyle w:val="Odkaznapoznmkupodiarou"/>
          <w:rFonts w:ascii="Arial Narrow" w:hAnsi="Arial Narrow"/>
          <w:sz w:val="16"/>
          <w:szCs w:val="16"/>
        </w:rPr>
        <w:t xml:space="preserve"> </w:t>
      </w:r>
      <w:r w:rsidRPr="00E81344">
        <w:rPr>
          <w:rFonts w:ascii="Arial Narrow" w:hAnsi="Arial Narrow"/>
          <w:sz w:val="16"/>
          <w:szCs w:val="16"/>
        </w:rPr>
        <w:t xml:space="preserve">Z dôvodu ich problematického oceňovania a absencie vykazovania v súvahe subjektov verejnej správy sa implicitné záväzky odhadujú pomocou analytického postupu po zohľadnení legislatívneho vývoja. Vyjadrené sú ako percento aktuálneho HDP v roku 2026. Podrobnejší postup výpočtu popisuje </w:t>
      </w:r>
      <w:hyperlink r:id="rId8" w:history="1">
        <w:r w:rsidRPr="00E81344">
          <w:rPr>
            <w:rStyle w:val="Hypertextovprepojenie"/>
            <w:rFonts w:ascii="Arial Narrow" w:hAnsi="Arial Narrow"/>
            <w:sz w:val="16"/>
            <w:szCs w:val="16"/>
          </w:rPr>
          <w:t>Metodika MF SR pre výpočet implicitných záväzkov</w:t>
        </w:r>
      </w:hyperlink>
      <w:r w:rsidRPr="00E81344">
        <w:rPr>
          <w:rFonts w:ascii="Arial Narrow" w:hAnsi="Arial Narrow"/>
          <w:sz w:val="16"/>
          <w:szCs w:val="16"/>
        </w:rPr>
        <w:t>.</w:t>
      </w:r>
    </w:p>
  </w:footnote>
  <w:footnote w:id="31">
    <w:p w14:paraId="116E248C" w14:textId="77777777" w:rsidR="00C24F6F" w:rsidRPr="00E81344" w:rsidRDefault="00C24F6F" w:rsidP="00C24F6F">
      <w:pPr>
        <w:pStyle w:val="Textpoznmkypodiarou"/>
        <w:ind w:left="142" w:hanging="142"/>
        <w:jc w:val="both"/>
        <w:rPr>
          <w:rFonts w:ascii="Arial Narrow" w:hAnsi="Arial Narrow"/>
          <w:sz w:val="16"/>
          <w:szCs w:val="16"/>
        </w:rPr>
      </w:pPr>
      <w:r w:rsidRPr="00E81344">
        <w:rPr>
          <w:rStyle w:val="Odkaznapoznmkupodiarou"/>
          <w:rFonts w:ascii="Arial Narrow" w:eastAsia="Arial Narrow" w:hAnsi="Arial Narrow"/>
          <w:sz w:val="16"/>
          <w:szCs w:val="16"/>
        </w:rPr>
        <w:footnoteRef/>
      </w:r>
      <w:r w:rsidRPr="00E81344">
        <w:rPr>
          <w:rFonts w:ascii="Arial Narrow" w:hAnsi="Arial Narrow"/>
          <w:sz w:val="16"/>
          <w:szCs w:val="16"/>
        </w:rPr>
        <w:t xml:space="preserve"> Rovnaké pravidlá platia aj pre výdavkové opatrenia s výnimkou,  že nie všetky musia byť legislatívneho charakteru, keďže výdavky verejnej správy nie sú všetky dané zákonom.</w:t>
      </w:r>
    </w:p>
  </w:footnote>
  <w:footnote w:id="32">
    <w:p w14:paraId="497CD30B" w14:textId="77777777" w:rsidR="00C24F6F" w:rsidRPr="00E81344" w:rsidRDefault="00C24F6F" w:rsidP="00C24F6F">
      <w:pPr>
        <w:pStyle w:val="Textpoznmkypodiarou"/>
        <w:ind w:left="113" w:hanging="113"/>
        <w:jc w:val="both"/>
        <w:rPr>
          <w:rFonts w:ascii="Arial Narrow" w:hAnsi="Arial Narrow"/>
          <w:szCs w:val="16"/>
        </w:rPr>
      </w:pPr>
      <w:r w:rsidRPr="00E81344">
        <w:rPr>
          <w:rStyle w:val="Odkaznapoznmkupodiarou"/>
          <w:rFonts w:ascii="Arial Narrow" w:eastAsia="Arial Narrow" w:hAnsi="Arial Narrow"/>
          <w:sz w:val="16"/>
          <w:szCs w:val="16"/>
        </w:rPr>
        <w:footnoteRef/>
      </w:r>
      <w:r w:rsidRPr="00E81344">
        <w:rPr>
          <w:rFonts w:ascii="Arial Narrow" w:hAnsi="Arial Narrow"/>
          <w:sz w:val="16"/>
          <w:szCs w:val="16"/>
        </w:rPr>
        <w:t xml:space="preserve"> Názorným príkladom na vysvetlenie DRM môže byť prijaté legislatívne opatrenie s odhadovaným vplyvom 200. Opatrenie bolo zavedené v polovici roka, teda jeho celkový vplyv v danom roku predstavuje 100. V ďalšom roku narastie vplyv na celú sumu 200, ale marginálne sa zaznamená len rozdiel týchto dvoch vplyvov, t. j. 100. Kumulatívne je celkový vplyv 200, len je rozložený do dvoch rokov.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EE02E" w14:textId="1ABCC4F8" w:rsidR="00AD57FE" w:rsidRDefault="00AD57FE">
    <w:pPr>
      <w:pStyle w:val="Hlavika"/>
    </w:pPr>
    <w:r>
      <w:rPr>
        <w:noProof/>
      </w:rPr>
      <mc:AlternateContent>
        <mc:Choice Requires="wps">
          <w:drawing>
            <wp:anchor distT="45720" distB="45720" distL="114300" distR="114300" simplePos="0" relativeHeight="251708416" behindDoc="0" locked="0" layoutInCell="1" allowOverlap="1" wp14:anchorId="50104B95" wp14:editId="029939FC">
              <wp:simplePos x="0" y="0"/>
              <wp:positionH relativeFrom="column">
                <wp:posOffset>294640</wp:posOffset>
              </wp:positionH>
              <wp:positionV relativeFrom="paragraph">
                <wp:posOffset>-88265</wp:posOffset>
              </wp:positionV>
              <wp:extent cx="2413635" cy="460375"/>
              <wp:effectExtent l="0" t="0" r="0" b="0"/>
              <wp:wrapSquare wrapText="bothSides"/>
              <wp:docPr id="2366797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5" cy="460375"/>
                      </a:xfrm>
                      <a:prstGeom prst="rect">
                        <a:avLst/>
                      </a:prstGeom>
                      <a:noFill/>
                      <a:ln w="9525">
                        <a:noFill/>
                        <a:miter lim="800000"/>
                        <a:headEnd/>
                        <a:tailEnd/>
                      </a:ln>
                    </wps:spPr>
                    <wps:txbx>
                      <w:txbxContent>
                        <w:p w14:paraId="3C1A3D72" w14:textId="77777777" w:rsidR="00AD57FE" w:rsidRPr="00913FB6" w:rsidRDefault="00AD57FE" w:rsidP="00AD57FE">
                          <w:pPr>
                            <w:pStyle w:val="ifptext"/>
                            <w:jc w:val="left"/>
                            <w:rPr>
                              <w:b/>
                              <w:bCs/>
                              <w:color w:val="808080"/>
                            </w:rPr>
                          </w:pPr>
                          <w:r w:rsidRPr="00913FB6">
                            <w:rPr>
                              <w:b/>
                              <w:bCs/>
                              <w:color w:val="808080"/>
                            </w:rPr>
                            <w:t>Ministerstvo</w:t>
                          </w:r>
                          <w:r>
                            <w:rPr>
                              <w:b/>
                              <w:bCs/>
                              <w:color w:val="808080"/>
                            </w:rPr>
                            <w:t xml:space="preserve"> </w:t>
                          </w:r>
                          <w:r w:rsidRPr="00913FB6">
                            <w:rPr>
                              <w:b/>
                              <w:bCs/>
                              <w:color w:val="808080"/>
                            </w:rPr>
                            <w:t>financií</w:t>
                          </w:r>
                          <w:r>
                            <w:rPr>
                              <w:b/>
                              <w:bCs/>
                              <w:color w:val="808080"/>
                            </w:rPr>
                            <w:br/>
                          </w:r>
                          <w:r w:rsidRPr="00913FB6">
                            <w:rPr>
                              <w:b/>
                              <w:bCs/>
                              <w:color w:val="808080"/>
                            </w:rPr>
                            <w:t>Slovenskej republiky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104B95" id="_x0000_t202" coordsize="21600,21600" o:spt="202" path="m,l,21600r21600,l21600,xe">
              <v:stroke joinstyle="miter"/>
              <v:path gradientshapeok="t" o:connecttype="rect"/>
            </v:shapetype>
            <v:shape id="Textové pole 2" o:spid="_x0000_s1027" type="#_x0000_t202" style="position:absolute;margin-left:23.2pt;margin-top:-6.95pt;width:190.05pt;height:36.2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" filled="f" stroked="f">
              <v:textbox>
                <w:txbxContent>
                  <w:p w14:paraId="3C1A3D72" w14:textId="77777777" w:rsidR="00AD57FE" w:rsidRPr="00913FB6" w:rsidRDefault="00AD57FE" w:rsidP="00AD57FE">
                    <w:pPr>
                      <w:pStyle w:val="ifptext"/>
                      <w:jc w:val="left"/>
                      <w:rPr>
                        <w:b/>
                        <w:bCs/>
                        <w:color w:val="808080"/>
                      </w:rPr>
                    </w:pPr>
                    <w:r w:rsidRPr="00913FB6">
                      <w:rPr>
                        <w:b/>
                        <w:bCs/>
                        <w:color w:val="808080"/>
                      </w:rPr>
                      <w:t>Ministerstvo</w:t>
                    </w:r>
                    <w:r>
                      <w:rPr>
                        <w:b/>
                        <w:bCs/>
                        <w:color w:val="808080"/>
                      </w:rPr>
                      <w:t xml:space="preserve"> </w:t>
                    </w:r>
                    <w:r w:rsidRPr="00913FB6">
                      <w:rPr>
                        <w:b/>
                        <w:bCs/>
                        <w:color w:val="808080"/>
                      </w:rPr>
                      <w:t>financií</w:t>
                    </w:r>
                    <w:r>
                      <w:rPr>
                        <w:b/>
                        <w:bCs/>
                        <w:color w:val="808080"/>
                      </w:rPr>
                      <w:br/>
                    </w:r>
                    <w:r w:rsidRPr="00913FB6">
                      <w:rPr>
                        <w:b/>
                        <w:bCs/>
                        <w:color w:val="808080"/>
                      </w:rPr>
                      <w:t>Slovenskej republiky</w:t>
                    </w:r>
                  </w:p>
                </w:txbxContent>
              </v:textbox>
              <w10:wrap type="square"/>
            </v:shape>
          </w:pict>
        </mc:Fallback>
      </mc:AlternateContent>
    </w:r>
    <w:r>
      <w:rPr>
        <w:noProof/>
      </w:rPr>
      <mc:AlternateContent>
        <mc:Choice Requires="wps">
          <w:drawing>
            <wp:anchor distT="45720" distB="45720" distL="114300" distR="114300" simplePos="0" relativeHeight="251710464" behindDoc="0" locked="0" layoutInCell="1" allowOverlap="1" wp14:anchorId="7A5180F0" wp14:editId="63D51C2C">
              <wp:simplePos x="0" y="0"/>
              <wp:positionH relativeFrom="margin">
                <wp:posOffset>3187065</wp:posOffset>
              </wp:positionH>
              <wp:positionV relativeFrom="paragraph">
                <wp:posOffset>32385</wp:posOffset>
              </wp:positionV>
              <wp:extent cx="2698750" cy="262255"/>
              <wp:effectExtent l="0" t="0" r="0" b="4445"/>
              <wp:wrapSquare wrapText="bothSides"/>
              <wp:docPr id="2990144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262255"/>
                      </a:xfrm>
                      <a:prstGeom prst="rect">
                        <a:avLst/>
                      </a:prstGeom>
                      <a:noFill/>
                      <a:ln w="9525">
                        <a:noFill/>
                        <a:miter lim="800000"/>
                        <a:headEnd/>
                        <a:tailEnd/>
                      </a:ln>
                    </wps:spPr>
                    <wps:txbx>
                      <w:txbxContent>
                        <w:p w14:paraId="55B41D46" w14:textId="77777777" w:rsidR="00AD57FE" w:rsidRPr="00913FB6" w:rsidRDefault="00AD57FE" w:rsidP="00AD57FE">
                          <w:pPr>
                            <w:pStyle w:val="ifptext"/>
                            <w:jc w:val="right"/>
                            <w:rPr>
                              <w:b/>
                              <w:bCs/>
                              <w:color w:val="808080"/>
                            </w:rPr>
                          </w:pPr>
                          <w:r>
                            <w:rPr>
                              <w:b/>
                              <w:bCs/>
                              <w:color w:val="808080"/>
                            </w:rPr>
                            <w:t>Výročná správa o pokroku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5180F0" id="_x0000_s1028" type="#_x0000_t202" style="position:absolute;margin-left:250.95pt;margin-top:2.55pt;width:212.5pt;height:20.65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" filled="f" stroked="f">
              <v:textbox>
                <w:txbxContent>
                  <w:p w14:paraId="55B41D46" w14:textId="77777777" w:rsidR="00AD57FE" w:rsidRPr="00913FB6" w:rsidRDefault="00AD57FE" w:rsidP="00AD57FE">
                    <w:pPr>
                      <w:pStyle w:val="ifptext"/>
                      <w:jc w:val="right"/>
                      <w:rPr>
                        <w:b/>
                        <w:bCs/>
                        <w:color w:val="808080"/>
                      </w:rPr>
                    </w:pPr>
                    <w:r>
                      <w:rPr>
                        <w:b/>
                        <w:bCs/>
                        <w:color w:val="808080"/>
                      </w:rPr>
                      <w:t>Výročná správa o pokroku</w:t>
                    </w:r>
                  </w:p>
                </w:txbxContent>
              </v:textbox>
              <w10:wrap type="square" anchorx="margin"/>
            </v:shape>
          </w:pict>
        </mc:Fallback>
      </mc:AlternateContent>
    </w:r>
    <w:r>
      <w:rPr>
        <w:rFonts w:cs="Book Antiqua"/>
        <w:noProof/>
        <w:lang w:eastAsia="sk-SK"/>
      </w:rPr>
      <mc:AlternateContent>
        <mc:Choice Requires="wps">
          <w:drawing>
            <wp:anchor distT="4294967291" distB="4294967291" distL="114300" distR="114300" simplePos="0" relativeHeight="251712512" behindDoc="0" locked="1" layoutInCell="1" allowOverlap="1" wp14:anchorId="1B2316F1" wp14:editId="6088CB8A">
              <wp:simplePos x="0" y="0"/>
              <wp:positionH relativeFrom="margin">
                <wp:align>left</wp:align>
              </wp:positionH>
              <wp:positionV relativeFrom="paragraph">
                <wp:posOffset>399415</wp:posOffset>
              </wp:positionV>
              <wp:extent cx="5800725" cy="0"/>
              <wp:effectExtent l="0" t="0" r="0" b="0"/>
              <wp:wrapNone/>
              <wp:docPr id="986693410" name="Rovná spojnic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0"/>
                      </a:xfrm>
                      <a:prstGeom prst="line">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9CB22" id="Rovná spojnica 10" o:spid="_x0000_s1026" style="position:absolute;z-index:251712512;visibility:visible;mso-wrap-style:square;mso-width-percent:0;mso-height-percent:0;mso-wrap-distance-left:9pt;mso-wrap-distance-top:-1e-4mm;mso-wrap-distance-right:9pt;mso-wrap-distance-bottom:-1e-4mm;mso-position-horizontal:left;mso-position-horizontal-relative:margin;mso-position-vertical:absolute;mso-position-vertical-relative:text;mso-width-percent:0;mso-height-percent:0;mso-width-relative:page;mso-height-relative:page" from="0,31.45pt" to="456.7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" strokecolor="#7f7f7f [1612]">
              <w10:wrap anchorx="margin"/>
              <w10:anchorlock/>
            </v:line>
          </w:pict>
        </mc:Fallback>
      </mc:AlternateContent>
    </w:r>
    <w:r w:rsidRPr="00913FB6">
      <w:rPr>
        <w:rFonts w:ascii="Arial Narrow" w:hAnsi="Arial Narrow"/>
        <w:noProof/>
        <w:lang w:eastAsia="sk-SK"/>
      </w:rPr>
      <w:drawing>
        <wp:anchor distT="0" distB="0" distL="114300" distR="114300" simplePos="0" relativeHeight="251709440" behindDoc="0" locked="1" layoutInCell="1" allowOverlap="0" wp14:anchorId="0AD6A07E" wp14:editId="40BF2764">
          <wp:simplePos x="0" y="0"/>
          <wp:positionH relativeFrom="margin">
            <wp:align>left</wp:align>
          </wp:positionH>
          <wp:positionV relativeFrom="paragraph">
            <wp:posOffset>-79375</wp:posOffset>
          </wp:positionV>
          <wp:extent cx="318770" cy="375285"/>
          <wp:effectExtent l="0" t="0" r="5080" b="5715"/>
          <wp:wrapNone/>
          <wp:docPr id="1462092344" name="Obrázok 19" descr="Obrázok, na ktorom je náčrt, kresba, symbol, kreslený obrázok&#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589385" name="Obrázok 19" descr="Obrázok, na ktorom je náčrt, kresba, symbol, kreslený obrázok&#10;&#10;Obsah vygenerovaný pomocou AI môže byť nesprávny."/>
                  <pic:cNvPicPr>
                    <a:picLocks noChangeAspect="1" noChangeArrowheads="1"/>
                  </pic:cNvPicPr>
                </pic:nvPicPr>
                <pic:blipFill>
                  <a:blip r:embed="rId1"/>
                  <a:srcRect/>
                  <a:stretch>
                    <a:fillRect/>
                  </a:stretch>
                </pic:blipFill>
                <pic:spPr bwMode="auto">
                  <a:xfrm>
                    <a:off x="0" y="0"/>
                    <a:ext cx="318770" cy="37528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E67B5" w14:textId="77777777" w:rsidR="001C37FF" w:rsidRDefault="001C37FF">
    <w:pPr>
      <w:pStyle w:val="Hlavika"/>
    </w:pPr>
    <w:r>
      <w:rPr>
        <w:noProof/>
      </w:rPr>
      <mc:AlternateContent>
        <mc:Choice Requires="wps">
          <w:drawing>
            <wp:anchor distT="45720" distB="45720" distL="114300" distR="114300" simplePos="0" relativeHeight="251703296" behindDoc="0" locked="0" layoutInCell="1" allowOverlap="1" wp14:anchorId="340D850A" wp14:editId="05B594E5">
              <wp:simplePos x="0" y="0"/>
              <wp:positionH relativeFrom="column">
                <wp:posOffset>285115</wp:posOffset>
              </wp:positionH>
              <wp:positionV relativeFrom="paragraph">
                <wp:posOffset>-120650</wp:posOffset>
              </wp:positionV>
              <wp:extent cx="2413635" cy="460375"/>
              <wp:effectExtent l="0" t="0" r="0" b="0"/>
              <wp:wrapSquare wrapText="bothSides"/>
              <wp:docPr id="2864290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5" cy="460375"/>
                      </a:xfrm>
                      <a:prstGeom prst="rect">
                        <a:avLst/>
                      </a:prstGeom>
                      <a:noFill/>
                      <a:ln w="9525">
                        <a:noFill/>
                        <a:miter lim="800000"/>
                        <a:headEnd/>
                        <a:tailEnd/>
                      </a:ln>
                    </wps:spPr>
                    <wps:txbx>
                      <w:txbxContent>
                        <w:p w14:paraId="5F55BE09" w14:textId="77777777" w:rsidR="001C37FF" w:rsidRPr="00913FB6" w:rsidRDefault="001C37FF" w:rsidP="00F2723D">
                          <w:pPr>
                            <w:pStyle w:val="ifptext"/>
                            <w:jc w:val="left"/>
                            <w:rPr>
                              <w:b/>
                              <w:bCs/>
                              <w:color w:val="808080"/>
                            </w:rPr>
                          </w:pPr>
                          <w:r w:rsidRPr="00913FB6">
                            <w:rPr>
                              <w:b/>
                              <w:bCs/>
                              <w:color w:val="808080"/>
                            </w:rPr>
                            <w:t>Ministerstvo</w:t>
                          </w:r>
                          <w:r>
                            <w:rPr>
                              <w:b/>
                              <w:bCs/>
                              <w:color w:val="808080"/>
                            </w:rPr>
                            <w:t xml:space="preserve"> </w:t>
                          </w:r>
                          <w:r w:rsidRPr="00913FB6">
                            <w:rPr>
                              <w:b/>
                              <w:bCs/>
                              <w:color w:val="808080"/>
                            </w:rPr>
                            <w:t>financií</w:t>
                          </w:r>
                          <w:r>
                            <w:rPr>
                              <w:b/>
                              <w:bCs/>
                              <w:color w:val="808080"/>
                            </w:rPr>
                            <w:br/>
                          </w:r>
                          <w:r w:rsidRPr="00913FB6">
                            <w:rPr>
                              <w:b/>
                              <w:bCs/>
                              <w:color w:val="808080"/>
                            </w:rPr>
                            <w:t>Slovenskej republiky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0D850A" id="_x0000_t202" coordsize="21600,21600" o:spt="202" path="m,l,21600r21600,l21600,xe">
              <v:stroke joinstyle="miter"/>
              <v:path gradientshapeok="t" o:connecttype="rect"/>
            </v:shapetype>
            <v:shape id="_x0000_s1030" type="#_x0000_t202" style="position:absolute;margin-left:22.45pt;margin-top:-9.5pt;width:190.05pt;height:36.2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" filled="f" stroked="f">
              <v:textbox>
                <w:txbxContent>
                  <w:p w14:paraId="5F55BE09" w14:textId="77777777" w:rsidR="001C37FF" w:rsidRPr="00913FB6" w:rsidRDefault="001C37FF" w:rsidP="00F2723D">
                    <w:pPr>
                      <w:pStyle w:val="ifptext"/>
                      <w:jc w:val="left"/>
                      <w:rPr>
                        <w:b/>
                        <w:bCs/>
                        <w:color w:val="808080"/>
                      </w:rPr>
                    </w:pPr>
                    <w:r w:rsidRPr="00913FB6">
                      <w:rPr>
                        <w:b/>
                        <w:bCs/>
                        <w:color w:val="808080"/>
                      </w:rPr>
                      <w:t>Ministerstvo</w:t>
                    </w:r>
                    <w:r>
                      <w:rPr>
                        <w:b/>
                        <w:bCs/>
                        <w:color w:val="808080"/>
                      </w:rPr>
                      <w:t xml:space="preserve"> </w:t>
                    </w:r>
                    <w:r w:rsidRPr="00913FB6">
                      <w:rPr>
                        <w:b/>
                        <w:bCs/>
                        <w:color w:val="808080"/>
                      </w:rPr>
                      <w:t>financií</w:t>
                    </w:r>
                    <w:r>
                      <w:rPr>
                        <w:b/>
                        <w:bCs/>
                        <w:color w:val="808080"/>
                      </w:rPr>
                      <w:br/>
                    </w:r>
                    <w:r w:rsidRPr="00913FB6">
                      <w:rPr>
                        <w:b/>
                        <w:bCs/>
                        <w:color w:val="808080"/>
                      </w:rPr>
                      <w:t>Slovenskej republiky</w:t>
                    </w:r>
                  </w:p>
                </w:txbxContent>
              </v:textbox>
              <w10:wrap type="square"/>
            </v:shape>
          </w:pict>
        </mc:Fallback>
      </mc:AlternateContent>
    </w:r>
    <w:r>
      <w:rPr>
        <w:noProof/>
      </w:rPr>
      <mc:AlternateContent>
        <mc:Choice Requires="wps">
          <w:drawing>
            <wp:anchor distT="45720" distB="45720" distL="114300" distR="114300" simplePos="0" relativeHeight="251706368" behindDoc="0" locked="0" layoutInCell="1" allowOverlap="1" wp14:anchorId="221DDAE0" wp14:editId="6E629A5D">
              <wp:simplePos x="0" y="0"/>
              <wp:positionH relativeFrom="margin">
                <wp:posOffset>3196590</wp:posOffset>
              </wp:positionH>
              <wp:positionV relativeFrom="paragraph">
                <wp:posOffset>47625</wp:posOffset>
              </wp:positionV>
              <wp:extent cx="2698750" cy="262255"/>
              <wp:effectExtent l="0" t="0" r="0" b="4445"/>
              <wp:wrapSquare wrapText="bothSides"/>
              <wp:docPr id="36215287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262255"/>
                      </a:xfrm>
                      <a:prstGeom prst="rect">
                        <a:avLst/>
                      </a:prstGeom>
                      <a:noFill/>
                      <a:ln w="9525">
                        <a:noFill/>
                        <a:miter lim="800000"/>
                        <a:headEnd/>
                        <a:tailEnd/>
                      </a:ln>
                    </wps:spPr>
                    <wps:txbx>
                      <w:txbxContent>
                        <w:p w14:paraId="7615C550" w14:textId="77777777" w:rsidR="001C37FF" w:rsidRPr="00913FB6" w:rsidRDefault="001C37FF" w:rsidP="00167C89">
                          <w:pPr>
                            <w:pStyle w:val="ifptext"/>
                            <w:jc w:val="right"/>
                            <w:rPr>
                              <w:b/>
                              <w:bCs/>
                              <w:color w:val="808080"/>
                            </w:rPr>
                          </w:pPr>
                          <w:r>
                            <w:rPr>
                              <w:b/>
                              <w:bCs/>
                              <w:color w:val="808080"/>
                            </w:rPr>
                            <w:t>Výročná správa o pokroku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1DDAE0" id="_x0000_s1031" type="#_x0000_t202" style="position:absolute;margin-left:251.7pt;margin-top:3.75pt;width:212.5pt;height:20.65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" filled="f" stroked="f">
              <v:textbox>
                <w:txbxContent>
                  <w:p w14:paraId="7615C550" w14:textId="77777777" w:rsidR="001C37FF" w:rsidRPr="00913FB6" w:rsidRDefault="001C37FF" w:rsidP="00167C89">
                    <w:pPr>
                      <w:pStyle w:val="ifptext"/>
                      <w:jc w:val="right"/>
                      <w:rPr>
                        <w:b/>
                        <w:bCs/>
                        <w:color w:val="808080"/>
                      </w:rPr>
                    </w:pPr>
                    <w:r>
                      <w:rPr>
                        <w:b/>
                        <w:bCs/>
                        <w:color w:val="808080"/>
                      </w:rPr>
                      <w:t>Výročná správa o pokroku</w:t>
                    </w:r>
                  </w:p>
                </w:txbxContent>
              </v:textbox>
              <w10:wrap type="square" anchorx="margin"/>
            </v:shape>
          </w:pict>
        </mc:Fallback>
      </mc:AlternateContent>
    </w:r>
    <w:r>
      <w:rPr>
        <w:rFonts w:cs="Book Antiqua"/>
        <w:noProof/>
        <w:lang w:eastAsia="sk-SK"/>
      </w:rPr>
      <mc:AlternateContent>
        <mc:Choice Requires="wps">
          <w:drawing>
            <wp:anchor distT="4294967291" distB="4294967291" distL="114300" distR="114300" simplePos="0" relativeHeight="251705344" behindDoc="0" locked="1" layoutInCell="1" allowOverlap="1" wp14:anchorId="57C8DD91" wp14:editId="4FE8E036">
              <wp:simplePos x="0" y="0"/>
              <wp:positionH relativeFrom="margin">
                <wp:align>left</wp:align>
              </wp:positionH>
              <wp:positionV relativeFrom="paragraph">
                <wp:posOffset>393065</wp:posOffset>
              </wp:positionV>
              <wp:extent cx="5800725" cy="0"/>
              <wp:effectExtent l="0" t="0" r="0" b="0"/>
              <wp:wrapNone/>
              <wp:docPr id="53403109" name="Rovná spojnic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0"/>
                      </a:xfrm>
                      <a:prstGeom prst="line">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4954E" id="Rovná spojnica 10" o:spid="_x0000_s1026" style="position:absolute;z-index:251705344;visibility:visible;mso-wrap-style:square;mso-width-percent:0;mso-height-percent:0;mso-wrap-distance-left:9pt;mso-wrap-distance-top:-1e-4mm;mso-wrap-distance-right:9pt;mso-wrap-distance-bottom:-1e-4mm;mso-position-horizontal:left;mso-position-horizontal-relative:margin;mso-position-vertical:absolute;mso-position-vertical-relative:text;mso-width-percent:0;mso-height-percent:0;mso-width-relative:page;mso-height-relative:page" from="0,30.95pt" to="456.7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" strokecolor="#7f7f7f [1612]">
              <w10:wrap anchorx="margin"/>
              <w10:anchorlock/>
            </v:line>
          </w:pict>
        </mc:Fallback>
      </mc:AlternateContent>
    </w:r>
    <w:r w:rsidRPr="00913FB6">
      <w:rPr>
        <w:rFonts w:ascii="Arial Narrow" w:hAnsi="Arial Narrow"/>
        <w:noProof/>
        <w:lang w:eastAsia="sk-SK"/>
      </w:rPr>
      <w:drawing>
        <wp:anchor distT="0" distB="0" distL="114300" distR="114300" simplePos="0" relativeHeight="251704320" behindDoc="0" locked="1" layoutInCell="1" allowOverlap="0" wp14:anchorId="33EE5DF8" wp14:editId="5A97D194">
          <wp:simplePos x="0" y="0"/>
          <wp:positionH relativeFrom="column">
            <wp:posOffset>0</wp:posOffset>
          </wp:positionH>
          <wp:positionV relativeFrom="paragraph">
            <wp:posOffset>-76835</wp:posOffset>
          </wp:positionV>
          <wp:extent cx="318770" cy="375285"/>
          <wp:effectExtent l="0" t="0" r="5080" b="5715"/>
          <wp:wrapNone/>
          <wp:docPr id="1461890825"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pic:cNvPicPr>
                    <a:picLocks noChangeAspect="1" noChangeArrowheads="1"/>
                  </pic:cNvPicPr>
                </pic:nvPicPr>
                <pic:blipFill>
                  <a:blip r:embed="rId1"/>
                  <a:srcRect/>
                  <a:stretch>
                    <a:fillRect/>
                  </a:stretch>
                </pic:blipFill>
                <pic:spPr bwMode="auto">
                  <a:xfrm>
                    <a:off x="0" y="0"/>
                    <a:ext cx="318770" cy="37528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326DC" w14:textId="77777777" w:rsidR="00A37D3D" w:rsidRDefault="00A37D3D" w:rsidP="00A37D3D">
    <w:pPr>
      <w:pStyle w:val="Hlavika"/>
    </w:pPr>
    <w:r>
      <w:rPr>
        <w:noProof/>
      </w:rPr>
      <mc:AlternateContent>
        <mc:Choice Requires="wps">
          <w:drawing>
            <wp:anchor distT="45720" distB="45720" distL="114300" distR="114300" simplePos="0" relativeHeight="251669504" behindDoc="0" locked="0" layoutInCell="1" allowOverlap="1" wp14:anchorId="6B56D389" wp14:editId="7CFE144B">
              <wp:simplePos x="0" y="0"/>
              <wp:positionH relativeFrom="column">
                <wp:posOffset>285115</wp:posOffset>
              </wp:positionH>
              <wp:positionV relativeFrom="paragraph">
                <wp:posOffset>-120650</wp:posOffset>
              </wp:positionV>
              <wp:extent cx="2413635" cy="460375"/>
              <wp:effectExtent l="0" t="0" r="0" b="0"/>
              <wp:wrapSquare wrapText="bothSides"/>
              <wp:docPr id="157702645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5" cy="460375"/>
                      </a:xfrm>
                      <a:prstGeom prst="rect">
                        <a:avLst/>
                      </a:prstGeom>
                      <a:noFill/>
                      <a:ln w="9525">
                        <a:noFill/>
                        <a:miter lim="800000"/>
                        <a:headEnd/>
                        <a:tailEnd/>
                      </a:ln>
                    </wps:spPr>
                    <wps:txbx>
                      <w:txbxContent>
                        <w:p w14:paraId="44F305C3" w14:textId="77777777" w:rsidR="00A37D3D" w:rsidRPr="00913FB6" w:rsidRDefault="00A37D3D" w:rsidP="00A37D3D">
                          <w:pPr>
                            <w:pStyle w:val="ifptext"/>
                            <w:jc w:val="left"/>
                            <w:rPr>
                              <w:b/>
                              <w:bCs/>
                              <w:color w:val="808080"/>
                            </w:rPr>
                          </w:pPr>
                          <w:r w:rsidRPr="00913FB6">
                            <w:rPr>
                              <w:b/>
                              <w:bCs/>
                              <w:color w:val="808080"/>
                            </w:rPr>
                            <w:t>Ministerstvo</w:t>
                          </w:r>
                          <w:r>
                            <w:rPr>
                              <w:b/>
                              <w:bCs/>
                              <w:color w:val="808080"/>
                            </w:rPr>
                            <w:t xml:space="preserve"> </w:t>
                          </w:r>
                          <w:r w:rsidRPr="00913FB6">
                            <w:rPr>
                              <w:b/>
                              <w:bCs/>
                              <w:color w:val="808080"/>
                            </w:rPr>
                            <w:t>financií</w:t>
                          </w:r>
                          <w:r>
                            <w:rPr>
                              <w:b/>
                              <w:bCs/>
                              <w:color w:val="808080"/>
                            </w:rPr>
                            <w:br/>
                          </w:r>
                          <w:r w:rsidRPr="00913FB6">
                            <w:rPr>
                              <w:b/>
                              <w:bCs/>
                              <w:color w:val="808080"/>
                            </w:rPr>
                            <w:t>Slovenskej republiky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56D389" id="_x0000_t202" coordsize="21600,21600" o:spt="202" path="m,l,21600r21600,l21600,xe">
              <v:stroke joinstyle="miter"/>
              <v:path gradientshapeok="t" o:connecttype="rect"/>
            </v:shapetype>
            <v:shape id="_x0000_s1033" type="#_x0000_t202" style="position:absolute;margin-left:22.45pt;margin-top:-9.5pt;width:190.05pt;height:36.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" filled="f" stroked="f">
              <v:textbox>
                <w:txbxContent>
                  <w:p w14:paraId="44F305C3" w14:textId="77777777" w:rsidR="00A37D3D" w:rsidRPr="00913FB6" w:rsidRDefault="00A37D3D" w:rsidP="00A37D3D">
                    <w:pPr>
                      <w:pStyle w:val="ifptext"/>
                      <w:jc w:val="left"/>
                      <w:rPr>
                        <w:b/>
                        <w:bCs/>
                        <w:color w:val="808080"/>
                      </w:rPr>
                    </w:pPr>
                    <w:r w:rsidRPr="00913FB6">
                      <w:rPr>
                        <w:b/>
                        <w:bCs/>
                        <w:color w:val="808080"/>
                      </w:rPr>
                      <w:t>Ministerstvo</w:t>
                    </w:r>
                    <w:r>
                      <w:rPr>
                        <w:b/>
                        <w:bCs/>
                        <w:color w:val="808080"/>
                      </w:rPr>
                      <w:t xml:space="preserve"> </w:t>
                    </w:r>
                    <w:r w:rsidRPr="00913FB6">
                      <w:rPr>
                        <w:b/>
                        <w:bCs/>
                        <w:color w:val="808080"/>
                      </w:rPr>
                      <w:t>financií</w:t>
                    </w:r>
                    <w:r>
                      <w:rPr>
                        <w:b/>
                        <w:bCs/>
                        <w:color w:val="808080"/>
                      </w:rPr>
                      <w:br/>
                    </w:r>
                    <w:r w:rsidRPr="00913FB6">
                      <w:rPr>
                        <w:b/>
                        <w:bCs/>
                        <w:color w:val="808080"/>
                      </w:rPr>
                      <w:t>Slovenskej republiky</w:t>
                    </w:r>
                  </w:p>
                </w:txbxContent>
              </v:textbox>
              <w10:wrap type="square"/>
            </v:shape>
          </w:pict>
        </mc:Fallback>
      </mc:AlternateContent>
    </w:r>
    <w:r>
      <w:rPr>
        <w:noProof/>
      </w:rPr>
      <mc:AlternateContent>
        <mc:Choice Requires="wps">
          <w:drawing>
            <wp:anchor distT="45720" distB="45720" distL="114300" distR="114300" simplePos="0" relativeHeight="251672576" behindDoc="0" locked="0" layoutInCell="1" allowOverlap="1" wp14:anchorId="3A5D863F" wp14:editId="30F3E240">
              <wp:simplePos x="0" y="0"/>
              <wp:positionH relativeFrom="margin">
                <wp:posOffset>3196590</wp:posOffset>
              </wp:positionH>
              <wp:positionV relativeFrom="paragraph">
                <wp:posOffset>47625</wp:posOffset>
              </wp:positionV>
              <wp:extent cx="2698750" cy="262255"/>
              <wp:effectExtent l="0" t="0" r="0" b="4445"/>
              <wp:wrapSquare wrapText="bothSides"/>
              <wp:docPr id="74719509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262255"/>
                      </a:xfrm>
                      <a:prstGeom prst="rect">
                        <a:avLst/>
                      </a:prstGeom>
                      <a:noFill/>
                      <a:ln w="9525">
                        <a:noFill/>
                        <a:miter lim="800000"/>
                        <a:headEnd/>
                        <a:tailEnd/>
                      </a:ln>
                    </wps:spPr>
                    <wps:txbx>
                      <w:txbxContent>
                        <w:p w14:paraId="7E7094D7" w14:textId="77777777" w:rsidR="00A37D3D" w:rsidRPr="00913FB6" w:rsidRDefault="00A37D3D" w:rsidP="00A37D3D">
                          <w:pPr>
                            <w:pStyle w:val="ifptext"/>
                            <w:jc w:val="right"/>
                            <w:rPr>
                              <w:b/>
                              <w:bCs/>
                              <w:color w:val="808080"/>
                            </w:rPr>
                          </w:pPr>
                          <w:r>
                            <w:rPr>
                              <w:b/>
                              <w:bCs/>
                              <w:color w:val="808080"/>
                            </w:rPr>
                            <w:t>Výročná správa o pokroku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5D863F" id="_x0000_s1034" type="#_x0000_t202" style="position:absolute;margin-left:251.7pt;margin-top:3.75pt;width:212.5pt;height:20.6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" filled="f" stroked="f">
              <v:textbox>
                <w:txbxContent>
                  <w:p w14:paraId="7E7094D7" w14:textId="77777777" w:rsidR="00A37D3D" w:rsidRPr="00913FB6" w:rsidRDefault="00A37D3D" w:rsidP="00A37D3D">
                    <w:pPr>
                      <w:pStyle w:val="ifptext"/>
                      <w:jc w:val="right"/>
                      <w:rPr>
                        <w:b/>
                        <w:bCs/>
                        <w:color w:val="808080"/>
                      </w:rPr>
                    </w:pPr>
                    <w:r>
                      <w:rPr>
                        <w:b/>
                        <w:bCs/>
                        <w:color w:val="808080"/>
                      </w:rPr>
                      <w:t>Výročná správa o pokroku</w:t>
                    </w:r>
                  </w:p>
                </w:txbxContent>
              </v:textbox>
              <w10:wrap type="square" anchorx="margin"/>
            </v:shape>
          </w:pict>
        </mc:Fallback>
      </mc:AlternateContent>
    </w:r>
    <w:r>
      <w:rPr>
        <w:rFonts w:cs="Book Antiqua"/>
        <w:noProof/>
        <w:lang w:eastAsia="sk-SK"/>
      </w:rPr>
      <mc:AlternateContent>
        <mc:Choice Requires="wps">
          <w:drawing>
            <wp:anchor distT="4294967291" distB="4294967291" distL="114300" distR="114300" simplePos="0" relativeHeight="251671552" behindDoc="0" locked="1" layoutInCell="1" allowOverlap="1" wp14:anchorId="173B700B" wp14:editId="5E4611B6">
              <wp:simplePos x="0" y="0"/>
              <wp:positionH relativeFrom="margin">
                <wp:align>left</wp:align>
              </wp:positionH>
              <wp:positionV relativeFrom="paragraph">
                <wp:posOffset>393065</wp:posOffset>
              </wp:positionV>
              <wp:extent cx="5800725" cy="0"/>
              <wp:effectExtent l="0" t="0" r="0" b="0"/>
              <wp:wrapNone/>
              <wp:docPr id="518403249" name="Rovná spojnic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0"/>
                      </a:xfrm>
                      <a:prstGeom prst="line">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795B3" id="Rovná spojnica 10" o:spid="_x0000_s1026" style="position:absolute;z-index:251671552;visibility:visible;mso-wrap-style:square;mso-width-percent:0;mso-height-percent:0;mso-wrap-distance-left:9pt;mso-wrap-distance-top:-1e-4mm;mso-wrap-distance-right:9pt;mso-wrap-distance-bottom:-1e-4mm;mso-position-horizontal:left;mso-position-horizontal-relative:margin;mso-position-vertical:absolute;mso-position-vertical-relative:text;mso-width-percent:0;mso-height-percent:0;mso-width-relative:page;mso-height-relative:page" from="0,30.95pt" to="456.7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" strokecolor="#7f7f7f [1612]">
              <w10:wrap anchorx="margin"/>
              <w10:anchorlock/>
            </v:line>
          </w:pict>
        </mc:Fallback>
      </mc:AlternateContent>
    </w:r>
    <w:r w:rsidRPr="00913FB6">
      <w:rPr>
        <w:rFonts w:ascii="Arial Narrow" w:hAnsi="Arial Narrow"/>
        <w:noProof/>
        <w:lang w:eastAsia="sk-SK"/>
      </w:rPr>
      <w:drawing>
        <wp:anchor distT="0" distB="0" distL="114300" distR="114300" simplePos="0" relativeHeight="251670528" behindDoc="0" locked="1" layoutInCell="1" allowOverlap="0" wp14:anchorId="41226A67" wp14:editId="1F9BBDC5">
          <wp:simplePos x="0" y="0"/>
          <wp:positionH relativeFrom="column">
            <wp:posOffset>0</wp:posOffset>
          </wp:positionH>
          <wp:positionV relativeFrom="paragraph">
            <wp:posOffset>-76835</wp:posOffset>
          </wp:positionV>
          <wp:extent cx="318770" cy="375285"/>
          <wp:effectExtent l="0" t="0" r="5080" b="5715"/>
          <wp:wrapNone/>
          <wp:docPr id="183633123" name="Obrázok 19" descr="Obrázok, na ktorom je náčrt, kresba, symbol, kreslený obrázok&#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589385" name="Obrázok 19" descr="Obrázok, na ktorom je náčrt, kresba, symbol, kreslený obrázok&#10;&#10;Obsah vygenerovaný pomocou AI môže byť nesprávny."/>
                  <pic:cNvPicPr>
                    <a:picLocks noChangeAspect="1" noChangeArrowheads="1"/>
                  </pic:cNvPicPr>
                </pic:nvPicPr>
                <pic:blipFill>
                  <a:blip r:embed="rId1"/>
                  <a:srcRect/>
                  <a:stretch>
                    <a:fillRect/>
                  </a:stretch>
                </pic:blipFill>
                <pic:spPr bwMode="auto">
                  <a:xfrm>
                    <a:off x="0" y="0"/>
                    <a:ext cx="318770" cy="375285"/>
                  </a:xfrm>
                  <a:prstGeom prst="rect">
                    <a:avLst/>
                  </a:prstGeom>
                  <a:noFill/>
                  <a:ln w="9525">
                    <a:noFill/>
                    <a:miter lim="800000"/>
                    <a:headEnd/>
                    <a:tailEnd/>
                  </a:ln>
                </pic:spPr>
              </pic:pic>
            </a:graphicData>
          </a:graphic>
        </wp:anchor>
      </w:drawing>
    </w:r>
  </w:p>
  <w:p w14:paraId="42758E29" w14:textId="77777777" w:rsidR="00A37D3D" w:rsidRDefault="00A37D3D">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FD77B" w14:textId="77777777" w:rsidR="00C24F6F" w:rsidRDefault="00C24F6F">
    <w:pPr>
      <w:pStyle w:val="Hlavika"/>
    </w:pPr>
    <w:r>
      <w:rPr>
        <w:noProof/>
      </w:rPr>
      <mc:AlternateContent>
        <mc:Choice Requires="wps">
          <w:drawing>
            <wp:anchor distT="45720" distB="45720" distL="114300" distR="114300" simplePos="0" relativeHeight="251681792" behindDoc="0" locked="0" layoutInCell="1" allowOverlap="1" wp14:anchorId="66C0FBBB" wp14:editId="1486125F">
              <wp:simplePos x="0" y="0"/>
              <wp:positionH relativeFrom="column">
                <wp:posOffset>285115</wp:posOffset>
              </wp:positionH>
              <wp:positionV relativeFrom="paragraph">
                <wp:posOffset>-120650</wp:posOffset>
              </wp:positionV>
              <wp:extent cx="2413635" cy="460375"/>
              <wp:effectExtent l="0" t="0" r="0" b="0"/>
              <wp:wrapSquare wrapText="bothSides"/>
              <wp:docPr id="105994726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5" cy="460375"/>
                      </a:xfrm>
                      <a:prstGeom prst="rect">
                        <a:avLst/>
                      </a:prstGeom>
                      <a:noFill/>
                      <a:ln w="9525">
                        <a:noFill/>
                        <a:miter lim="800000"/>
                        <a:headEnd/>
                        <a:tailEnd/>
                      </a:ln>
                    </wps:spPr>
                    <wps:txbx>
                      <w:txbxContent>
                        <w:p w14:paraId="54B93213" w14:textId="77777777" w:rsidR="00C24F6F" w:rsidRPr="00913FB6" w:rsidRDefault="00C24F6F" w:rsidP="00F2723D">
                          <w:pPr>
                            <w:pStyle w:val="ifptext"/>
                            <w:jc w:val="left"/>
                            <w:rPr>
                              <w:b/>
                              <w:bCs/>
                              <w:color w:val="808080"/>
                            </w:rPr>
                          </w:pPr>
                          <w:r w:rsidRPr="00913FB6">
                            <w:rPr>
                              <w:b/>
                              <w:bCs/>
                              <w:color w:val="808080"/>
                            </w:rPr>
                            <w:t>Ministerstvo</w:t>
                          </w:r>
                          <w:r>
                            <w:rPr>
                              <w:b/>
                              <w:bCs/>
                              <w:color w:val="808080"/>
                            </w:rPr>
                            <w:t xml:space="preserve"> </w:t>
                          </w:r>
                          <w:r w:rsidRPr="00913FB6">
                            <w:rPr>
                              <w:b/>
                              <w:bCs/>
                              <w:color w:val="808080"/>
                            </w:rPr>
                            <w:t>financií</w:t>
                          </w:r>
                          <w:r>
                            <w:rPr>
                              <w:b/>
                              <w:bCs/>
                              <w:color w:val="808080"/>
                            </w:rPr>
                            <w:br/>
                          </w:r>
                          <w:r w:rsidRPr="00913FB6">
                            <w:rPr>
                              <w:b/>
                              <w:bCs/>
                              <w:color w:val="808080"/>
                            </w:rPr>
                            <w:t>Slovenskej republiky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C0FBBB" id="_x0000_t202" coordsize="21600,21600" o:spt="202" path="m,l,21600r21600,l21600,xe">
              <v:stroke joinstyle="miter"/>
              <v:path gradientshapeok="t" o:connecttype="rect"/>
            </v:shapetype>
            <v:shape id="_x0000_s1039" type="#_x0000_t202" style="position:absolute;margin-left:22.45pt;margin-top:-9.5pt;width:190.05pt;height:36.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" filled="f" stroked="f">
              <v:textbox>
                <w:txbxContent>
                  <w:p w14:paraId="54B93213" w14:textId="77777777" w:rsidR="00C24F6F" w:rsidRPr="00913FB6" w:rsidRDefault="00C24F6F" w:rsidP="00F2723D">
                    <w:pPr>
                      <w:pStyle w:val="ifptext"/>
                      <w:jc w:val="left"/>
                      <w:rPr>
                        <w:b/>
                        <w:bCs/>
                        <w:color w:val="808080"/>
                      </w:rPr>
                    </w:pPr>
                    <w:r w:rsidRPr="00913FB6">
                      <w:rPr>
                        <w:b/>
                        <w:bCs/>
                        <w:color w:val="808080"/>
                      </w:rPr>
                      <w:t>Ministerstvo</w:t>
                    </w:r>
                    <w:r>
                      <w:rPr>
                        <w:b/>
                        <w:bCs/>
                        <w:color w:val="808080"/>
                      </w:rPr>
                      <w:t xml:space="preserve"> </w:t>
                    </w:r>
                    <w:r w:rsidRPr="00913FB6">
                      <w:rPr>
                        <w:b/>
                        <w:bCs/>
                        <w:color w:val="808080"/>
                      </w:rPr>
                      <w:t>financií</w:t>
                    </w:r>
                    <w:r>
                      <w:rPr>
                        <w:b/>
                        <w:bCs/>
                        <w:color w:val="808080"/>
                      </w:rPr>
                      <w:br/>
                    </w:r>
                    <w:r w:rsidRPr="00913FB6">
                      <w:rPr>
                        <w:b/>
                        <w:bCs/>
                        <w:color w:val="808080"/>
                      </w:rPr>
                      <w:t>Slovenskej republiky</w:t>
                    </w:r>
                  </w:p>
                </w:txbxContent>
              </v:textbox>
              <w10:wrap type="square"/>
            </v:shape>
          </w:pict>
        </mc:Fallback>
      </mc:AlternateContent>
    </w:r>
    <w:r>
      <w:rPr>
        <w:noProof/>
      </w:rPr>
      <mc:AlternateContent>
        <mc:Choice Requires="wps">
          <w:drawing>
            <wp:anchor distT="45720" distB="45720" distL="114300" distR="114300" simplePos="0" relativeHeight="251684864" behindDoc="0" locked="0" layoutInCell="1" allowOverlap="1" wp14:anchorId="767B8D64" wp14:editId="7CEC2F15">
              <wp:simplePos x="0" y="0"/>
              <wp:positionH relativeFrom="margin">
                <wp:posOffset>3196590</wp:posOffset>
              </wp:positionH>
              <wp:positionV relativeFrom="paragraph">
                <wp:posOffset>47625</wp:posOffset>
              </wp:positionV>
              <wp:extent cx="2698750" cy="262255"/>
              <wp:effectExtent l="0" t="0" r="0" b="4445"/>
              <wp:wrapSquare wrapText="bothSides"/>
              <wp:docPr id="117725764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262255"/>
                      </a:xfrm>
                      <a:prstGeom prst="rect">
                        <a:avLst/>
                      </a:prstGeom>
                      <a:noFill/>
                      <a:ln w="9525">
                        <a:noFill/>
                        <a:miter lim="800000"/>
                        <a:headEnd/>
                        <a:tailEnd/>
                      </a:ln>
                    </wps:spPr>
                    <wps:txbx>
                      <w:txbxContent>
                        <w:p w14:paraId="51CC147F" w14:textId="77777777" w:rsidR="00C24F6F" w:rsidRPr="00913FB6" w:rsidRDefault="00C24F6F" w:rsidP="00167C89">
                          <w:pPr>
                            <w:pStyle w:val="ifptext"/>
                            <w:jc w:val="right"/>
                            <w:rPr>
                              <w:b/>
                              <w:bCs/>
                              <w:color w:val="808080"/>
                            </w:rPr>
                          </w:pPr>
                          <w:r>
                            <w:rPr>
                              <w:b/>
                              <w:bCs/>
                              <w:color w:val="808080"/>
                            </w:rPr>
                            <w:t>Výročná správa o pokroku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B8D64" id="_x0000_s1040" type="#_x0000_t202" style="position:absolute;margin-left:251.7pt;margin-top:3.75pt;width:212.5pt;height:20.6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" filled="f" stroked="f">
              <v:textbox>
                <w:txbxContent>
                  <w:p w14:paraId="51CC147F" w14:textId="77777777" w:rsidR="00C24F6F" w:rsidRPr="00913FB6" w:rsidRDefault="00C24F6F" w:rsidP="00167C89">
                    <w:pPr>
                      <w:pStyle w:val="ifptext"/>
                      <w:jc w:val="right"/>
                      <w:rPr>
                        <w:b/>
                        <w:bCs/>
                        <w:color w:val="808080"/>
                      </w:rPr>
                    </w:pPr>
                    <w:r>
                      <w:rPr>
                        <w:b/>
                        <w:bCs/>
                        <w:color w:val="808080"/>
                      </w:rPr>
                      <w:t>Výročná správa o pokroku</w:t>
                    </w:r>
                  </w:p>
                </w:txbxContent>
              </v:textbox>
              <w10:wrap type="square" anchorx="margin"/>
            </v:shape>
          </w:pict>
        </mc:Fallback>
      </mc:AlternateContent>
    </w:r>
    <w:r>
      <w:rPr>
        <w:rFonts w:cs="Book Antiqua"/>
        <w:noProof/>
        <w:lang w:eastAsia="sk-SK"/>
      </w:rPr>
      <mc:AlternateContent>
        <mc:Choice Requires="wps">
          <w:drawing>
            <wp:anchor distT="4294967291" distB="4294967291" distL="114300" distR="114300" simplePos="0" relativeHeight="251683840" behindDoc="0" locked="1" layoutInCell="1" allowOverlap="1" wp14:anchorId="0BD73F47" wp14:editId="5BA34A01">
              <wp:simplePos x="0" y="0"/>
              <wp:positionH relativeFrom="margin">
                <wp:align>left</wp:align>
              </wp:positionH>
              <wp:positionV relativeFrom="paragraph">
                <wp:posOffset>393065</wp:posOffset>
              </wp:positionV>
              <wp:extent cx="5800725" cy="0"/>
              <wp:effectExtent l="0" t="0" r="0" b="0"/>
              <wp:wrapNone/>
              <wp:docPr id="1884943341" name="Rovná spojnic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0"/>
                      </a:xfrm>
                      <a:prstGeom prst="line">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9C371" id="Rovná spojnica 10" o:spid="_x0000_s1026" style="position:absolute;z-index:251683840;visibility:visible;mso-wrap-style:square;mso-width-percent:0;mso-height-percent:0;mso-wrap-distance-left:9pt;mso-wrap-distance-top:-1e-4mm;mso-wrap-distance-right:9pt;mso-wrap-distance-bottom:-1e-4mm;mso-position-horizontal:left;mso-position-horizontal-relative:margin;mso-position-vertical:absolute;mso-position-vertical-relative:text;mso-width-percent:0;mso-height-percent:0;mso-width-relative:page;mso-height-relative:page" from="0,30.95pt" to="456.7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" strokecolor="#7f7f7f [1612]">
              <w10:wrap anchorx="margin"/>
              <w10:anchorlock/>
            </v:line>
          </w:pict>
        </mc:Fallback>
      </mc:AlternateContent>
    </w:r>
    <w:r w:rsidRPr="00913FB6">
      <w:rPr>
        <w:rFonts w:ascii="Arial Narrow" w:hAnsi="Arial Narrow"/>
        <w:noProof/>
        <w:lang w:eastAsia="sk-SK"/>
      </w:rPr>
      <w:drawing>
        <wp:anchor distT="0" distB="0" distL="114300" distR="114300" simplePos="0" relativeHeight="251682816" behindDoc="0" locked="1" layoutInCell="1" allowOverlap="0" wp14:anchorId="225ADF95" wp14:editId="13401B18">
          <wp:simplePos x="0" y="0"/>
          <wp:positionH relativeFrom="column">
            <wp:posOffset>0</wp:posOffset>
          </wp:positionH>
          <wp:positionV relativeFrom="paragraph">
            <wp:posOffset>-76835</wp:posOffset>
          </wp:positionV>
          <wp:extent cx="318770" cy="375285"/>
          <wp:effectExtent l="0" t="0" r="5080" b="5715"/>
          <wp:wrapNone/>
          <wp:docPr id="136804853"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pic:cNvPicPr>
                    <a:picLocks noChangeAspect="1" noChangeArrowheads="1"/>
                  </pic:cNvPicPr>
                </pic:nvPicPr>
                <pic:blipFill>
                  <a:blip r:embed="rId1"/>
                  <a:srcRect/>
                  <a:stretch>
                    <a:fillRect/>
                  </a:stretch>
                </pic:blipFill>
                <pic:spPr bwMode="auto">
                  <a:xfrm>
                    <a:off x="0" y="0"/>
                    <a:ext cx="318770" cy="37528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B098A"/>
    <w:multiLevelType w:val="hybridMultilevel"/>
    <w:tmpl w:val="2F0E821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198243F0"/>
    <w:multiLevelType w:val="hybridMultilevel"/>
    <w:tmpl w:val="FEC803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E2A777D"/>
    <w:multiLevelType w:val="multilevel"/>
    <w:tmpl w:val="3DC03ED8"/>
    <w:lvl w:ilvl="0">
      <w:start w:val="1"/>
      <w:numFmt w:val="upperRoman"/>
      <w:lvlText w:val="%1."/>
      <w:lvlJc w:val="left"/>
      <w:pPr>
        <w:tabs>
          <w:tab w:val="num" w:pos="0"/>
        </w:tabs>
        <w:ind w:left="680" w:hanging="680"/>
      </w:pPr>
      <w:rPr>
        <w:rFonts w:ascii="Arial Narrow" w:hAnsi="Arial Narrow" w:cs="Arial Narrow" w:hint="default"/>
        <w:b/>
        <w:bCs/>
        <w:i w:val="0"/>
        <w:iCs w:val="0"/>
        <w:sz w:val="24"/>
        <w:szCs w:val="24"/>
      </w:rPr>
    </w:lvl>
    <w:lvl w:ilvl="1">
      <w:start w:val="1"/>
      <w:numFmt w:val="decimal"/>
      <w:lvlText w:val="%1.%2."/>
      <w:lvlJc w:val="left"/>
      <w:pPr>
        <w:tabs>
          <w:tab w:val="num" w:pos="567"/>
        </w:tabs>
        <w:ind w:left="1304" w:hanging="1304"/>
      </w:pPr>
      <w:rPr>
        <w:rFonts w:ascii="Arial Narrow" w:hAnsi="Arial Narrow" w:cs="Arial Narrow" w:hint="default"/>
        <w:b/>
        <w:bCs/>
        <w:i w:val="0"/>
        <w:iCs w:val="0"/>
        <w:color w:val="2C9ADC"/>
        <w:sz w:val="24"/>
        <w:szCs w:val="24"/>
      </w:rPr>
    </w:lvl>
    <w:lvl w:ilvl="2">
      <w:start w:val="1"/>
      <w:numFmt w:val="decimal"/>
      <w:lvlText w:val="%1.%2.%3."/>
      <w:lvlJc w:val="left"/>
      <w:pPr>
        <w:tabs>
          <w:tab w:val="num" w:pos="6816"/>
        </w:tabs>
        <w:ind w:left="6600"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24A50FF9"/>
    <w:multiLevelType w:val="hybridMultilevel"/>
    <w:tmpl w:val="A1D00F8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95F5368"/>
    <w:multiLevelType w:val="hybridMultilevel"/>
    <w:tmpl w:val="23665A6A"/>
    <w:lvl w:ilvl="0" w:tplc="D5C21C5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A844A30"/>
    <w:multiLevelType w:val="multilevel"/>
    <w:tmpl w:val="1B40AC80"/>
    <w:lvl w:ilvl="0">
      <w:start w:val="1"/>
      <w:numFmt w:val="upperRoman"/>
      <w:pStyle w:val="ifphl1"/>
      <w:lvlText w:val="%1."/>
      <w:lvlJc w:val="left"/>
      <w:pPr>
        <w:tabs>
          <w:tab w:val="num" w:pos="0"/>
        </w:tabs>
        <w:ind w:left="680" w:hanging="680"/>
      </w:pPr>
      <w:rPr>
        <w:rFonts w:ascii="Arial Narrow" w:hAnsi="Arial Narrow" w:cs="Arial Narrow" w:hint="default"/>
        <w:b/>
        <w:bCs/>
        <w:i w:val="0"/>
        <w:iCs w:val="0"/>
        <w:caps/>
        <w:strike w:val="0"/>
        <w:dstrike w:val="0"/>
        <w:vanish w:val="0"/>
        <w:color w:val="2EAAE1"/>
        <w:sz w:val="28"/>
        <w:szCs w:val="28"/>
        <w:vertAlign w:val="baseline"/>
      </w:rPr>
    </w:lvl>
    <w:lvl w:ilvl="1">
      <w:start w:val="1"/>
      <w:numFmt w:val="decimal"/>
      <w:lvlRestart w:val="0"/>
      <w:pStyle w:val="ifpzhl2"/>
      <w:lvlText w:val="%1.%2."/>
      <w:lvlJc w:val="left"/>
      <w:pPr>
        <w:ind w:left="680" w:hanging="680"/>
      </w:pPr>
      <w:rPr>
        <w:rFonts w:ascii="Arial Narrow" w:hAnsi="Arial Narrow" w:cs="Arial Narrow" w:hint="default"/>
        <w:b/>
        <w:bCs/>
        <w:i w:val="0"/>
        <w:iCs w:val="0"/>
        <w:caps w:val="0"/>
        <w:strike w:val="0"/>
        <w:dstrike w:val="0"/>
        <w:vanish w:val="0"/>
        <w:color w:val="2C9ADC"/>
        <w:sz w:val="24"/>
        <w:szCs w:val="24"/>
        <w:vertAlign w:val="baseline"/>
      </w:rPr>
    </w:lvl>
    <w:lvl w:ilvl="2">
      <w:start w:val="1"/>
      <w:numFmt w:val="decimal"/>
      <w:lvlRestart w:val="0"/>
      <w:pStyle w:val="ifpzhl3"/>
      <w:lvlText w:val="%1.%2.%3."/>
      <w:lvlJc w:val="left"/>
      <w:pPr>
        <w:ind w:left="680" w:hanging="680"/>
      </w:pPr>
      <w:rPr>
        <w:rFonts w:ascii="Arial Narrow" w:hAnsi="Arial Narrow" w:cs="Times New Roman" w:hint="default"/>
        <w:b/>
        <w:i w:val="0"/>
        <w:caps w:val="0"/>
        <w:strike w:val="0"/>
        <w:dstrike w:val="0"/>
        <w:vanish w:val="0"/>
        <w:color w:val="2EAAE1"/>
        <w:sz w:val="22"/>
        <w:vertAlign w:val="baseline"/>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301D7E3C"/>
    <w:multiLevelType w:val="multilevel"/>
    <w:tmpl w:val="8116B660"/>
    <w:lvl w:ilvl="0">
      <w:start w:val="1"/>
      <w:numFmt w:val="upperRoman"/>
      <w:lvlText w:val="%1."/>
      <w:lvlJc w:val="left"/>
      <w:pPr>
        <w:tabs>
          <w:tab w:val="num" w:pos="0"/>
        </w:tabs>
        <w:ind w:left="680" w:hanging="680"/>
      </w:pPr>
      <w:rPr>
        <w:rFonts w:ascii="Arial Narrow" w:hAnsi="Arial Narrow" w:cs="Arial Narrow" w:hint="default"/>
        <w:b/>
        <w:bCs/>
        <w:i w:val="0"/>
        <w:iCs w:val="0"/>
        <w:caps/>
        <w:strike w:val="0"/>
        <w:dstrike w:val="0"/>
        <w:vanish w:val="0"/>
        <w:color w:val="2EAAE1"/>
        <w:sz w:val="28"/>
        <w:szCs w:val="28"/>
        <w:vertAlign w:val="baseline"/>
      </w:rPr>
    </w:lvl>
    <w:lvl w:ilvl="1">
      <w:start w:val="1"/>
      <w:numFmt w:val="decimal"/>
      <w:lvlText w:val="%1.%2."/>
      <w:lvlJc w:val="left"/>
      <w:pPr>
        <w:ind w:left="680" w:hanging="680"/>
      </w:pPr>
      <w:rPr>
        <w:rFonts w:ascii="Arial Narrow" w:hAnsi="Arial Narrow" w:cs="Arial Narrow" w:hint="default"/>
        <w:b/>
        <w:bCs/>
        <w:i w:val="0"/>
        <w:iCs w:val="0"/>
        <w:caps w:val="0"/>
        <w:strike w:val="0"/>
        <w:dstrike w:val="0"/>
        <w:vanish w:val="0"/>
        <w:color w:val="2EAAE1"/>
        <w:sz w:val="24"/>
        <w:szCs w:val="24"/>
        <w:vertAlign w:val="baseline"/>
      </w:rPr>
    </w:lvl>
    <w:lvl w:ilvl="2">
      <w:start w:val="1"/>
      <w:numFmt w:val="decimal"/>
      <w:lvlText w:val="%1.%2.%3."/>
      <w:lvlJc w:val="left"/>
      <w:pPr>
        <w:ind w:left="680" w:hanging="680"/>
      </w:pPr>
      <w:rPr>
        <w:rFonts w:ascii="Arial Narrow" w:hAnsi="Arial Narrow" w:cs="Times New Roman" w:hint="default"/>
        <w:b/>
        <w:i w:val="0"/>
        <w:caps w:val="0"/>
        <w:strike w:val="0"/>
        <w:dstrike w:val="0"/>
        <w:vanish w:val="0"/>
        <w:color w:val="2EAAE1"/>
        <w:sz w:val="22"/>
        <w:vertAlign w:val="baseline"/>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32E5355E"/>
    <w:multiLevelType w:val="hybridMultilevel"/>
    <w:tmpl w:val="EA32436C"/>
    <w:lvl w:ilvl="0" w:tplc="962EDEDA">
      <w:start w:val="3"/>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63374D0"/>
    <w:multiLevelType w:val="hybridMultilevel"/>
    <w:tmpl w:val="1C624742"/>
    <w:lvl w:ilvl="0" w:tplc="18A0FA90">
      <w:start w:val="1"/>
      <w:numFmt w:val="lowerLetter"/>
      <w:lvlText w:val="%1)"/>
      <w:lvlJc w:val="left"/>
      <w:pPr>
        <w:ind w:left="720" w:hanging="360"/>
      </w:pPr>
      <w:rPr>
        <w:rFonts w:hint="eastAsi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3A5809"/>
    <w:multiLevelType w:val="hybridMultilevel"/>
    <w:tmpl w:val="E104D7E4"/>
    <w:lvl w:ilvl="0" w:tplc="F6409042">
      <w:start w:val="2019"/>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4BF08E6"/>
    <w:multiLevelType w:val="hybridMultilevel"/>
    <w:tmpl w:val="FED4D1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BF66EA2"/>
    <w:multiLevelType w:val="multilevel"/>
    <w:tmpl w:val="7C240362"/>
    <w:lvl w:ilvl="0">
      <w:start w:val="1"/>
      <w:numFmt w:val="upperRoman"/>
      <w:lvlText w:val="%1."/>
      <w:lvlJc w:val="left"/>
      <w:pPr>
        <w:tabs>
          <w:tab w:val="num" w:pos="0"/>
        </w:tabs>
        <w:ind w:left="680" w:hanging="680"/>
      </w:pPr>
      <w:rPr>
        <w:rFonts w:ascii="Arial Narrow" w:hAnsi="Arial Narrow" w:cs="Arial Narrow" w:hint="default"/>
        <w:b/>
        <w:bCs/>
        <w:i w:val="0"/>
        <w:iCs w:val="0"/>
        <w:sz w:val="28"/>
        <w:szCs w:val="28"/>
      </w:rPr>
    </w:lvl>
    <w:lvl w:ilvl="1">
      <w:start w:val="1"/>
      <w:numFmt w:val="decimal"/>
      <w:lvlText w:val="%1.%2."/>
      <w:lvlJc w:val="left"/>
      <w:pPr>
        <w:tabs>
          <w:tab w:val="num" w:pos="567"/>
        </w:tabs>
        <w:ind w:left="1304" w:hanging="1304"/>
      </w:pPr>
      <w:rPr>
        <w:rFonts w:ascii="Arial Narrow" w:hAnsi="Arial Narrow" w:cs="Arial Narrow" w:hint="default"/>
        <w:b/>
        <w:bCs/>
        <w:i w:val="0"/>
        <w:iCs w:val="0"/>
        <w:color w:val="2C9ADC"/>
        <w:sz w:val="24"/>
        <w:szCs w:val="24"/>
      </w:rPr>
    </w:lvl>
    <w:lvl w:ilvl="2">
      <w:start w:val="1"/>
      <w:numFmt w:val="decimal"/>
      <w:lvlText w:val="%1.%2.%3."/>
      <w:lvlJc w:val="left"/>
      <w:pPr>
        <w:tabs>
          <w:tab w:val="num" w:pos="6816"/>
        </w:tabs>
        <w:ind w:left="680" w:hanging="680"/>
      </w:pPr>
      <w:rPr>
        <w:rFonts w:ascii="Arial Narrow" w:hAnsi="Arial Narrow" w:cs="Times New Roman" w:hint="default"/>
        <w:b/>
        <w:i w:val="0"/>
        <w:caps w:val="0"/>
        <w:strike w:val="0"/>
        <w:dstrike w:val="0"/>
        <w:vanish w:val="0"/>
        <w:color w:val="2EAAE1"/>
        <w:sz w:val="22"/>
        <w:vertAlign w:val="baseline"/>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4E0A1573"/>
    <w:multiLevelType w:val="hybridMultilevel"/>
    <w:tmpl w:val="9210D812"/>
    <w:lvl w:ilvl="0" w:tplc="02FE0F84">
      <w:start w:val="2023"/>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B157A46"/>
    <w:multiLevelType w:val="hybridMultilevel"/>
    <w:tmpl w:val="249CEE06"/>
    <w:lvl w:ilvl="0" w:tplc="74A8AE0A">
      <w:start w:val="1"/>
      <w:numFmt w:val="lowerLetter"/>
      <w:lvlText w:val="%1)"/>
      <w:lvlJc w:val="left"/>
      <w:pPr>
        <w:ind w:left="720" w:hanging="360"/>
      </w:pPr>
      <w:rPr>
        <w:rFonts w:hint="eastAsi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D60458B"/>
    <w:multiLevelType w:val="hybridMultilevel"/>
    <w:tmpl w:val="4A0C1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E144E46"/>
    <w:multiLevelType w:val="hybridMultilevel"/>
    <w:tmpl w:val="65CCCB7A"/>
    <w:lvl w:ilvl="0" w:tplc="21BEED54">
      <w:start w:val="1"/>
      <w:numFmt w:val="lowerLetter"/>
      <w:lvlText w:val="%1)"/>
      <w:lvlJc w:val="left"/>
      <w:pPr>
        <w:ind w:left="720" w:hanging="360"/>
      </w:pPr>
      <w:rPr>
        <w:rFonts w:hint="eastAsi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7BF3471"/>
    <w:multiLevelType w:val="hybridMultilevel"/>
    <w:tmpl w:val="0A5811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9110432">
    <w:abstractNumId w:val="5"/>
  </w:num>
  <w:num w:numId="2" w16cid:durableId="87524205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10455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7978659">
    <w:abstractNumId w:val="10"/>
  </w:num>
  <w:num w:numId="5" w16cid:durableId="668216836">
    <w:abstractNumId w:val="1"/>
  </w:num>
  <w:num w:numId="6" w16cid:durableId="1100565325">
    <w:abstractNumId w:val="11"/>
  </w:num>
  <w:num w:numId="7" w16cid:durableId="1598363224">
    <w:abstractNumId w:val="6"/>
  </w:num>
  <w:num w:numId="8" w16cid:durableId="2130393558">
    <w:abstractNumId w:val="2"/>
  </w:num>
  <w:num w:numId="9" w16cid:durableId="2623075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66448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50192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638121">
    <w:abstractNumId w:val="4"/>
  </w:num>
  <w:num w:numId="13" w16cid:durableId="1196962992">
    <w:abstractNumId w:val="7"/>
  </w:num>
  <w:num w:numId="14" w16cid:durableId="978533474">
    <w:abstractNumId w:val="12"/>
  </w:num>
  <w:num w:numId="15" w16cid:durableId="685131815">
    <w:abstractNumId w:val="9"/>
  </w:num>
  <w:num w:numId="16" w16cid:durableId="591399900">
    <w:abstractNumId w:val="3"/>
  </w:num>
  <w:num w:numId="17" w16cid:durableId="859855026">
    <w:abstractNumId w:val="16"/>
  </w:num>
  <w:num w:numId="18" w16cid:durableId="1998680499">
    <w:abstractNumId w:val="0"/>
  </w:num>
  <w:num w:numId="19" w16cid:durableId="934099031">
    <w:abstractNumId w:val="14"/>
  </w:num>
  <w:num w:numId="20" w16cid:durableId="135492695">
    <w:abstractNumId w:val="15"/>
  </w:num>
  <w:num w:numId="21" w16cid:durableId="1895966121">
    <w:abstractNumId w:val="8"/>
  </w:num>
  <w:num w:numId="22" w16cid:durableId="4959971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2D2"/>
    <w:rsid w:val="00001F10"/>
    <w:rsid w:val="00010DC1"/>
    <w:rsid w:val="000148A5"/>
    <w:rsid w:val="00016AEC"/>
    <w:rsid w:val="00020BDB"/>
    <w:rsid w:val="00024714"/>
    <w:rsid w:val="0002632E"/>
    <w:rsid w:val="00040218"/>
    <w:rsid w:val="0004569C"/>
    <w:rsid w:val="00045969"/>
    <w:rsid w:val="00045BE6"/>
    <w:rsid w:val="000464A8"/>
    <w:rsid w:val="00046B73"/>
    <w:rsid w:val="00056BBD"/>
    <w:rsid w:val="00056DEE"/>
    <w:rsid w:val="00057132"/>
    <w:rsid w:val="000610AC"/>
    <w:rsid w:val="00061408"/>
    <w:rsid w:val="0006451B"/>
    <w:rsid w:val="00065C3E"/>
    <w:rsid w:val="00074903"/>
    <w:rsid w:val="00081C1A"/>
    <w:rsid w:val="00086F5B"/>
    <w:rsid w:val="000870EE"/>
    <w:rsid w:val="00087C66"/>
    <w:rsid w:val="000901D7"/>
    <w:rsid w:val="00092C6F"/>
    <w:rsid w:val="000930BD"/>
    <w:rsid w:val="00096D17"/>
    <w:rsid w:val="000A2AB1"/>
    <w:rsid w:val="000C3B57"/>
    <w:rsid w:val="000D623B"/>
    <w:rsid w:val="000E0AED"/>
    <w:rsid w:val="000E6CC7"/>
    <w:rsid w:val="000F458B"/>
    <w:rsid w:val="000F50AC"/>
    <w:rsid w:val="000F702B"/>
    <w:rsid w:val="00103309"/>
    <w:rsid w:val="00106314"/>
    <w:rsid w:val="001067A1"/>
    <w:rsid w:val="00107199"/>
    <w:rsid w:val="00116050"/>
    <w:rsid w:val="00122FDA"/>
    <w:rsid w:val="001371BB"/>
    <w:rsid w:val="00137B31"/>
    <w:rsid w:val="001530D9"/>
    <w:rsid w:val="00154FE6"/>
    <w:rsid w:val="00160752"/>
    <w:rsid w:val="0017156F"/>
    <w:rsid w:val="001735E9"/>
    <w:rsid w:val="00176A13"/>
    <w:rsid w:val="00195D7C"/>
    <w:rsid w:val="00197497"/>
    <w:rsid w:val="001A4F3C"/>
    <w:rsid w:val="001B0DFB"/>
    <w:rsid w:val="001B4F8F"/>
    <w:rsid w:val="001C37FF"/>
    <w:rsid w:val="001C4709"/>
    <w:rsid w:val="001C4A0B"/>
    <w:rsid w:val="001C4FC1"/>
    <w:rsid w:val="001D2416"/>
    <w:rsid w:val="001D4191"/>
    <w:rsid w:val="001E0E5B"/>
    <w:rsid w:val="001E6B80"/>
    <w:rsid w:val="001E7206"/>
    <w:rsid w:val="00226590"/>
    <w:rsid w:val="00230E7E"/>
    <w:rsid w:val="00231E8A"/>
    <w:rsid w:val="002423A9"/>
    <w:rsid w:val="00245A6A"/>
    <w:rsid w:val="00246F8F"/>
    <w:rsid w:val="0024746B"/>
    <w:rsid w:val="0025448A"/>
    <w:rsid w:val="00270A85"/>
    <w:rsid w:val="00275919"/>
    <w:rsid w:val="00285EE3"/>
    <w:rsid w:val="002944A6"/>
    <w:rsid w:val="00294EF0"/>
    <w:rsid w:val="002A2807"/>
    <w:rsid w:val="002A5A43"/>
    <w:rsid w:val="002A79DA"/>
    <w:rsid w:val="002B44D0"/>
    <w:rsid w:val="002C2247"/>
    <w:rsid w:val="002C3348"/>
    <w:rsid w:val="002C3C7F"/>
    <w:rsid w:val="002C64D2"/>
    <w:rsid w:val="002C7EE0"/>
    <w:rsid w:val="002E190C"/>
    <w:rsid w:val="002E5BC5"/>
    <w:rsid w:val="002F3315"/>
    <w:rsid w:val="003007D9"/>
    <w:rsid w:val="00305272"/>
    <w:rsid w:val="00311ED7"/>
    <w:rsid w:val="003121F0"/>
    <w:rsid w:val="00315FC9"/>
    <w:rsid w:val="00320413"/>
    <w:rsid w:val="00322F95"/>
    <w:rsid w:val="00334D37"/>
    <w:rsid w:val="00337E2B"/>
    <w:rsid w:val="00352B7F"/>
    <w:rsid w:val="00355184"/>
    <w:rsid w:val="003612B3"/>
    <w:rsid w:val="00365995"/>
    <w:rsid w:val="003751E2"/>
    <w:rsid w:val="00385EF1"/>
    <w:rsid w:val="003872C9"/>
    <w:rsid w:val="0039156F"/>
    <w:rsid w:val="00391A41"/>
    <w:rsid w:val="003A02BC"/>
    <w:rsid w:val="003A0B2F"/>
    <w:rsid w:val="003A24A2"/>
    <w:rsid w:val="003C1A0D"/>
    <w:rsid w:val="003C3C99"/>
    <w:rsid w:val="003C4F36"/>
    <w:rsid w:val="003D2420"/>
    <w:rsid w:val="003D4DBC"/>
    <w:rsid w:val="003D6820"/>
    <w:rsid w:val="003E0341"/>
    <w:rsid w:val="003E4588"/>
    <w:rsid w:val="003E5C54"/>
    <w:rsid w:val="003F45B1"/>
    <w:rsid w:val="0040119F"/>
    <w:rsid w:val="00404AC4"/>
    <w:rsid w:val="00406864"/>
    <w:rsid w:val="00417D49"/>
    <w:rsid w:val="004277CE"/>
    <w:rsid w:val="00434002"/>
    <w:rsid w:val="0044145F"/>
    <w:rsid w:val="00452338"/>
    <w:rsid w:val="00463DFF"/>
    <w:rsid w:val="00467533"/>
    <w:rsid w:val="00467BD9"/>
    <w:rsid w:val="00473820"/>
    <w:rsid w:val="00483832"/>
    <w:rsid w:val="004948D9"/>
    <w:rsid w:val="0049786E"/>
    <w:rsid w:val="004A4C7C"/>
    <w:rsid w:val="004A6D37"/>
    <w:rsid w:val="004A7264"/>
    <w:rsid w:val="004A74C7"/>
    <w:rsid w:val="004A78E7"/>
    <w:rsid w:val="004B0428"/>
    <w:rsid w:val="004B6246"/>
    <w:rsid w:val="004C170C"/>
    <w:rsid w:val="004E00D0"/>
    <w:rsid w:val="004E1AD6"/>
    <w:rsid w:val="004F6044"/>
    <w:rsid w:val="00503DD0"/>
    <w:rsid w:val="00510BA3"/>
    <w:rsid w:val="00511ACD"/>
    <w:rsid w:val="00513FF1"/>
    <w:rsid w:val="0051458B"/>
    <w:rsid w:val="005149F3"/>
    <w:rsid w:val="00516D8A"/>
    <w:rsid w:val="0052064C"/>
    <w:rsid w:val="00525F1D"/>
    <w:rsid w:val="005301D9"/>
    <w:rsid w:val="00531331"/>
    <w:rsid w:val="00533047"/>
    <w:rsid w:val="00534E87"/>
    <w:rsid w:val="0053683D"/>
    <w:rsid w:val="0053729F"/>
    <w:rsid w:val="00537634"/>
    <w:rsid w:val="00552456"/>
    <w:rsid w:val="0056037B"/>
    <w:rsid w:val="005718A2"/>
    <w:rsid w:val="00571E79"/>
    <w:rsid w:val="00572E1E"/>
    <w:rsid w:val="00573112"/>
    <w:rsid w:val="00577C32"/>
    <w:rsid w:val="005807FA"/>
    <w:rsid w:val="00581EBB"/>
    <w:rsid w:val="005843A7"/>
    <w:rsid w:val="005868E7"/>
    <w:rsid w:val="0059117B"/>
    <w:rsid w:val="0059210B"/>
    <w:rsid w:val="00592281"/>
    <w:rsid w:val="00595176"/>
    <w:rsid w:val="005A1D47"/>
    <w:rsid w:val="005A7738"/>
    <w:rsid w:val="005B0F6E"/>
    <w:rsid w:val="005C0CB6"/>
    <w:rsid w:val="005C2876"/>
    <w:rsid w:val="005D5543"/>
    <w:rsid w:val="005D6503"/>
    <w:rsid w:val="005E1B75"/>
    <w:rsid w:val="005E2AC9"/>
    <w:rsid w:val="005E3212"/>
    <w:rsid w:val="005F374D"/>
    <w:rsid w:val="00611B1D"/>
    <w:rsid w:val="00616581"/>
    <w:rsid w:val="006170E7"/>
    <w:rsid w:val="00620B08"/>
    <w:rsid w:val="0062288B"/>
    <w:rsid w:val="00636AE6"/>
    <w:rsid w:val="006375B4"/>
    <w:rsid w:val="006411B9"/>
    <w:rsid w:val="00666C30"/>
    <w:rsid w:val="00670764"/>
    <w:rsid w:val="00671A6B"/>
    <w:rsid w:val="006832C6"/>
    <w:rsid w:val="006839CF"/>
    <w:rsid w:val="00685551"/>
    <w:rsid w:val="006908BB"/>
    <w:rsid w:val="006A21CD"/>
    <w:rsid w:val="006A4B31"/>
    <w:rsid w:val="006A6F89"/>
    <w:rsid w:val="006B688D"/>
    <w:rsid w:val="006C0532"/>
    <w:rsid w:val="006C6FB9"/>
    <w:rsid w:val="006C731E"/>
    <w:rsid w:val="006D3CDA"/>
    <w:rsid w:val="006D64A9"/>
    <w:rsid w:val="006D6C9B"/>
    <w:rsid w:val="006D6DB9"/>
    <w:rsid w:val="006D7891"/>
    <w:rsid w:val="006E126B"/>
    <w:rsid w:val="006E22FF"/>
    <w:rsid w:val="00703073"/>
    <w:rsid w:val="00703690"/>
    <w:rsid w:val="0071031F"/>
    <w:rsid w:val="00723BEE"/>
    <w:rsid w:val="00723F63"/>
    <w:rsid w:val="00727D7C"/>
    <w:rsid w:val="0073017C"/>
    <w:rsid w:val="0073023E"/>
    <w:rsid w:val="00730730"/>
    <w:rsid w:val="00742F29"/>
    <w:rsid w:val="007441CA"/>
    <w:rsid w:val="0074587C"/>
    <w:rsid w:val="00754984"/>
    <w:rsid w:val="00755D5A"/>
    <w:rsid w:val="00756575"/>
    <w:rsid w:val="00756E7B"/>
    <w:rsid w:val="007571EE"/>
    <w:rsid w:val="00764AAC"/>
    <w:rsid w:val="00766174"/>
    <w:rsid w:val="00774888"/>
    <w:rsid w:val="007969C5"/>
    <w:rsid w:val="007A6BF3"/>
    <w:rsid w:val="007C0920"/>
    <w:rsid w:val="007C09EF"/>
    <w:rsid w:val="007D2619"/>
    <w:rsid w:val="007D45B7"/>
    <w:rsid w:val="007D78A0"/>
    <w:rsid w:val="007E3D89"/>
    <w:rsid w:val="007E538B"/>
    <w:rsid w:val="007F775C"/>
    <w:rsid w:val="007F7F9E"/>
    <w:rsid w:val="0080078E"/>
    <w:rsid w:val="00803C46"/>
    <w:rsid w:val="00807C08"/>
    <w:rsid w:val="00840DF1"/>
    <w:rsid w:val="00853536"/>
    <w:rsid w:val="00853FCC"/>
    <w:rsid w:val="00870ECB"/>
    <w:rsid w:val="00872FDF"/>
    <w:rsid w:val="00875624"/>
    <w:rsid w:val="008765E2"/>
    <w:rsid w:val="00880EB2"/>
    <w:rsid w:val="00885BFB"/>
    <w:rsid w:val="00885CE2"/>
    <w:rsid w:val="008878FC"/>
    <w:rsid w:val="00891856"/>
    <w:rsid w:val="00894FD7"/>
    <w:rsid w:val="008965D6"/>
    <w:rsid w:val="008B31D4"/>
    <w:rsid w:val="008B47DF"/>
    <w:rsid w:val="008B5246"/>
    <w:rsid w:val="008C17ED"/>
    <w:rsid w:val="008C7815"/>
    <w:rsid w:val="008D2051"/>
    <w:rsid w:val="008D53E9"/>
    <w:rsid w:val="008E77B7"/>
    <w:rsid w:val="008F363C"/>
    <w:rsid w:val="00900212"/>
    <w:rsid w:val="00910869"/>
    <w:rsid w:val="00910C3E"/>
    <w:rsid w:val="009110C8"/>
    <w:rsid w:val="00917CD0"/>
    <w:rsid w:val="00921E49"/>
    <w:rsid w:val="00924988"/>
    <w:rsid w:val="00942B28"/>
    <w:rsid w:val="00947BA3"/>
    <w:rsid w:val="0095071B"/>
    <w:rsid w:val="009537A2"/>
    <w:rsid w:val="0095520B"/>
    <w:rsid w:val="00955B88"/>
    <w:rsid w:val="00956A6D"/>
    <w:rsid w:val="0096126D"/>
    <w:rsid w:val="0096682F"/>
    <w:rsid w:val="009768F9"/>
    <w:rsid w:val="00983AA9"/>
    <w:rsid w:val="00983D1D"/>
    <w:rsid w:val="00993AB3"/>
    <w:rsid w:val="00994746"/>
    <w:rsid w:val="009965BA"/>
    <w:rsid w:val="009A6969"/>
    <w:rsid w:val="009A6E23"/>
    <w:rsid w:val="009B57B3"/>
    <w:rsid w:val="009B6A91"/>
    <w:rsid w:val="009B78C5"/>
    <w:rsid w:val="009C54E9"/>
    <w:rsid w:val="009E1684"/>
    <w:rsid w:val="009F0AAF"/>
    <w:rsid w:val="009F10EE"/>
    <w:rsid w:val="009F5FF5"/>
    <w:rsid w:val="00A23E2C"/>
    <w:rsid w:val="00A31A48"/>
    <w:rsid w:val="00A322FA"/>
    <w:rsid w:val="00A35E80"/>
    <w:rsid w:val="00A37D3D"/>
    <w:rsid w:val="00A46A7C"/>
    <w:rsid w:val="00A50F87"/>
    <w:rsid w:val="00A5193E"/>
    <w:rsid w:val="00A51BFC"/>
    <w:rsid w:val="00A520EE"/>
    <w:rsid w:val="00A54D2B"/>
    <w:rsid w:val="00A5625C"/>
    <w:rsid w:val="00A6342B"/>
    <w:rsid w:val="00A65FF0"/>
    <w:rsid w:val="00A90574"/>
    <w:rsid w:val="00A971A6"/>
    <w:rsid w:val="00AA091E"/>
    <w:rsid w:val="00AA19E8"/>
    <w:rsid w:val="00AA20CF"/>
    <w:rsid w:val="00AA4EFB"/>
    <w:rsid w:val="00AA532B"/>
    <w:rsid w:val="00AA62B7"/>
    <w:rsid w:val="00AC1F6E"/>
    <w:rsid w:val="00AC202D"/>
    <w:rsid w:val="00AD1F27"/>
    <w:rsid w:val="00AD3370"/>
    <w:rsid w:val="00AD57FE"/>
    <w:rsid w:val="00AE3A72"/>
    <w:rsid w:val="00AF3E9D"/>
    <w:rsid w:val="00AF67C2"/>
    <w:rsid w:val="00B122C3"/>
    <w:rsid w:val="00B128E7"/>
    <w:rsid w:val="00B2136F"/>
    <w:rsid w:val="00B27113"/>
    <w:rsid w:val="00B31F19"/>
    <w:rsid w:val="00B44271"/>
    <w:rsid w:val="00B531F5"/>
    <w:rsid w:val="00B61F87"/>
    <w:rsid w:val="00B64978"/>
    <w:rsid w:val="00B66C19"/>
    <w:rsid w:val="00B66D9D"/>
    <w:rsid w:val="00B73D6A"/>
    <w:rsid w:val="00B779C6"/>
    <w:rsid w:val="00B95E7F"/>
    <w:rsid w:val="00BA211C"/>
    <w:rsid w:val="00BA2A0B"/>
    <w:rsid w:val="00BA2DA2"/>
    <w:rsid w:val="00BA5725"/>
    <w:rsid w:val="00BA726A"/>
    <w:rsid w:val="00BB0A84"/>
    <w:rsid w:val="00BC055C"/>
    <w:rsid w:val="00BC1D7F"/>
    <w:rsid w:val="00BD04F4"/>
    <w:rsid w:val="00BD517A"/>
    <w:rsid w:val="00BD5BF6"/>
    <w:rsid w:val="00BD693A"/>
    <w:rsid w:val="00BE4A3E"/>
    <w:rsid w:val="00BE59A4"/>
    <w:rsid w:val="00BF69BE"/>
    <w:rsid w:val="00C11A46"/>
    <w:rsid w:val="00C11DB6"/>
    <w:rsid w:val="00C127C5"/>
    <w:rsid w:val="00C1324D"/>
    <w:rsid w:val="00C22CF9"/>
    <w:rsid w:val="00C249F2"/>
    <w:rsid w:val="00C24D1A"/>
    <w:rsid w:val="00C24F6F"/>
    <w:rsid w:val="00C272AB"/>
    <w:rsid w:val="00C373A5"/>
    <w:rsid w:val="00C40877"/>
    <w:rsid w:val="00C43286"/>
    <w:rsid w:val="00C4437A"/>
    <w:rsid w:val="00C446F2"/>
    <w:rsid w:val="00C46660"/>
    <w:rsid w:val="00C50AEF"/>
    <w:rsid w:val="00C5288C"/>
    <w:rsid w:val="00C541B9"/>
    <w:rsid w:val="00C5424E"/>
    <w:rsid w:val="00C57F21"/>
    <w:rsid w:val="00C63661"/>
    <w:rsid w:val="00C67132"/>
    <w:rsid w:val="00C71D4C"/>
    <w:rsid w:val="00C724C6"/>
    <w:rsid w:val="00C734A1"/>
    <w:rsid w:val="00C75BB3"/>
    <w:rsid w:val="00C80C5A"/>
    <w:rsid w:val="00C810EE"/>
    <w:rsid w:val="00C84DC7"/>
    <w:rsid w:val="00C912AD"/>
    <w:rsid w:val="00C92214"/>
    <w:rsid w:val="00C92CA5"/>
    <w:rsid w:val="00CA2964"/>
    <w:rsid w:val="00CB1583"/>
    <w:rsid w:val="00CB362F"/>
    <w:rsid w:val="00CB5723"/>
    <w:rsid w:val="00CC0727"/>
    <w:rsid w:val="00CC55BA"/>
    <w:rsid w:val="00CD2FF2"/>
    <w:rsid w:val="00CE5BAB"/>
    <w:rsid w:val="00CF0980"/>
    <w:rsid w:val="00CF611E"/>
    <w:rsid w:val="00D0150F"/>
    <w:rsid w:val="00D0524C"/>
    <w:rsid w:val="00D0649D"/>
    <w:rsid w:val="00D07A17"/>
    <w:rsid w:val="00D44E43"/>
    <w:rsid w:val="00D4697B"/>
    <w:rsid w:val="00D55F6F"/>
    <w:rsid w:val="00D5661A"/>
    <w:rsid w:val="00D614AA"/>
    <w:rsid w:val="00D624C3"/>
    <w:rsid w:val="00D662E9"/>
    <w:rsid w:val="00D679B6"/>
    <w:rsid w:val="00D7293D"/>
    <w:rsid w:val="00D80990"/>
    <w:rsid w:val="00D83F51"/>
    <w:rsid w:val="00D90CC3"/>
    <w:rsid w:val="00D9219F"/>
    <w:rsid w:val="00D9527E"/>
    <w:rsid w:val="00DA07BA"/>
    <w:rsid w:val="00DA431B"/>
    <w:rsid w:val="00DA4E76"/>
    <w:rsid w:val="00DB6193"/>
    <w:rsid w:val="00DC0214"/>
    <w:rsid w:val="00DC30D0"/>
    <w:rsid w:val="00DC7FA8"/>
    <w:rsid w:val="00DD12BF"/>
    <w:rsid w:val="00DD1ABC"/>
    <w:rsid w:val="00DD682E"/>
    <w:rsid w:val="00DD6E1E"/>
    <w:rsid w:val="00DE72D2"/>
    <w:rsid w:val="00DF5E23"/>
    <w:rsid w:val="00E01A38"/>
    <w:rsid w:val="00E02BEA"/>
    <w:rsid w:val="00E07E81"/>
    <w:rsid w:val="00E11555"/>
    <w:rsid w:val="00E11DA0"/>
    <w:rsid w:val="00E12619"/>
    <w:rsid w:val="00E242A2"/>
    <w:rsid w:val="00E24ADC"/>
    <w:rsid w:val="00E26201"/>
    <w:rsid w:val="00E305E8"/>
    <w:rsid w:val="00E368A7"/>
    <w:rsid w:val="00E36B60"/>
    <w:rsid w:val="00E4660D"/>
    <w:rsid w:val="00E46728"/>
    <w:rsid w:val="00E51D43"/>
    <w:rsid w:val="00E5742C"/>
    <w:rsid w:val="00E57F97"/>
    <w:rsid w:val="00E60BF1"/>
    <w:rsid w:val="00E72D88"/>
    <w:rsid w:val="00E7738E"/>
    <w:rsid w:val="00E80E46"/>
    <w:rsid w:val="00E81344"/>
    <w:rsid w:val="00E822D7"/>
    <w:rsid w:val="00E83936"/>
    <w:rsid w:val="00E847FA"/>
    <w:rsid w:val="00E85D7A"/>
    <w:rsid w:val="00E94F25"/>
    <w:rsid w:val="00EA413B"/>
    <w:rsid w:val="00EB73C3"/>
    <w:rsid w:val="00EC0667"/>
    <w:rsid w:val="00EC223A"/>
    <w:rsid w:val="00EC29CD"/>
    <w:rsid w:val="00EC62E2"/>
    <w:rsid w:val="00ED54EB"/>
    <w:rsid w:val="00EE48C8"/>
    <w:rsid w:val="00EE67CA"/>
    <w:rsid w:val="00EE7920"/>
    <w:rsid w:val="00EF3360"/>
    <w:rsid w:val="00EF766A"/>
    <w:rsid w:val="00F008F5"/>
    <w:rsid w:val="00F16935"/>
    <w:rsid w:val="00F2285B"/>
    <w:rsid w:val="00F31B8C"/>
    <w:rsid w:val="00F3599F"/>
    <w:rsid w:val="00F367A1"/>
    <w:rsid w:val="00F37BFF"/>
    <w:rsid w:val="00F42FAD"/>
    <w:rsid w:val="00F43B57"/>
    <w:rsid w:val="00F62EF4"/>
    <w:rsid w:val="00F65AE7"/>
    <w:rsid w:val="00F70D90"/>
    <w:rsid w:val="00F71C0B"/>
    <w:rsid w:val="00F721C7"/>
    <w:rsid w:val="00F8113C"/>
    <w:rsid w:val="00F86172"/>
    <w:rsid w:val="00F90AB7"/>
    <w:rsid w:val="00FA07A9"/>
    <w:rsid w:val="00FA3EB9"/>
    <w:rsid w:val="00FA5357"/>
    <w:rsid w:val="00FB5BB9"/>
    <w:rsid w:val="00FB5E09"/>
    <w:rsid w:val="00FC0092"/>
    <w:rsid w:val="00FC3BE5"/>
    <w:rsid w:val="00FC5CE8"/>
    <w:rsid w:val="00FD2E8E"/>
    <w:rsid w:val="00FD5535"/>
    <w:rsid w:val="00FE167B"/>
    <w:rsid w:val="00FE4F34"/>
    <w:rsid w:val="00FE7705"/>
    <w:rsid w:val="00FF315A"/>
    <w:rsid w:val="00FF4968"/>
    <w:rsid w:val="00FF4F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5B0A4"/>
  <w15:chartTrackingRefBased/>
  <w15:docId w15:val="{319E1504-2293-41E9-8C0F-A93DA3355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aliases w:val="Char"/>
    <w:basedOn w:val="Normlny"/>
    <w:next w:val="Normlny"/>
    <w:link w:val="Nadpis1Char"/>
    <w:uiPriority w:val="9"/>
    <w:qFormat/>
    <w:rsid w:val="00DE72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unhideWhenUsed/>
    <w:qFormat/>
    <w:rsid w:val="00DE72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DE72D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DE72D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DE72D2"/>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DE72D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DE72D2"/>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DE72D2"/>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DE72D2"/>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har Char"/>
    <w:basedOn w:val="Predvolenpsmoodseku"/>
    <w:link w:val="Nadpis1"/>
    <w:uiPriority w:val="9"/>
    <w:rsid w:val="00DE72D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rsid w:val="00DE72D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DE72D2"/>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DE72D2"/>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rsid w:val="00DE72D2"/>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DE72D2"/>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DE72D2"/>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DE72D2"/>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DE72D2"/>
    <w:rPr>
      <w:rFonts w:eastAsiaTheme="majorEastAsia" w:cstheme="majorBidi"/>
      <w:color w:val="272727" w:themeColor="text1" w:themeTint="D8"/>
    </w:rPr>
  </w:style>
  <w:style w:type="paragraph" w:styleId="Nzov">
    <w:name w:val="Title"/>
    <w:basedOn w:val="Normlny"/>
    <w:next w:val="Normlny"/>
    <w:link w:val="NzovChar"/>
    <w:uiPriority w:val="10"/>
    <w:qFormat/>
    <w:rsid w:val="00DE72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DE72D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DE72D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DE72D2"/>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DE72D2"/>
    <w:pPr>
      <w:spacing w:before="160"/>
      <w:jc w:val="center"/>
    </w:pPr>
    <w:rPr>
      <w:i/>
      <w:iCs/>
      <w:color w:val="404040" w:themeColor="text1" w:themeTint="BF"/>
    </w:rPr>
  </w:style>
  <w:style w:type="character" w:customStyle="1" w:styleId="CitciaChar">
    <w:name w:val="Citácia Char"/>
    <w:basedOn w:val="Predvolenpsmoodseku"/>
    <w:link w:val="Citcia"/>
    <w:uiPriority w:val="29"/>
    <w:rsid w:val="00DE72D2"/>
    <w:rPr>
      <w:i/>
      <w:iCs/>
      <w:color w:val="404040" w:themeColor="text1" w:themeTint="BF"/>
    </w:rPr>
  </w:style>
  <w:style w:type="paragraph" w:styleId="Odsekzoznamu">
    <w:name w:val="List Paragraph"/>
    <w:basedOn w:val="Normlny"/>
    <w:link w:val="OdsekzoznamuChar"/>
    <w:uiPriority w:val="34"/>
    <w:qFormat/>
    <w:rsid w:val="00DE72D2"/>
    <w:pPr>
      <w:ind w:left="720"/>
      <w:contextualSpacing/>
    </w:pPr>
  </w:style>
  <w:style w:type="character" w:styleId="Intenzvnezvraznenie">
    <w:name w:val="Intense Emphasis"/>
    <w:basedOn w:val="Predvolenpsmoodseku"/>
    <w:uiPriority w:val="21"/>
    <w:qFormat/>
    <w:rsid w:val="00DE72D2"/>
    <w:rPr>
      <w:i/>
      <w:iCs/>
      <w:color w:val="0F4761" w:themeColor="accent1" w:themeShade="BF"/>
    </w:rPr>
  </w:style>
  <w:style w:type="paragraph" w:styleId="Zvraznencitcia">
    <w:name w:val="Intense Quote"/>
    <w:basedOn w:val="Normlny"/>
    <w:next w:val="Normlny"/>
    <w:link w:val="ZvraznencitciaChar"/>
    <w:uiPriority w:val="30"/>
    <w:qFormat/>
    <w:rsid w:val="00DE72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DE72D2"/>
    <w:rPr>
      <w:i/>
      <w:iCs/>
      <w:color w:val="0F4761" w:themeColor="accent1" w:themeShade="BF"/>
    </w:rPr>
  </w:style>
  <w:style w:type="character" w:styleId="Zvraznenodkaz">
    <w:name w:val="Intense Reference"/>
    <w:basedOn w:val="Predvolenpsmoodseku"/>
    <w:uiPriority w:val="32"/>
    <w:qFormat/>
    <w:rsid w:val="00DE72D2"/>
    <w:rPr>
      <w:b/>
      <w:bCs/>
      <w:smallCaps/>
      <w:color w:val="0F4761" w:themeColor="accent1" w:themeShade="BF"/>
      <w:spacing w:val="5"/>
    </w:rPr>
  </w:style>
  <w:style w:type="paragraph" w:customStyle="1" w:styleId="ifptext">
    <w:name w:val="ifp_text"/>
    <w:basedOn w:val="Normlny"/>
    <w:link w:val="ifptextChar"/>
    <w:qFormat/>
    <w:rsid w:val="00885CE2"/>
    <w:pPr>
      <w:spacing w:after="120" w:line="240" w:lineRule="auto"/>
      <w:jc w:val="both"/>
    </w:pPr>
    <w:rPr>
      <w:rFonts w:ascii="Arial Narrow" w:hAnsi="Arial Narrow"/>
    </w:rPr>
  </w:style>
  <w:style w:type="character" w:customStyle="1" w:styleId="ifptextChar">
    <w:name w:val="ifp_text Char"/>
    <w:basedOn w:val="Predvolenpsmoodseku"/>
    <w:link w:val="ifptext"/>
    <w:rsid w:val="00885CE2"/>
    <w:rPr>
      <w:rFonts w:ascii="Arial Narrow" w:hAnsi="Arial Narrow"/>
    </w:rPr>
  </w:style>
  <w:style w:type="paragraph" w:styleId="Revzia">
    <w:name w:val="Revision"/>
    <w:hidden/>
    <w:uiPriority w:val="99"/>
    <w:semiHidden/>
    <w:rsid w:val="00CD2FF2"/>
    <w:pPr>
      <w:spacing w:after="0" w:line="240" w:lineRule="auto"/>
    </w:pPr>
  </w:style>
  <w:style w:type="character" w:styleId="Odkaznakomentr">
    <w:name w:val="annotation reference"/>
    <w:basedOn w:val="Predvolenpsmoodseku"/>
    <w:uiPriority w:val="99"/>
    <w:semiHidden/>
    <w:unhideWhenUsed/>
    <w:rsid w:val="00CD2FF2"/>
    <w:rPr>
      <w:sz w:val="16"/>
      <w:szCs w:val="16"/>
    </w:rPr>
  </w:style>
  <w:style w:type="paragraph" w:styleId="Textkomentra">
    <w:name w:val="annotation text"/>
    <w:basedOn w:val="Normlny"/>
    <w:link w:val="TextkomentraChar"/>
    <w:uiPriority w:val="99"/>
    <w:unhideWhenUsed/>
    <w:rsid w:val="00CD2FF2"/>
    <w:pPr>
      <w:spacing w:line="240" w:lineRule="auto"/>
    </w:pPr>
    <w:rPr>
      <w:sz w:val="20"/>
      <w:szCs w:val="20"/>
    </w:rPr>
  </w:style>
  <w:style w:type="character" w:customStyle="1" w:styleId="TextkomentraChar">
    <w:name w:val="Text komentára Char"/>
    <w:basedOn w:val="Predvolenpsmoodseku"/>
    <w:link w:val="Textkomentra"/>
    <w:uiPriority w:val="99"/>
    <w:rsid w:val="00CD2FF2"/>
    <w:rPr>
      <w:sz w:val="20"/>
      <w:szCs w:val="20"/>
    </w:rPr>
  </w:style>
  <w:style w:type="paragraph" w:styleId="Predmetkomentra">
    <w:name w:val="annotation subject"/>
    <w:basedOn w:val="Textkomentra"/>
    <w:next w:val="Textkomentra"/>
    <w:link w:val="PredmetkomentraChar"/>
    <w:uiPriority w:val="99"/>
    <w:semiHidden/>
    <w:unhideWhenUsed/>
    <w:rsid w:val="00CD2FF2"/>
    <w:rPr>
      <w:b/>
      <w:bCs/>
    </w:rPr>
  </w:style>
  <w:style w:type="character" w:customStyle="1" w:styleId="PredmetkomentraChar">
    <w:name w:val="Predmet komentára Char"/>
    <w:basedOn w:val="TextkomentraChar"/>
    <w:link w:val="Predmetkomentra"/>
    <w:uiPriority w:val="99"/>
    <w:semiHidden/>
    <w:rsid w:val="00CD2FF2"/>
    <w:rPr>
      <w:b/>
      <w:bCs/>
      <w:sz w:val="20"/>
      <w:szCs w:val="20"/>
    </w:rPr>
  </w:style>
  <w:style w:type="paragraph" w:styleId="Textpoznmkypodiarou">
    <w:name w:val="footnote text"/>
    <w:aliases w:val="Footnote Text Char2,Footnote Text Char1 Char,Footnote Text Char2 Char Char,Footnote Text Char1 Char Char Char,Footnote Text Char2 Char Char Char Char,Footnote Text Char Char1 Char Char Char Char Char Char Char Char Char,f,Plonk"/>
    <w:basedOn w:val="Normlny"/>
    <w:link w:val="TextpoznmkypodiarouChar"/>
    <w:uiPriority w:val="99"/>
    <w:unhideWhenUsed/>
    <w:qFormat/>
    <w:rsid w:val="006C6FB9"/>
    <w:pPr>
      <w:spacing w:after="0" w:line="240" w:lineRule="auto"/>
    </w:pPr>
    <w:rPr>
      <w:sz w:val="20"/>
      <w:szCs w:val="20"/>
      <w:lang w:val="en-GB"/>
    </w:rPr>
  </w:style>
  <w:style w:type="character" w:customStyle="1" w:styleId="TextpoznmkypodiarouChar">
    <w:name w:val="Text poznámky pod čiarou Char"/>
    <w:aliases w:val="Footnote Text Char2 Char,Footnote Text Char1 Char Char,Footnote Text Char2 Char Char Char,Footnote Text Char1 Char Char Char Char,Footnote Text Char2 Char Char Char Char Char,f Char,Plonk Char"/>
    <w:basedOn w:val="Predvolenpsmoodseku"/>
    <w:link w:val="Textpoznmkypodiarou"/>
    <w:uiPriority w:val="99"/>
    <w:qFormat/>
    <w:rsid w:val="006C6FB9"/>
    <w:rPr>
      <w:sz w:val="20"/>
      <w:szCs w:val="20"/>
      <w:lang w:val="en-GB"/>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Footnote symbol"/>
    <w:basedOn w:val="Predvolenpsmoodseku"/>
    <w:link w:val="Char2"/>
    <w:unhideWhenUsed/>
    <w:qFormat/>
    <w:rsid w:val="006C6FB9"/>
    <w:rPr>
      <w:vertAlign w:val="superscript"/>
    </w:rPr>
  </w:style>
  <w:style w:type="paragraph" w:styleId="Pta">
    <w:name w:val="footer"/>
    <w:basedOn w:val="Normlny"/>
    <w:link w:val="PtaChar"/>
    <w:uiPriority w:val="99"/>
    <w:unhideWhenUsed/>
    <w:rsid w:val="0059117B"/>
    <w:pPr>
      <w:tabs>
        <w:tab w:val="center" w:pos="4536"/>
        <w:tab w:val="right" w:pos="9072"/>
      </w:tabs>
      <w:spacing w:after="0" w:line="240" w:lineRule="auto"/>
    </w:pPr>
  </w:style>
  <w:style w:type="character" w:customStyle="1" w:styleId="PtaChar">
    <w:name w:val="Päta Char"/>
    <w:basedOn w:val="Predvolenpsmoodseku"/>
    <w:link w:val="Pta"/>
    <w:uiPriority w:val="99"/>
    <w:rsid w:val="0059117B"/>
  </w:style>
  <w:style w:type="paragraph" w:customStyle="1" w:styleId="ifpzhl3">
    <w:name w:val="ifp_zh_l3"/>
    <w:basedOn w:val="Nadpis3"/>
    <w:next w:val="ifptext"/>
    <w:link w:val="ifpzhl3Char"/>
    <w:qFormat/>
    <w:rsid w:val="004A6D37"/>
    <w:pPr>
      <w:numPr>
        <w:ilvl w:val="2"/>
        <w:numId w:val="1"/>
      </w:numPr>
      <w:spacing w:before="200" w:after="120" w:line="240" w:lineRule="auto"/>
    </w:pPr>
    <w:rPr>
      <w:rFonts w:ascii="Arial Narrow" w:hAnsi="Arial Narrow"/>
      <w:b/>
      <w:color w:val="2EAAE1"/>
      <w:sz w:val="24"/>
      <w:szCs w:val="24"/>
    </w:rPr>
  </w:style>
  <w:style w:type="paragraph" w:customStyle="1" w:styleId="ifpzhl2">
    <w:name w:val="ifp_zh_l2"/>
    <w:basedOn w:val="Nadpis2"/>
    <w:next w:val="ifptext"/>
    <w:link w:val="ifpzhl2Char"/>
    <w:qFormat/>
    <w:rsid w:val="004A6D37"/>
    <w:pPr>
      <w:numPr>
        <w:ilvl w:val="1"/>
        <w:numId w:val="1"/>
      </w:numPr>
      <w:spacing w:before="200" w:after="120" w:line="240" w:lineRule="auto"/>
    </w:pPr>
    <w:rPr>
      <w:rFonts w:ascii="Arial Narrow" w:hAnsi="Arial Narrow"/>
      <w:b/>
      <w:color w:val="2EAAE1"/>
      <w:sz w:val="24"/>
      <w:szCs w:val="26"/>
    </w:rPr>
  </w:style>
  <w:style w:type="paragraph" w:customStyle="1" w:styleId="ifphl1">
    <w:name w:val="ifp_h_l1"/>
    <w:basedOn w:val="Nadpis1"/>
    <w:next w:val="ifptext"/>
    <w:link w:val="ifphl1Char"/>
    <w:qFormat/>
    <w:rsid w:val="004A6D37"/>
    <w:pPr>
      <w:numPr>
        <w:numId w:val="1"/>
      </w:numPr>
      <w:spacing w:before="0" w:after="120" w:line="240" w:lineRule="auto"/>
    </w:pPr>
    <w:rPr>
      <w:rFonts w:ascii="Arial Narrow" w:hAnsi="Arial Narrow"/>
      <w:b/>
      <w:caps/>
      <w:color w:val="2EAAE1"/>
      <w:sz w:val="28"/>
      <w:szCs w:val="32"/>
    </w:rPr>
  </w:style>
  <w:style w:type="character" w:customStyle="1" w:styleId="ifphl1Char">
    <w:name w:val="ifp_h_l1 Char"/>
    <w:basedOn w:val="Predvolenpsmoodseku"/>
    <w:link w:val="ifphl1"/>
    <w:rsid w:val="004A6D37"/>
    <w:rPr>
      <w:rFonts w:ascii="Arial Narrow" w:eastAsiaTheme="majorEastAsia" w:hAnsi="Arial Narrow" w:cstheme="majorBidi"/>
      <w:b/>
      <w:caps/>
      <w:color w:val="2EAAE1"/>
      <w:sz w:val="28"/>
      <w:szCs w:val="32"/>
    </w:rPr>
  </w:style>
  <w:style w:type="paragraph" w:customStyle="1" w:styleId="ifpperex">
    <w:name w:val="ifp_perex"/>
    <w:basedOn w:val="ifptext"/>
    <w:link w:val="ifpperexChar"/>
    <w:qFormat/>
    <w:rsid w:val="004A6D37"/>
    <w:pPr>
      <w:pBdr>
        <w:top w:val="single" w:sz="4" w:space="1" w:color="auto"/>
        <w:bottom w:val="single" w:sz="4" w:space="1" w:color="auto"/>
      </w:pBdr>
    </w:pPr>
    <w:rPr>
      <w:i/>
    </w:rPr>
  </w:style>
  <w:style w:type="character" w:customStyle="1" w:styleId="ifpperexChar">
    <w:name w:val="ifp_perex Char"/>
    <w:basedOn w:val="ifptextChar"/>
    <w:link w:val="ifpperex"/>
    <w:rsid w:val="004A6D37"/>
    <w:rPr>
      <w:rFonts w:ascii="Arial Narrow" w:hAnsi="Arial Narrow"/>
      <w:i/>
    </w:rPr>
  </w:style>
  <w:style w:type="table" w:styleId="Mriekatabuky">
    <w:name w:val="Table Grid"/>
    <w:basedOn w:val="Normlnatabuka"/>
    <w:uiPriority w:val="39"/>
    <w:rsid w:val="004A6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lny"/>
    <w:link w:val="Odkaznapoznmkupodiarou"/>
    <w:rsid w:val="004A6D37"/>
    <w:pPr>
      <w:spacing w:after="0" w:line="240" w:lineRule="exact"/>
    </w:pPr>
    <w:rPr>
      <w:vertAlign w:val="superscript"/>
    </w:rPr>
  </w:style>
  <w:style w:type="paragraph" w:customStyle="1" w:styleId="Box">
    <w:name w:val="Box"/>
    <w:qFormat/>
    <w:rsid w:val="004A6D37"/>
    <w:pPr>
      <w:spacing w:before="120" w:after="240" w:line="240" w:lineRule="auto"/>
    </w:pPr>
    <w:rPr>
      <w:rFonts w:ascii="Arial Narrow" w:eastAsiaTheme="majorEastAsia" w:hAnsi="Arial Narrow" w:cstheme="majorBidi"/>
      <w:b/>
      <w:bCs/>
      <w:kern w:val="0"/>
      <w:sz w:val="20"/>
      <w:szCs w:val="36"/>
      <w14:ligatures w14:val="none"/>
    </w:rPr>
  </w:style>
  <w:style w:type="character" w:customStyle="1" w:styleId="ifpzhl2Char">
    <w:name w:val="ifp_zh_l2 Char"/>
    <w:basedOn w:val="Predvolenpsmoodseku"/>
    <w:link w:val="ifpzhl2"/>
    <w:rsid w:val="004A6D37"/>
    <w:rPr>
      <w:rFonts w:ascii="Arial Narrow" w:eastAsiaTheme="majorEastAsia" w:hAnsi="Arial Narrow" w:cstheme="majorBidi"/>
      <w:b/>
      <w:color w:val="2EAAE1"/>
      <w:sz w:val="24"/>
      <w:szCs w:val="26"/>
    </w:rPr>
  </w:style>
  <w:style w:type="paragraph" w:customStyle="1" w:styleId="ifppopis">
    <w:name w:val="ifp_popis"/>
    <w:basedOn w:val="Normlny"/>
    <w:next w:val="ifptext"/>
    <w:link w:val="ifppopisChar"/>
    <w:qFormat/>
    <w:rsid w:val="004A6D37"/>
    <w:pPr>
      <w:spacing w:after="0" w:line="240" w:lineRule="auto"/>
    </w:pPr>
    <w:rPr>
      <w:rFonts w:ascii="Arial Narrow" w:hAnsi="Arial Narrow"/>
      <w:b/>
      <w:color w:val="2EAAE1"/>
      <w:sz w:val="20"/>
    </w:rPr>
  </w:style>
  <w:style w:type="character" w:customStyle="1" w:styleId="ifppopisChar">
    <w:name w:val="ifp_popis Char"/>
    <w:basedOn w:val="Predvolenpsmoodseku"/>
    <w:link w:val="ifppopis"/>
    <w:rsid w:val="004A6D37"/>
    <w:rPr>
      <w:rFonts w:ascii="Arial Narrow" w:hAnsi="Arial Narrow"/>
      <w:b/>
      <w:color w:val="2EAAE1"/>
      <w:sz w:val="20"/>
    </w:rPr>
  </w:style>
  <w:style w:type="paragraph" w:customStyle="1" w:styleId="ifpszdroj">
    <w:name w:val="ifp_s_zdroj"/>
    <w:basedOn w:val="Normlny"/>
    <w:link w:val="ifpszdrojChar"/>
    <w:qFormat/>
    <w:rsid w:val="004A6D37"/>
    <w:pPr>
      <w:spacing w:after="0" w:line="240" w:lineRule="auto"/>
      <w:jc w:val="right"/>
    </w:pPr>
    <w:rPr>
      <w:rFonts w:ascii="Arial Narrow" w:hAnsi="Arial Narrow"/>
      <w:i/>
      <w:noProof/>
      <w:sz w:val="16"/>
    </w:rPr>
  </w:style>
  <w:style w:type="character" w:customStyle="1" w:styleId="ifpszdrojChar">
    <w:name w:val="ifp_s_zdroj Char"/>
    <w:basedOn w:val="Predvolenpsmoodseku"/>
    <w:link w:val="ifpszdroj"/>
    <w:rsid w:val="004A6D37"/>
    <w:rPr>
      <w:rFonts w:ascii="Arial Narrow" w:hAnsi="Arial Narrow"/>
      <w:i/>
      <w:noProof/>
      <w:sz w:val="16"/>
    </w:rPr>
  </w:style>
  <w:style w:type="paragraph" w:customStyle="1" w:styleId="ifptextb">
    <w:name w:val="ifp_text_b"/>
    <w:basedOn w:val="ifptext"/>
    <w:next w:val="ifptext"/>
    <w:link w:val="ifptextbChar"/>
    <w:qFormat/>
    <w:rsid w:val="004A6D37"/>
    <w:rPr>
      <w:b/>
    </w:rPr>
  </w:style>
  <w:style w:type="character" w:customStyle="1" w:styleId="ifptextbChar">
    <w:name w:val="ifp_text_b Char"/>
    <w:basedOn w:val="ifptextChar"/>
    <w:link w:val="ifptextb"/>
    <w:rsid w:val="004A6D37"/>
    <w:rPr>
      <w:rFonts w:ascii="Arial Narrow" w:hAnsi="Arial Narrow"/>
      <w:b/>
    </w:rPr>
  </w:style>
  <w:style w:type="character" w:styleId="Vrazn">
    <w:name w:val="Strong"/>
    <w:basedOn w:val="Predvolenpsmoodseku"/>
    <w:uiPriority w:val="22"/>
    <w:qFormat/>
    <w:rsid w:val="00577C32"/>
    <w:rPr>
      <w:b/>
      <w:bCs/>
    </w:rPr>
  </w:style>
  <w:style w:type="character" w:customStyle="1" w:styleId="ifpzhl3Char">
    <w:name w:val="ifp_zh_l3 Char"/>
    <w:basedOn w:val="Predvolenpsmoodseku"/>
    <w:link w:val="ifpzhl3"/>
    <w:rsid w:val="00CB362F"/>
    <w:rPr>
      <w:rFonts w:ascii="Arial Narrow" w:eastAsiaTheme="majorEastAsia" w:hAnsi="Arial Narrow" w:cstheme="majorBidi"/>
      <w:b/>
      <w:color w:val="2EAAE1"/>
      <w:sz w:val="24"/>
      <w:szCs w:val="24"/>
    </w:rPr>
  </w:style>
  <w:style w:type="character" w:customStyle="1" w:styleId="OdsekzoznamuChar">
    <w:name w:val="Odsek zoznamu Char"/>
    <w:basedOn w:val="Predvolenpsmoodseku"/>
    <w:link w:val="Odsekzoznamu"/>
    <w:uiPriority w:val="34"/>
    <w:rsid w:val="00D9527E"/>
  </w:style>
  <w:style w:type="paragraph" w:styleId="Zoznamobrzkov">
    <w:name w:val="table of figures"/>
    <w:basedOn w:val="Normlny"/>
    <w:next w:val="Normlny"/>
    <w:uiPriority w:val="99"/>
    <w:unhideWhenUsed/>
    <w:rsid w:val="00AA20CF"/>
    <w:pPr>
      <w:spacing w:after="0"/>
    </w:pPr>
    <w:rPr>
      <w:rFonts w:ascii="Arial Narrow" w:hAnsi="Arial Narrow"/>
    </w:rPr>
  </w:style>
  <w:style w:type="paragraph" w:styleId="Popis">
    <w:name w:val="caption"/>
    <w:basedOn w:val="Normlny"/>
    <w:next w:val="Normlny"/>
    <w:uiPriority w:val="35"/>
    <w:unhideWhenUsed/>
    <w:qFormat/>
    <w:rsid w:val="00AA20CF"/>
    <w:pPr>
      <w:spacing w:after="200" w:line="240" w:lineRule="auto"/>
    </w:pPr>
    <w:rPr>
      <w:i/>
      <w:iCs/>
      <w:color w:val="0E2841" w:themeColor="text2"/>
      <w:sz w:val="18"/>
      <w:szCs w:val="18"/>
    </w:rPr>
  </w:style>
  <w:style w:type="paragraph" w:styleId="Hlavika">
    <w:name w:val="header"/>
    <w:basedOn w:val="Normlny"/>
    <w:link w:val="HlavikaChar"/>
    <w:uiPriority w:val="99"/>
    <w:unhideWhenUsed/>
    <w:rsid w:val="00AA20C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A20CF"/>
  </w:style>
  <w:style w:type="paragraph" w:customStyle="1" w:styleId="ifppozn">
    <w:name w:val="ifp_pozn"/>
    <w:basedOn w:val="ifptext"/>
    <w:link w:val="ifppoznChar"/>
    <w:qFormat/>
    <w:rsid w:val="00AA20CF"/>
    <w:pPr>
      <w:spacing w:after="0"/>
      <w:jc w:val="left"/>
    </w:pPr>
    <w:rPr>
      <w:i/>
      <w:sz w:val="16"/>
    </w:rPr>
  </w:style>
  <w:style w:type="character" w:customStyle="1" w:styleId="ifppoznChar">
    <w:name w:val="ifp_pozn Char"/>
    <w:basedOn w:val="ifptextChar"/>
    <w:link w:val="ifppozn"/>
    <w:rsid w:val="00AA20CF"/>
    <w:rPr>
      <w:rFonts w:ascii="Arial Narrow" w:hAnsi="Arial Narrow"/>
      <w:i/>
      <w:sz w:val="16"/>
    </w:rPr>
  </w:style>
  <w:style w:type="paragraph" w:styleId="Hlavikaobsahu">
    <w:name w:val="TOC Heading"/>
    <w:basedOn w:val="Nadpis1"/>
    <w:next w:val="Normlny"/>
    <w:uiPriority w:val="39"/>
    <w:unhideWhenUsed/>
    <w:qFormat/>
    <w:rsid w:val="00AA20CF"/>
    <w:pPr>
      <w:spacing w:before="240" w:after="0"/>
      <w:outlineLvl w:val="9"/>
    </w:pPr>
    <w:rPr>
      <w:kern w:val="0"/>
      <w:sz w:val="32"/>
      <w:szCs w:val="32"/>
      <w:lang w:eastAsia="sk-SK"/>
      <w14:ligatures w14:val="none"/>
    </w:rPr>
  </w:style>
  <w:style w:type="paragraph" w:customStyle="1" w:styleId="ifpanot">
    <w:name w:val="ifp_anot"/>
    <w:basedOn w:val="ifptext"/>
    <w:link w:val="ifpanotChar"/>
    <w:rsid w:val="00AA20CF"/>
    <w:pPr>
      <w:framePr w:wrap="notBeside" w:vAnchor="text" w:hAnchor="text" w:y="1"/>
    </w:pPr>
  </w:style>
  <w:style w:type="character" w:customStyle="1" w:styleId="ifpanotChar">
    <w:name w:val="ifp_anot Char"/>
    <w:basedOn w:val="ifptextChar"/>
    <w:link w:val="ifpanot"/>
    <w:rsid w:val="00AA20CF"/>
    <w:rPr>
      <w:rFonts w:ascii="Arial Narrow" w:hAnsi="Arial Narrow"/>
    </w:rPr>
  </w:style>
  <w:style w:type="paragraph" w:styleId="Obsah2">
    <w:name w:val="toc 2"/>
    <w:basedOn w:val="Normlny"/>
    <w:next w:val="Normlny"/>
    <w:autoRedefine/>
    <w:uiPriority w:val="39"/>
    <w:unhideWhenUsed/>
    <w:rsid w:val="00AA20CF"/>
    <w:pPr>
      <w:spacing w:after="100"/>
      <w:ind w:left="788" w:hanging="567"/>
    </w:pPr>
    <w:rPr>
      <w:rFonts w:ascii="Arial Narrow" w:eastAsiaTheme="minorEastAsia" w:hAnsi="Arial Narrow" w:cs="Times New Roman"/>
      <w:kern w:val="0"/>
      <w:lang w:eastAsia="sk-SK"/>
      <w14:ligatures w14:val="none"/>
    </w:rPr>
  </w:style>
  <w:style w:type="paragraph" w:styleId="Obsah1">
    <w:name w:val="toc 1"/>
    <w:basedOn w:val="Normlny"/>
    <w:next w:val="Normlny"/>
    <w:autoRedefine/>
    <w:uiPriority w:val="39"/>
    <w:unhideWhenUsed/>
    <w:rsid w:val="00AA20CF"/>
    <w:pPr>
      <w:tabs>
        <w:tab w:val="left" w:pos="440"/>
        <w:tab w:val="right" w:leader="dot" w:pos="9062"/>
      </w:tabs>
      <w:spacing w:after="100"/>
      <w:ind w:left="567" w:hanging="567"/>
    </w:pPr>
    <w:rPr>
      <w:rFonts w:ascii="Arial Narrow" w:eastAsiaTheme="minorEastAsia" w:hAnsi="Arial Narrow" w:cs="Times New Roman"/>
      <w:b/>
      <w:caps/>
      <w:kern w:val="0"/>
      <w:lang w:eastAsia="sk-SK"/>
      <w14:ligatures w14:val="none"/>
    </w:rPr>
  </w:style>
  <w:style w:type="paragraph" w:styleId="Obsah3">
    <w:name w:val="toc 3"/>
    <w:basedOn w:val="Normlny"/>
    <w:next w:val="Normlny"/>
    <w:autoRedefine/>
    <w:uiPriority w:val="39"/>
    <w:unhideWhenUsed/>
    <w:rsid w:val="00AA20CF"/>
    <w:pPr>
      <w:tabs>
        <w:tab w:val="left" w:pos="1134"/>
        <w:tab w:val="right" w:leader="dot" w:pos="9062"/>
      </w:tabs>
      <w:spacing w:after="100"/>
      <w:ind w:left="440"/>
    </w:pPr>
    <w:rPr>
      <w:rFonts w:eastAsiaTheme="minorEastAsia" w:cs="Times New Roman"/>
      <w:kern w:val="0"/>
      <w:lang w:eastAsia="sk-SK"/>
      <w14:ligatures w14:val="none"/>
    </w:rPr>
  </w:style>
  <w:style w:type="character" w:styleId="Hypertextovprepojenie">
    <w:name w:val="Hyperlink"/>
    <w:basedOn w:val="Predvolenpsmoodseku"/>
    <w:uiPriority w:val="99"/>
    <w:unhideWhenUsed/>
    <w:rsid w:val="00AA20CF"/>
    <w:rPr>
      <w:color w:val="467886" w:themeColor="hyperlink"/>
      <w:u w:val="single"/>
    </w:rPr>
  </w:style>
  <w:style w:type="paragraph" w:customStyle="1" w:styleId="ifphneut">
    <w:name w:val="ifp_h_neut"/>
    <w:basedOn w:val="Normlny"/>
    <w:next w:val="ifptext"/>
    <w:link w:val="ifphneutChar"/>
    <w:qFormat/>
    <w:rsid w:val="00AA20CF"/>
    <w:pPr>
      <w:keepNext/>
      <w:spacing w:before="200" w:after="240" w:line="240" w:lineRule="auto"/>
      <w:ind w:left="680" w:hanging="680"/>
    </w:pPr>
    <w:rPr>
      <w:rFonts w:ascii="Arial Narrow" w:eastAsiaTheme="majorEastAsia" w:hAnsi="Arial Narrow" w:cstheme="majorBidi"/>
      <w:b/>
      <w:caps/>
      <w:color w:val="2EAAE1"/>
      <w:sz w:val="28"/>
      <w:szCs w:val="32"/>
    </w:rPr>
  </w:style>
  <w:style w:type="character" w:customStyle="1" w:styleId="ifphneutChar">
    <w:name w:val="ifp_h_neut Char"/>
    <w:basedOn w:val="ifphl1Char"/>
    <w:link w:val="ifphneut"/>
    <w:rsid w:val="00AA20CF"/>
    <w:rPr>
      <w:rFonts w:ascii="Arial Narrow" w:eastAsiaTheme="majorEastAsia" w:hAnsi="Arial Narrow" w:cstheme="majorBidi"/>
      <w:b/>
      <w:caps/>
      <w:color w:val="2EAAE1"/>
      <w:sz w:val="28"/>
      <w:szCs w:val="32"/>
    </w:rPr>
  </w:style>
  <w:style w:type="paragraph" w:customStyle="1" w:styleId="ifppobox">
    <w:name w:val="ifp_po_box"/>
    <w:basedOn w:val="ifppopis"/>
    <w:link w:val="ifppoboxChar"/>
    <w:qFormat/>
    <w:rsid w:val="00AA20CF"/>
    <w:pPr>
      <w:spacing w:after="120"/>
    </w:pPr>
  </w:style>
  <w:style w:type="character" w:customStyle="1" w:styleId="ifppoboxChar">
    <w:name w:val="ifp_po_box Char"/>
    <w:basedOn w:val="ifppopisChar"/>
    <w:link w:val="ifppobox"/>
    <w:rsid w:val="00AA20CF"/>
    <w:rPr>
      <w:rFonts w:ascii="Arial Narrow" w:hAnsi="Arial Narrow"/>
      <w:b/>
      <w:color w:val="2EAAE1"/>
      <w:sz w:val="20"/>
    </w:rPr>
  </w:style>
  <w:style w:type="paragraph" w:customStyle="1" w:styleId="ifppannex">
    <w:name w:val="ifp_p_annex"/>
    <w:basedOn w:val="ifppobox"/>
    <w:next w:val="ifptext"/>
    <w:link w:val="ifppannexChar"/>
    <w:qFormat/>
    <w:rsid w:val="00AA20CF"/>
    <w:rPr>
      <w:sz w:val="24"/>
    </w:rPr>
  </w:style>
  <w:style w:type="character" w:customStyle="1" w:styleId="ifppannexChar">
    <w:name w:val="ifp_p_annex Char"/>
    <w:basedOn w:val="ifppoboxChar"/>
    <w:link w:val="ifppannex"/>
    <w:rsid w:val="00AA20CF"/>
    <w:rPr>
      <w:rFonts w:ascii="Arial Narrow" w:hAnsi="Arial Narrow"/>
      <w:b/>
      <w:color w:val="2EAAE1"/>
      <w:sz w:val="24"/>
    </w:rPr>
  </w:style>
  <w:style w:type="paragraph" w:customStyle="1" w:styleId="ifptttable">
    <w:name w:val="ifp_tt_table"/>
    <w:basedOn w:val="ifptext"/>
    <w:link w:val="ifptttableChar"/>
    <w:qFormat/>
    <w:rsid w:val="00AA20CF"/>
    <w:pPr>
      <w:spacing w:before="40" w:after="40"/>
      <w:jc w:val="left"/>
    </w:pPr>
    <w:rPr>
      <w:sz w:val="16"/>
    </w:rPr>
  </w:style>
  <w:style w:type="character" w:customStyle="1" w:styleId="ifptttableChar">
    <w:name w:val="ifp_tt_table Char"/>
    <w:basedOn w:val="ifptextChar"/>
    <w:link w:val="ifptttable"/>
    <w:rsid w:val="00AA20CF"/>
    <w:rPr>
      <w:rFonts w:ascii="Arial Narrow" w:hAnsi="Arial Narrow"/>
      <w:sz w:val="16"/>
    </w:rPr>
  </w:style>
  <w:style w:type="paragraph" w:customStyle="1" w:styleId="ifpthtable">
    <w:name w:val="ifp_th_table"/>
    <w:basedOn w:val="ifppopis"/>
    <w:next w:val="ifptttable"/>
    <w:link w:val="ifpthtableChar"/>
    <w:qFormat/>
    <w:rsid w:val="00AA20CF"/>
    <w:pPr>
      <w:spacing w:before="40" w:after="40"/>
    </w:pPr>
    <w:rPr>
      <w:sz w:val="16"/>
    </w:rPr>
  </w:style>
  <w:style w:type="character" w:customStyle="1" w:styleId="ifpthtableChar">
    <w:name w:val="ifp_th_table Char"/>
    <w:basedOn w:val="ifppopisChar"/>
    <w:link w:val="ifpthtable"/>
    <w:rsid w:val="00AA20CF"/>
    <w:rPr>
      <w:rFonts w:ascii="Arial Narrow" w:hAnsi="Arial Narrow"/>
      <w:b/>
      <w:color w:val="2EAAE1"/>
      <w:sz w:val="16"/>
    </w:rPr>
  </w:style>
  <w:style w:type="paragraph" w:customStyle="1" w:styleId="ifpttbtab">
    <w:name w:val="ifp_ttb_tab"/>
    <w:basedOn w:val="ifptttable"/>
    <w:next w:val="ifptttable"/>
    <w:link w:val="ifpttbtabChar"/>
    <w:qFormat/>
    <w:rsid w:val="00AA20CF"/>
    <w:rPr>
      <w:b/>
    </w:rPr>
  </w:style>
  <w:style w:type="character" w:customStyle="1" w:styleId="ifpttbtabChar">
    <w:name w:val="ifp_ttb_tab Char"/>
    <w:basedOn w:val="ifptttableChar"/>
    <w:link w:val="ifpttbtab"/>
    <w:rsid w:val="00AA20CF"/>
    <w:rPr>
      <w:rFonts w:ascii="Arial Narrow" w:hAnsi="Arial Narrow"/>
      <w:b/>
      <w:sz w:val="16"/>
    </w:rPr>
  </w:style>
  <w:style w:type="character" w:styleId="Nevyrieenzmienka">
    <w:name w:val="Unresolved Mention"/>
    <w:basedOn w:val="Predvolenpsmoodseku"/>
    <w:uiPriority w:val="99"/>
    <w:semiHidden/>
    <w:unhideWhenUsed/>
    <w:rsid w:val="00AA20CF"/>
    <w:rPr>
      <w:color w:val="605E5C"/>
      <w:shd w:val="clear" w:color="auto" w:fill="E1DFDD"/>
    </w:rPr>
  </w:style>
  <w:style w:type="paragraph" w:customStyle="1" w:styleId="Graf">
    <w:name w:val="Graf"/>
    <w:autoRedefine/>
    <w:qFormat/>
    <w:rsid w:val="00AA20CF"/>
    <w:pPr>
      <w:spacing w:after="0" w:line="276" w:lineRule="auto"/>
    </w:pPr>
    <w:rPr>
      <w:rFonts w:ascii="Arial Narrow" w:eastAsia="Arial Narrow" w:hAnsi="Arial Narrow" w:cs="Arial Narrow"/>
      <w:b/>
      <w:bCs/>
      <w:noProof/>
      <w:color w:val="2C9ADC"/>
      <w:kern w:val="0"/>
      <w:sz w:val="20"/>
      <w:szCs w:val="36"/>
      <w:lang w:eastAsia="sk-SK"/>
      <w14:ligatures w14:val="none"/>
    </w:rPr>
  </w:style>
  <w:style w:type="paragraph" w:customStyle="1" w:styleId="Tabuka">
    <w:name w:val="Tabuľka"/>
    <w:basedOn w:val="Normlny"/>
    <w:autoRedefine/>
    <w:qFormat/>
    <w:rsid w:val="00AA20CF"/>
    <w:pPr>
      <w:framePr w:hSpace="141" w:wrap="around" w:vAnchor="text" w:hAnchor="margin" w:y="61"/>
      <w:pBdr>
        <w:top w:val="nil"/>
        <w:left w:val="nil"/>
        <w:bottom w:val="nil"/>
        <w:right w:val="nil"/>
        <w:between w:val="nil"/>
        <w:bar w:val="nil"/>
      </w:pBdr>
      <w:spacing w:before="120" w:after="0" w:line="276" w:lineRule="auto"/>
      <w:suppressOverlap/>
    </w:pPr>
    <w:rPr>
      <w:rFonts w:ascii="Arial Narrow" w:eastAsia="Times New Roman" w:hAnsi="Arial Narrow" w:cs="Times New Roman"/>
      <w:b/>
      <w:bCs/>
      <w:color w:val="2C9ADC"/>
      <w:kern w:val="0"/>
      <w:sz w:val="20"/>
      <w:szCs w:val="20"/>
      <w:bdr w:val="nil"/>
      <w:lang w:eastAsia="sk-SK"/>
      <w14:ligatures w14:val="none"/>
    </w:rPr>
  </w:style>
  <w:style w:type="paragraph" w:styleId="Bezriadkovania">
    <w:name w:val="No Spacing"/>
    <w:qFormat/>
    <w:rsid w:val="00AA20CF"/>
    <w:pPr>
      <w:spacing w:after="0" w:line="240" w:lineRule="auto"/>
    </w:pPr>
    <w:rPr>
      <w:rFonts w:ascii="Arial Narrow" w:eastAsia="Times New Roman" w:hAnsi="Arial Narrow" w:cs="Times New Roman"/>
      <w:kern w:val="0"/>
      <w:szCs w:val="36"/>
      <w14:ligatures w14:val="none"/>
    </w:rPr>
  </w:style>
  <w:style w:type="paragraph" w:styleId="Textbubliny">
    <w:name w:val="Balloon Text"/>
    <w:basedOn w:val="Normlny"/>
    <w:link w:val="TextbublinyChar"/>
    <w:uiPriority w:val="99"/>
    <w:semiHidden/>
    <w:unhideWhenUsed/>
    <w:rsid w:val="00AA20CF"/>
    <w:pPr>
      <w:spacing w:after="0" w:line="240" w:lineRule="auto"/>
    </w:pPr>
    <w:rPr>
      <w:rFonts w:ascii="Segoe UI" w:hAnsi="Segoe UI" w:cs="Segoe UI"/>
      <w:kern w:val="0"/>
      <w:sz w:val="18"/>
      <w:szCs w:val="18"/>
      <w:lang w:val="en-GB"/>
      <w14:ligatures w14:val="none"/>
    </w:rPr>
  </w:style>
  <w:style w:type="character" w:customStyle="1" w:styleId="TextbublinyChar">
    <w:name w:val="Text bubliny Char"/>
    <w:basedOn w:val="Predvolenpsmoodseku"/>
    <w:link w:val="Textbubliny"/>
    <w:uiPriority w:val="99"/>
    <w:semiHidden/>
    <w:rsid w:val="00AA20CF"/>
    <w:rPr>
      <w:rFonts w:ascii="Segoe UI" w:hAnsi="Segoe UI" w:cs="Segoe UI"/>
      <w:kern w:val="0"/>
      <w:sz w:val="18"/>
      <w:szCs w:val="18"/>
      <w:lang w:val="en-GB"/>
      <w14:ligatures w14:val="none"/>
    </w:rPr>
  </w:style>
  <w:style w:type="character" w:customStyle="1" w:styleId="Nevyrieenzmienka1">
    <w:name w:val="Nevyriešená zmienka1"/>
    <w:basedOn w:val="Predvolenpsmoodseku"/>
    <w:uiPriority w:val="99"/>
    <w:semiHidden/>
    <w:unhideWhenUsed/>
    <w:rsid w:val="00AA20CF"/>
    <w:rPr>
      <w:color w:val="605E5C"/>
      <w:shd w:val="clear" w:color="auto" w:fill="E1DFDD"/>
    </w:rPr>
  </w:style>
  <w:style w:type="paragraph" w:customStyle="1" w:styleId="Default">
    <w:name w:val="Default"/>
    <w:rsid w:val="00AA20CF"/>
    <w:pPr>
      <w:autoSpaceDE w:val="0"/>
      <w:autoSpaceDN w:val="0"/>
      <w:adjustRightInd w:val="0"/>
      <w:spacing w:after="0" w:line="240" w:lineRule="auto"/>
    </w:pPr>
    <w:rPr>
      <w:rFonts w:ascii="Arial" w:hAnsi="Arial" w:cs="Arial"/>
      <w:color w:val="000000"/>
      <w:kern w:val="0"/>
      <w:sz w:val="24"/>
      <w:szCs w:val="24"/>
      <w14:ligatures w14:val="none"/>
    </w:rPr>
  </w:style>
  <w:style w:type="character" w:styleId="PouitHypertextovPrepojenie">
    <w:name w:val="FollowedHyperlink"/>
    <w:basedOn w:val="Predvolenpsmoodseku"/>
    <w:uiPriority w:val="99"/>
    <w:semiHidden/>
    <w:unhideWhenUsed/>
    <w:rsid w:val="00AA20CF"/>
    <w:rPr>
      <w:color w:val="96607D" w:themeColor="followedHyperlink"/>
      <w:u w:val="single"/>
    </w:rPr>
  </w:style>
  <w:style w:type="character" w:customStyle="1" w:styleId="UnresolvedMention1">
    <w:name w:val="Unresolved Mention1"/>
    <w:basedOn w:val="Predvolenpsmoodseku"/>
    <w:uiPriority w:val="99"/>
    <w:semiHidden/>
    <w:unhideWhenUsed/>
    <w:rsid w:val="00AA20CF"/>
    <w:rPr>
      <w:color w:val="605E5C"/>
      <w:shd w:val="clear" w:color="auto" w:fill="E1DFDD"/>
    </w:rPr>
  </w:style>
  <w:style w:type="character" w:customStyle="1" w:styleId="UnresolvedMention2">
    <w:name w:val="Unresolved Mention2"/>
    <w:basedOn w:val="Predvolenpsmoodseku"/>
    <w:uiPriority w:val="99"/>
    <w:semiHidden/>
    <w:unhideWhenUsed/>
    <w:rsid w:val="00AA20CF"/>
    <w:rPr>
      <w:color w:val="605E5C"/>
      <w:shd w:val="clear" w:color="auto" w:fill="E1DFDD"/>
    </w:rPr>
  </w:style>
  <w:style w:type="character" w:customStyle="1" w:styleId="Nevyrieenzmienka2">
    <w:name w:val="Nevyriešená zmienka2"/>
    <w:basedOn w:val="Predvolenpsmoodseku"/>
    <w:uiPriority w:val="99"/>
    <w:semiHidden/>
    <w:unhideWhenUsed/>
    <w:rsid w:val="00AA20CF"/>
    <w:rPr>
      <w:color w:val="605E5C"/>
      <w:shd w:val="clear" w:color="auto" w:fill="E1DFDD"/>
    </w:rPr>
  </w:style>
  <w:style w:type="character" w:customStyle="1" w:styleId="Nevyrieenzmienka3">
    <w:name w:val="Nevyriešená zmienka3"/>
    <w:basedOn w:val="Predvolenpsmoodseku"/>
    <w:uiPriority w:val="99"/>
    <w:semiHidden/>
    <w:unhideWhenUsed/>
    <w:rsid w:val="00AA20CF"/>
    <w:rPr>
      <w:color w:val="605E5C"/>
      <w:shd w:val="clear" w:color="auto" w:fill="E1DFDD"/>
    </w:rPr>
  </w:style>
  <w:style w:type="character" w:customStyle="1" w:styleId="UnresolvedMention3">
    <w:name w:val="Unresolved Mention3"/>
    <w:basedOn w:val="Predvolenpsmoodseku"/>
    <w:uiPriority w:val="99"/>
    <w:semiHidden/>
    <w:unhideWhenUsed/>
    <w:rsid w:val="00AA20CF"/>
    <w:rPr>
      <w:color w:val="605E5C"/>
      <w:shd w:val="clear" w:color="auto" w:fill="E1DFDD"/>
    </w:rPr>
  </w:style>
  <w:style w:type="paragraph" w:customStyle="1" w:styleId="ifpzhrnutie">
    <w:name w:val="ifp_zhrnutie"/>
    <w:basedOn w:val="ifptext"/>
    <w:link w:val="ifpzhrnutieChar"/>
    <w:qFormat/>
    <w:rsid w:val="00AA20CF"/>
  </w:style>
  <w:style w:type="character" w:customStyle="1" w:styleId="ifpzhrnutieChar">
    <w:name w:val="ifp_zhrnutie Char"/>
    <w:basedOn w:val="ifptextChar"/>
    <w:link w:val="ifpzhrnutie"/>
    <w:rsid w:val="00AA20CF"/>
    <w:rPr>
      <w:rFonts w:ascii="Arial Narrow" w:hAnsi="Arial Narrow"/>
    </w:rPr>
  </w:style>
  <w:style w:type="character" w:customStyle="1" w:styleId="defaultStyle">
    <w:name w:val="defaultStyle"/>
    <w:rsid w:val="00AA20CF"/>
    <w:rPr>
      <w:rFonts w:ascii="Century Gothic" w:eastAsia="Century Gothic" w:hAnsi="Century Gothic" w:cs="Century Gothic"/>
      <w:b w:val="0"/>
      <w:bCs w:val="0"/>
      <w:color w:val="000000"/>
      <w:sz w:val="24"/>
      <w:szCs w:val="24"/>
    </w:rPr>
  </w:style>
  <w:style w:type="character" w:customStyle="1" w:styleId="titleBlueStyle">
    <w:name w:val="titleBlueStyle"/>
    <w:rsid w:val="00AA20CF"/>
    <w:rPr>
      <w:rFonts w:ascii="Century Gothic" w:eastAsia="Century Gothic" w:hAnsi="Century Gothic" w:cs="Century Gothic"/>
      <w:b/>
      <w:bCs/>
      <w:color w:val="323299"/>
      <w:sz w:val="28"/>
      <w:szCs w:val="28"/>
    </w:rPr>
  </w:style>
  <w:style w:type="character" w:customStyle="1" w:styleId="titleGreyStyle">
    <w:name w:val="titleGreyStyle"/>
    <w:rsid w:val="00AA20CF"/>
    <w:rPr>
      <w:rFonts w:ascii="Century Gothic" w:eastAsia="Century Gothic" w:hAnsi="Century Gothic" w:cs="Century Gothic"/>
      <w:b w:val="0"/>
      <w:bCs w:val="0"/>
      <w:color w:val="C1C1C1"/>
      <w:sz w:val="60"/>
      <w:szCs w:val="60"/>
    </w:rPr>
  </w:style>
  <w:style w:type="character" w:customStyle="1" w:styleId="subTitleBlueStyle">
    <w:name w:val="subTitleBlueStyle"/>
    <w:rsid w:val="00AA20CF"/>
    <w:rPr>
      <w:rFonts w:ascii="Century Gothic" w:eastAsia="Century Gothic" w:hAnsi="Century Gothic" w:cs="Century Gothic"/>
      <w:b/>
      <w:bCs/>
      <w:color w:val="323299"/>
      <w:sz w:val="24"/>
      <w:szCs w:val="24"/>
    </w:rPr>
  </w:style>
  <w:style w:type="character" w:customStyle="1" w:styleId="blueStyle">
    <w:name w:val="blueStyle"/>
    <w:rsid w:val="00AA20CF"/>
    <w:rPr>
      <w:rFonts w:ascii="Century Gothic" w:eastAsia="Century Gothic" w:hAnsi="Century Gothic" w:cs="Century Gothic"/>
      <w:b w:val="0"/>
      <w:bCs w:val="0"/>
      <w:color w:val="323299"/>
      <w:sz w:val="24"/>
      <w:szCs w:val="24"/>
    </w:rPr>
  </w:style>
  <w:style w:type="character" w:customStyle="1" w:styleId="headerStyle">
    <w:name w:val="headerStyle"/>
    <w:rsid w:val="00AA20CF"/>
    <w:rPr>
      <w:rFonts w:ascii="Century Gothic" w:eastAsia="Century Gothic" w:hAnsi="Century Gothic" w:cs="Century Gothic"/>
      <w:b w:val="0"/>
      <w:bCs w:val="0"/>
      <w:color w:val="C1C1C1"/>
      <w:sz w:val="20"/>
      <w:szCs w:val="20"/>
    </w:rPr>
  </w:style>
  <w:style w:type="paragraph" w:customStyle="1" w:styleId="titleParagraphStyle">
    <w:name w:val="titleParagraphStyle"/>
    <w:basedOn w:val="Normlny"/>
    <w:rsid w:val="00AA20CF"/>
    <w:pPr>
      <w:spacing w:before="300" w:after="300" w:line="278" w:lineRule="auto"/>
      <w:jc w:val="center"/>
    </w:pPr>
    <w:rPr>
      <w:rFonts w:ascii="Arial" w:eastAsia="Arial" w:hAnsi="Arial" w:cs="Arial"/>
      <w:kern w:val="0"/>
      <w:sz w:val="20"/>
      <w:szCs w:val="20"/>
      <w:lang w:val="en-US" w:eastAsia="sk-SK"/>
      <w14:ligatures w14:val="none"/>
    </w:rPr>
  </w:style>
  <w:style w:type="paragraph" w:customStyle="1" w:styleId="subTitleParagraphStyle">
    <w:name w:val="subTitleParagraphStyle"/>
    <w:basedOn w:val="Normlny"/>
    <w:rsid w:val="00AA20CF"/>
    <w:pPr>
      <w:spacing w:line="278" w:lineRule="auto"/>
      <w:jc w:val="center"/>
    </w:pPr>
    <w:rPr>
      <w:rFonts w:ascii="Arial" w:eastAsia="Arial" w:hAnsi="Arial" w:cs="Arial"/>
      <w:kern w:val="0"/>
      <w:sz w:val="20"/>
      <w:szCs w:val="20"/>
      <w:lang w:val="en-US" w:eastAsia="sk-SK"/>
      <w14:ligatures w14:val="none"/>
    </w:rPr>
  </w:style>
  <w:style w:type="paragraph" w:customStyle="1" w:styleId="subpartParagraphStyle">
    <w:name w:val="subpartParagraphStyle"/>
    <w:basedOn w:val="Normlny"/>
    <w:rsid w:val="00AA20CF"/>
    <w:pPr>
      <w:spacing w:before="300" w:after="300" w:line="278" w:lineRule="auto"/>
    </w:pPr>
    <w:rPr>
      <w:rFonts w:ascii="Arial" w:eastAsia="Arial" w:hAnsi="Arial" w:cs="Arial"/>
      <w:kern w:val="0"/>
      <w:sz w:val="20"/>
      <w:szCs w:val="20"/>
      <w:lang w:val="en-US" w:eastAsia="sk-SK"/>
      <w14:ligatures w14:val="none"/>
    </w:rPr>
  </w:style>
  <w:style w:type="paragraph" w:styleId="Normlnywebov">
    <w:name w:val="Normal (Web)"/>
    <w:basedOn w:val="Normlny"/>
    <w:uiPriority w:val="99"/>
    <w:semiHidden/>
    <w:unhideWhenUsed/>
    <w:rsid w:val="00AA20C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43177">
      <w:bodyDiv w:val="1"/>
      <w:marLeft w:val="0"/>
      <w:marRight w:val="0"/>
      <w:marTop w:val="0"/>
      <w:marBottom w:val="0"/>
      <w:divBdr>
        <w:top w:val="none" w:sz="0" w:space="0" w:color="auto"/>
        <w:left w:val="none" w:sz="0" w:space="0" w:color="auto"/>
        <w:bottom w:val="none" w:sz="0" w:space="0" w:color="auto"/>
        <w:right w:val="none" w:sz="0" w:space="0" w:color="auto"/>
      </w:divBdr>
    </w:div>
    <w:div w:id="216550745">
      <w:bodyDiv w:val="1"/>
      <w:marLeft w:val="0"/>
      <w:marRight w:val="0"/>
      <w:marTop w:val="0"/>
      <w:marBottom w:val="0"/>
      <w:divBdr>
        <w:top w:val="none" w:sz="0" w:space="0" w:color="auto"/>
        <w:left w:val="none" w:sz="0" w:space="0" w:color="auto"/>
        <w:bottom w:val="none" w:sz="0" w:space="0" w:color="auto"/>
        <w:right w:val="none" w:sz="0" w:space="0" w:color="auto"/>
      </w:divBdr>
    </w:div>
    <w:div w:id="666439441">
      <w:bodyDiv w:val="1"/>
      <w:marLeft w:val="0"/>
      <w:marRight w:val="0"/>
      <w:marTop w:val="0"/>
      <w:marBottom w:val="0"/>
      <w:divBdr>
        <w:top w:val="none" w:sz="0" w:space="0" w:color="auto"/>
        <w:left w:val="none" w:sz="0" w:space="0" w:color="auto"/>
        <w:bottom w:val="none" w:sz="0" w:space="0" w:color="auto"/>
        <w:right w:val="none" w:sz="0" w:space="0" w:color="auto"/>
      </w:divBdr>
    </w:div>
    <w:div w:id="684479176">
      <w:bodyDiv w:val="1"/>
      <w:marLeft w:val="0"/>
      <w:marRight w:val="0"/>
      <w:marTop w:val="0"/>
      <w:marBottom w:val="0"/>
      <w:divBdr>
        <w:top w:val="none" w:sz="0" w:space="0" w:color="auto"/>
        <w:left w:val="none" w:sz="0" w:space="0" w:color="auto"/>
        <w:bottom w:val="none" w:sz="0" w:space="0" w:color="auto"/>
        <w:right w:val="none" w:sz="0" w:space="0" w:color="auto"/>
      </w:divBdr>
    </w:div>
    <w:div w:id="838236654">
      <w:bodyDiv w:val="1"/>
      <w:marLeft w:val="0"/>
      <w:marRight w:val="0"/>
      <w:marTop w:val="0"/>
      <w:marBottom w:val="0"/>
      <w:divBdr>
        <w:top w:val="none" w:sz="0" w:space="0" w:color="auto"/>
        <w:left w:val="none" w:sz="0" w:space="0" w:color="auto"/>
        <w:bottom w:val="none" w:sz="0" w:space="0" w:color="auto"/>
        <w:right w:val="none" w:sz="0" w:space="0" w:color="auto"/>
      </w:divBdr>
    </w:div>
    <w:div w:id="1012798954">
      <w:bodyDiv w:val="1"/>
      <w:marLeft w:val="0"/>
      <w:marRight w:val="0"/>
      <w:marTop w:val="0"/>
      <w:marBottom w:val="0"/>
      <w:divBdr>
        <w:top w:val="none" w:sz="0" w:space="0" w:color="auto"/>
        <w:left w:val="none" w:sz="0" w:space="0" w:color="auto"/>
        <w:bottom w:val="none" w:sz="0" w:space="0" w:color="auto"/>
        <w:right w:val="none" w:sz="0" w:space="0" w:color="auto"/>
      </w:divBdr>
    </w:div>
    <w:div w:id="1143085141">
      <w:bodyDiv w:val="1"/>
      <w:marLeft w:val="0"/>
      <w:marRight w:val="0"/>
      <w:marTop w:val="0"/>
      <w:marBottom w:val="0"/>
      <w:divBdr>
        <w:top w:val="none" w:sz="0" w:space="0" w:color="auto"/>
        <w:left w:val="none" w:sz="0" w:space="0" w:color="auto"/>
        <w:bottom w:val="none" w:sz="0" w:space="0" w:color="auto"/>
        <w:right w:val="none" w:sz="0" w:space="0" w:color="auto"/>
      </w:divBdr>
    </w:div>
    <w:div w:id="1384645539">
      <w:bodyDiv w:val="1"/>
      <w:marLeft w:val="0"/>
      <w:marRight w:val="0"/>
      <w:marTop w:val="0"/>
      <w:marBottom w:val="0"/>
      <w:divBdr>
        <w:top w:val="none" w:sz="0" w:space="0" w:color="auto"/>
        <w:left w:val="none" w:sz="0" w:space="0" w:color="auto"/>
        <w:bottom w:val="none" w:sz="0" w:space="0" w:color="auto"/>
        <w:right w:val="none" w:sz="0" w:space="0" w:color="auto"/>
      </w:divBdr>
    </w:div>
    <w:div w:id="1397237556">
      <w:bodyDiv w:val="1"/>
      <w:marLeft w:val="0"/>
      <w:marRight w:val="0"/>
      <w:marTop w:val="0"/>
      <w:marBottom w:val="0"/>
      <w:divBdr>
        <w:top w:val="none" w:sz="0" w:space="0" w:color="auto"/>
        <w:left w:val="none" w:sz="0" w:space="0" w:color="auto"/>
        <w:bottom w:val="none" w:sz="0" w:space="0" w:color="auto"/>
        <w:right w:val="none" w:sz="0" w:space="0" w:color="auto"/>
      </w:divBdr>
    </w:div>
    <w:div w:id="1593588028">
      <w:bodyDiv w:val="1"/>
      <w:marLeft w:val="0"/>
      <w:marRight w:val="0"/>
      <w:marTop w:val="0"/>
      <w:marBottom w:val="0"/>
      <w:divBdr>
        <w:top w:val="none" w:sz="0" w:space="0" w:color="auto"/>
        <w:left w:val="none" w:sz="0" w:space="0" w:color="auto"/>
        <w:bottom w:val="none" w:sz="0" w:space="0" w:color="auto"/>
        <w:right w:val="none" w:sz="0" w:space="0" w:color="auto"/>
      </w:divBdr>
    </w:div>
    <w:div w:id="2011253784">
      <w:bodyDiv w:val="1"/>
      <w:marLeft w:val="0"/>
      <w:marRight w:val="0"/>
      <w:marTop w:val="0"/>
      <w:marBottom w:val="0"/>
      <w:divBdr>
        <w:top w:val="none" w:sz="0" w:space="0" w:color="auto"/>
        <w:left w:val="none" w:sz="0" w:space="0" w:color="auto"/>
        <w:bottom w:val="none" w:sz="0" w:space="0" w:color="auto"/>
        <w:right w:val="none" w:sz="0" w:space="0" w:color="auto"/>
      </w:divBdr>
    </w:div>
    <w:div w:id="206741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lov-lex.sk/elegislativa/legislativne-procesy/SK/LP/2025/473" TargetMode="External"/><Relationship Id="rId21" Type="http://schemas.openxmlformats.org/officeDocument/2006/relationships/chart" Target="charts/chart8.xml"/><Relationship Id="rId42" Type="http://schemas.openxmlformats.org/officeDocument/2006/relationships/hyperlink" Target="https://www.mhsr.sk/podpora-investicii/plan-obnovy/harmonogram-vyziev/archiv/komponent-1/vyzva-poo-k1-09?csrt=12464980704149685490" TargetMode="External"/><Relationship Id="rId63" Type="http://schemas.openxmlformats.org/officeDocument/2006/relationships/hyperlink" Target="https://rokovania.gov.sk/RVL/Material/30632/1" TargetMode="External"/><Relationship Id="rId84" Type="http://schemas.openxmlformats.org/officeDocument/2006/relationships/hyperlink" Target="https://www.slov-lex.sk/elegislativa/legislativne-procesy/SK/PI/2025/266" TargetMode="External"/><Relationship Id="rId138" Type="http://schemas.openxmlformats.org/officeDocument/2006/relationships/hyperlink" Target="https://www.employment.gov.sk/files/slovensky/esf/op-slovensko/vyzvy-dop/vyzva-zavadzanie-housing-led-pristupov-so-sprievodnymi-opatreniami-zabezpecenie-dostupneho-byvania.pdf" TargetMode="External"/><Relationship Id="rId107" Type="http://schemas.openxmlformats.org/officeDocument/2006/relationships/hyperlink" Target="https://www.slov-lex.sk/ezbierky/pravne-predpisy/SK/ZZ/2019/138/" TargetMode="External"/><Relationship Id="rId11" Type="http://schemas.openxmlformats.org/officeDocument/2006/relationships/footer" Target="footer2.xml"/><Relationship Id="rId32" Type="http://schemas.openxmlformats.org/officeDocument/2006/relationships/hyperlink" Target="https://metais.slovensko.sk/ci/Projekt/dcbcddbf-b072-4f3d-992b-ab30fde084a7/" TargetMode="External"/><Relationship Id="rId53" Type="http://schemas.openxmlformats.org/officeDocument/2006/relationships/hyperlink" Target="https://www.slov-lex.sk/ezbierky/pravne-predpisy/SK/ZZ/2023/182/20230901.html?utm_source=chatgpt.com" TargetMode="External"/><Relationship Id="rId74" Type="http://schemas.openxmlformats.org/officeDocument/2006/relationships/hyperlink" Target="https://mirri.gov.sk/wp-content/uploads/2025/12/Narodna-koncepcia-informatizacie-verejnej-spravy-s-prilohami.pdf" TargetMode="External"/><Relationship Id="rId128" Type="http://schemas.openxmlformats.org/officeDocument/2006/relationships/hyperlink" Target="https://www.sih.sk/aktuality/a-new-boost-for-business-slovak-investment-holding-launches-attractive-financing-for-companies-and-innovation" TargetMode="External"/><Relationship Id="rId149" Type="http://schemas.openxmlformats.org/officeDocument/2006/relationships/footer" Target="footer8.xml"/><Relationship Id="rId5" Type="http://schemas.openxmlformats.org/officeDocument/2006/relationships/webSettings" Target="webSettings.xml"/><Relationship Id="rId95" Type="http://schemas.openxmlformats.org/officeDocument/2006/relationships/hyperlink" Target="https://skp.gov.sk/?csrt=5654296250087133040" TargetMode="External"/><Relationship Id="rId22" Type="http://schemas.openxmlformats.org/officeDocument/2006/relationships/chart" Target="charts/chart9.xml"/><Relationship Id="rId43" Type="http://schemas.openxmlformats.org/officeDocument/2006/relationships/hyperlink" Target="https://vaia.gov.sk/sk/2023/04/vyzva-na-predkladanie-ziadosti-o-poskytnutie-prostriedkov-mechanizmu-na-podporu-obnovy-a-odolnosti-zamerana-na-podporu-projektov-ktore-su-sucastou-vyznamneho-projektu-spolocneho-europskeho/" TargetMode="External"/><Relationship Id="rId64" Type="http://schemas.openxmlformats.org/officeDocument/2006/relationships/hyperlink" Target="https://obnovdom.sk/obnov-dom-mini/ziadost/ukoncene" TargetMode="External"/><Relationship Id="rId118" Type="http://schemas.openxmlformats.org/officeDocument/2006/relationships/hyperlink" Target="https://www.digitalniseniori.gov.sk/" TargetMode="External"/><Relationship Id="rId139" Type="http://schemas.openxmlformats.org/officeDocument/2006/relationships/hyperlink" Target="https://eurofondy.praca.gov.sk/narodny-projekt-terenna-socialna-praca-a-komunitne-centra/" TargetMode="External"/><Relationship Id="rId80" Type="http://schemas.openxmlformats.org/officeDocument/2006/relationships/footer" Target="footer6.xml"/><Relationship Id="rId85" Type="http://schemas.openxmlformats.org/officeDocument/2006/relationships/hyperlink" Target="https://www.slov-lex.sk/elegislativa/legislativne-procesy/SK/LP/2025/385" TargetMode="External"/><Relationship Id="rId150" Type="http://schemas.openxmlformats.org/officeDocument/2006/relationships/footer" Target="footer9.xml"/><Relationship Id="rId155" Type="http://schemas.openxmlformats.org/officeDocument/2006/relationships/footer" Target="footer13.xml"/><Relationship Id="rId12" Type="http://schemas.openxmlformats.org/officeDocument/2006/relationships/chart" Target="charts/chart1.xml"/><Relationship Id="rId17" Type="http://schemas.openxmlformats.org/officeDocument/2006/relationships/chart" Target="charts/chart4.xml"/><Relationship Id="rId33" Type="http://schemas.openxmlformats.org/officeDocument/2006/relationships/hyperlink" Target="https://www.financnasprava.sk/sk/pre-media/novinky/archiv-noviniek/detail-novinky/_platba-qr-kod-ts/bc" TargetMode="External"/><Relationship Id="rId38" Type="http://schemas.openxmlformats.org/officeDocument/2006/relationships/hyperlink" Target="https://www.minzp.sk/files/sekcia-vod/kvps2030_web.pdf" TargetMode="External"/><Relationship Id="rId59" Type="http://schemas.openxmlformats.org/officeDocument/2006/relationships/hyperlink" Target="https://rokovania.gov.sk/RVL/Material/31343/1" TargetMode="External"/><Relationship Id="rId103" Type="http://schemas.openxmlformats.org/officeDocument/2006/relationships/hyperlink" Target="https://www.minedu.sk/data/att/b31/33956.316113.pdf" TargetMode="External"/><Relationship Id="rId108" Type="http://schemas.openxmlformats.org/officeDocument/2006/relationships/hyperlink" Target="https://www.minedu.sk/narodny-projekt-podpora-pomahajucich-profesii-3/?utm_source=chatgpt.com" TargetMode="External"/><Relationship Id="rId124" Type="http://schemas.openxmlformats.org/officeDocument/2006/relationships/hyperlink" Target="https://www.siea.sk/inovacie/inovacnepoukazky/" TargetMode="External"/><Relationship Id="rId129" Type="http://schemas.openxmlformats.org/officeDocument/2006/relationships/hyperlink" Target="https://rokovania.gov.sk/RVL/Material/31410/1" TargetMode="External"/><Relationship Id="rId54" Type="http://schemas.openxmlformats.org/officeDocument/2006/relationships/hyperlink" Target="https://portal.itms21.sk/projekt/?id=21591" TargetMode="External"/><Relationship Id="rId70" Type="http://schemas.openxmlformats.org/officeDocument/2006/relationships/hyperlink" Target="https://www.slov-lex.sk/ezbierky/pravne-predpisy/SK/ZZ/2025/385/" TargetMode="External"/><Relationship Id="rId75" Type="http://schemas.openxmlformats.org/officeDocument/2006/relationships/hyperlink" Target="https://www.slov-lex.sk/ezbierky/pravne-predpisy/SK/ZZ/2023/332/" TargetMode="External"/><Relationship Id="rId91" Type="http://schemas.openxmlformats.org/officeDocument/2006/relationships/hyperlink" Target="https://www.minzp.sk/klima/modernizacny-fond/dekarbonizacia-priemyslu/vyzva-i.html" TargetMode="External"/><Relationship Id="rId96" Type="http://schemas.openxmlformats.org/officeDocument/2006/relationships/hyperlink" Target="https://zelenadomacnostiam.sk/podmienky-podpory/podmienky-pre-rodinne-domy/" TargetMode="External"/><Relationship Id="rId140" Type="http://schemas.openxmlformats.org/officeDocument/2006/relationships/hyperlink" Target="https://portal.itms21.sk/vyhlasena-vyzva/?id=3066" TargetMode="External"/><Relationship Id="rId145" Type="http://schemas.openxmlformats.org/officeDocument/2006/relationships/hyperlink" Target="https://www.health.gov.sk/?Rada-tvorba-rozpoctu-zdravotnictvo"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10.xml"/><Relationship Id="rId28" Type="http://schemas.openxmlformats.org/officeDocument/2006/relationships/header" Target="header3.xml"/><Relationship Id="rId49" Type="http://schemas.openxmlformats.org/officeDocument/2006/relationships/hyperlink" Target="https://www.minedu.sk/od-noveho-skolskeho-roku-zacne-fungovat-vsetkych-40-regionalnych-centier-podpory-ucitelov/" TargetMode="External"/><Relationship Id="rId114" Type="http://schemas.openxmlformats.org/officeDocument/2006/relationships/hyperlink" Target="https://www.minedu.sk/vyzva-rozsirenie-overenych-inovacii-do-vychovy-a-vzdelavania-v-skolach-v-roku-2024/" TargetMode="External"/><Relationship Id="rId119" Type="http://schemas.openxmlformats.org/officeDocument/2006/relationships/hyperlink" Target="https://tukapp.sk/" TargetMode="External"/><Relationship Id="rId44" Type="http://schemas.openxmlformats.org/officeDocument/2006/relationships/hyperlink" Target="https://vaia.gov.sk/sk/2023/10/podpora-vyvoja-inovativnych-rieseni-v-oblasti-dekarbonizacie/" TargetMode="External"/><Relationship Id="rId60" Type="http://schemas.openxmlformats.org/officeDocument/2006/relationships/hyperlink" Target="https://mirri.gov.sk/sekcie/informatizacia/licencie-2/platforma-it-zdrojov/" TargetMode="External"/><Relationship Id="rId65" Type="http://schemas.openxmlformats.org/officeDocument/2006/relationships/hyperlink" Target="https://www.slov-lex.sk/ezbierky/pravne-predpisy/SK/ZZ/2025/25/" TargetMode="External"/><Relationship Id="rId81" Type="http://schemas.openxmlformats.org/officeDocument/2006/relationships/footer" Target="footer7.xml"/><Relationship Id="rId86" Type="http://schemas.openxmlformats.org/officeDocument/2006/relationships/hyperlink" Target="https://www.minzp.sk/voda/koncepcne-dokumenty/koncepcia-vodnej-politiky-roky-2021-2030-vyhladom-do-roku-2050.html" TargetMode="External"/><Relationship Id="rId130" Type="http://schemas.openxmlformats.org/officeDocument/2006/relationships/hyperlink" Target="https://www.employment.gov.sk/files/sk/rodina-socialna-pomoc/socialne-sluzby/prevencia-ukoncovanie-bezdomovstva/akcny-plan-roky-2024-2026-k-narodnej-koncepcii-prevencie-ukoncovania-bezdomovstva-do-roku-2030-ap-nkpub.pdf" TargetMode="External"/><Relationship Id="rId135" Type="http://schemas.openxmlformats.org/officeDocument/2006/relationships/hyperlink" Target="https://sancananavrat.sk/" TargetMode="External"/><Relationship Id="rId151" Type="http://schemas.openxmlformats.org/officeDocument/2006/relationships/footer" Target="footer10.xml"/><Relationship Id="rId156" Type="http://schemas.openxmlformats.org/officeDocument/2006/relationships/fontTable" Target="fontTable.xml"/><Relationship Id="rId13" Type="http://schemas.openxmlformats.org/officeDocument/2006/relationships/chart" Target="charts/chart2.xml"/><Relationship Id="rId18" Type="http://schemas.openxmlformats.org/officeDocument/2006/relationships/chart" Target="charts/chart5.xml"/><Relationship Id="rId39" Type="http://schemas.openxmlformats.org/officeDocument/2006/relationships/hyperlink" Target="https://www.slov-lex.sk/ezbierky/pravne-predpisy/SK/ZZ/2023/74/" TargetMode="External"/><Relationship Id="rId109" Type="http://schemas.openxmlformats.org/officeDocument/2006/relationships/hyperlink" Target="https://www.minedu.sk/digiedu-informacie-ku-komponentu-7-investicii-1-poo-sr/" TargetMode="External"/><Relationship Id="rId34" Type="http://schemas.openxmlformats.org/officeDocument/2006/relationships/hyperlink" Target="https://www.slov-lex.sk/ezbierky/pravne-predpisy/SK/ZZ/2025/259/" TargetMode="External"/><Relationship Id="rId50" Type="http://schemas.openxmlformats.org/officeDocument/2006/relationships/hyperlink" Target="https://www.minedu.sk/rezort-skolstva-eviduje-viac-ako-280-ziadosti-o-zvysenie-kapacit-materskych-skol-vyzva-je-uzavreta/?utm_source=chatgpt.com" TargetMode="External"/><Relationship Id="rId55" Type="http://schemas.openxmlformats.org/officeDocument/2006/relationships/hyperlink" Target="https://www.minedu.sk/monitoring-rizika-segregacie/" TargetMode="External"/><Relationship Id="rId76" Type="http://schemas.openxmlformats.org/officeDocument/2006/relationships/hyperlink" Target="https://www.slov-lex.sk/ezbierky/pravne-predpisy/SK/ZZ/2024/269/" TargetMode="External"/><Relationship Id="rId97" Type="http://schemas.openxmlformats.org/officeDocument/2006/relationships/hyperlink" Target="https://zelenadomacnostiam.sk/podmienky-podpory/podmienky-pre-rodinne-domy/" TargetMode="External"/><Relationship Id="rId104" Type="http://schemas.openxmlformats.org/officeDocument/2006/relationships/hyperlink" Target="https://static.slov-lex.sk/static/SK/ZZ/2025/300/vyhlasene_znenie.html" TargetMode="External"/><Relationship Id="rId120" Type="http://schemas.openxmlformats.org/officeDocument/2006/relationships/hyperlink" Target="https://mirri.gov.sk/wp-content/uploads/2024/03/Vnutrostatny-plan-Digitalnej-dekady-za-Slovensku-republiku-1.pdf" TargetMode="External"/><Relationship Id="rId125" Type="http://schemas.openxmlformats.org/officeDocument/2006/relationships/hyperlink" Target="https://eic.ec.europa.eu/eic-funding-opportunities/eic-accelerator_en" TargetMode="External"/><Relationship Id="rId141" Type="http://schemas.openxmlformats.org/officeDocument/2006/relationships/hyperlink" Target="https://eurofondy.praca.gov.sk/vyzva-na-zapojenie-aktivita-tsp-2025/" TargetMode="External"/><Relationship Id="rId146" Type="http://schemas.openxmlformats.org/officeDocument/2006/relationships/hyperlink" Target="https://pilotvykony.sk/pilot-1/" TargetMode="External"/><Relationship Id="rId7" Type="http://schemas.openxmlformats.org/officeDocument/2006/relationships/endnotes" Target="endnotes.xml"/><Relationship Id="rId71" Type="http://schemas.openxmlformats.org/officeDocument/2006/relationships/hyperlink" Target="https://www.slov-lex.sk/ezbierky/pravne-predpisy/SK/ZZ/2025/384/" TargetMode="External"/><Relationship Id="rId92" Type="http://schemas.openxmlformats.org/officeDocument/2006/relationships/hyperlink" Target="https://www.minzp.sk/klima/modernizacny-fond/dekarbonizacia-priemyslu/vyzva-ii.html" TargetMode="External"/><Relationship Id="rId2" Type="http://schemas.openxmlformats.org/officeDocument/2006/relationships/numbering" Target="numbering.xml"/><Relationship Id="rId29" Type="http://schemas.openxmlformats.org/officeDocument/2006/relationships/footer" Target="footer4.xml"/><Relationship Id="rId24" Type="http://schemas.openxmlformats.org/officeDocument/2006/relationships/chart" Target="charts/chart11.xml"/><Relationship Id="rId40" Type="http://schemas.openxmlformats.org/officeDocument/2006/relationships/hyperlink" Target="https://www.minzp.sk/files/metodicka-prirucka-postupov-revitalizacie-vodnych-tokov.pdf" TargetMode="External"/><Relationship Id="rId45" Type="http://schemas.openxmlformats.org/officeDocument/2006/relationships/hyperlink" Target="https://vaia.gov.sk/sk/2023/07/vyzva-podpora-vyskumnych-projektov-zameranych-na-dekarbonizaciu-ekonomiky-v-trl-urovniach-1-3/" TargetMode="External"/><Relationship Id="rId66" Type="http://schemas.openxmlformats.org/officeDocument/2006/relationships/hyperlink" Target="https://www.slov-lex.sk/ezbierky/pravne-predpisy/SK/ZZ/2022/150/20230601.html" TargetMode="External"/><Relationship Id="rId87" Type="http://schemas.openxmlformats.org/officeDocument/2006/relationships/hyperlink" Target="https://www.slov-lex.sk/ezbierky/pravne-predpisy/SK/ZZ/2004/755/20240309.html" TargetMode="External"/><Relationship Id="rId110" Type="http://schemas.openxmlformats.org/officeDocument/2006/relationships/hyperlink" Target="https://www.minedu.sk/program-informatizacie-skolstva-do-roku-2030/" TargetMode="External"/><Relationship Id="rId115" Type="http://schemas.openxmlformats.org/officeDocument/2006/relationships/hyperlink" Target="https://www.minedu.sk/data/att/921/35587.3d62fb.pdf" TargetMode="External"/><Relationship Id="rId131" Type="http://schemas.openxmlformats.org/officeDocument/2006/relationships/hyperlink" Target="https://www.alianciasr.sk/aliancia-sektorovych-rad-predvidanie-trendov-a-potrieb-trhu-prace-2/" TargetMode="External"/><Relationship Id="rId136" Type="http://schemas.openxmlformats.org/officeDocument/2006/relationships/hyperlink" Target="https://www.employment.gov.sk/files/sk/rodina-socialna-pomoc/socialne-sluzby/vcasna-intervencia-rana-starostlivost/akcny-plan-roky-2023-2025.pdf" TargetMode="External"/><Relationship Id="rId157" Type="http://schemas.openxmlformats.org/officeDocument/2006/relationships/theme" Target="theme/theme1.xml"/><Relationship Id="rId61" Type="http://schemas.openxmlformats.org/officeDocument/2006/relationships/hyperlink" Target="https://vaia.gov.sk/sk/2025/02/ziskate-financny-nastroj-na-digitalizaciu-a-inovacie/" TargetMode="External"/><Relationship Id="rId82" Type="http://schemas.openxmlformats.org/officeDocument/2006/relationships/hyperlink" Target="https://www.slov-lex.sk/ezbierky/pravne-predpisy/SK/ZZ/2019/35/20260101.html" TargetMode="External"/><Relationship Id="rId152" Type="http://schemas.openxmlformats.org/officeDocument/2006/relationships/image" Target="media/image3.png"/><Relationship Id="rId19" Type="http://schemas.openxmlformats.org/officeDocument/2006/relationships/chart" Target="charts/chart6.xml"/><Relationship Id="rId14" Type="http://schemas.openxmlformats.org/officeDocument/2006/relationships/header" Target="header2.xml"/><Relationship Id="rId30" Type="http://schemas.openxmlformats.org/officeDocument/2006/relationships/hyperlink" Target="https://www.slov-lex.sk/ezbierky/pravne-predpisy/SK/ZZ/2024/278/20250101.html" TargetMode="External"/><Relationship Id="rId35" Type="http://schemas.openxmlformats.org/officeDocument/2006/relationships/hyperlink" Target="https://www.slov-lex.sk/ezbierky/pravne-predpisy/SK/ZZ/2022/256/20221001.html" TargetMode="External"/><Relationship Id="rId56" Type="http://schemas.openxmlformats.org/officeDocument/2006/relationships/hyperlink" Target="https://www.minedu.sk/prilezitost-pre-vsetkych/?utm_source=chatgpt.com" TargetMode="External"/><Relationship Id="rId77" Type="http://schemas.openxmlformats.org/officeDocument/2006/relationships/hyperlink" Target="https://rokovania.gov.sk/RVL/Material/31365/1" TargetMode="External"/><Relationship Id="rId100" Type="http://schemas.openxmlformats.org/officeDocument/2006/relationships/hyperlink" Target="https://www.siea.sk/strukturalne-fondy-eu/program-slovensko/narodne-projekty/" TargetMode="External"/><Relationship Id="rId105" Type="http://schemas.openxmlformats.org/officeDocument/2006/relationships/hyperlink" Target="https://portal.itms21.sk/vyhlasena-vyzva/?id=3705" TargetMode="External"/><Relationship Id="rId126" Type="http://schemas.openxmlformats.org/officeDocument/2006/relationships/hyperlink" Target="https://www.sbagency.sk/narodny-projekt-horizontalna-podpora-maleho-a-stredneho-podnikania" TargetMode="External"/><Relationship Id="rId147" Type="http://schemas.openxmlformats.org/officeDocument/2006/relationships/hyperlink" Target="https://pilotvykony.sk/pilot-2/" TargetMode="External"/><Relationship Id="rId8" Type="http://schemas.openxmlformats.org/officeDocument/2006/relationships/image" Target="media/image1.jpeg"/><Relationship Id="rId51" Type="http://schemas.openxmlformats.org/officeDocument/2006/relationships/hyperlink" Target="https://www.slov-lex.sk/ezbierky/pravne-predpisy/SK/ZZ/2008/245/" TargetMode="External"/><Relationship Id="rId72" Type="http://schemas.openxmlformats.org/officeDocument/2006/relationships/hyperlink" Target="https://www.slov-lex.sk/ezbierky/pravne-predpisy/SK/ZZ/2019/35/20260101.html" TargetMode="External"/><Relationship Id="rId93" Type="http://schemas.openxmlformats.org/officeDocument/2006/relationships/hyperlink" Target="https://www.minzp.sk/klima/modernizacny-fond/dekarbonizacia-priemyslu/vyzva-iii.html" TargetMode="External"/><Relationship Id="rId98" Type="http://schemas.openxmlformats.org/officeDocument/2006/relationships/hyperlink" Target="https://zelenapodnikom.eu/" TargetMode="External"/><Relationship Id="rId121" Type="http://schemas.openxmlformats.org/officeDocument/2006/relationships/hyperlink" Target="https://rokovania.gov.sk/RVL/Material/31221/1" TargetMode="External"/><Relationship Id="rId142" Type="http://schemas.openxmlformats.org/officeDocument/2006/relationships/hyperlink" Target="https://www.slov-lex.sk/ezbierky/pravne-predpisy/SK/ZZ/2025/317/vyhlasene_znenie.html" TargetMode="External"/><Relationship Id="rId3" Type="http://schemas.openxmlformats.org/officeDocument/2006/relationships/styles" Target="styles.xml"/><Relationship Id="rId25" Type="http://schemas.openxmlformats.org/officeDocument/2006/relationships/chart" Target="charts/chart12.xml"/><Relationship Id="rId46" Type="http://schemas.openxmlformats.org/officeDocument/2006/relationships/hyperlink" Target="https://www.slov-lex.sk/ezbierky/pravne-predpisy/SK/ZZ/2023/182/20230901.html?utm_source=chatgpt.com" TargetMode="External"/><Relationship Id="rId67" Type="http://schemas.openxmlformats.org/officeDocument/2006/relationships/hyperlink" Target="https://www.minv.sk/?poo-priame-vyzvania" TargetMode="External"/><Relationship Id="rId116" Type="http://schemas.openxmlformats.org/officeDocument/2006/relationships/hyperlink" Target="https://mirri.gov.sk/wp-content/uploads/2022/01/Strategia-DESI-do-roku-2025.pdf" TargetMode="External"/><Relationship Id="rId137" Type="http://schemas.openxmlformats.org/officeDocument/2006/relationships/hyperlink" Target="https://rokovania.gov.sk/RVL/Material/31393/1" TargetMode="External"/><Relationship Id="rId20" Type="http://schemas.openxmlformats.org/officeDocument/2006/relationships/chart" Target="charts/chart7.xml"/><Relationship Id="rId41" Type="http://schemas.openxmlformats.org/officeDocument/2006/relationships/hyperlink" Target="https://www.mhsr.sk/podpora-investicii/plan-obnovy/harmonogram-vyziev/archiv/komponent-1/komponent-1-oze-vyzva-zamerana-na-podporu-vystavby-novych-zariadeni-na-vyrobu-elektriny-z-obnovitelnych-zdrojov-energie-a-na-podporu-zvysovania-flexibility-elektroenergetickych-sustav-pre-vyssiu-integraciu-oze-bateriove-systemy" TargetMode="External"/><Relationship Id="rId62" Type="http://schemas.openxmlformats.org/officeDocument/2006/relationships/hyperlink" Target="https://www.najomnebyvanie.info/projekty/ovocne-sady/" TargetMode="External"/><Relationship Id="rId83" Type="http://schemas.openxmlformats.org/officeDocument/2006/relationships/hyperlink" Target="https://www.slov-lex.sk/ezbierky/pravne-predpisy/SK/ZZ/2009/563/20260101.html" TargetMode="External"/><Relationship Id="rId88" Type="http://schemas.openxmlformats.org/officeDocument/2006/relationships/hyperlink" Target="https://rokovania.gov.sk/RVL/Material/31504/1?utm" TargetMode="External"/><Relationship Id="rId111" Type="http://schemas.openxmlformats.org/officeDocument/2006/relationships/hyperlink" Target="https://mirri.gov.sk/wp-content/uploads/2019/06/Strategia-digitalnej-transformacie-Slovenska-2030.pdf" TargetMode="External"/><Relationship Id="rId132" Type="http://schemas.openxmlformats.org/officeDocument/2006/relationships/hyperlink" Target="https://www.alianciasr.sk/analyticke-vystupy-np-asr/" TargetMode="External"/><Relationship Id="rId153" Type="http://schemas.openxmlformats.org/officeDocument/2006/relationships/footer" Target="footer11.xml"/><Relationship Id="rId15" Type="http://schemas.openxmlformats.org/officeDocument/2006/relationships/footer" Target="footer3.xml"/><Relationship Id="rId36" Type="http://schemas.openxmlformats.org/officeDocument/2006/relationships/hyperlink" Target="https://www.slov-lex.sk/ezbierky/pravne-predpisy/SK/ZZ/2022/230/" TargetMode="External"/><Relationship Id="rId57" Type="http://schemas.openxmlformats.org/officeDocument/2006/relationships/hyperlink" Target="https://www.minedu.sk/21032025-ministerstvo-skolstva-vyskumu-vyvoja-a-mladeze-sr-vyhlasilo-vyzvu-pre-narodny-projekt-podpora-vzdelavacich-prilezitosti/?utm_source=chatgpt.com" TargetMode="External"/><Relationship Id="rId106" Type="http://schemas.openxmlformats.org/officeDocument/2006/relationships/hyperlink" Target="https://www.minedu.sk/ucitelia-v-kritickych-regionoch-dostanu-kompenzacny-prispevok/?utm_source=chatgpt.com" TargetMode="External"/><Relationship Id="rId127" Type="http://schemas.openxmlformats.org/officeDocument/2006/relationships/hyperlink" Target="https://www.sario.sk/sk/podpora-internacionalizacie-malych-strednych-podnikov-2" TargetMode="External"/><Relationship Id="rId10" Type="http://schemas.openxmlformats.org/officeDocument/2006/relationships/header" Target="header1.xml"/><Relationship Id="rId31" Type="http://schemas.openxmlformats.org/officeDocument/2006/relationships/hyperlink" Target="https://www.slov-lex.sk/ezbierky/pravne-predpisy/SK/ZZ/2024/278/20250101.html" TargetMode="External"/><Relationship Id="rId52" Type="http://schemas.openxmlformats.org/officeDocument/2006/relationships/hyperlink" Target="https://www.minedu.sk/data/att/db9/24789.f12c83.pdf" TargetMode="External"/><Relationship Id="rId73" Type="http://schemas.openxmlformats.org/officeDocument/2006/relationships/hyperlink" Target="https://www.slov-lex.sk/elegislativa/legislativne-procesy/SK/LP/2026/64" TargetMode="External"/><Relationship Id="rId78" Type="http://schemas.openxmlformats.org/officeDocument/2006/relationships/hyperlink" Target="https://www.slov-lex.sk/ezbierky/pravne-predpisy/SK/ZZ/2025/387/20260101.html" TargetMode="External"/><Relationship Id="rId94" Type="http://schemas.openxmlformats.org/officeDocument/2006/relationships/hyperlink" Target="https://eur-lex.europa.eu/legal-content/SK/TXT/?uri=CELEX:32023L0959" TargetMode="External"/><Relationship Id="rId99" Type="http://schemas.openxmlformats.org/officeDocument/2006/relationships/hyperlink" Target="https://www.siea.sk/podporne-programy/podpora-rozvoja-regionalnej-a-lokalnej-energetiky/" TargetMode="External"/><Relationship Id="rId101" Type="http://schemas.openxmlformats.org/officeDocument/2006/relationships/hyperlink" Target="https://eur-lex.europa.eu/legal-content/SK/TXT/PDF/?uri=CELEX:32023L1791" TargetMode="External"/><Relationship Id="rId122" Type="http://schemas.openxmlformats.org/officeDocument/2006/relationships/hyperlink" Target="https://www.mhsr.sk/press/nove-vyzvy-pre-podnikatelov-su-zamerane-na-podporu-vyskumno-vyvojovych-projektov-ziskat-mozu-az-800-tisic-eur?csrt=6690038970598688954" TargetMode="External"/><Relationship Id="rId143" Type="http://schemas.openxmlformats.org/officeDocument/2006/relationships/hyperlink" Target="https://www.slov-lex.sk/ezbierky/pravne-predpisy/SK/ZZ/2026/29/20260817.html" TargetMode="External"/><Relationship Id="rId148"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chart" Target="charts/chart13.xml"/><Relationship Id="rId47" Type="http://schemas.openxmlformats.org/officeDocument/2006/relationships/hyperlink" Target="https://podporneopatrenia.minedu.sk/data/att/ac7/27281.555c6b.pdf" TargetMode="External"/><Relationship Id="rId68" Type="http://schemas.openxmlformats.org/officeDocument/2006/relationships/hyperlink" Target="https://portal.itms21.sk/vyhlasena-vyzva/?id=3644" TargetMode="External"/><Relationship Id="rId89" Type="http://schemas.openxmlformats.org/officeDocument/2006/relationships/hyperlink" Target="https://rokovania.gov.sk/RVL/Material/31193/1" TargetMode="External"/><Relationship Id="rId112" Type="http://schemas.openxmlformats.org/officeDocument/2006/relationships/hyperlink" Target="https://www.minedu.sk/data/att/fa1/32245.1dc937.pdf" TargetMode="External"/><Relationship Id="rId133" Type="http://schemas.openxmlformats.org/officeDocument/2006/relationships/hyperlink" Target="https://www.alianciasr.sk/najziadanejsie-nedostatkove-pracovne-pozicie-na-trhu-prace/" TargetMode="External"/><Relationship Id="rId154" Type="http://schemas.openxmlformats.org/officeDocument/2006/relationships/footer" Target="footer12.xml"/><Relationship Id="rId16" Type="http://schemas.openxmlformats.org/officeDocument/2006/relationships/chart" Target="charts/chart3.xml"/><Relationship Id="rId37" Type="http://schemas.openxmlformats.org/officeDocument/2006/relationships/hyperlink" Target="https://www.slov-lex.sk/ezbierky/pravne-predpisy/SK/ZZ/2022/6/" TargetMode="External"/><Relationship Id="rId58" Type="http://schemas.openxmlformats.org/officeDocument/2006/relationships/hyperlink" Target="https://www.minedu.sk/grantova-schema-na-podporu-ranej-starostlivosti-a-intervencie/" TargetMode="External"/><Relationship Id="rId79" Type="http://schemas.openxmlformats.org/officeDocument/2006/relationships/footer" Target="footer5.xml"/><Relationship Id="rId102" Type="http://schemas.openxmlformats.org/officeDocument/2006/relationships/hyperlink" Target="https://www.siea.sk/strukturalne-fondy-eu/harmonogram-vyziev-implementovanych-siea/" TargetMode="External"/><Relationship Id="rId123" Type="http://schemas.openxmlformats.org/officeDocument/2006/relationships/hyperlink" Target="https://www.siea.sk/inovacie/inovujme/" TargetMode="External"/><Relationship Id="rId144" Type="http://schemas.openxmlformats.org/officeDocument/2006/relationships/hyperlink" Target="https://www.slov-lex.sk/ezbierky/pravne-predpisy/SK/ZZ/1993/171/20241212.html" TargetMode="External"/><Relationship Id="rId90" Type="http://schemas.openxmlformats.org/officeDocument/2006/relationships/hyperlink" Target="https://www.minzp.sk/klima/modernizacny-fond/dekarbonizacia-priemyslu/" TargetMode="External"/><Relationship Id="rId27" Type="http://schemas.openxmlformats.org/officeDocument/2006/relationships/chart" Target="charts/chart14.xml"/><Relationship Id="rId48" Type="http://schemas.openxmlformats.org/officeDocument/2006/relationships/hyperlink" Target="https://www.minedu.sk/data/att/bce/32575.ab2411.pdf" TargetMode="External"/><Relationship Id="rId69" Type="http://schemas.openxmlformats.org/officeDocument/2006/relationships/hyperlink" Target="https://www.health.gov.sk/?zdravotnicke-zariadenia" TargetMode="External"/><Relationship Id="rId113" Type="http://schemas.openxmlformats.org/officeDocument/2006/relationships/hyperlink" Target="https://www.minedu.sk/vyzva-rozsirenie-inovacii-do-vychovy-a-vzdelavania-v-skolach/" TargetMode="External"/><Relationship Id="rId134" Type="http://schemas.openxmlformats.org/officeDocument/2006/relationships/hyperlink" Target="https://www.narodnyprojekt.sk/sk/"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mfsr.sk/sk/financie/institut-financnej-politiky/publikacie-ifp/manualy/metodika-vypoctu-implicitnych-zavazkov.html" TargetMode="External"/><Relationship Id="rId3" Type="http://schemas.openxmlformats.org/officeDocument/2006/relationships/hyperlink" Target="https://ec.europa.eu/economy_finance/country-specific-recommendations-database/" TargetMode="External"/><Relationship Id="rId7" Type="http://schemas.openxmlformats.org/officeDocument/2006/relationships/hyperlink" Target="https://www.ecb.europa.eu/pub/pdf/other/techn_comp_gd_pens_dt_nat_accts_201201en.pdf" TargetMode="External"/><Relationship Id="rId2" Type="http://schemas.openxmlformats.org/officeDocument/2006/relationships/hyperlink" Target="https://eur-lex.europa.eu/legal-content/SK/TXT/HTML/?uri=OJ:C_202403975&amp;qid=1719163300013" TargetMode="External"/><Relationship Id="rId1" Type="http://schemas.openxmlformats.org/officeDocument/2006/relationships/hyperlink" Target="https://eur-lex.europa.eu/legal-content/SK/TXT/HTML/?uri=OJ:C_202403975&amp;qid=1719163300013" TargetMode="External"/><Relationship Id="rId6" Type="http://schemas.openxmlformats.org/officeDocument/2006/relationships/hyperlink" Target="https://eur-lex.europa.eu/legal-content/SK/TXT/HTML/?uri=OJ:C_202403975&amp;qid=1719163300013" TargetMode="External"/><Relationship Id="rId5" Type="http://schemas.openxmlformats.org/officeDocument/2006/relationships/hyperlink" Target="https://ncp-easi.sk/wp-content/uploads/2022/08/social-summit-european-pillar-social-rights-booklet_sk.pdf" TargetMode="External"/><Relationship Id="rId4" Type="http://schemas.openxmlformats.org/officeDocument/2006/relationships/hyperlink" Target="https://sdgs.un.org/goa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VM-DFS.mf.mfsr.sk\FileShare\ADRESARE\IFP_NEW\5_MATERIALY\5_3_Strategicke_materialy\APR_Vyrocna%20sprava%20o%20pokroku\2026\Tabu&#318;ky\Zdrojov&#233;%20d&#225;ta%20k%20APR%202026.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VM-DFS.mf.mfsr.sk\FileShare\ADRESARE\IFP_NEW\5_MATERIALY\5_3_Strategicke_materialy\APR_Vyrocna%20sprava%20o%20pokroku\2026\vstupy\Graf_rast_cistych_vydavkov.xlsx"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file:///\\VM-DFS.mf.mfsr.sk\FileShare\ADRESARE\IFP_NEW\5_MATERIALY\5_5_Prezentacie\2026\04_april\IMF_PPT_source.xlsx" TargetMode="External"/><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xlsx"/></Relationships>
</file>

<file path=word/charts/_rels/chart14.xml.rels><?xml version="1.0" encoding="UTF-8" standalone="yes"?>
<Relationships xmlns="http://schemas.openxmlformats.org/package/2006/relationships"><Relationship Id="rId3" Type="http://schemas.openxmlformats.org/officeDocument/2006/relationships/oleObject" Target="file:///\\VM-DFS.mf.mfsr.sk\FileShare\ADRESARE\IFP_NEW\5_MATERIALY\5_3_Strategicke_materialy\APR_Vyrocna%20sprava%20o%20pokroku\2026\Tabu&#318;ky\Zdrojov&#233;%20d&#225;ta%20k%20APR%202026.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VM-DFS.mf.mfsr.sk\FileShare\ADRESARE\IFP_NEW\5_MATERIALY\5_3_Strategicke_materialy\APR_Vyrocna%20sprava%20o%20pokroku\2026\Tabu&#318;ky\Zdrojov&#233;%20d&#225;ta%20k%20APR%202026.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oleObject" Target="file:///\\VM-DFS.mf.mfsr.sk\FileShare\ADRESARE\IFP_NEW\5_MATERIALY\5_3_Strategicke_materialy\APR_Vyrocna%20sprava%20o%20pokroku\2026\vstupy\makro\grafy_APR.xlsx"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oleObject" Target="file:///\\VM-DFS.mf.mfsr.sk\FileShare\ADRESARE\IFP_NEW\5_MATERIALY\5_3_Strategicke_materialy\APR_Vyrocna%20sprava%20o%20pokroku\2026\vstupy\makro\grafy_APR.xlsx"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3" Type="http://schemas.openxmlformats.org/officeDocument/2006/relationships/oleObject" Target="file:///\\VM-DFS.mf.mfsr.sk\FileShare\ADRESARE\IFP_NEW\3_MAKRO\3_3_Databaza\Infl&#225;cia\SK_Inflacia_feb2026.xlsm"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VM-DFS.mf.mfsr.sk\FileShare\ADRESARE\IFP_NEW\3_MAKRO\3_5_Vybor\2025\Makrovybor%202025-aug\Y-MAKROTABULKA\Makro_tabulka_MV_03sep2025_graf.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VM-DFS.mf.mfsr.sk\FileShare\ADRESARE\IFP_NEW\5_MATERIALY\5_3_Strategicke_materialy\APR_Vyrocna%20sprava%20o%20pokroku\2026\Tabu&#318;ky\Zdrojov&#233;%20d&#225;ta%20k%20APR%202026.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VM-DFS.mf.mfsr.sk\FileShare\ADRESARE\IFP_NEW\5_MATERIALY\5_3_Strategicke_materialy\APR_Vyrocna%20sprava%20o%20pokroku\2026\Tabu&#318;ky\Zdrojov&#233;%20d&#225;ta%20k%20APR%202026.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VM-DFS.mf.mfsr.sk\FileShare\ADRESARE\IFP_NEW\3_MAKRO\3_5_Vybor\2026\Makrovybor%202026-feb\X-MODELOVANIE\CompactMacro\CompactMacro_Iran_mild.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'Zhrnutie | Summary'!$G$30</c:f>
              <c:strCache>
                <c:ptCount val="1"/>
                <c:pt idx="0">
                  <c:v>Skutočný a cielený deficit</c:v>
                </c:pt>
              </c:strCache>
            </c:strRef>
          </c:tx>
          <c:spPr>
            <a:solidFill>
              <a:srgbClr val="2C9ADC"/>
            </a:solidFill>
            <a:ln>
              <a:noFill/>
            </a:ln>
            <a:effectLst/>
          </c:spPr>
          <c:invertIfNegative val="0"/>
          <c:dPt>
            <c:idx val="3"/>
            <c:invertIfNegative val="0"/>
            <c:bubble3D val="0"/>
            <c:spPr>
              <a:pattFill prst="pct50">
                <a:fgClr>
                  <a:srgbClr val="2C9ADC"/>
                </a:fgClr>
                <a:bgClr>
                  <a:schemeClr val="bg1"/>
                </a:bgClr>
              </a:pattFill>
              <a:ln>
                <a:noFill/>
              </a:ln>
              <a:effectLst/>
            </c:spPr>
            <c:extLst>
              <c:ext xmlns:c16="http://schemas.microsoft.com/office/drawing/2014/chart" uri="{C3380CC4-5D6E-409C-BE32-E72D297353CC}">
                <c16:uniqueId val="{00000001-BC30-42F8-B83E-A518548DD416}"/>
              </c:ext>
            </c:extLst>
          </c:dPt>
          <c:dPt>
            <c:idx val="4"/>
            <c:invertIfNegative val="0"/>
            <c:bubble3D val="0"/>
            <c:spPr>
              <a:pattFill prst="pct50">
                <a:fgClr>
                  <a:srgbClr val="2C9ADC"/>
                </a:fgClr>
                <a:bgClr>
                  <a:schemeClr val="bg1"/>
                </a:bgClr>
              </a:pattFill>
              <a:ln>
                <a:noFill/>
              </a:ln>
              <a:effectLst/>
            </c:spPr>
            <c:extLst>
              <c:ext xmlns:c16="http://schemas.microsoft.com/office/drawing/2014/chart" uri="{C3380CC4-5D6E-409C-BE32-E72D297353CC}">
                <c16:uniqueId val="{00000003-BC30-42F8-B83E-A518548DD416}"/>
              </c:ext>
            </c:extLst>
          </c:dPt>
          <c:dLbls>
            <c:dLbl>
              <c:idx val="0"/>
              <c:tx>
                <c:rich>
                  <a:bodyPr/>
                  <a:lstStyle/>
                  <a:p>
                    <a:r>
                      <a:rPr lang="en-US"/>
                      <a:t>5,35</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EF65-460E-9E54-35DF13D8357C}"/>
                </c:ext>
              </c:extLst>
            </c:dLbl>
            <c:dLbl>
              <c:idx val="1"/>
              <c:tx>
                <c:rich>
                  <a:bodyPr/>
                  <a:lstStyle/>
                  <a:p>
                    <a:r>
                      <a:rPr lang="en-US"/>
                      <a:t>4,45</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F65-460E-9E54-35DF13D8357C}"/>
                </c:ext>
              </c:extLst>
            </c:dLbl>
            <c:dLbl>
              <c:idx val="2"/>
              <c:tx>
                <c:rich>
                  <a:bodyPr/>
                  <a:lstStyle/>
                  <a:p>
                    <a:r>
                      <a:rPr lang="en-US"/>
                      <a:t>4,34</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EF65-460E-9E54-35DF13D8357C}"/>
                </c:ext>
              </c:extLst>
            </c:dLbl>
            <c:dLbl>
              <c:idx val="3"/>
              <c:tx>
                <c:rich>
                  <a:bodyPr/>
                  <a:lstStyle/>
                  <a:p>
                    <a:r>
                      <a:rPr lang="en-US"/>
                      <a:t>4,20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C30-42F8-B83E-A518548DD416}"/>
                </c:ext>
              </c:extLst>
            </c:dLbl>
            <c:dLbl>
              <c:idx val="4"/>
              <c:tx>
                <c:rich>
                  <a:bodyPr/>
                  <a:lstStyle/>
                  <a:p>
                    <a:r>
                      <a:rPr lang="en-US"/>
                      <a:t>4,10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C30-42F8-B83E-A518548DD41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Narrow" panose="020B0606020202030204" pitchFamily="34" charset="0"/>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'Zhrnutie | Summary'!$H$28:$L$28</c:f>
              <c:numCache>
                <c:formatCode>General</c:formatCode>
                <c:ptCount val="5"/>
                <c:pt idx="0">
                  <c:v>2024</c:v>
                </c:pt>
                <c:pt idx="1">
                  <c:v>2025</c:v>
                </c:pt>
                <c:pt idx="2">
                  <c:v>2026</c:v>
                </c:pt>
                <c:pt idx="3">
                  <c:v>2027</c:v>
                </c:pt>
                <c:pt idx="4">
                  <c:v>2028</c:v>
                </c:pt>
              </c:numCache>
            </c:numRef>
          </c:cat>
          <c:val>
            <c:numRef>
              <c:f>'Zhrnutie | Summary'!$H$30:$L$30</c:f>
              <c:numCache>
                <c:formatCode>0.0</c:formatCode>
                <c:ptCount val="5"/>
                <c:pt idx="0">
                  <c:v>5.2729181035665498</c:v>
                </c:pt>
                <c:pt idx="1">
                  <c:v>4.45</c:v>
                </c:pt>
                <c:pt idx="2">
                  <c:v>4.34</c:v>
                </c:pt>
                <c:pt idx="3">
                  <c:v>4.2</c:v>
                </c:pt>
                <c:pt idx="4">
                  <c:v>4.0999999999999996</c:v>
                </c:pt>
              </c:numCache>
            </c:numRef>
          </c:val>
          <c:extLst>
            <c:ext xmlns:c16="http://schemas.microsoft.com/office/drawing/2014/chart" uri="{C3380CC4-5D6E-409C-BE32-E72D297353CC}">
              <c16:uniqueId val="{00000004-BC30-42F8-B83E-A518548DD416}"/>
            </c:ext>
          </c:extLst>
        </c:ser>
        <c:dLbls>
          <c:showLegendKey val="0"/>
          <c:showVal val="0"/>
          <c:showCatName val="0"/>
          <c:showSerName val="0"/>
          <c:showPercent val="0"/>
          <c:showBubbleSize val="0"/>
        </c:dLbls>
        <c:gapWidth val="50"/>
        <c:axId val="1279288208"/>
        <c:axId val="1279291088"/>
      </c:barChart>
      <c:lineChart>
        <c:grouping val="standard"/>
        <c:varyColors val="0"/>
        <c:dLbls>
          <c:showLegendKey val="0"/>
          <c:showVal val="0"/>
          <c:showCatName val="0"/>
          <c:showSerName val="0"/>
          <c:showPercent val="0"/>
          <c:showBubbleSize val="0"/>
        </c:dLbls>
        <c:marker val="1"/>
        <c:smooth val="0"/>
        <c:axId val="1279288208"/>
        <c:axId val="1279291088"/>
        <c:extLst>
          <c:ext xmlns:c15="http://schemas.microsoft.com/office/drawing/2012/chart" uri="{02D57815-91ED-43cb-92C2-25804820EDAC}">
            <c15:filteredLineSeries>
              <c15:ser>
                <c:idx val="2"/>
                <c:order val="1"/>
                <c:tx>
                  <c:strRef>
                    <c:extLst>
                      <c:ext uri="{02D57815-91ED-43cb-92C2-25804820EDAC}">
                        <c15:formulaRef>
                          <c15:sqref>'Zhrnutie | Summary'!$G$29</c15:sqref>
                        </c15:formulaRef>
                      </c:ext>
                    </c:extLst>
                    <c:strCache>
                      <c:ptCount val="1"/>
                    </c:strCache>
                  </c:strRef>
                </c:tx>
                <c:spPr>
                  <a:ln w="25400" cap="rnd">
                    <a:noFill/>
                    <a:round/>
                  </a:ln>
                  <a:effectLst/>
                </c:spPr>
                <c:marker>
                  <c:symbol val="diamond"/>
                  <c:size val="5"/>
                  <c:spPr>
                    <a:solidFill>
                      <a:schemeClr val="tx1"/>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Arial Narrow" panose="020B0606020202030204" pitchFamily="34" charset="0"/>
                          <a:ea typeface="+mn-ea"/>
                          <a:cs typeface="+mn-cs"/>
                        </a:defRPr>
                      </a:pPr>
                      <a:endParaRPr lang="sk-SK"/>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'Zhrnutie | Summary'!$H$28:$L$28</c15:sqref>
                        </c15:formulaRef>
                      </c:ext>
                    </c:extLst>
                    <c:numCache>
                      <c:formatCode>General</c:formatCode>
                      <c:ptCount val="5"/>
                      <c:pt idx="0">
                        <c:v>2024</c:v>
                      </c:pt>
                      <c:pt idx="1">
                        <c:v>2025</c:v>
                      </c:pt>
                      <c:pt idx="2">
                        <c:v>2026</c:v>
                      </c:pt>
                      <c:pt idx="3">
                        <c:v>2027</c:v>
                      </c:pt>
                      <c:pt idx="4">
                        <c:v>2028</c:v>
                      </c:pt>
                    </c:numCache>
                  </c:numRef>
                </c:cat>
                <c:val>
                  <c:numRef>
                    <c:extLst>
                      <c:ext uri="{02D57815-91ED-43cb-92C2-25804820EDAC}">
                        <c15:formulaRef>
                          <c15:sqref>'Zhrnutie | Summary'!$H$29:$L$29</c15:sqref>
                        </c15:formulaRef>
                      </c:ext>
                    </c:extLst>
                    <c:numCache>
                      <c:formatCode>General</c:formatCode>
                      <c:ptCount val="5"/>
                    </c:numCache>
                  </c:numRef>
                </c:val>
                <c:smooth val="0"/>
                <c:extLst>
                  <c:ext xmlns:c16="http://schemas.microsoft.com/office/drawing/2014/chart" uri="{C3380CC4-5D6E-409C-BE32-E72D297353CC}">
                    <c16:uniqueId val="{00000005-BC30-42F8-B83E-A518548DD416}"/>
                  </c:ext>
                </c:extLst>
              </c15:ser>
            </c15:filteredLineSeries>
          </c:ext>
        </c:extLst>
      </c:lineChart>
      <c:catAx>
        <c:axId val="1279288208"/>
        <c:scaling>
          <c:orientation val="minMax"/>
        </c:scaling>
        <c:delete val="0"/>
        <c:axPos val="b"/>
        <c:numFmt formatCode="General" sourceLinked="1"/>
        <c:majorTickMark val="none"/>
        <c:minorTickMark val="none"/>
        <c:tickLblPos val="nextTo"/>
        <c:spPr>
          <a:noFill/>
          <a:ln w="12700" cap="flat" cmpd="sng" algn="ctr">
            <a:solidFill>
              <a:srgbClr val="676868"/>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Narrow" panose="020B0606020202030204" pitchFamily="34" charset="0"/>
                <a:ea typeface="+mn-ea"/>
                <a:cs typeface="+mn-cs"/>
              </a:defRPr>
            </a:pPr>
            <a:endParaRPr lang="sk-SK"/>
          </a:p>
        </c:txPr>
        <c:crossAx val="1279291088"/>
        <c:crosses val="autoZero"/>
        <c:auto val="1"/>
        <c:lblAlgn val="ctr"/>
        <c:lblOffset val="100"/>
        <c:noMultiLvlLbl val="0"/>
      </c:catAx>
      <c:valAx>
        <c:axId val="1279291088"/>
        <c:scaling>
          <c:orientation val="minMax"/>
        </c:scaling>
        <c:delete val="0"/>
        <c:axPos val="l"/>
        <c:majorGridlines>
          <c:spPr>
            <a:ln w="3175" cap="flat" cmpd="sng" algn="ctr">
              <a:solidFill>
                <a:schemeClr val="bg1">
                  <a:lumMod val="50000"/>
                  <a:alpha val="2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sk-SK"/>
          </a:p>
        </c:txPr>
        <c:crossAx val="12792882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atin typeface="Arial Narrow" panose="020B0606020202030204" pitchFamily="34" charset="0"/>
        </a:defRPr>
      </a:pPr>
      <a:endParaRPr lang="sk-SK"/>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9144570775493347E-2"/>
          <c:y val="2.4240187813738653E-2"/>
          <c:w val="0.57240502102352142"/>
          <c:h val="0.88640131825903279"/>
        </c:manualLayout>
      </c:layout>
      <c:barChart>
        <c:barDir val="bar"/>
        <c:grouping val="stacked"/>
        <c:varyColors val="0"/>
        <c:ser>
          <c:idx val="0"/>
          <c:order val="0"/>
          <c:spPr>
            <a:noFill/>
            <a:ln>
              <a:noFill/>
            </a:ln>
            <a:effectLst/>
          </c:spPr>
          <c:invertIfNegative val="0"/>
          <c:cat>
            <c:strRef>
              <c:f>overview!$K$4:$K$16</c:f>
              <c:strCache>
                <c:ptCount val="13"/>
                <c:pt idx="0">
                  <c:v>Deficit roka 2023</c:v>
                </c:pt>
                <c:pt idx="1">
                  <c:v>Konsolidácia 2024</c:v>
                </c:pt>
                <c:pt idx="2">
                  <c:v>Konsolidácia 2025</c:v>
                </c:pt>
                <c:pt idx="3">
                  <c:v>Konsolidácia 2026</c:v>
                </c:pt>
                <c:pt idx="4">
                  <c:v>Nové výdavky 2024 - 2026</c:v>
                </c:pt>
                <c:pt idx="5">
                  <c:v>Energopomoc</c:v>
                </c:pt>
                <c:pt idx="6">
                  <c:v>Makroekonomický šok</c:v>
                </c:pt>
                <c:pt idx="7">
                  <c:v>Úrokové náklady</c:v>
                </c:pt>
                <c:pt idx="8">
                  <c:v>Výdavky na obranu</c:v>
                </c:pt>
                <c:pt idx="9">
                  <c:v>Dôchodcovské dávky (inflačný šok)</c:v>
                </c:pt>
                <c:pt idx="10">
                  <c:v>Pokles daňových príjmov voči makrozákladniam</c:v>
                </c:pt>
                <c:pt idx="11">
                  <c:v>Ostatné</c:v>
                </c:pt>
                <c:pt idx="12">
                  <c:v>Deficit roka 2026</c:v>
                </c:pt>
              </c:strCache>
            </c:strRef>
          </c:cat>
          <c:val>
            <c:numRef>
              <c:f>overview!$M$4:$M$16</c:f>
              <c:numCache>
                <c:formatCode>0.0</c:formatCode>
                <c:ptCount val="13"/>
                <c:pt idx="1">
                  <c:v>-4.3142925337724822</c:v>
                </c:pt>
                <c:pt idx="2">
                  <c:v>-2.6244377716359928</c:v>
                </c:pt>
                <c:pt idx="3">
                  <c:v>-1.0171785291509006</c:v>
                </c:pt>
                <c:pt idx="4">
                  <c:v>-1.0171785291509006</c:v>
                </c:pt>
                <c:pt idx="5">
                  <c:v>-0.18088675796464537</c:v>
                </c:pt>
                <c:pt idx="6">
                  <c:v>-0.18088675796464537</c:v>
                </c:pt>
                <c:pt idx="7">
                  <c:v>-1.3248669183048232</c:v>
                </c:pt>
                <c:pt idx="8">
                  <c:v>-2.0158239372834328</c:v>
                </c:pt>
                <c:pt idx="9">
                  <c:v>-2.629554685199353</c:v>
                </c:pt>
                <c:pt idx="10">
                  <c:v>-3.1432580890717938</c:v>
                </c:pt>
                <c:pt idx="11">
                  <c:v>-3.6458085869710288</c:v>
                </c:pt>
              </c:numCache>
            </c:numRef>
          </c:val>
          <c:extLst>
            <c:ext xmlns:c16="http://schemas.microsoft.com/office/drawing/2014/chart" uri="{C3380CC4-5D6E-409C-BE32-E72D297353CC}">
              <c16:uniqueId val="{00000000-9E23-4474-859E-EF97C973A662}"/>
            </c:ext>
          </c:extLst>
        </c:ser>
        <c:ser>
          <c:idx val="1"/>
          <c:order val="1"/>
          <c:tx>
            <c:v>Znižuje deficit</c:v>
          </c:tx>
          <c:spPr>
            <a:solidFill>
              <a:schemeClr val="accent3"/>
            </a:solidFill>
            <a:ln>
              <a:noFill/>
            </a:ln>
            <a:effectLst/>
          </c:spPr>
          <c:invertIfNegative val="0"/>
          <c:dPt>
            <c:idx val="0"/>
            <c:invertIfNegative val="0"/>
            <c:bubble3D val="0"/>
            <c:spPr>
              <a:solidFill>
                <a:schemeClr val="tx1"/>
              </a:solidFill>
              <a:ln>
                <a:noFill/>
              </a:ln>
              <a:effectLst/>
            </c:spPr>
            <c:extLst>
              <c:ext xmlns:c16="http://schemas.microsoft.com/office/drawing/2014/chart" uri="{C3380CC4-5D6E-409C-BE32-E72D297353CC}">
                <c16:uniqueId val="{00000002-9E23-4474-859E-EF97C973A662}"/>
              </c:ext>
            </c:extLst>
          </c:dPt>
          <c:dPt>
            <c:idx val="4"/>
            <c:invertIfNegative val="0"/>
            <c:bubble3D val="0"/>
            <c:spPr>
              <a:solidFill>
                <a:schemeClr val="accent4"/>
              </a:solidFill>
              <a:ln>
                <a:noFill/>
              </a:ln>
              <a:effectLst/>
            </c:spPr>
            <c:extLst>
              <c:ext xmlns:c16="http://schemas.microsoft.com/office/drawing/2014/chart" uri="{C3380CC4-5D6E-409C-BE32-E72D297353CC}">
                <c16:uniqueId val="{00000004-9E23-4474-859E-EF97C973A662}"/>
              </c:ext>
            </c:extLst>
          </c:dPt>
          <c:dPt>
            <c:idx val="6"/>
            <c:invertIfNegative val="0"/>
            <c:bubble3D val="0"/>
            <c:spPr>
              <a:solidFill>
                <a:schemeClr val="accent4"/>
              </a:solidFill>
              <a:ln>
                <a:noFill/>
              </a:ln>
              <a:effectLst/>
            </c:spPr>
            <c:extLst>
              <c:ext xmlns:c16="http://schemas.microsoft.com/office/drawing/2014/chart" uri="{C3380CC4-5D6E-409C-BE32-E72D297353CC}">
                <c16:uniqueId val="{00000006-9E23-4474-859E-EF97C973A662}"/>
              </c:ext>
            </c:extLst>
          </c:dPt>
          <c:dPt>
            <c:idx val="7"/>
            <c:invertIfNegative val="0"/>
            <c:bubble3D val="0"/>
            <c:spPr>
              <a:solidFill>
                <a:schemeClr val="accent4"/>
              </a:solidFill>
              <a:ln>
                <a:noFill/>
              </a:ln>
              <a:effectLst/>
            </c:spPr>
            <c:extLst>
              <c:ext xmlns:c16="http://schemas.microsoft.com/office/drawing/2014/chart" uri="{C3380CC4-5D6E-409C-BE32-E72D297353CC}">
                <c16:uniqueId val="{00000008-9E23-4474-859E-EF97C973A662}"/>
              </c:ext>
            </c:extLst>
          </c:dPt>
          <c:dPt>
            <c:idx val="8"/>
            <c:invertIfNegative val="0"/>
            <c:bubble3D val="0"/>
            <c:spPr>
              <a:solidFill>
                <a:schemeClr val="accent4"/>
              </a:solidFill>
              <a:ln>
                <a:noFill/>
              </a:ln>
              <a:effectLst/>
            </c:spPr>
            <c:extLst>
              <c:ext xmlns:c16="http://schemas.microsoft.com/office/drawing/2014/chart" uri="{C3380CC4-5D6E-409C-BE32-E72D297353CC}">
                <c16:uniqueId val="{0000000A-9E23-4474-859E-EF97C973A662}"/>
              </c:ext>
            </c:extLst>
          </c:dPt>
          <c:dPt>
            <c:idx val="9"/>
            <c:invertIfNegative val="0"/>
            <c:bubble3D val="0"/>
            <c:spPr>
              <a:solidFill>
                <a:schemeClr val="accent4"/>
              </a:solidFill>
              <a:ln>
                <a:noFill/>
              </a:ln>
              <a:effectLst/>
            </c:spPr>
            <c:extLst>
              <c:ext xmlns:c16="http://schemas.microsoft.com/office/drawing/2014/chart" uri="{C3380CC4-5D6E-409C-BE32-E72D297353CC}">
                <c16:uniqueId val="{0000000C-9E23-4474-859E-EF97C973A662}"/>
              </c:ext>
            </c:extLst>
          </c:dPt>
          <c:dPt>
            <c:idx val="10"/>
            <c:invertIfNegative val="0"/>
            <c:bubble3D val="0"/>
            <c:spPr>
              <a:solidFill>
                <a:schemeClr val="accent4"/>
              </a:solidFill>
              <a:ln>
                <a:noFill/>
              </a:ln>
              <a:effectLst/>
            </c:spPr>
            <c:extLst>
              <c:ext xmlns:c16="http://schemas.microsoft.com/office/drawing/2014/chart" uri="{C3380CC4-5D6E-409C-BE32-E72D297353CC}">
                <c16:uniqueId val="{0000000E-9E23-4474-859E-EF97C973A662}"/>
              </c:ext>
            </c:extLst>
          </c:dPt>
          <c:dPt>
            <c:idx val="11"/>
            <c:invertIfNegative val="0"/>
            <c:bubble3D val="0"/>
            <c:spPr>
              <a:solidFill>
                <a:schemeClr val="accent4"/>
              </a:solidFill>
              <a:ln>
                <a:noFill/>
              </a:ln>
              <a:effectLst/>
            </c:spPr>
            <c:extLst>
              <c:ext xmlns:c16="http://schemas.microsoft.com/office/drawing/2014/chart" uri="{C3380CC4-5D6E-409C-BE32-E72D297353CC}">
                <c16:uniqueId val="{00000010-9E23-4474-859E-EF97C973A662}"/>
              </c:ext>
            </c:extLst>
          </c:dPt>
          <c:dPt>
            <c:idx val="12"/>
            <c:invertIfNegative val="0"/>
            <c:bubble3D val="0"/>
            <c:spPr>
              <a:solidFill>
                <a:schemeClr val="accent1"/>
              </a:solidFill>
              <a:ln>
                <a:noFill/>
              </a:ln>
              <a:effectLst/>
            </c:spPr>
            <c:extLst>
              <c:ext xmlns:c16="http://schemas.microsoft.com/office/drawing/2014/chart" uri="{C3380CC4-5D6E-409C-BE32-E72D297353CC}">
                <c16:uniqueId val="{00000012-9E23-4474-859E-EF97C973A662}"/>
              </c:ext>
            </c:extLst>
          </c:dPt>
          <c:dLbls>
            <c:dLbl>
              <c:idx val="0"/>
              <c:layout>
                <c:manualLayout>
                  <c:x val="-0.29644943988295464"/>
                  <c:y val="0"/>
                </c:manualLayout>
              </c:layout>
              <c:tx>
                <c:rich>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fld id="{9AF1120F-41CC-4864-A2D4-5A5944D7C80C}" type="CELLRANGE">
                      <a:rPr lang="en-US" sz="1200" b="1"/>
                      <a:pPr>
                        <a:defRPr sz="1200"/>
                      </a:pPr>
                      <a:t>[CELLRANGE]</a:t>
                    </a:fld>
                    <a:endParaRPr lang="sk-SK"/>
                  </a:p>
                </c:rich>
              </c:tx>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sk-SK"/>
                </a:p>
              </c:txPr>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9E23-4474-859E-EF97C973A662}"/>
                </c:ext>
              </c:extLst>
            </c:dLbl>
            <c:dLbl>
              <c:idx val="1"/>
              <c:layout>
                <c:manualLayout>
                  <c:x val="-7.4711395061346386E-2"/>
                  <c:y val="0"/>
                </c:manualLayout>
              </c:layout>
              <c:tx>
                <c:rich>
                  <a:bodyPr/>
                  <a:lstStyle/>
                  <a:p>
                    <a:fld id="{67FD9A0E-E095-4DBA-B195-5317288346BA}" type="CELLRANGE">
                      <a:rPr lang="en-US"/>
                      <a:pPr/>
                      <a:t>[CELLRANGE]</a:t>
                    </a:fld>
                    <a:endParaRPr lang="sk-SK"/>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9E23-4474-859E-EF97C973A662}"/>
                </c:ext>
              </c:extLst>
            </c:dLbl>
            <c:dLbl>
              <c:idx val="2"/>
              <c:layout>
                <c:manualLayout>
                  <c:x val="-0.10729615722360783"/>
                  <c:y val="0"/>
                </c:manualLayout>
              </c:layout>
              <c:tx>
                <c:rich>
                  <a:bodyPr/>
                  <a:lstStyle/>
                  <a:p>
                    <a:fld id="{3C051D16-B380-4409-8BCB-4FA3D4DB406A}" type="CELLRANGE">
                      <a:rPr lang="en-US"/>
                      <a:pPr/>
                      <a:t>[CELLRANGE]</a:t>
                    </a:fld>
                    <a:endParaRPr lang="sk-SK"/>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4-9E23-4474-859E-EF97C973A662}"/>
                </c:ext>
              </c:extLst>
            </c:dLbl>
            <c:dLbl>
              <c:idx val="3"/>
              <c:layout>
                <c:manualLayout>
                  <c:x val="-0.10327462588126128"/>
                  <c:y val="-3.4460754788625543E-17"/>
                </c:manualLayout>
              </c:layout>
              <c:tx>
                <c:rich>
                  <a:bodyPr/>
                  <a:lstStyle/>
                  <a:p>
                    <a:fld id="{33E89517-23F2-46CB-B3B9-41B6DE146AEA}" type="CELLRANGE">
                      <a:rPr lang="en-US"/>
                      <a:pPr/>
                      <a:t>[CELLRANGE]</a:t>
                    </a:fld>
                    <a:endParaRPr lang="sk-SK"/>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9E23-4474-859E-EF97C973A662}"/>
                </c:ext>
              </c:extLst>
            </c:dLbl>
            <c:dLbl>
              <c:idx val="4"/>
              <c:layout>
                <c:manualLayout>
                  <c:x val="-5.521232921025987E-2"/>
                  <c:y val="0"/>
                </c:manualLayout>
              </c:layout>
              <c:tx>
                <c:rich>
                  <a:bodyPr/>
                  <a:lstStyle/>
                  <a:p>
                    <a:fld id="{AF257811-A733-43DD-889C-C819E402ADB8}" type="CELLRANGE">
                      <a:rPr lang="en-US"/>
                      <a:pPr/>
                      <a:t>[CELLRANGE]</a:t>
                    </a:fld>
                    <a:endParaRPr lang="sk-SK"/>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9E23-4474-859E-EF97C973A662}"/>
                </c:ext>
              </c:extLst>
            </c:dLbl>
            <c:dLbl>
              <c:idx val="5"/>
              <c:layout>
                <c:manualLayout>
                  <c:x val="-9.3326531500368487E-2"/>
                  <c:y val="-6.8921509577251086E-17"/>
                </c:manualLayout>
              </c:layout>
              <c:tx>
                <c:rich>
                  <a:bodyPr/>
                  <a:lstStyle/>
                  <a:p>
                    <a:fld id="{1B9AC48A-24FB-4ADB-91B6-3BBDB58C814C}" type="CELLRANGE">
                      <a:rPr lang="en-US"/>
                      <a:pPr/>
                      <a:t>[CELLRANGE]</a:t>
                    </a:fld>
                    <a:endParaRPr lang="sk-SK"/>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9E23-4474-859E-EF97C973A662}"/>
                </c:ext>
              </c:extLst>
            </c:dLbl>
            <c:dLbl>
              <c:idx val="6"/>
              <c:layout>
                <c:manualLayout>
                  <c:x val="-8.3801538487249624E-2"/>
                  <c:y val="0"/>
                </c:manualLayout>
              </c:layout>
              <c:tx>
                <c:rich>
                  <a:bodyPr/>
                  <a:lstStyle/>
                  <a:p>
                    <a:fld id="{FABBB2F5-3CA6-405B-AF91-5A0BB012ECB8}" type="CELLRANGE">
                      <a:rPr lang="en-US"/>
                      <a:pPr/>
                      <a:t>[CELLRANGE]</a:t>
                    </a:fld>
                    <a:endParaRPr lang="sk-SK"/>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9E23-4474-859E-EF97C973A662}"/>
                </c:ext>
              </c:extLst>
            </c:dLbl>
            <c:dLbl>
              <c:idx val="7"/>
              <c:layout>
                <c:manualLayout>
                  <c:x val="-5.9642566214867729E-2"/>
                  <c:y val="-6.8921509577251086E-17"/>
                </c:manualLayout>
              </c:layout>
              <c:tx>
                <c:rich>
                  <a:bodyPr/>
                  <a:lstStyle/>
                  <a:p>
                    <a:fld id="{C431F007-7F45-4C99-A157-E058E793B997}" type="CELLRANGE">
                      <a:rPr lang="en-US"/>
                      <a:pPr/>
                      <a:t>[CELLRANGE]</a:t>
                    </a:fld>
                    <a:endParaRPr lang="sk-SK"/>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9E23-4474-859E-EF97C973A662}"/>
                </c:ext>
              </c:extLst>
            </c:dLbl>
            <c:dLbl>
              <c:idx val="8"/>
              <c:layout>
                <c:manualLayout>
                  <c:x val="-5.5700624922540388E-2"/>
                  <c:y val="-6.8921509577251086E-17"/>
                </c:manualLayout>
              </c:layout>
              <c:tx>
                <c:rich>
                  <a:bodyPr/>
                  <a:lstStyle/>
                  <a:p>
                    <a:fld id="{3AF4E6A1-39E4-4678-A6B1-A0058FC65F2A}" type="CELLRANGE">
                      <a:rPr lang="en-US"/>
                      <a:pPr/>
                      <a:t>[CELLRANGE]</a:t>
                    </a:fld>
                    <a:endParaRPr lang="sk-SK"/>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9E23-4474-859E-EF97C973A662}"/>
                </c:ext>
              </c:extLst>
            </c:dLbl>
            <c:dLbl>
              <c:idx val="9"/>
              <c:layout>
                <c:manualLayout>
                  <c:x val="-4.8910650488982403E-2"/>
                  <c:y val="-6.8921509577251086E-17"/>
                </c:manualLayout>
              </c:layout>
              <c:tx>
                <c:rich>
                  <a:bodyPr/>
                  <a:lstStyle/>
                  <a:p>
                    <a:fld id="{CE9BB900-AD23-43FB-BF05-8D9DC3950810}" type="CELLRANGE">
                      <a:rPr lang="en-US"/>
                      <a:pPr/>
                      <a:t>[CELLRANGE]</a:t>
                    </a:fld>
                    <a:endParaRPr lang="sk-SK"/>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9E23-4474-859E-EF97C973A662}"/>
                </c:ext>
              </c:extLst>
            </c:dLbl>
            <c:dLbl>
              <c:idx val="10"/>
              <c:layout>
                <c:manualLayout>
                  <c:x val="-3.8784512669792798E-2"/>
                  <c:y val="0"/>
                </c:manualLayout>
              </c:layout>
              <c:tx>
                <c:rich>
                  <a:bodyPr/>
                  <a:lstStyle/>
                  <a:p>
                    <a:fld id="{800CE1FA-53C3-48CE-80AA-70E3FFD7B5A7}" type="CELLRANGE">
                      <a:rPr lang="en-US"/>
                      <a:pPr/>
                      <a:t>[CELLRANGE]</a:t>
                    </a:fld>
                    <a:endParaRPr lang="sk-SK"/>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E-9E23-4474-859E-EF97C973A662}"/>
                </c:ext>
              </c:extLst>
            </c:dLbl>
            <c:dLbl>
              <c:idx val="11"/>
              <c:layout>
                <c:manualLayout>
                  <c:x val="-4.6592114562017277E-2"/>
                  <c:y val="-1.3784301915450217E-16"/>
                </c:manualLayout>
              </c:layout>
              <c:tx>
                <c:rich>
                  <a:bodyPr/>
                  <a:lstStyle/>
                  <a:p>
                    <a:fld id="{E7458450-DB39-48BB-9A87-AC0C85E861FA}" type="CELLRANGE">
                      <a:rPr lang="en-US"/>
                      <a:pPr/>
                      <a:t>[CELLRANGE]</a:t>
                    </a:fld>
                    <a:endParaRPr lang="sk-SK"/>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9E23-4474-859E-EF97C973A662}"/>
                </c:ext>
              </c:extLst>
            </c:dLbl>
            <c:dLbl>
              <c:idx val="12"/>
              <c:layout>
                <c:manualLayout>
                  <c:x val="-0.2610822620927431"/>
                  <c:y val="-9.8485745622072464E-17"/>
                </c:manualLayout>
              </c:layout>
              <c:tx>
                <c:rich>
                  <a:bodyPr rot="0" spcFirstLastPara="1" vertOverflow="ellipsis" vert="horz" wrap="square" lIns="38100" tIns="19050" rIns="38100" bIns="19050" anchor="ctr" anchorCtr="1">
                    <a:spAutoFit/>
                  </a:bodyPr>
                  <a:lstStyle/>
                  <a:p>
                    <a:pPr>
                      <a:defRPr sz="1200" b="1" i="0" u="none" strike="noStrike" kern="1200" baseline="0">
                        <a:solidFill>
                          <a:srgbClr val="00B0F0"/>
                        </a:solidFill>
                        <a:latin typeface="+mn-lt"/>
                        <a:ea typeface="+mn-ea"/>
                        <a:cs typeface="+mn-cs"/>
                      </a:defRPr>
                    </a:pPr>
                    <a:fld id="{A2AED675-4A84-4F21-8916-DF8A665CDE62}" type="CELLRANGE">
                      <a:rPr lang="en-US"/>
                      <a:pPr>
                        <a:defRPr sz="1200" b="1">
                          <a:solidFill>
                            <a:srgbClr val="00B0F0"/>
                          </a:solidFill>
                        </a:defRPr>
                      </a:pPr>
                      <a:t>[CELLRANGE]</a:t>
                    </a:fld>
                    <a:endParaRPr lang="sk-SK"/>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00B0F0"/>
                      </a:solidFill>
                      <a:latin typeface="+mn-lt"/>
                      <a:ea typeface="+mn-ea"/>
                      <a:cs typeface="+mn-cs"/>
                    </a:defRPr>
                  </a:pPr>
                  <a:endParaRPr lang="sk-SK"/>
                </a:p>
              </c:txPr>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9E23-4474-859E-EF97C973A66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k-SK"/>
              </a:p>
            </c:txPr>
            <c:dLblPos val="inBase"/>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overview!$K$4:$K$16</c:f>
              <c:strCache>
                <c:ptCount val="13"/>
                <c:pt idx="0">
                  <c:v>Deficit roka 2023</c:v>
                </c:pt>
                <c:pt idx="1">
                  <c:v>Konsolidácia 2024</c:v>
                </c:pt>
                <c:pt idx="2">
                  <c:v>Konsolidácia 2025</c:v>
                </c:pt>
                <c:pt idx="3">
                  <c:v>Konsolidácia 2026</c:v>
                </c:pt>
                <c:pt idx="4">
                  <c:v>Nové výdavky 2024 - 2026</c:v>
                </c:pt>
                <c:pt idx="5">
                  <c:v>Energopomoc</c:v>
                </c:pt>
                <c:pt idx="6">
                  <c:v>Makroekonomický šok</c:v>
                </c:pt>
                <c:pt idx="7">
                  <c:v>Úrokové náklady</c:v>
                </c:pt>
                <c:pt idx="8">
                  <c:v>Výdavky na obranu</c:v>
                </c:pt>
                <c:pt idx="9">
                  <c:v>Dôchodcovské dávky (inflačný šok)</c:v>
                </c:pt>
                <c:pt idx="10">
                  <c:v>Pokles daňových príjmov voči makrozákladniam</c:v>
                </c:pt>
                <c:pt idx="11">
                  <c:v>Ostatné</c:v>
                </c:pt>
                <c:pt idx="12">
                  <c:v>Deficit roka 2026</c:v>
                </c:pt>
              </c:strCache>
            </c:strRef>
          </c:cat>
          <c:val>
            <c:numRef>
              <c:f>overview!$N$4:$N$16</c:f>
              <c:numCache>
                <c:formatCode>0.0</c:formatCode>
                <c:ptCount val="13"/>
                <c:pt idx="0">
                  <c:v>-5.2955900506576485</c:v>
                </c:pt>
                <c:pt idx="1">
                  <c:v>-0.98129751688516675</c:v>
                </c:pt>
                <c:pt idx="2">
                  <c:v>-1.6898547621364897</c:v>
                </c:pt>
                <c:pt idx="3">
                  <c:v>-1.6072592424850922</c:v>
                </c:pt>
                <c:pt idx="4">
                  <c:v>-0.64312792362584548</c:v>
                </c:pt>
                <c:pt idx="5">
                  <c:v>-1.4794196948121008</c:v>
                </c:pt>
                <c:pt idx="6">
                  <c:v>-1.1439801603401778</c:v>
                </c:pt>
                <c:pt idx="7">
                  <c:v>-0.69095701897860973</c:v>
                </c:pt>
                <c:pt idx="8">
                  <c:v>-0.61373074791592042</c:v>
                </c:pt>
                <c:pt idx="9">
                  <c:v>-0.51370340387244084</c:v>
                </c:pt>
                <c:pt idx="10">
                  <c:v>-0.50255049789923523</c:v>
                </c:pt>
                <c:pt idx="11">
                  <c:v>-0.6901414147492444</c:v>
                </c:pt>
                <c:pt idx="12">
                  <c:v>-4.3359500017202732</c:v>
                </c:pt>
              </c:numCache>
            </c:numRef>
          </c:val>
          <c:extLst>
            <c:ext xmlns:c15="http://schemas.microsoft.com/office/drawing/2012/chart" uri="{02D57815-91ED-43cb-92C2-25804820EDAC}">
              <c15:datalabelsRange>
                <c15:f>overview!$L$4:$L$16</c15:f>
                <c15:dlblRangeCache>
                  <c:ptCount val="13"/>
                  <c:pt idx="0">
                    <c:v>-5,3</c:v>
                  </c:pt>
                  <c:pt idx="1">
                    <c:v>1,0</c:v>
                  </c:pt>
                  <c:pt idx="2">
                    <c:v>1,7</c:v>
                  </c:pt>
                  <c:pt idx="3">
                    <c:v>1,6</c:v>
                  </c:pt>
                  <c:pt idx="4">
                    <c:v>-0,6</c:v>
                  </c:pt>
                  <c:pt idx="5">
                    <c:v>1,5</c:v>
                  </c:pt>
                  <c:pt idx="6">
                    <c:v>-1,1</c:v>
                  </c:pt>
                  <c:pt idx="7">
                    <c:v>-0,7</c:v>
                  </c:pt>
                  <c:pt idx="8">
                    <c:v>-0,6</c:v>
                  </c:pt>
                  <c:pt idx="9">
                    <c:v>-0,5</c:v>
                  </c:pt>
                  <c:pt idx="10">
                    <c:v>-0,5</c:v>
                  </c:pt>
                  <c:pt idx="11">
                    <c:v>-0,7</c:v>
                  </c:pt>
                  <c:pt idx="12">
                    <c:v>-4,3</c:v>
                  </c:pt>
                </c15:dlblRangeCache>
              </c15:datalabelsRange>
            </c:ext>
            <c:ext xmlns:c16="http://schemas.microsoft.com/office/drawing/2014/chart" uri="{C3380CC4-5D6E-409C-BE32-E72D297353CC}">
              <c16:uniqueId val="{00000017-9E23-4474-859E-EF97C973A662}"/>
            </c:ext>
          </c:extLst>
        </c:ser>
        <c:ser>
          <c:idx val="2"/>
          <c:order val="2"/>
          <c:tx>
            <c:v>Zvyšuje deficit</c:v>
          </c:tx>
          <c:spPr>
            <a:solidFill>
              <a:schemeClr val="accent4"/>
            </a:solidFill>
            <a:ln>
              <a:noFill/>
            </a:ln>
            <a:effectLst/>
          </c:spPr>
          <c:invertIfNegative val="0"/>
          <c:cat>
            <c:strRef>
              <c:f>overview!$K$4:$K$16</c:f>
              <c:strCache>
                <c:ptCount val="13"/>
                <c:pt idx="0">
                  <c:v>Deficit roka 2023</c:v>
                </c:pt>
                <c:pt idx="1">
                  <c:v>Konsolidácia 2024</c:v>
                </c:pt>
                <c:pt idx="2">
                  <c:v>Konsolidácia 2025</c:v>
                </c:pt>
                <c:pt idx="3">
                  <c:v>Konsolidácia 2026</c:v>
                </c:pt>
                <c:pt idx="4">
                  <c:v>Nové výdavky 2024 - 2026</c:v>
                </c:pt>
                <c:pt idx="5">
                  <c:v>Energopomoc</c:v>
                </c:pt>
                <c:pt idx="6">
                  <c:v>Makroekonomický šok</c:v>
                </c:pt>
                <c:pt idx="7">
                  <c:v>Úrokové náklady</c:v>
                </c:pt>
                <c:pt idx="8">
                  <c:v>Výdavky na obranu</c:v>
                </c:pt>
                <c:pt idx="9">
                  <c:v>Dôchodcovské dávky (inflačný šok)</c:v>
                </c:pt>
                <c:pt idx="10">
                  <c:v>Pokles daňových príjmov voči makrozákladniam</c:v>
                </c:pt>
                <c:pt idx="11">
                  <c:v>Ostatné</c:v>
                </c:pt>
                <c:pt idx="12">
                  <c:v>Deficit roka 2026</c:v>
                </c:pt>
              </c:strCache>
            </c:strRef>
          </c:cat>
          <c:val>
            <c:numRef>
              <c:f>overview!$O$4:$O$16</c:f>
              <c:numCache>
                <c:formatCode>General</c:formatCode>
                <c:ptCount val="13"/>
              </c:numCache>
            </c:numRef>
          </c:val>
          <c:extLst>
            <c:ext xmlns:c16="http://schemas.microsoft.com/office/drawing/2014/chart" uri="{C3380CC4-5D6E-409C-BE32-E72D297353CC}">
              <c16:uniqueId val="{00000018-9E23-4474-859E-EF97C973A662}"/>
            </c:ext>
          </c:extLst>
        </c:ser>
        <c:dLbls>
          <c:showLegendKey val="0"/>
          <c:showVal val="0"/>
          <c:showCatName val="0"/>
          <c:showSerName val="0"/>
          <c:showPercent val="0"/>
          <c:showBubbleSize val="0"/>
        </c:dLbls>
        <c:gapWidth val="100"/>
        <c:overlap val="100"/>
        <c:axId val="1428525663"/>
        <c:axId val="1428526143"/>
      </c:barChart>
      <c:catAx>
        <c:axId val="1428525663"/>
        <c:scaling>
          <c:orientation val="maxMin"/>
        </c:scaling>
        <c:delete val="0"/>
        <c:axPos val="l"/>
        <c:numFmt formatCode="General" sourceLinked="1"/>
        <c:majorTickMark val="none"/>
        <c:minorTickMark val="none"/>
        <c:tickLblPos val="high"/>
        <c:spPr>
          <a:noFill/>
          <a:ln w="12700" cap="flat" cmpd="sng" algn="ctr">
            <a:solidFill>
              <a:schemeClr val="bg2"/>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sk-SK"/>
          </a:p>
        </c:txPr>
        <c:crossAx val="1428526143"/>
        <c:crosses val="autoZero"/>
        <c:auto val="1"/>
        <c:lblAlgn val="ctr"/>
        <c:lblOffset val="100"/>
        <c:noMultiLvlLbl val="0"/>
      </c:catAx>
      <c:valAx>
        <c:axId val="1428526143"/>
        <c:scaling>
          <c:orientation val="minMax"/>
          <c:max val="0"/>
          <c:min val="-5.5"/>
        </c:scaling>
        <c:delete val="0"/>
        <c:axPos val="b"/>
        <c:majorGridlines>
          <c:spPr>
            <a:ln w="3175" cap="flat" cmpd="sng" algn="ctr">
              <a:solidFill>
                <a:schemeClr val="bg2">
                  <a:alpha val="25000"/>
                </a:schemeClr>
              </a:solidFill>
              <a:prstDash val="sysDot"/>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428525663"/>
        <c:crosses val="max"/>
        <c:crossBetween val="between"/>
      </c:valAx>
      <c:spPr>
        <a:noFill/>
        <a:ln>
          <a:noFill/>
        </a:ln>
        <a:effectLst/>
      </c:spPr>
    </c:plotArea>
    <c:legend>
      <c:legendPos val="b"/>
      <c:legendEntry>
        <c:idx val="0"/>
        <c:delete val="1"/>
      </c:legendEntry>
      <c:layout>
        <c:manualLayout>
          <c:xMode val="edge"/>
          <c:yMode val="edge"/>
          <c:x val="0.38782295400208061"/>
          <c:y val="0.60197324018708176"/>
          <c:w val="0.17181804026793218"/>
          <c:h val="0.161184654549760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sk-SK"/>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858705161854771E-2"/>
          <c:y val="0.30405910990748425"/>
          <c:w val="0.90158573928258967"/>
          <c:h val="0.58811018404011628"/>
        </c:manualLayout>
      </c:layout>
      <c:barChart>
        <c:barDir val="col"/>
        <c:grouping val="clustered"/>
        <c:varyColors val="0"/>
        <c:ser>
          <c:idx val="0"/>
          <c:order val="0"/>
          <c:tx>
            <c:strRef>
              <c:f>output!$C$10</c:f>
              <c:strCache>
                <c:ptCount val="1"/>
                <c:pt idx="0">
                  <c:v>Skutočnosť /Očakávaná skutočnosť</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rgbClr val="00B0F0"/>
                    </a:solidFill>
                    <a:latin typeface="Arial Narrow" panose="020B0606020202030204" pitchFamily="34" charset="0"/>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output!$D$9:$F$9</c:f>
              <c:numCache>
                <c:formatCode>General</c:formatCode>
                <c:ptCount val="3"/>
                <c:pt idx="0">
                  <c:v>2024</c:v>
                </c:pt>
                <c:pt idx="1">
                  <c:v>2025</c:v>
                </c:pt>
                <c:pt idx="2">
                  <c:v>2026</c:v>
                </c:pt>
              </c:numCache>
            </c:numRef>
          </c:cat>
          <c:val>
            <c:numRef>
              <c:f>output!$D$10:$F$10</c:f>
              <c:numCache>
                <c:formatCode>0.0</c:formatCode>
                <c:ptCount val="3"/>
                <c:pt idx="0">
                  <c:v>3.5056411902049778</c:v>
                </c:pt>
                <c:pt idx="1">
                  <c:v>5.2787825773032759</c:v>
                </c:pt>
                <c:pt idx="2">
                  <c:v>7.3725506745570879</c:v>
                </c:pt>
              </c:numCache>
            </c:numRef>
          </c:val>
          <c:extLst>
            <c:ext xmlns:c16="http://schemas.microsoft.com/office/drawing/2014/chart" uri="{C3380CC4-5D6E-409C-BE32-E72D297353CC}">
              <c16:uniqueId val="{00000000-EAD6-4DE5-BECE-ED5BF8ADF0DD}"/>
            </c:ext>
          </c:extLst>
        </c:ser>
        <c:dLbls>
          <c:showLegendKey val="0"/>
          <c:showVal val="0"/>
          <c:showCatName val="0"/>
          <c:showSerName val="0"/>
          <c:showPercent val="0"/>
          <c:showBubbleSize val="0"/>
        </c:dLbls>
        <c:gapWidth val="150"/>
        <c:axId val="538240944"/>
        <c:axId val="538227504"/>
      </c:barChart>
      <c:lineChart>
        <c:grouping val="standard"/>
        <c:varyColors val="0"/>
        <c:ser>
          <c:idx val="1"/>
          <c:order val="1"/>
          <c:tx>
            <c:strRef>
              <c:f>output!$C$11</c:f>
              <c:strCache>
                <c:ptCount val="1"/>
                <c:pt idx="0">
                  <c:v>Stanovený v MTP</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186-419F-966A-096FA4A2273B}"/>
                </c:ext>
              </c:extLst>
            </c:dLbl>
            <c:dLbl>
              <c:idx val="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86-419F-966A-096FA4A2273B}"/>
                </c:ext>
              </c:extLst>
            </c:dLbl>
            <c:dLbl>
              <c:idx val="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AD6-4DE5-BECE-ED5BF8ADF0DD}"/>
                </c:ext>
              </c:extLst>
            </c:dLbl>
            <c:spPr>
              <a:noFill/>
              <a:ln>
                <a:noFill/>
              </a:ln>
              <a:effectLst/>
            </c:spPr>
            <c:txPr>
              <a:bodyPr rot="0" spcFirstLastPara="1" vertOverflow="ellipsis" vert="horz" wrap="square" anchor="ctr" anchorCtr="1"/>
              <a:lstStyle/>
              <a:p>
                <a:pPr>
                  <a:defRPr sz="800" b="0" i="0" u="none" strike="noStrike" kern="1200" baseline="0">
                    <a:solidFill>
                      <a:srgbClr val="FF0000"/>
                    </a:solidFill>
                    <a:latin typeface="Arial Narrow" panose="020B0606020202030204" pitchFamily="34" charset="0"/>
                    <a:ea typeface="+mn-ea"/>
                    <a:cs typeface="+mn-cs"/>
                  </a:defRPr>
                </a:pPr>
                <a:endParaRPr lang="sk-SK"/>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output!$D$9:$F$9</c:f>
              <c:numCache>
                <c:formatCode>General</c:formatCode>
                <c:ptCount val="3"/>
                <c:pt idx="0">
                  <c:v>2024</c:v>
                </c:pt>
                <c:pt idx="1">
                  <c:v>2025</c:v>
                </c:pt>
                <c:pt idx="2">
                  <c:v>2026</c:v>
                </c:pt>
              </c:numCache>
            </c:numRef>
          </c:cat>
          <c:val>
            <c:numRef>
              <c:f>output!$D$11:$F$11</c:f>
              <c:numCache>
                <c:formatCode>0.0</c:formatCode>
                <c:ptCount val="3"/>
                <c:pt idx="0">
                  <c:v>6.2131458703570441</c:v>
                </c:pt>
                <c:pt idx="1">
                  <c:v>10.302034291058426</c:v>
                </c:pt>
                <c:pt idx="2">
                  <c:v>11.240797149210181</c:v>
                </c:pt>
              </c:numCache>
            </c:numRef>
          </c:val>
          <c:smooth val="0"/>
          <c:extLst>
            <c:ext xmlns:c16="http://schemas.microsoft.com/office/drawing/2014/chart" uri="{C3380CC4-5D6E-409C-BE32-E72D297353CC}">
              <c16:uniqueId val="{00000002-EAD6-4DE5-BECE-ED5BF8ADF0DD}"/>
            </c:ext>
          </c:extLst>
        </c:ser>
        <c:ser>
          <c:idx val="2"/>
          <c:order val="2"/>
          <c:tx>
            <c:strRef>
              <c:f>output!$C$14</c:f>
              <c:strCache>
                <c:ptCount val="1"/>
                <c:pt idx="0">
                  <c:v>Zarátaná obranná výnimka 2025</c:v>
                </c:pt>
              </c:strCache>
            </c:strRef>
          </c:tx>
          <c:spPr>
            <a:ln w="28575" cap="rnd">
              <a:noFill/>
              <a:round/>
            </a:ln>
            <a:effectLst/>
          </c:spPr>
          <c:marker>
            <c:symbol val="circle"/>
            <c:size val="5"/>
            <c:spPr>
              <a:solidFill>
                <a:sysClr val="windowText" lastClr="000000"/>
              </a:solidFill>
              <a:ln w="9525">
                <a:noFill/>
              </a:ln>
              <a:effectLst/>
            </c:spPr>
          </c:marker>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output!$D$14:$F$14</c:f>
              <c:numCache>
                <c:formatCode>0.0</c:formatCode>
                <c:ptCount val="3"/>
                <c:pt idx="1">
                  <c:v>3.7887596619334829</c:v>
                </c:pt>
                <c:pt idx="2">
                  <c:v>6.1827201319729852</c:v>
                </c:pt>
              </c:numCache>
            </c:numRef>
          </c:val>
          <c:smooth val="0"/>
          <c:extLst>
            <c:ext xmlns:c16="http://schemas.microsoft.com/office/drawing/2014/chart" uri="{C3380CC4-5D6E-409C-BE32-E72D297353CC}">
              <c16:uniqueId val="{00000003-EAD6-4DE5-BECE-ED5BF8ADF0DD}"/>
            </c:ext>
          </c:extLst>
        </c:ser>
        <c:dLbls>
          <c:showLegendKey val="0"/>
          <c:showVal val="0"/>
          <c:showCatName val="0"/>
          <c:showSerName val="0"/>
          <c:showPercent val="0"/>
          <c:showBubbleSize val="0"/>
        </c:dLbls>
        <c:marker val="1"/>
        <c:smooth val="0"/>
        <c:axId val="538240944"/>
        <c:axId val="538227504"/>
      </c:lineChart>
      <c:catAx>
        <c:axId val="538240944"/>
        <c:scaling>
          <c:orientation val="minMax"/>
        </c:scaling>
        <c:delete val="0"/>
        <c:axPos val="b"/>
        <c:numFmt formatCode="General" sourceLinked="1"/>
        <c:majorTickMark val="none"/>
        <c:minorTickMark val="none"/>
        <c:tickLblPos val="nextTo"/>
        <c:spPr>
          <a:noFill/>
          <a:ln w="12700" cap="flat" cmpd="sng" algn="ctr">
            <a:solidFill>
              <a:srgbClr val="E8E8E8">
                <a:lumMod val="50000"/>
              </a:srgb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Arial Narrow" panose="020B0606020202030204" pitchFamily="34" charset="0"/>
                <a:ea typeface="+mn-ea"/>
                <a:cs typeface="+mn-cs"/>
              </a:defRPr>
            </a:pPr>
            <a:endParaRPr lang="sk-SK"/>
          </a:p>
        </c:txPr>
        <c:crossAx val="538227504"/>
        <c:crosses val="autoZero"/>
        <c:auto val="1"/>
        <c:lblAlgn val="ctr"/>
        <c:lblOffset val="100"/>
        <c:noMultiLvlLbl val="0"/>
      </c:catAx>
      <c:valAx>
        <c:axId val="538227504"/>
        <c:scaling>
          <c:orientation val="minMax"/>
        </c:scaling>
        <c:delete val="0"/>
        <c:axPos val="l"/>
        <c:majorGridlines>
          <c:spPr>
            <a:ln w="3175" cap="flat" cmpd="sng" algn="ctr">
              <a:solidFill>
                <a:srgbClr val="E8E8E8">
                  <a:lumMod val="50000"/>
                  <a:alpha val="25000"/>
                </a:srgbClr>
              </a:solidFill>
              <a:prstDash val="sysDot"/>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Arial Narrow" panose="020B0606020202030204" pitchFamily="34" charset="0"/>
                <a:ea typeface="+mn-ea"/>
                <a:cs typeface="+mn-cs"/>
              </a:defRPr>
            </a:pPr>
            <a:endParaRPr lang="sk-SK"/>
          </a:p>
        </c:txPr>
        <c:crossAx val="538240944"/>
        <c:crosses val="autoZero"/>
        <c:crossBetween val="between"/>
      </c:valAx>
      <c:spPr>
        <a:noFill/>
        <a:ln>
          <a:noFill/>
        </a:ln>
        <a:effectLst/>
      </c:spPr>
    </c:plotArea>
    <c:legend>
      <c:legendPos val="t"/>
      <c:layout>
        <c:manualLayout>
          <c:xMode val="edge"/>
          <c:yMode val="edge"/>
          <c:x val="0.11324912510936135"/>
          <c:y val="1.3888888888888888E-2"/>
          <c:w val="0.45127930883639544"/>
          <c:h val="0.2274321959755030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Arial Narrow" panose="020B0606020202030204" pitchFamily="34" charset="0"/>
              <a:ea typeface="+mn-ea"/>
              <a:cs typeface="+mn-cs"/>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Arial Narrow" panose="020B0606020202030204" pitchFamily="34" charset="0"/>
        </a:defRPr>
      </a:pPr>
      <a:endParaRPr lang="sk-SK"/>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20475334473866"/>
          <c:y val="7.3559896328983951E-2"/>
          <c:w val="0.83926699677009831"/>
          <c:h val="0.80214358262688423"/>
        </c:manualLayout>
      </c:layout>
      <c:barChart>
        <c:barDir val="col"/>
        <c:grouping val="clustered"/>
        <c:varyColors val="0"/>
        <c:ser>
          <c:idx val="1"/>
          <c:order val="0"/>
          <c:tx>
            <c:strRef>
              <c:f>Hárok1!$B$61</c:f>
              <c:strCache>
                <c:ptCount val="1"/>
                <c:pt idx="0">
                  <c:v>Skutočnosť / Cielený deficit</c:v>
                </c:pt>
              </c:strCache>
            </c:strRef>
          </c:tx>
          <c:spPr>
            <a:solidFill>
              <a:srgbClr val="2C9ADC"/>
            </a:solidFill>
            <a:ln>
              <a:solidFill>
                <a:srgbClr val="2C9ADC"/>
              </a:solidFill>
            </a:ln>
            <a:effectLst/>
          </c:spPr>
          <c:invertIfNegative val="0"/>
          <c:dPt>
            <c:idx val="3"/>
            <c:invertIfNegative val="0"/>
            <c:bubble3D val="0"/>
            <c:spPr>
              <a:pattFill prst="pct50">
                <a:fgClr>
                  <a:srgbClr val="2C9ADC"/>
                </a:fgClr>
                <a:bgClr>
                  <a:schemeClr val="bg1"/>
                </a:bgClr>
              </a:pattFill>
              <a:ln>
                <a:solidFill>
                  <a:srgbClr val="2C9ADC"/>
                </a:solidFill>
              </a:ln>
              <a:effectLst/>
            </c:spPr>
            <c:extLst>
              <c:ext xmlns:c16="http://schemas.microsoft.com/office/drawing/2014/chart" uri="{C3380CC4-5D6E-409C-BE32-E72D297353CC}">
                <c16:uniqueId val="{00000001-B00E-45E5-B472-E6104559AAC8}"/>
              </c:ext>
            </c:extLst>
          </c:dPt>
          <c:dPt>
            <c:idx val="4"/>
            <c:invertIfNegative val="0"/>
            <c:bubble3D val="0"/>
            <c:spPr>
              <a:pattFill prst="pct50">
                <a:fgClr>
                  <a:srgbClr val="2C9ADC"/>
                </a:fgClr>
                <a:bgClr>
                  <a:schemeClr val="bg1"/>
                </a:bgClr>
              </a:pattFill>
              <a:ln>
                <a:solidFill>
                  <a:srgbClr val="2C9ADC"/>
                </a:solidFill>
              </a:ln>
              <a:effectLst/>
            </c:spPr>
            <c:extLst>
              <c:ext xmlns:c16="http://schemas.microsoft.com/office/drawing/2014/chart" uri="{C3380CC4-5D6E-409C-BE32-E72D297353CC}">
                <c16:uniqueId val="{00000003-B00E-45E5-B472-E6104559AAC8}"/>
              </c:ext>
            </c:extLst>
          </c:dPt>
          <c:dLbls>
            <c:dLbl>
              <c:idx val="1"/>
              <c:tx>
                <c:rich>
                  <a:bodyPr/>
                  <a:lstStyle/>
                  <a:p>
                    <a:r>
                      <a:rPr lang="en-US"/>
                      <a:t>4,5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939B-4EEC-A1CB-B81E275593BC}"/>
                </c:ext>
              </c:extLst>
            </c:dLbl>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Hárok1!$C$58:$G$58</c:f>
              <c:numCache>
                <c:formatCode>General</c:formatCode>
                <c:ptCount val="5"/>
                <c:pt idx="0">
                  <c:v>2024</c:v>
                </c:pt>
                <c:pt idx="1">
                  <c:v>2025</c:v>
                </c:pt>
                <c:pt idx="2">
                  <c:v>2026</c:v>
                </c:pt>
                <c:pt idx="3">
                  <c:v>2027</c:v>
                </c:pt>
                <c:pt idx="4">
                  <c:v>2028</c:v>
                </c:pt>
              </c:numCache>
            </c:numRef>
          </c:cat>
          <c:val>
            <c:numRef>
              <c:f>Hárok1!$C$61:$G$61</c:f>
              <c:numCache>
                <c:formatCode>0.0</c:formatCode>
                <c:ptCount val="5"/>
                <c:pt idx="0">
                  <c:v>5.2729181035665444</c:v>
                </c:pt>
                <c:pt idx="1">
                  <c:v>4.45</c:v>
                </c:pt>
                <c:pt idx="2">
                  <c:v>4.3</c:v>
                </c:pt>
                <c:pt idx="3">
                  <c:v>4.2</c:v>
                </c:pt>
                <c:pt idx="4">
                  <c:v>4.0999999999999996</c:v>
                </c:pt>
              </c:numCache>
            </c:numRef>
          </c:val>
          <c:extLst>
            <c:ext xmlns:c16="http://schemas.microsoft.com/office/drawing/2014/chart" uri="{C3380CC4-5D6E-409C-BE32-E72D297353CC}">
              <c16:uniqueId val="{00000004-B00E-45E5-B472-E6104559AAC8}"/>
            </c:ext>
          </c:extLst>
        </c:ser>
        <c:dLbls>
          <c:showLegendKey val="0"/>
          <c:showVal val="0"/>
          <c:showCatName val="0"/>
          <c:showSerName val="0"/>
          <c:showPercent val="0"/>
          <c:showBubbleSize val="0"/>
        </c:dLbls>
        <c:gapWidth val="150"/>
        <c:axId val="1279288208"/>
        <c:axId val="1279291088"/>
      </c:barChart>
      <c:lineChart>
        <c:grouping val="standard"/>
        <c:varyColors val="0"/>
        <c:ser>
          <c:idx val="0"/>
          <c:order val="1"/>
          <c:tx>
            <c:strRef>
              <c:f>Hárok1!$B$60</c:f>
              <c:strCache>
                <c:ptCount val="1"/>
                <c:pt idx="0">
                  <c:v>Deficit v MTP</c:v>
                </c:pt>
              </c:strCache>
            </c:strRef>
          </c:tx>
          <c:spPr>
            <a:ln w="28575" cap="rnd">
              <a:noFill/>
              <a:round/>
            </a:ln>
            <a:effectLst/>
          </c:spPr>
          <c:marker>
            <c:symbol val="circle"/>
            <c:size val="5"/>
            <c:spPr>
              <a:solidFill>
                <a:schemeClr val="tx1"/>
              </a:solidFill>
              <a:ln w="9525">
                <a:noFill/>
              </a:ln>
              <a:effectLst/>
            </c:spPr>
          </c:marker>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Hárok1!$C$58:$G$58</c:f>
              <c:numCache>
                <c:formatCode>General</c:formatCode>
                <c:ptCount val="5"/>
                <c:pt idx="0">
                  <c:v>2024</c:v>
                </c:pt>
                <c:pt idx="1">
                  <c:v>2025</c:v>
                </c:pt>
                <c:pt idx="2">
                  <c:v>2026</c:v>
                </c:pt>
                <c:pt idx="3">
                  <c:v>2027</c:v>
                </c:pt>
                <c:pt idx="4">
                  <c:v>2028</c:v>
                </c:pt>
              </c:numCache>
            </c:numRef>
          </c:cat>
          <c:val>
            <c:numRef>
              <c:f>Hárok1!$C$60:$G$60</c:f>
              <c:numCache>
                <c:formatCode>General</c:formatCode>
                <c:ptCount val="5"/>
                <c:pt idx="2">
                  <c:v>3.7</c:v>
                </c:pt>
                <c:pt idx="3" formatCode="0.0">
                  <c:v>3</c:v>
                </c:pt>
                <c:pt idx="4">
                  <c:v>2.2000000000000002</c:v>
                </c:pt>
              </c:numCache>
            </c:numRef>
          </c:val>
          <c:smooth val="0"/>
          <c:extLst>
            <c:ext xmlns:c16="http://schemas.microsoft.com/office/drawing/2014/chart" uri="{C3380CC4-5D6E-409C-BE32-E72D297353CC}">
              <c16:uniqueId val="{00000005-B00E-45E5-B472-E6104559AAC8}"/>
            </c:ext>
          </c:extLst>
        </c:ser>
        <c:ser>
          <c:idx val="2"/>
          <c:order val="2"/>
          <c:tx>
            <c:strRef>
              <c:f>Hárok1!$B$59</c:f>
              <c:strCache>
                <c:ptCount val="1"/>
                <c:pt idx="0">
                  <c:v>Deficit jeseň 2025</c:v>
                </c:pt>
              </c:strCache>
            </c:strRef>
          </c:tx>
          <c:spPr>
            <a:ln w="25400" cap="rnd">
              <a:noFill/>
              <a:round/>
            </a:ln>
            <a:effectLst/>
          </c:spPr>
          <c:marker>
            <c:symbol val="circle"/>
            <c:size val="5"/>
            <c:spPr>
              <a:solidFill>
                <a:srgbClr val="FF0000"/>
              </a:solidFill>
              <a:ln w="9525">
                <a:noFill/>
              </a:ln>
              <a:effectLst/>
            </c:spPr>
          </c:marker>
          <c:dLbls>
            <c:dLbl>
              <c:idx val="2"/>
              <c:layout>
                <c:manualLayout>
                  <c:x val="-2.3811286593594459E-2"/>
                  <c:y val="1.61523099193349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00E-45E5-B472-E6104559AAC8}"/>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Hárok1!$C$59:$G$59</c:f>
              <c:numCache>
                <c:formatCode>General</c:formatCode>
                <c:ptCount val="5"/>
                <c:pt idx="2">
                  <c:v>4.0999999999999996</c:v>
                </c:pt>
                <c:pt idx="3">
                  <c:v>3.5</c:v>
                </c:pt>
                <c:pt idx="4">
                  <c:v>2.8</c:v>
                </c:pt>
              </c:numCache>
            </c:numRef>
          </c:val>
          <c:smooth val="0"/>
          <c:extLst>
            <c:ext xmlns:c16="http://schemas.microsoft.com/office/drawing/2014/chart" uri="{C3380CC4-5D6E-409C-BE32-E72D297353CC}">
              <c16:uniqueId val="{00000007-B00E-45E5-B472-E6104559AAC8}"/>
            </c:ext>
          </c:extLst>
        </c:ser>
        <c:dLbls>
          <c:showLegendKey val="0"/>
          <c:showVal val="0"/>
          <c:showCatName val="0"/>
          <c:showSerName val="0"/>
          <c:showPercent val="0"/>
          <c:showBubbleSize val="0"/>
        </c:dLbls>
        <c:marker val="1"/>
        <c:smooth val="0"/>
        <c:axId val="1279288208"/>
        <c:axId val="1279291088"/>
      </c:lineChart>
      <c:catAx>
        <c:axId val="1279288208"/>
        <c:scaling>
          <c:orientation val="minMax"/>
        </c:scaling>
        <c:delete val="0"/>
        <c:axPos val="b"/>
        <c:numFmt formatCode="General" sourceLinked="1"/>
        <c:majorTickMark val="none"/>
        <c:minorTickMark val="none"/>
        <c:tickLblPos val="nextTo"/>
        <c:spPr>
          <a:noFill/>
          <a:ln w="12700" cap="flat" cmpd="sng" algn="ctr">
            <a:solidFill>
              <a:schemeClr val="bg2">
                <a:lumMod val="50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crossAx val="1279291088"/>
        <c:crosses val="autoZero"/>
        <c:auto val="1"/>
        <c:lblAlgn val="ctr"/>
        <c:lblOffset val="100"/>
        <c:noMultiLvlLbl val="0"/>
      </c:catAx>
      <c:valAx>
        <c:axId val="1279291088"/>
        <c:scaling>
          <c:orientation val="minMax"/>
        </c:scaling>
        <c:delete val="0"/>
        <c:axPos val="l"/>
        <c:majorGridlines>
          <c:spPr>
            <a:ln w="3175" cap="flat" cmpd="sng" algn="ctr">
              <a:solidFill>
                <a:schemeClr val="bg2">
                  <a:lumMod val="50000"/>
                  <a:alpha val="25000"/>
                </a:schemeClr>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crossAx val="1279288208"/>
        <c:crosses val="autoZero"/>
        <c:crossBetween val="between"/>
      </c:valAx>
      <c:spPr>
        <a:noFill/>
        <a:ln>
          <a:noFill/>
        </a:ln>
        <a:effectLst/>
      </c:spPr>
    </c:plotArea>
    <c:legend>
      <c:legendPos val="b"/>
      <c:layout>
        <c:manualLayout>
          <c:xMode val="edge"/>
          <c:yMode val="edge"/>
          <c:x val="0.47131519313721748"/>
          <c:y val="3.3566034130791123E-2"/>
          <c:w val="0.52390522030933884"/>
          <c:h val="0.1572727546987660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Arial Narrow" panose="020B0606020202030204" pitchFamily="34" charset="0"/>
        </a:defRPr>
      </a:pPr>
      <a:endParaRPr lang="sk-SK"/>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358705161854761E-2"/>
          <c:y val="0.20556591964465981"/>
          <c:w val="0.88108573928258971"/>
          <c:h val="0.65499737532808411"/>
        </c:manualLayout>
      </c:layout>
      <c:barChart>
        <c:barDir val="col"/>
        <c:grouping val="clustered"/>
        <c:varyColors val="0"/>
        <c:ser>
          <c:idx val="0"/>
          <c:order val="0"/>
          <c:tx>
            <c:strRef>
              <c:f>output!$C$31</c:f>
              <c:strCache>
                <c:ptCount val="1"/>
                <c:pt idx="0">
                  <c:v>Kumulatívny rast výdavkov pri splnení cieľov</c:v>
                </c:pt>
              </c:strCache>
            </c:strRef>
          </c:tx>
          <c:spPr>
            <a:solidFill>
              <a:schemeClr val="accent1"/>
            </a:solidFill>
            <a:ln>
              <a:noFill/>
            </a:ln>
            <a:effectLst/>
          </c:spPr>
          <c:invertIfNegative val="0"/>
          <c:dLbls>
            <c:dLbl>
              <c:idx val="0"/>
              <c:layout>
                <c:manualLayout>
                  <c:x val="0"/>
                  <c:y val="1.3888888888888888E-2"/>
                </c:manualLayout>
              </c:layout>
              <c:spPr>
                <a:noFill/>
                <a:ln>
                  <a:noFill/>
                </a:ln>
                <a:effectLst/>
              </c:spPr>
              <c:txPr>
                <a:bodyPr rot="0" spcFirstLastPara="1" vertOverflow="ellipsis" vert="horz" wrap="square" anchor="ctr" anchorCtr="1"/>
                <a:lstStyle/>
                <a:p>
                  <a:pPr>
                    <a:defRPr sz="800" b="0" i="0" u="none" strike="noStrike" kern="1200" baseline="0">
                      <a:solidFill>
                        <a:srgbClr val="00B0F0"/>
                      </a:solidFill>
                      <a:latin typeface="Arial Narrow" panose="020B0606020202030204" pitchFamily="34" charset="0"/>
                      <a:ea typeface="+mn-ea"/>
                      <a:cs typeface="+mn-cs"/>
                    </a:defRPr>
                  </a:pPr>
                  <a:endParaRPr lang="sk-SK"/>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EA2-4404-A593-3A0E92AD0CA8}"/>
                </c:ext>
              </c:extLst>
            </c:dLbl>
            <c:spPr>
              <a:noFill/>
              <a:ln>
                <a:noFill/>
              </a:ln>
              <a:effectLst/>
            </c:spPr>
            <c:txPr>
              <a:bodyPr rot="0" spcFirstLastPara="1" vertOverflow="ellipsis" vert="horz" wrap="square" anchor="ctr" anchorCtr="1"/>
              <a:lstStyle/>
              <a:p>
                <a:pPr>
                  <a:defRPr sz="800" b="0" i="0" u="none" strike="noStrike" kern="1200" baseline="0">
                    <a:solidFill>
                      <a:schemeClr val="accent4">
                        <a:lumMod val="75000"/>
                      </a:schemeClr>
                    </a:solidFill>
                    <a:latin typeface="Arial Narrow" panose="020B0606020202030204" pitchFamily="34" charset="0"/>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output!$C$30</c:f>
              <c:strCache>
                <c:ptCount val="1"/>
                <c:pt idx="0">
                  <c:v>2024-2028</c:v>
                </c:pt>
              </c:strCache>
            </c:strRef>
          </c:cat>
          <c:val>
            <c:numRef>
              <c:f>output!$D$31</c:f>
              <c:numCache>
                <c:formatCode>0.0</c:formatCode>
                <c:ptCount val="1"/>
                <c:pt idx="0">
                  <c:v>11.803946265099041</c:v>
                </c:pt>
              </c:numCache>
            </c:numRef>
          </c:val>
          <c:extLst>
            <c:ext xmlns:c16="http://schemas.microsoft.com/office/drawing/2014/chart" uri="{C3380CC4-5D6E-409C-BE32-E72D297353CC}">
              <c16:uniqueId val="{00000000-AEA2-4404-A593-3A0E92AD0CA8}"/>
            </c:ext>
          </c:extLst>
        </c:ser>
        <c:dLbls>
          <c:showLegendKey val="0"/>
          <c:showVal val="0"/>
          <c:showCatName val="0"/>
          <c:showSerName val="0"/>
          <c:showPercent val="0"/>
          <c:showBubbleSize val="0"/>
        </c:dLbls>
        <c:gapWidth val="150"/>
        <c:axId val="538240944"/>
        <c:axId val="538227504"/>
      </c:barChart>
      <c:lineChart>
        <c:grouping val="standard"/>
        <c:varyColors val="0"/>
        <c:ser>
          <c:idx val="1"/>
          <c:order val="1"/>
          <c:tx>
            <c:strRef>
              <c:f>output!$C$32</c:f>
              <c:strCache>
                <c:ptCount val="1"/>
                <c:pt idx="0">
                  <c:v>Maximálny kumulatívny rast výdavkov (MTP)</c:v>
                </c:pt>
              </c:strCache>
            </c:strRef>
          </c:tx>
          <c:spPr>
            <a:ln w="25400" cap="rnd">
              <a:noFill/>
              <a:round/>
            </a:ln>
            <a:effectLst/>
          </c:spPr>
          <c:marker>
            <c:symbol val="circle"/>
            <c:size val="5"/>
            <c:spPr>
              <a:solidFill>
                <a:srgbClr val="FF0000"/>
              </a:solidFill>
              <a:ln w="9525">
                <a:noFill/>
              </a:ln>
              <a:effectLst/>
            </c:spPr>
          </c:marker>
          <c:dLbls>
            <c:dLbl>
              <c:idx val="0"/>
              <c:layout>
                <c:manualLayout>
                  <c:x val="-7.0546737213403876E-2"/>
                  <c:y val="-3.2407407407407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1C0-4F86-B120-719DDF8A470B}"/>
                </c:ext>
              </c:extLst>
            </c:dLbl>
            <c:spPr>
              <a:noFill/>
              <a:ln>
                <a:noFill/>
              </a:ln>
              <a:effectLst/>
            </c:spPr>
            <c:txPr>
              <a:bodyPr rot="0" spcFirstLastPara="1" vertOverflow="ellipsis" vert="horz" wrap="square" anchor="ctr" anchorCtr="1"/>
              <a:lstStyle/>
              <a:p>
                <a:pPr>
                  <a:defRPr sz="800" b="0" i="0" u="none" strike="noStrike" kern="1200" baseline="0">
                    <a:solidFill>
                      <a:srgbClr val="FF0000"/>
                    </a:solidFill>
                    <a:latin typeface="Arial Narrow" panose="020B0606020202030204" pitchFamily="34" charset="0"/>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output!$D$32</c:f>
              <c:numCache>
                <c:formatCode>0.0</c:formatCode>
                <c:ptCount val="1"/>
                <c:pt idx="0">
                  <c:v>14.774496406822756</c:v>
                </c:pt>
              </c:numCache>
            </c:numRef>
          </c:val>
          <c:smooth val="0"/>
          <c:extLst>
            <c:ext xmlns:c16="http://schemas.microsoft.com/office/drawing/2014/chart" uri="{C3380CC4-5D6E-409C-BE32-E72D297353CC}">
              <c16:uniqueId val="{00000001-AEA2-4404-A593-3A0E92AD0CA8}"/>
            </c:ext>
          </c:extLst>
        </c:ser>
        <c:dLbls>
          <c:showLegendKey val="0"/>
          <c:showVal val="0"/>
          <c:showCatName val="0"/>
          <c:showSerName val="0"/>
          <c:showPercent val="0"/>
          <c:showBubbleSize val="0"/>
        </c:dLbls>
        <c:marker val="1"/>
        <c:smooth val="0"/>
        <c:axId val="538240944"/>
        <c:axId val="538227504"/>
      </c:lineChart>
      <c:catAx>
        <c:axId val="538240944"/>
        <c:scaling>
          <c:orientation val="minMax"/>
        </c:scaling>
        <c:delete val="0"/>
        <c:axPos val="b"/>
        <c:numFmt formatCode="General" sourceLinked="1"/>
        <c:majorTickMark val="none"/>
        <c:minorTickMark val="none"/>
        <c:tickLblPos val="nextTo"/>
        <c:spPr>
          <a:noFill/>
          <a:ln w="12700" cap="flat" cmpd="sng" algn="ctr">
            <a:solidFill>
              <a:srgbClr val="E8E8E8">
                <a:lumMod val="50000"/>
              </a:srgb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Arial Narrow" panose="020B0606020202030204" pitchFamily="34" charset="0"/>
                <a:ea typeface="+mn-ea"/>
                <a:cs typeface="+mn-cs"/>
              </a:defRPr>
            </a:pPr>
            <a:endParaRPr lang="sk-SK"/>
          </a:p>
        </c:txPr>
        <c:crossAx val="538227504"/>
        <c:crosses val="autoZero"/>
        <c:auto val="1"/>
        <c:lblAlgn val="ctr"/>
        <c:lblOffset val="100"/>
        <c:noMultiLvlLbl val="0"/>
      </c:catAx>
      <c:valAx>
        <c:axId val="538227504"/>
        <c:scaling>
          <c:orientation val="minMax"/>
          <c:min val="0"/>
        </c:scaling>
        <c:delete val="0"/>
        <c:axPos val="l"/>
        <c:majorGridlines>
          <c:spPr>
            <a:ln w="3175" cap="flat" cmpd="sng" algn="ctr">
              <a:solidFill>
                <a:srgbClr val="E8E8E8">
                  <a:lumMod val="50000"/>
                  <a:alpha val="25000"/>
                </a:srgbClr>
              </a:solidFill>
              <a:prstDash val="sysDot"/>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Arial Narrow" panose="020B0606020202030204" pitchFamily="34" charset="0"/>
                <a:ea typeface="+mn-ea"/>
                <a:cs typeface="+mn-cs"/>
              </a:defRPr>
            </a:pPr>
            <a:endParaRPr lang="sk-SK"/>
          </a:p>
        </c:txPr>
        <c:crossAx val="538240944"/>
        <c:crosses val="autoZero"/>
        <c:crossBetween val="between"/>
      </c:valAx>
      <c:spPr>
        <a:noFill/>
        <a:ln>
          <a:noFill/>
        </a:ln>
        <a:effectLst/>
      </c:spPr>
    </c:plotArea>
    <c:legend>
      <c:legendPos val="t"/>
      <c:layout>
        <c:manualLayout>
          <c:xMode val="edge"/>
          <c:yMode val="edge"/>
          <c:x val="0"/>
          <c:y val="2.7777777777777776E-2"/>
          <c:w val="0.9945999805579856"/>
          <c:h val="0.1504720764071157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Arial Narrow" panose="020B0606020202030204" pitchFamily="34" charset="0"/>
              <a:ea typeface="+mn-ea"/>
              <a:cs typeface="+mn-cs"/>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chemeClr val="tx2"/>
          </a:solidFill>
          <a:latin typeface="Arial Narrow" panose="020B0606020202030204" pitchFamily="34" charset="0"/>
        </a:defRPr>
      </a:pPr>
      <a:endParaRPr lang="sk-SK"/>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0664392606354918E-2"/>
          <c:y val="3.3562166285278416E-2"/>
          <c:w val="0.94102516211690768"/>
          <c:h val="0.70682642930503237"/>
        </c:manualLayout>
      </c:layout>
      <c:areaChart>
        <c:grouping val="stacked"/>
        <c:varyColors val="0"/>
        <c:ser>
          <c:idx val="1"/>
          <c:order val="1"/>
          <c:tx>
            <c:strRef>
              <c:f>'G 12'!$H$34</c:f>
              <c:strCache>
                <c:ptCount val="1"/>
                <c:pt idx="0">
                  <c:v>Čistý dlh (cielené deficity)</c:v>
                </c:pt>
              </c:strCache>
            </c:strRef>
          </c:tx>
          <c:spPr>
            <a:solidFill>
              <a:srgbClr val="00B0F0"/>
            </a:solidFill>
            <a:ln>
              <a:solidFill>
                <a:srgbClr val="00B0F0"/>
              </a:solidFill>
            </a:ln>
            <a:effectLst/>
          </c:spPr>
          <c:cat>
            <c:numRef>
              <c:f>'G 12'!$J$32:$AB$32</c:f>
              <c:numCache>
                <c:formatCode>General</c:formatCode>
                <c:ptCount val="19"/>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numCache>
            </c:numRef>
          </c:cat>
          <c:val>
            <c:numRef>
              <c:f>'G 12'!$J$34:$AB$34</c:f>
              <c:numCache>
                <c:formatCode>0.0</c:formatCode>
                <c:ptCount val="19"/>
                <c:pt idx="0">
                  <c:v>36.743061890831918</c:v>
                </c:pt>
                <c:pt idx="1">
                  <c:v>40.710508331807752</c:v>
                </c:pt>
                <c:pt idx="2">
                  <c:v>45.00086921307507</c:v>
                </c:pt>
                <c:pt idx="3">
                  <c:v>47.72469222062</c:v>
                </c:pt>
                <c:pt idx="4">
                  <c:v>49.390236447964597</c:v>
                </c:pt>
                <c:pt idx="5">
                  <c:v>47.19378311322513</c:v>
                </c:pt>
                <c:pt idx="6">
                  <c:v>46.812441362775495</c:v>
                </c:pt>
                <c:pt idx="7">
                  <c:v>45.68122525831749</c:v>
                </c:pt>
                <c:pt idx="8">
                  <c:v>43.219824092270237</c:v>
                </c:pt>
                <c:pt idx="9">
                  <c:v>43.120066526572003</c:v>
                </c:pt>
                <c:pt idx="10">
                  <c:v>48.525153836252258</c:v>
                </c:pt>
                <c:pt idx="11">
                  <c:v>48.950585891949508</c:v>
                </c:pt>
                <c:pt idx="12">
                  <c:v>47.623578324204566</c:v>
                </c:pt>
                <c:pt idx="13">
                  <c:v>48.06060526880411</c:v>
                </c:pt>
                <c:pt idx="14">
                  <c:v>51.409354083389346</c:v>
                </c:pt>
                <c:pt idx="15">
                  <c:v>53.462514451741747</c:v>
                </c:pt>
                <c:pt idx="16">
                  <c:v>56.649746550802405</c:v>
                </c:pt>
                <c:pt idx="17">
                  <c:v>57.897096440703436</c:v>
                </c:pt>
                <c:pt idx="18">
                  <c:v>59.344700040573606</c:v>
                </c:pt>
              </c:numCache>
            </c:numRef>
          </c:val>
          <c:extLst>
            <c:ext xmlns:c16="http://schemas.microsoft.com/office/drawing/2014/chart" uri="{C3380CC4-5D6E-409C-BE32-E72D297353CC}">
              <c16:uniqueId val="{00000000-3A68-4E53-947D-4C6C0CB1A69E}"/>
            </c:ext>
          </c:extLst>
        </c:ser>
        <c:ser>
          <c:idx val="2"/>
          <c:order val="2"/>
          <c:tx>
            <c:strRef>
              <c:f>'G 12'!$H$35</c:f>
              <c:strCache>
                <c:ptCount val="1"/>
                <c:pt idx="0">
                  <c:v>Likvidné finančné aktíva</c:v>
                </c:pt>
              </c:strCache>
            </c:strRef>
          </c:tx>
          <c:spPr>
            <a:solidFill>
              <a:schemeClr val="accent1">
                <a:lumMod val="20000"/>
                <a:lumOff val="80000"/>
              </a:schemeClr>
            </a:solidFill>
            <a:ln>
              <a:noFill/>
            </a:ln>
            <a:effectLst/>
          </c:spPr>
          <c:cat>
            <c:numRef>
              <c:f>'G 12'!$J$32:$AB$32</c:f>
              <c:numCache>
                <c:formatCode>General</c:formatCode>
                <c:ptCount val="19"/>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numCache>
            </c:numRef>
          </c:cat>
          <c:val>
            <c:numRef>
              <c:f>'G 12'!$J$35:$AB$35</c:f>
              <c:numCache>
                <c:formatCode>0.0</c:formatCode>
                <c:ptCount val="19"/>
                <c:pt idx="0">
                  <c:v>3.9105604367395799</c:v>
                </c:pt>
                <c:pt idx="1">
                  <c:v>2.5596983858599245</c:v>
                </c:pt>
                <c:pt idx="2">
                  <c:v>6.6866404602010263</c:v>
                </c:pt>
                <c:pt idx="3">
                  <c:v>6.8860076028093857</c:v>
                </c:pt>
                <c:pt idx="4">
                  <c:v>4.0018390252121492</c:v>
                </c:pt>
                <c:pt idx="5">
                  <c:v>4.4055271163428742</c:v>
                </c:pt>
                <c:pt idx="6">
                  <c:v>5.3231025086958326</c:v>
                </c:pt>
                <c:pt idx="7">
                  <c:v>5.7003047420815136</c:v>
                </c:pt>
                <c:pt idx="8">
                  <c:v>6.0504552873170852</c:v>
                </c:pt>
                <c:pt idx="9">
                  <c:v>4.8896065811756628</c:v>
                </c:pt>
                <c:pt idx="10">
                  <c:v>9.8829965883480568</c:v>
                </c:pt>
                <c:pt idx="11">
                  <c:v>11.266290344395429</c:v>
                </c:pt>
                <c:pt idx="12">
                  <c:v>10.132616062438181</c:v>
                </c:pt>
                <c:pt idx="13">
                  <c:v>7.6970213819154836</c:v>
                </c:pt>
                <c:pt idx="14">
                  <c:v>8.2913797912747356</c:v>
                </c:pt>
                <c:pt idx="15">
                  <c:v>7.929923396945604</c:v>
                </c:pt>
                <c:pt idx="16">
                  <c:v>6.6245695650365946</c:v>
                </c:pt>
                <c:pt idx="17">
                  <c:v>7.2219521337883918</c:v>
                </c:pt>
                <c:pt idx="18">
                  <c:v>6.8770740397546959</c:v>
                </c:pt>
              </c:numCache>
            </c:numRef>
          </c:val>
          <c:extLst>
            <c:ext xmlns:c16="http://schemas.microsoft.com/office/drawing/2014/chart" uri="{C3380CC4-5D6E-409C-BE32-E72D297353CC}">
              <c16:uniqueId val="{00000001-3A68-4E53-947D-4C6C0CB1A69E}"/>
            </c:ext>
          </c:extLst>
        </c:ser>
        <c:dLbls>
          <c:showLegendKey val="0"/>
          <c:showVal val="0"/>
          <c:showCatName val="0"/>
          <c:showSerName val="0"/>
          <c:showPercent val="0"/>
          <c:showBubbleSize val="0"/>
        </c:dLbls>
        <c:axId val="1250213919"/>
        <c:axId val="1250211039"/>
      </c:areaChart>
      <c:lineChart>
        <c:grouping val="standard"/>
        <c:varyColors val="0"/>
        <c:ser>
          <c:idx val="0"/>
          <c:order val="0"/>
          <c:tx>
            <c:strRef>
              <c:f>'G 12'!$H$33</c:f>
              <c:strCache>
                <c:ptCount val="1"/>
                <c:pt idx="0">
                  <c:v>Hrubý dlh (cielené deficity)</c:v>
                </c:pt>
              </c:strCache>
            </c:strRef>
          </c:tx>
          <c:spPr>
            <a:ln w="28575" cap="rnd">
              <a:noFill/>
              <a:round/>
            </a:ln>
            <a:effectLst/>
          </c:spPr>
          <c:marker>
            <c:symbol val="circle"/>
            <c:size val="4"/>
            <c:spPr>
              <a:solidFill>
                <a:schemeClr val="tx1"/>
              </a:solidFill>
              <a:ln w="9525">
                <a:noFill/>
              </a:ln>
              <a:effectLst/>
            </c:spPr>
          </c:marker>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 12'!$J$32:$AB$32</c:f>
              <c:numCache>
                <c:formatCode>General</c:formatCode>
                <c:ptCount val="19"/>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numCache>
            </c:numRef>
          </c:cat>
          <c:val>
            <c:numRef>
              <c:f>'G 12'!$J$33:$AB$33</c:f>
              <c:numCache>
                <c:formatCode>0.0</c:formatCode>
                <c:ptCount val="19"/>
                <c:pt idx="0">
                  <c:v>40.653622327571497</c:v>
                </c:pt>
                <c:pt idx="1">
                  <c:v>43.270206717667676</c:v>
                </c:pt>
                <c:pt idx="2">
                  <c:v>51.687509673276097</c:v>
                </c:pt>
                <c:pt idx="3">
                  <c:v>54.610699823429385</c:v>
                </c:pt>
                <c:pt idx="4">
                  <c:v>53.392075473176746</c:v>
                </c:pt>
                <c:pt idx="5">
                  <c:v>51.599310229568005</c:v>
                </c:pt>
                <c:pt idx="6">
                  <c:v>52.135543871471327</c:v>
                </c:pt>
                <c:pt idx="7">
                  <c:v>51.381530000399003</c:v>
                </c:pt>
                <c:pt idx="8">
                  <c:v>49.270279379587322</c:v>
                </c:pt>
                <c:pt idx="9">
                  <c:v>48.009673107747666</c:v>
                </c:pt>
                <c:pt idx="10">
                  <c:v>58.408150424600315</c:v>
                </c:pt>
                <c:pt idx="11">
                  <c:v>60.216876236344937</c:v>
                </c:pt>
                <c:pt idx="12">
                  <c:v>57.756194386642747</c:v>
                </c:pt>
                <c:pt idx="13">
                  <c:v>55.757626650719594</c:v>
                </c:pt>
                <c:pt idx="14">
                  <c:v>59.700733874664081</c:v>
                </c:pt>
                <c:pt idx="15">
                  <c:v>61.392437848687351</c:v>
                </c:pt>
                <c:pt idx="16">
                  <c:v>63.274316115839</c:v>
                </c:pt>
                <c:pt idx="17">
                  <c:v>65.119048574491828</c:v>
                </c:pt>
                <c:pt idx="18">
                  <c:v>66.221774080328302</c:v>
                </c:pt>
              </c:numCache>
            </c:numRef>
          </c:val>
          <c:smooth val="0"/>
          <c:extLst>
            <c:ext xmlns:c16="http://schemas.microsoft.com/office/drawing/2014/chart" uri="{C3380CC4-5D6E-409C-BE32-E72D297353CC}">
              <c16:uniqueId val="{00000002-3A68-4E53-947D-4C6C0CB1A69E}"/>
            </c:ext>
          </c:extLst>
        </c:ser>
        <c:dLbls>
          <c:showLegendKey val="0"/>
          <c:showVal val="0"/>
          <c:showCatName val="0"/>
          <c:showSerName val="0"/>
          <c:showPercent val="0"/>
          <c:showBubbleSize val="0"/>
        </c:dLbls>
        <c:marker val="1"/>
        <c:smooth val="0"/>
        <c:axId val="1250213919"/>
        <c:axId val="1250211039"/>
      </c:lineChart>
      <c:lineChart>
        <c:grouping val="standard"/>
        <c:varyColors val="0"/>
        <c:ser>
          <c:idx val="3"/>
          <c:order val="3"/>
          <c:tx>
            <c:strRef>
              <c:f>'G 12'!$H$36</c:f>
              <c:strCache>
                <c:ptCount val="1"/>
                <c:pt idx="0">
                  <c:v>Horné sankčné pásmo dlhovej brzdy</c:v>
                </c:pt>
              </c:strCache>
            </c:strRef>
          </c:tx>
          <c:spPr>
            <a:ln w="12700" cap="rnd">
              <a:solidFill>
                <a:srgbClr val="E85477"/>
              </a:solidFill>
              <a:prstDash val="sysDash"/>
              <a:round/>
            </a:ln>
            <a:effectLst/>
          </c:spPr>
          <c:marker>
            <c:symbol val="none"/>
          </c:marker>
          <c:dPt>
            <c:idx val="1"/>
            <c:marker>
              <c:symbol val="none"/>
            </c:marker>
            <c:bubble3D val="0"/>
            <c:spPr>
              <a:ln w="12700" cap="rnd">
                <a:noFill/>
                <a:prstDash val="sysDash"/>
                <a:round/>
              </a:ln>
              <a:effectLst/>
            </c:spPr>
            <c:extLst>
              <c:ext xmlns:c16="http://schemas.microsoft.com/office/drawing/2014/chart" uri="{C3380CC4-5D6E-409C-BE32-E72D297353CC}">
                <c16:uniqueId val="{00000004-3A68-4E53-947D-4C6C0CB1A69E}"/>
              </c:ext>
            </c:extLst>
          </c:dPt>
          <c:dPt>
            <c:idx val="2"/>
            <c:marker>
              <c:symbol val="none"/>
            </c:marker>
            <c:bubble3D val="0"/>
            <c:spPr>
              <a:ln w="12700" cap="rnd">
                <a:noFill/>
                <a:prstDash val="sysDash"/>
                <a:round/>
              </a:ln>
              <a:effectLst/>
            </c:spPr>
            <c:extLst>
              <c:ext xmlns:c16="http://schemas.microsoft.com/office/drawing/2014/chart" uri="{C3380CC4-5D6E-409C-BE32-E72D297353CC}">
                <c16:uniqueId val="{00000006-3A68-4E53-947D-4C6C0CB1A69E}"/>
              </c:ext>
            </c:extLst>
          </c:dPt>
          <c:cat>
            <c:numRef>
              <c:f>'G 12'!$J$32:$AB$32</c:f>
              <c:numCache>
                <c:formatCode>General</c:formatCode>
                <c:ptCount val="19"/>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numCache>
            </c:numRef>
          </c:cat>
          <c:val>
            <c:numRef>
              <c:f>'G 12'!$J$36:$AB$36</c:f>
              <c:numCache>
                <c:formatCode>General</c:formatCode>
                <c:ptCount val="19"/>
                <c:pt idx="2" formatCode="0.0">
                  <c:v>60</c:v>
                </c:pt>
                <c:pt idx="3" formatCode="0.0">
                  <c:v>60</c:v>
                </c:pt>
                <c:pt idx="4" formatCode="0.0">
                  <c:v>60</c:v>
                </c:pt>
                <c:pt idx="5" formatCode="0.0">
                  <c:v>60</c:v>
                </c:pt>
                <c:pt idx="6" formatCode="0.0">
                  <c:v>60</c:v>
                </c:pt>
                <c:pt idx="7" formatCode="0.0">
                  <c:v>60</c:v>
                </c:pt>
                <c:pt idx="8" formatCode="0.0">
                  <c:v>59</c:v>
                </c:pt>
                <c:pt idx="9" formatCode="0.0">
                  <c:v>58</c:v>
                </c:pt>
                <c:pt idx="10" formatCode="0.0">
                  <c:v>57</c:v>
                </c:pt>
                <c:pt idx="11" formatCode="0.0">
                  <c:v>56</c:v>
                </c:pt>
                <c:pt idx="12" formatCode="0.0">
                  <c:v>55</c:v>
                </c:pt>
                <c:pt idx="13" formatCode="0.0">
                  <c:v>54</c:v>
                </c:pt>
                <c:pt idx="14" formatCode="0.0">
                  <c:v>53</c:v>
                </c:pt>
                <c:pt idx="15" formatCode="0.0">
                  <c:v>52</c:v>
                </c:pt>
                <c:pt idx="16" formatCode="0.0">
                  <c:v>51</c:v>
                </c:pt>
                <c:pt idx="17" formatCode="0.0">
                  <c:v>50</c:v>
                </c:pt>
                <c:pt idx="18" formatCode="0.0">
                  <c:v>50</c:v>
                </c:pt>
              </c:numCache>
            </c:numRef>
          </c:val>
          <c:smooth val="0"/>
          <c:extLst>
            <c:ext xmlns:c16="http://schemas.microsoft.com/office/drawing/2014/chart" uri="{C3380CC4-5D6E-409C-BE32-E72D297353CC}">
              <c16:uniqueId val="{00000007-3A68-4E53-947D-4C6C0CB1A69E}"/>
            </c:ext>
          </c:extLst>
        </c:ser>
        <c:ser>
          <c:idx val="4"/>
          <c:order val="4"/>
          <c:tx>
            <c:v>Horné a dolné sankčné pásmo</c:v>
          </c:tx>
          <c:spPr>
            <a:ln w="12700" cap="rnd">
              <a:solidFill>
                <a:srgbClr val="E85477"/>
              </a:solidFill>
              <a:prstDash val="sysDash"/>
              <a:round/>
            </a:ln>
            <a:effectLst/>
          </c:spPr>
          <c:marker>
            <c:symbol val="none"/>
          </c:marker>
          <c:dPt>
            <c:idx val="0"/>
            <c:marker>
              <c:symbol val="none"/>
            </c:marker>
            <c:bubble3D val="0"/>
            <c:spPr>
              <a:ln w="12700" cap="rnd">
                <a:noFill/>
                <a:prstDash val="sysDash"/>
                <a:round/>
              </a:ln>
              <a:effectLst/>
            </c:spPr>
            <c:extLst>
              <c:ext xmlns:c16="http://schemas.microsoft.com/office/drawing/2014/chart" uri="{C3380CC4-5D6E-409C-BE32-E72D297353CC}">
                <c16:uniqueId val="{00000009-3A68-4E53-947D-4C6C0CB1A69E}"/>
              </c:ext>
            </c:extLst>
          </c:dPt>
          <c:dPt>
            <c:idx val="1"/>
            <c:marker>
              <c:symbol val="none"/>
            </c:marker>
            <c:bubble3D val="0"/>
            <c:spPr>
              <a:ln w="12700" cap="rnd">
                <a:noFill/>
                <a:prstDash val="sysDash"/>
                <a:round/>
              </a:ln>
              <a:effectLst/>
            </c:spPr>
            <c:extLst>
              <c:ext xmlns:c16="http://schemas.microsoft.com/office/drawing/2014/chart" uri="{C3380CC4-5D6E-409C-BE32-E72D297353CC}">
                <c16:uniqueId val="{0000000B-3A68-4E53-947D-4C6C0CB1A69E}"/>
              </c:ext>
            </c:extLst>
          </c:dPt>
          <c:dPt>
            <c:idx val="2"/>
            <c:marker>
              <c:symbol val="none"/>
            </c:marker>
            <c:bubble3D val="0"/>
            <c:spPr>
              <a:ln w="12700" cap="rnd">
                <a:noFill/>
                <a:prstDash val="sysDash"/>
                <a:round/>
              </a:ln>
              <a:effectLst/>
            </c:spPr>
            <c:extLst>
              <c:ext xmlns:c16="http://schemas.microsoft.com/office/drawing/2014/chart" uri="{C3380CC4-5D6E-409C-BE32-E72D297353CC}">
                <c16:uniqueId val="{0000000D-3A68-4E53-947D-4C6C0CB1A69E}"/>
              </c:ext>
            </c:extLst>
          </c:dPt>
          <c:cat>
            <c:numRef>
              <c:f>'G 12'!$J$32:$AB$32</c:f>
              <c:numCache>
                <c:formatCode>General</c:formatCode>
                <c:ptCount val="19"/>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numCache>
            </c:numRef>
          </c:cat>
          <c:val>
            <c:numRef>
              <c:f>'G 12'!$J$37:$AB$37</c:f>
              <c:numCache>
                <c:formatCode>General</c:formatCode>
                <c:ptCount val="19"/>
                <c:pt idx="2" formatCode="0.0">
                  <c:v>50</c:v>
                </c:pt>
                <c:pt idx="3" formatCode="0.0">
                  <c:v>50</c:v>
                </c:pt>
                <c:pt idx="4" formatCode="0.0">
                  <c:v>50</c:v>
                </c:pt>
                <c:pt idx="5" formatCode="0.0">
                  <c:v>50</c:v>
                </c:pt>
                <c:pt idx="6" formatCode="0.0">
                  <c:v>50</c:v>
                </c:pt>
                <c:pt idx="7" formatCode="0.0">
                  <c:v>50</c:v>
                </c:pt>
                <c:pt idx="8" formatCode="0.0">
                  <c:v>49</c:v>
                </c:pt>
                <c:pt idx="9" formatCode="0.0">
                  <c:v>48</c:v>
                </c:pt>
                <c:pt idx="10" formatCode="0.0">
                  <c:v>47</c:v>
                </c:pt>
                <c:pt idx="11" formatCode="0.0">
                  <c:v>46</c:v>
                </c:pt>
                <c:pt idx="12" formatCode="0.0">
                  <c:v>45</c:v>
                </c:pt>
                <c:pt idx="13" formatCode="0.0">
                  <c:v>44</c:v>
                </c:pt>
                <c:pt idx="14" formatCode="0.0">
                  <c:v>43</c:v>
                </c:pt>
                <c:pt idx="15" formatCode="0.0">
                  <c:v>42</c:v>
                </c:pt>
                <c:pt idx="16" formatCode="0.0">
                  <c:v>41</c:v>
                </c:pt>
                <c:pt idx="17" formatCode="0.0">
                  <c:v>40</c:v>
                </c:pt>
                <c:pt idx="18" formatCode="0.0">
                  <c:v>40</c:v>
                </c:pt>
              </c:numCache>
            </c:numRef>
          </c:val>
          <c:smooth val="0"/>
          <c:extLst>
            <c:ext xmlns:c16="http://schemas.microsoft.com/office/drawing/2014/chart" uri="{C3380CC4-5D6E-409C-BE32-E72D297353CC}">
              <c16:uniqueId val="{0000000E-3A68-4E53-947D-4C6C0CB1A69E}"/>
            </c:ext>
          </c:extLst>
        </c:ser>
        <c:dLbls>
          <c:showLegendKey val="0"/>
          <c:showVal val="0"/>
          <c:showCatName val="0"/>
          <c:showSerName val="0"/>
          <c:showPercent val="0"/>
          <c:showBubbleSize val="0"/>
        </c:dLbls>
        <c:marker val="1"/>
        <c:smooth val="0"/>
        <c:axId val="11024703"/>
        <c:axId val="11023263"/>
      </c:lineChart>
      <c:catAx>
        <c:axId val="1250213919"/>
        <c:scaling>
          <c:orientation val="minMax"/>
        </c:scaling>
        <c:delete val="0"/>
        <c:axPos val="b"/>
        <c:numFmt formatCode="General" sourceLinked="1"/>
        <c:majorTickMark val="none"/>
        <c:minorTickMark val="none"/>
        <c:tickLblPos val="nextTo"/>
        <c:spPr>
          <a:noFill/>
          <a:ln w="12700" cap="flat" cmpd="sng" algn="ctr">
            <a:solidFill>
              <a:schemeClr val="bg2">
                <a:lumMod val="50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crossAx val="1250211039"/>
        <c:crosses val="autoZero"/>
        <c:auto val="1"/>
        <c:lblAlgn val="ctr"/>
        <c:lblOffset val="100"/>
        <c:noMultiLvlLbl val="0"/>
      </c:catAx>
      <c:valAx>
        <c:axId val="1250211039"/>
        <c:scaling>
          <c:orientation val="minMax"/>
        </c:scaling>
        <c:delete val="0"/>
        <c:axPos val="l"/>
        <c:majorGridlines>
          <c:spPr>
            <a:ln w="3175" cap="flat" cmpd="sng" algn="ctr">
              <a:solidFill>
                <a:schemeClr val="bg2">
                  <a:lumMod val="50000"/>
                  <a:alpha val="25000"/>
                </a:schemeClr>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crossAx val="1250213919"/>
        <c:crosses val="autoZero"/>
        <c:crossBetween val="between"/>
      </c:valAx>
      <c:valAx>
        <c:axId val="11023263"/>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crossAx val="11024703"/>
        <c:crosses val="max"/>
        <c:crossBetween val="between"/>
      </c:valAx>
      <c:catAx>
        <c:axId val="11024703"/>
        <c:scaling>
          <c:orientation val="minMax"/>
        </c:scaling>
        <c:delete val="1"/>
        <c:axPos val="b"/>
        <c:numFmt formatCode="General" sourceLinked="1"/>
        <c:majorTickMark val="out"/>
        <c:minorTickMark val="none"/>
        <c:tickLblPos val="nextTo"/>
        <c:crossAx val="11023263"/>
        <c:crosses val="autoZero"/>
        <c:auto val="1"/>
        <c:lblAlgn val="ctr"/>
        <c:lblOffset val="100"/>
        <c:noMultiLvlLbl val="0"/>
      </c:catAx>
      <c:spPr>
        <a:noFill/>
        <a:ln>
          <a:noFill/>
        </a:ln>
        <a:effectLst/>
      </c:spPr>
    </c:plotArea>
    <c:legend>
      <c:legendPos val="b"/>
      <c:legendEntry>
        <c:idx val="3"/>
        <c:delete val="1"/>
      </c:legendEntry>
      <c:layout>
        <c:manualLayout>
          <c:xMode val="edge"/>
          <c:yMode val="edge"/>
          <c:x val="2.4933138039393021E-2"/>
          <c:y val="0.81896514651915653"/>
          <c:w val="0.95476826771417056"/>
          <c:h val="0.1323560676674379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Arial Narrow" panose="020B0606020202030204" pitchFamily="34" charset="0"/>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0386275389446"/>
          <c:y val="3.3869158878504675E-2"/>
          <c:w val="0.84386863233451415"/>
          <c:h val="0.83965501508573115"/>
        </c:manualLayout>
      </c:layout>
      <c:areaChart>
        <c:grouping val="stacked"/>
        <c:varyColors val="0"/>
        <c:ser>
          <c:idx val="0"/>
          <c:order val="0"/>
          <c:tx>
            <c:strRef>
              <c:f>'Zhrnutie | Summary'!$R$28</c:f>
              <c:strCache>
                <c:ptCount val="1"/>
                <c:pt idx="0">
                  <c:v>Hrubý dlh (rozpočtové ciele deficitov)</c:v>
                </c:pt>
              </c:strCache>
            </c:strRef>
          </c:tx>
          <c:spPr>
            <a:solidFill>
              <a:srgbClr val="2C9ADC"/>
            </a:solidFill>
            <a:ln w="25400">
              <a:noFill/>
            </a:ln>
            <a:effectLst/>
          </c:spPr>
          <c:cat>
            <c:numRef>
              <c:f>'Zhrnutie | Summary'!$U$27:$Y$27</c:f>
              <c:numCache>
                <c:formatCode>General</c:formatCode>
                <c:ptCount val="5"/>
                <c:pt idx="0">
                  <c:v>2024</c:v>
                </c:pt>
                <c:pt idx="1">
                  <c:v>2025</c:v>
                </c:pt>
                <c:pt idx="2">
                  <c:v>2026</c:v>
                </c:pt>
                <c:pt idx="3">
                  <c:v>2027</c:v>
                </c:pt>
                <c:pt idx="4">
                  <c:v>2028</c:v>
                </c:pt>
              </c:numCache>
            </c:numRef>
          </c:cat>
          <c:val>
            <c:numRef>
              <c:f>'Zhrnutie | Summary'!$U$28:$Y$28</c:f>
              <c:numCache>
                <c:formatCode>0.0</c:formatCode>
                <c:ptCount val="5"/>
                <c:pt idx="0">
                  <c:v>59.700733874664081</c:v>
                </c:pt>
                <c:pt idx="1">
                  <c:v>61.392437848687351</c:v>
                </c:pt>
                <c:pt idx="2">
                  <c:v>63.274316115839</c:v>
                </c:pt>
                <c:pt idx="3">
                  <c:v>65.119048574491828</c:v>
                </c:pt>
                <c:pt idx="4">
                  <c:v>66.221774080328302</c:v>
                </c:pt>
              </c:numCache>
            </c:numRef>
          </c:val>
          <c:extLst>
            <c:ext xmlns:c16="http://schemas.microsoft.com/office/drawing/2014/chart" uri="{C3380CC4-5D6E-409C-BE32-E72D297353CC}">
              <c16:uniqueId val="{00000000-AD60-485D-A609-C17FC1666394}"/>
            </c:ext>
          </c:extLst>
        </c:ser>
        <c:dLbls>
          <c:showLegendKey val="0"/>
          <c:showVal val="0"/>
          <c:showCatName val="0"/>
          <c:showSerName val="0"/>
          <c:showPercent val="0"/>
          <c:showBubbleSize val="0"/>
        </c:dLbls>
        <c:axId val="1657863024"/>
        <c:axId val="1657860624"/>
      </c:areaChart>
      <c:lineChart>
        <c:grouping val="standard"/>
        <c:varyColors val="0"/>
        <c:ser>
          <c:idx val="2"/>
          <c:order val="2"/>
          <c:tx>
            <c:strRef>
              <c:f>'Zhrnutie | Summary'!$R$28</c:f>
              <c:strCache>
                <c:ptCount val="1"/>
                <c:pt idx="0">
                  <c:v>Hrubý dlh (rozpočtové ciele deficitov)</c:v>
                </c:pt>
              </c:strCache>
            </c:strRef>
          </c:tx>
          <c:spPr>
            <a:ln w="28575" cap="rnd">
              <a:no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Narrow" panose="020B0606020202030204" pitchFamily="34" charset="0"/>
                    <a:ea typeface="+mn-ea"/>
                    <a:cs typeface="+mn-cs"/>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'Zhrnutie | Summary'!$U$27:$Y$27</c:f>
              <c:numCache>
                <c:formatCode>General</c:formatCode>
                <c:ptCount val="5"/>
                <c:pt idx="0">
                  <c:v>2024</c:v>
                </c:pt>
                <c:pt idx="1">
                  <c:v>2025</c:v>
                </c:pt>
                <c:pt idx="2">
                  <c:v>2026</c:v>
                </c:pt>
                <c:pt idx="3">
                  <c:v>2027</c:v>
                </c:pt>
                <c:pt idx="4">
                  <c:v>2028</c:v>
                </c:pt>
              </c:numCache>
            </c:numRef>
          </c:cat>
          <c:val>
            <c:numRef>
              <c:f>'Zhrnutie | Summary'!$U$28:$Y$28</c:f>
              <c:numCache>
                <c:formatCode>0.0</c:formatCode>
                <c:ptCount val="5"/>
                <c:pt idx="0">
                  <c:v>59.700733874664081</c:v>
                </c:pt>
                <c:pt idx="1">
                  <c:v>61.392437848687351</c:v>
                </c:pt>
                <c:pt idx="2">
                  <c:v>63.274316115839</c:v>
                </c:pt>
                <c:pt idx="3">
                  <c:v>65.119048574491828</c:v>
                </c:pt>
                <c:pt idx="4">
                  <c:v>66.221774080328302</c:v>
                </c:pt>
              </c:numCache>
            </c:numRef>
          </c:val>
          <c:smooth val="0"/>
          <c:extLst>
            <c:ext xmlns:c16="http://schemas.microsoft.com/office/drawing/2014/chart" uri="{C3380CC4-5D6E-409C-BE32-E72D297353CC}">
              <c16:uniqueId val="{00000002-AD60-485D-A609-C17FC1666394}"/>
            </c:ext>
          </c:extLst>
        </c:ser>
        <c:ser>
          <c:idx val="6"/>
          <c:order val="3"/>
          <c:spPr>
            <a:ln w="28575" cap="rnd">
              <a:solidFill>
                <a:schemeClr val="accent1">
                  <a:lumMod val="60000"/>
                </a:schemeClr>
              </a:solidFill>
              <a:round/>
            </a:ln>
            <a:effectLst/>
          </c:spPr>
          <c:marker>
            <c:symbol val="none"/>
          </c:marker>
          <c:cat>
            <c:numRef>
              <c:f>'Zhrnutie | Summary'!$U$27:$Y$27</c:f>
              <c:numCache>
                <c:formatCode>General</c:formatCode>
                <c:ptCount val="5"/>
                <c:pt idx="0">
                  <c:v>2024</c:v>
                </c:pt>
                <c:pt idx="1">
                  <c:v>2025</c:v>
                </c:pt>
                <c:pt idx="2">
                  <c:v>2026</c:v>
                </c:pt>
                <c:pt idx="3">
                  <c:v>2027</c:v>
                </c:pt>
                <c:pt idx="4">
                  <c:v>2028</c:v>
                </c:pt>
              </c:numCache>
            </c:numRef>
          </c:cat>
          <c:val>
            <c:numRef>
              <c:f>'Zhrnutie | Summary'!$U$31:$Y$31</c:f>
              <c:numCache>
                <c:formatCode>General</c:formatCode>
                <c:ptCount val="5"/>
              </c:numCache>
            </c:numRef>
          </c:val>
          <c:smooth val="0"/>
          <c:extLst>
            <c:ext xmlns:c16="http://schemas.microsoft.com/office/drawing/2014/chart" uri="{C3380CC4-5D6E-409C-BE32-E72D297353CC}">
              <c16:uniqueId val="{00000003-AD60-485D-A609-C17FC1666394}"/>
            </c:ext>
          </c:extLst>
        </c:ser>
        <c:dLbls>
          <c:showLegendKey val="0"/>
          <c:showVal val="0"/>
          <c:showCatName val="0"/>
          <c:showSerName val="0"/>
          <c:showPercent val="0"/>
          <c:showBubbleSize val="0"/>
        </c:dLbls>
        <c:marker val="1"/>
        <c:smooth val="0"/>
        <c:axId val="1657863024"/>
        <c:axId val="1657860624"/>
        <c:extLst>
          <c:ext xmlns:c15="http://schemas.microsoft.com/office/drawing/2012/chart" uri="{02D57815-91ED-43cb-92C2-25804820EDAC}">
            <c15:filteredLineSeries>
              <c15:ser>
                <c:idx val="1"/>
                <c:order val="1"/>
                <c:tx>
                  <c:strRef>
                    <c:extLst>
                      <c:ext uri="{02D57815-91ED-43cb-92C2-25804820EDAC}">
                        <c15:formulaRef>
                          <c15:sqref>'Zhrnutie | Summary'!$R$30</c15:sqref>
                        </c15:formulaRef>
                      </c:ext>
                    </c:extLst>
                    <c:strCache>
                      <c:ptCount val="1"/>
                    </c:strCache>
                  </c:strRef>
                </c:tx>
                <c:spPr>
                  <a:ln w="19050" cap="rnd">
                    <a:solidFill>
                      <a:schemeClr val="tx1"/>
                    </a:solidFill>
                    <a:prstDash val="dash"/>
                    <a:round/>
                  </a:ln>
                  <a:effectLst/>
                </c:spPr>
                <c:marker>
                  <c:symbol val="none"/>
                </c:marker>
                <c:dLbls>
                  <c:dLbl>
                    <c:idx val="1"/>
                    <c:delete val="1"/>
                    <c:extLst>
                      <c:ext uri="{CE6537A1-D6FC-4f65-9D91-7224C49458BB}"/>
                      <c:ext xmlns:c16="http://schemas.microsoft.com/office/drawing/2014/chart" uri="{C3380CC4-5D6E-409C-BE32-E72D297353CC}">
                        <c16:uniqueId val="{00000004-AD60-485D-A609-C17FC166639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Narrow" panose="020B0606020202030204" pitchFamily="34" charset="0"/>
                          <a:ea typeface="+mn-ea"/>
                          <a:cs typeface="+mn-cs"/>
                        </a:defRPr>
                      </a:pPr>
                      <a:endParaRPr lang="sk-SK"/>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'Zhrnutie | Summary'!$U$27:$Y$27</c15:sqref>
                        </c15:formulaRef>
                      </c:ext>
                    </c:extLst>
                    <c:numCache>
                      <c:formatCode>General</c:formatCode>
                      <c:ptCount val="5"/>
                      <c:pt idx="0">
                        <c:v>2024</c:v>
                      </c:pt>
                      <c:pt idx="1">
                        <c:v>2025</c:v>
                      </c:pt>
                      <c:pt idx="2">
                        <c:v>2026</c:v>
                      </c:pt>
                      <c:pt idx="3">
                        <c:v>2027</c:v>
                      </c:pt>
                      <c:pt idx="4">
                        <c:v>2028</c:v>
                      </c:pt>
                    </c:numCache>
                  </c:numRef>
                </c:cat>
                <c:val>
                  <c:numRef>
                    <c:extLst>
                      <c:ext uri="{02D57815-91ED-43cb-92C2-25804820EDAC}">
                        <c15:formulaRef>
                          <c15:sqref>'Zhrnutie | Summary'!$U$30:$Y$30</c15:sqref>
                        </c15:formulaRef>
                      </c:ext>
                    </c:extLst>
                    <c:numCache>
                      <c:formatCode>General</c:formatCode>
                      <c:ptCount val="5"/>
                    </c:numCache>
                  </c:numRef>
                </c:val>
                <c:smooth val="0"/>
                <c:extLst>
                  <c:ext xmlns:c16="http://schemas.microsoft.com/office/drawing/2014/chart" uri="{C3380CC4-5D6E-409C-BE32-E72D297353CC}">
                    <c16:uniqueId val="{00000005-AD60-485D-A609-C17FC1666394}"/>
                  </c:ext>
                </c:extLst>
              </c15:ser>
            </c15:filteredLineSeries>
          </c:ext>
        </c:extLst>
      </c:lineChart>
      <c:catAx>
        <c:axId val="1657863024"/>
        <c:scaling>
          <c:orientation val="minMax"/>
        </c:scaling>
        <c:delete val="0"/>
        <c:axPos val="b"/>
        <c:numFmt formatCode="General" sourceLinked="1"/>
        <c:majorTickMark val="none"/>
        <c:minorTickMark val="none"/>
        <c:tickLblPos val="nextTo"/>
        <c:spPr>
          <a:noFill/>
          <a:ln w="12700" cap="flat" cmpd="sng" algn="ctr">
            <a:solidFill>
              <a:srgbClr val="676868"/>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Arial Narrow" panose="020B0606020202030204" pitchFamily="34" charset="0"/>
                <a:ea typeface="+mn-ea"/>
                <a:cs typeface="+mn-cs"/>
              </a:defRPr>
            </a:pPr>
            <a:endParaRPr lang="sk-SK"/>
          </a:p>
        </c:txPr>
        <c:crossAx val="1657860624"/>
        <c:crosses val="autoZero"/>
        <c:auto val="1"/>
        <c:lblAlgn val="ctr"/>
        <c:lblOffset val="100"/>
        <c:noMultiLvlLbl val="0"/>
      </c:catAx>
      <c:valAx>
        <c:axId val="1657860624"/>
        <c:scaling>
          <c:orientation val="minMax"/>
          <c:max val="70"/>
          <c:min val="50"/>
        </c:scaling>
        <c:delete val="0"/>
        <c:axPos val="l"/>
        <c:majorGridlines>
          <c:spPr>
            <a:ln w="3175" cap="flat" cmpd="sng" algn="ctr">
              <a:solidFill>
                <a:srgbClr val="676868">
                  <a:alpha val="25000"/>
                </a:srgbClr>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crossAx val="16578630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Arial Narrow" panose="020B0606020202030204" pitchFamily="34" charset="0"/>
        </a:defRPr>
      </a:pPr>
      <a:endParaRPr lang="sk-S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6945392904710007E-2"/>
          <c:y val="0.19482833333333333"/>
          <c:w val="0.86403035072849821"/>
          <c:h val="0.68727394687416155"/>
        </c:manualLayout>
      </c:layout>
      <c:barChart>
        <c:barDir val="col"/>
        <c:grouping val="stacked"/>
        <c:varyColors val="0"/>
        <c:ser>
          <c:idx val="1"/>
          <c:order val="0"/>
          <c:tx>
            <c:strRef>
              <c:f>Graf1!$N$2</c:f>
              <c:strCache>
                <c:ptCount val="1"/>
                <c:pt idx="0">
                  <c:v>Spotreba domácností</c:v>
                </c:pt>
              </c:strCache>
            </c:strRef>
          </c:tx>
          <c:spPr>
            <a:solidFill>
              <a:srgbClr val="2C9ADC"/>
            </a:solidFill>
            <a:ln>
              <a:noFill/>
              <a:prstDash val="solid"/>
            </a:ln>
          </c:spPr>
          <c:invertIfNegative val="0"/>
          <c:cat>
            <c:numRef>
              <c:f>Graf1!$U$1:$Y$1</c:f>
              <c:numCache>
                <c:formatCode>General</c:formatCode>
                <c:ptCount val="5"/>
                <c:pt idx="0">
                  <c:v>2025</c:v>
                </c:pt>
                <c:pt idx="1">
                  <c:v>2026</c:v>
                </c:pt>
                <c:pt idx="2">
                  <c:v>2027</c:v>
                </c:pt>
                <c:pt idx="3">
                  <c:v>2028</c:v>
                </c:pt>
                <c:pt idx="4">
                  <c:v>2029</c:v>
                </c:pt>
              </c:numCache>
            </c:numRef>
          </c:cat>
          <c:val>
            <c:numRef>
              <c:f>Graf1!$U$2:$Y$2</c:f>
              <c:numCache>
                <c:formatCode>0.0</c:formatCode>
                <c:ptCount val="5"/>
                <c:pt idx="0">
                  <c:v>0.13274137228540878</c:v>
                </c:pt>
                <c:pt idx="1">
                  <c:v>0.1943459950925859</c:v>
                </c:pt>
                <c:pt idx="2">
                  <c:v>0.63072689591910824</c:v>
                </c:pt>
                <c:pt idx="3">
                  <c:v>0.55861947400552514</c:v>
                </c:pt>
                <c:pt idx="4">
                  <c:v>0.97224049183705974</c:v>
                </c:pt>
              </c:numCache>
            </c:numRef>
          </c:val>
          <c:extLst>
            <c:ext xmlns:c16="http://schemas.microsoft.com/office/drawing/2014/chart" uri="{C3380CC4-5D6E-409C-BE32-E72D297353CC}">
              <c16:uniqueId val="{00000000-5CA5-4A0C-BD08-38135074F894}"/>
            </c:ext>
          </c:extLst>
        </c:ser>
        <c:ser>
          <c:idx val="0"/>
          <c:order val="1"/>
          <c:tx>
            <c:strRef>
              <c:f>Graf1!$N$3</c:f>
              <c:strCache>
                <c:ptCount val="1"/>
                <c:pt idx="0">
                  <c:v>Vládna spotreba</c:v>
                </c:pt>
              </c:strCache>
            </c:strRef>
          </c:tx>
          <c:spPr>
            <a:solidFill>
              <a:srgbClr val="D9D9D9"/>
            </a:solidFill>
          </c:spPr>
          <c:invertIfNegative val="0"/>
          <c:cat>
            <c:numRef>
              <c:f>Graf1!$U$1:$Y$1</c:f>
              <c:numCache>
                <c:formatCode>General</c:formatCode>
                <c:ptCount val="5"/>
                <c:pt idx="0">
                  <c:v>2025</c:v>
                </c:pt>
                <c:pt idx="1">
                  <c:v>2026</c:v>
                </c:pt>
                <c:pt idx="2">
                  <c:v>2027</c:v>
                </c:pt>
                <c:pt idx="3">
                  <c:v>2028</c:v>
                </c:pt>
                <c:pt idx="4">
                  <c:v>2029</c:v>
                </c:pt>
              </c:numCache>
            </c:numRef>
          </c:cat>
          <c:val>
            <c:numRef>
              <c:f>Graf1!$U$3:$Y$3</c:f>
              <c:numCache>
                <c:formatCode>0.0</c:formatCode>
                <c:ptCount val="5"/>
                <c:pt idx="0">
                  <c:v>0.21680697703387411</c:v>
                </c:pt>
                <c:pt idx="1">
                  <c:v>5.5072196722309077E-2</c:v>
                </c:pt>
                <c:pt idx="2">
                  <c:v>-6.7398433230983091E-3</c:v>
                </c:pt>
                <c:pt idx="3">
                  <c:v>-0.11565861204868796</c:v>
                </c:pt>
                <c:pt idx="4">
                  <c:v>-2.0782099059810429E-2</c:v>
                </c:pt>
              </c:numCache>
            </c:numRef>
          </c:val>
          <c:extLst>
            <c:ext xmlns:c16="http://schemas.microsoft.com/office/drawing/2014/chart" uri="{C3380CC4-5D6E-409C-BE32-E72D297353CC}">
              <c16:uniqueId val="{00000001-5CA5-4A0C-BD08-38135074F894}"/>
            </c:ext>
          </c:extLst>
        </c:ser>
        <c:ser>
          <c:idx val="3"/>
          <c:order val="2"/>
          <c:tx>
            <c:strRef>
              <c:f>Graf1!$N$4</c:f>
              <c:strCache>
                <c:ptCount val="1"/>
                <c:pt idx="0">
                  <c:v>Fixné investície</c:v>
                </c:pt>
              </c:strCache>
            </c:strRef>
          </c:tx>
          <c:spPr>
            <a:solidFill>
              <a:srgbClr val="868585">
                <a:lumMod val="60000"/>
                <a:lumOff val="40000"/>
              </a:srgbClr>
            </a:solidFill>
            <a:ln>
              <a:noFill/>
            </a:ln>
          </c:spPr>
          <c:invertIfNegative val="0"/>
          <c:cat>
            <c:numRef>
              <c:f>Graf1!$U$1:$Y$1</c:f>
              <c:numCache>
                <c:formatCode>General</c:formatCode>
                <c:ptCount val="5"/>
                <c:pt idx="0">
                  <c:v>2025</c:v>
                </c:pt>
                <c:pt idx="1">
                  <c:v>2026</c:v>
                </c:pt>
                <c:pt idx="2">
                  <c:v>2027</c:v>
                </c:pt>
                <c:pt idx="3">
                  <c:v>2028</c:v>
                </c:pt>
                <c:pt idx="4">
                  <c:v>2029</c:v>
                </c:pt>
              </c:numCache>
            </c:numRef>
          </c:cat>
          <c:val>
            <c:numRef>
              <c:f>Graf1!$U$4:$Y$4</c:f>
              <c:numCache>
                <c:formatCode>0.0</c:formatCode>
                <c:ptCount val="5"/>
                <c:pt idx="0">
                  <c:v>0.46106598243438535</c:v>
                </c:pt>
                <c:pt idx="1">
                  <c:v>0.51585025011425467</c:v>
                </c:pt>
                <c:pt idx="2">
                  <c:v>-1.1663806903386209</c:v>
                </c:pt>
                <c:pt idx="3">
                  <c:v>0.30770561610769925</c:v>
                </c:pt>
                <c:pt idx="4">
                  <c:v>0.88242520855376372</c:v>
                </c:pt>
              </c:numCache>
            </c:numRef>
          </c:val>
          <c:extLst>
            <c:ext xmlns:c16="http://schemas.microsoft.com/office/drawing/2014/chart" uri="{C3380CC4-5D6E-409C-BE32-E72D297353CC}">
              <c16:uniqueId val="{00000002-5CA5-4A0C-BD08-38135074F894}"/>
            </c:ext>
          </c:extLst>
        </c:ser>
        <c:ser>
          <c:idx val="4"/>
          <c:order val="3"/>
          <c:tx>
            <c:strRef>
              <c:f>Graf1!$N$5</c:f>
              <c:strCache>
                <c:ptCount val="1"/>
                <c:pt idx="0">
                  <c:v>Čistý export</c:v>
                </c:pt>
              </c:strCache>
            </c:strRef>
          </c:tx>
          <c:spPr>
            <a:solidFill>
              <a:srgbClr val="686767"/>
            </a:solidFill>
            <a:ln>
              <a:noFill/>
            </a:ln>
          </c:spPr>
          <c:invertIfNegative val="0"/>
          <c:cat>
            <c:numRef>
              <c:f>Graf1!$U$1:$Y$1</c:f>
              <c:numCache>
                <c:formatCode>General</c:formatCode>
                <c:ptCount val="5"/>
                <c:pt idx="0">
                  <c:v>2025</c:v>
                </c:pt>
                <c:pt idx="1">
                  <c:v>2026</c:v>
                </c:pt>
                <c:pt idx="2">
                  <c:v>2027</c:v>
                </c:pt>
                <c:pt idx="3">
                  <c:v>2028</c:v>
                </c:pt>
                <c:pt idx="4">
                  <c:v>2029</c:v>
                </c:pt>
              </c:numCache>
            </c:numRef>
          </c:cat>
          <c:val>
            <c:numRef>
              <c:f>Graf1!$U$5:$Y$5</c:f>
              <c:numCache>
                <c:formatCode>0.0</c:formatCode>
                <c:ptCount val="5"/>
                <c:pt idx="0">
                  <c:v>0.35291849040996842</c:v>
                </c:pt>
                <c:pt idx="1">
                  <c:v>0.13965929961735499</c:v>
                </c:pt>
                <c:pt idx="2">
                  <c:v>0.9831916146926909</c:v>
                </c:pt>
                <c:pt idx="3">
                  <c:v>0.61294550505206424</c:v>
                </c:pt>
                <c:pt idx="4">
                  <c:v>0.1155651442210375</c:v>
                </c:pt>
              </c:numCache>
            </c:numRef>
          </c:val>
          <c:extLst>
            <c:ext xmlns:c16="http://schemas.microsoft.com/office/drawing/2014/chart" uri="{C3380CC4-5D6E-409C-BE32-E72D297353CC}">
              <c16:uniqueId val="{00000003-5CA5-4A0C-BD08-38135074F894}"/>
            </c:ext>
          </c:extLst>
        </c:ser>
        <c:ser>
          <c:idx val="2"/>
          <c:order val="4"/>
          <c:tx>
            <c:strRef>
              <c:f>Graf1!$N$6</c:f>
              <c:strCache>
                <c:ptCount val="1"/>
                <c:pt idx="0">
                  <c:v>Zásoby</c:v>
                </c:pt>
              </c:strCache>
            </c:strRef>
          </c:tx>
          <c:spPr>
            <a:solidFill>
              <a:srgbClr val="000000"/>
            </a:solidFill>
            <a:ln>
              <a:noFill/>
              <a:prstDash val="solid"/>
            </a:ln>
          </c:spPr>
          <c:invertIfNegative val="0"/>
          <c:cat>
            <c:numRef>
              <c:f>Graf1!$U$1:$Y$1</c:f>
              <c:numCache>
                <c:formatCode>General</c:formatCode>
                <c:ptCount val="5"/>
                <c:pt idx="0">
                  <c:v>2025</c:v>
                </c:pt>
                <c:pt idx="1">
                  <c:v>2026</c:v>
                </c:pt>
                <c:pt idx="2">
                  <c:v>2027</c:v>
                </c:pt>
                <c:pt idx="3">
                  <c:v>2028</c:v>
                </c:pt>
                <c:pt idx="4">
                  <c:v>2029</c:v>
                </c:pt>
              </c:numCache>
            </c:numRef>
          </c:cat>
          <c:val>
            <c:numRef>
              <c:f>Graf1!$U$6:$Y$6</c:f>
              <c:numCache>
                <c:formatCode>0.0</c:formatCode>
                <c:ptCount val="5"/>
                <c:pt idx="0">
                  <c:v>-0.35611413201886927</c:v>
                </c:pt>
                <c:pt idx="1">
                  <c:v>0.10333626824107855</c:v>
                </c:pt>
                <c:pt idx="2">
                  <c:v>0.72582737285597521</c:v>
                </c:pt>
                <c:pt idx="3">
                  <c:v>0.3165969374901097</c:v>
                </c:pt>
                <c:pt idx="4">
                  <c:v>0.32968050044163333</c:v>
                </c:pt>
              </c:numCache>
            </c:numRef>
          </c:val>
          <c:extLst>
            <c:ext xmlns:c16="http://schemas.microsoft.com/office/drawing/2014/chart" uri="{C3380CC4-5D6E-409C-BE32-E72D297353CC}">
              <c16:uniqueId val="{00000004-5CA5-4A0C-BD08-38135074F894}"/>
            </c:ext>
          </c:extLst>
        </c:ser>
        <c:dLbls>
          <c:showLegendKey val="0"/>
          <c:showVal val="0"/>
          <c:showCatName val="0"/>
          <c:showSerName val="0"/>
          <c:showPercent val="0"/>
          <c:showBubbleSize val="0"/>
        </c:dLbls>
        <c:gapWidth val="150"/>
        <c:overlap val="100"/>
        <c:axId val="322390240"/>
        <c:axId val="322390632"/>
      </c:barChart>
      <c:lineChart>
        <c:grouping val="standard"/>
        <c:varyColors val="0"/>
        <c:ser>
          <c:idx val="5"/>
          <c:order val="5"/>
          <c:tx>
            <c:strRef>
              <c:f>Graf1!$N$7</c:f>
              <c:strCache>
                <c:ptCount val="1"/>
                <c:pt idx="0">
                  <c:v>reálne HDP</c:v>
                </c:pt>
              </c:strCache>
            </c:strRef>
          </c:tx>
          <c:spPr>
            <a:ln w="19050">
              <a:solidFill>
                <a:sysClr val="windowText" lastClr="000000"/>
              </a:solidFill>
            </a:ln>
          </c:spPr>
          <c:marker>
            <c:symbol val="none"/>
          </c:marker>
          <c:dLbls>
            <c:dLbl>
              <c:idx val="2"/>
              <c:spPr>
                <a:noFill/>
                <a:ln>
                  <a:noFill/>
                </a:ln>
                <a:effectLst/>
              </c:spPr>
              <c:txPr>
                <a:bodyPr/>
                <a:lstStyle/>
                <a:p>
                  <a:pPr>
                    <a:defRPr>
                      <a:solidFill>
                        <a:schemeClr val="bg1"/>
                      </a:solidFill>
                    </a:defRPr>
                  </a:pPr>
                  <a:endParaRPr lang="sk-SK"/>
                </a:p>
              </c:txPr>
              <c:dLblPos val="t"/>
              <c:showLegendKey val="0"/>
              <c:showVal val="1"/>
              <c:showCatName val="0"/>
              <c:showSerName val="0"/>
              <c:showPercent val="0"/>
              <c:showBubbleSize val="0"/>
              <c:extLst>
                <c:ext xmlns:c16="http://schemas.microsoft.com/office/drawing/2014/chart" uri="{C3380CC4-5D6E-409C-BE32-E72D297353CC}">
                  <c16:uniqueId val="{00000005-5CA5-4A0C-BD08-38135074F894}"/>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Graf1!$U$1:$Y$1</c:f>
              <c:numCache>
                <c:formatCode>General</c:formatCode>
                <c:ptCount val="5"/>
                <c:pt idx="0">
                  <c:v>2025</c:v>
                </c:pt>
                <c:pt idx="1">
                  <c:v>2026</c:v>
                </c:pt>
                <c:pt idx="2">
                  <c:v>2027</c:v>
                </c:pt>
                <c:pt idx="3">
                  <c:v>2028</c:v>
                </c:pt>
                <c:pt idx="4">
                  <c:v>2029</c:v>
                </c:pt>
              </c:numCache>
            </c:numRef>
          </c:cat>
          <c:val>
            <c:numRef>
              <c:f>Graf1!$U$7:$Y$7</c:f>
              <c:numCache>
                <c:formatCode>0.0</c:formatCode>
                <c:ptCount val="5"/>
                <c:pt idx="0">
                  <c:v>0.80741869014475665</c:v>
                </c:pt>
                <c:pt idx="1">
                  <c:v>1.0082640097875961</c:v>
                </c:pt>
                <c:pt idx="2">
                  <c:v>1.1666253498060275</c:v>
                </c:pt>
                <c:pt idx="3">
                  <c:v>1.6802089206067183</c:v>
                </c:pt>
                <c:pt idx="4">
                  <c:v>2.2791292459936718</c:v>
                </c:pt>
              </c:numCache>
            </c:numRef>
          </c:val>
          <c:smooth val="0"/>
          <c:extLst>
            <c:ext xmlns:c16="http://schemas.microsoft.com/office/drawing/2014/chart" uri="{C3380CC4-5D6E-409C-BE32-E72D297353CC}">
              <c16:uniqueId val="{00000006-5CA5-4A0C-BD08-38135074F894}"/>
            </c:ext>
          </c:extLst>
        </c:ser>
        <c:dLbls>
          <c:showLegendKey val="0"/>
          <c:showVal val="0"/>
          <c:showCatName val="0"/>
          <c:showSerName val="0"/>
          <c:showPercent val="0"/>
          <c:showBubbleSize val="0"/>
        </c:dLbls>
        <c:marker val="1"/>
        <c:smooth val="0"/>
        <c:axId val="322390240"/>
        <c:axId val="322390632"/>
      </c:lineChart>
      <c:catAx>
        <c:axId val="322390240"/>
        <c:scaling>
          <c:orientation val="minMax"/>
        </c:scaling>
        <c:delete val="0"/>
        <c:axPos val="b"/>
        <c:numFmt formatCode="General" sourceLinked="1"/>
        <c:majorTickMark val="none"/>
        <c:minorTickMark val="none"/>
        <c:tickLblPos val="low"/>
        <c:spPr>
          <a:ln w="12700">
            <a:solidFill>
              <a:srgbClr val="686767"/>
            </a:solidFill>
          </a:ln>
        </c:spPr>
        <c:txPr>
          <a:bodyPr rot="0"/>
          <a:lstStyle/>
          <a:p>
            <a:pPr>
              <a:defRPr/>
            </a:pPr>
            <a:endParaRPr lang="sk-SK"/>
          </a:p>
        </c:txPr>
        <c:crossAx val="322390632"/>
        <c:crosses val="autoZero"/>
        <c:auto val="1"/>
        <c:lblAlgn val="ctr"/>
        <c:lblOffset val="100"/>
        <c:noMultiLvlLbl val="1"/>
      </c:catAx>
      <c:valAx>
        <c:axId val="322390632"/>
        <c:scaling>
          <c:orientation val="minMax"/>
        </c:scaling>
        <c:delete val="0"/>
        <c:axPos val="l"/>
        <c:majorGridlines>
          <c:spPr>
            <a:ln w="3175" cap="flat" cmpd="sng" algn="ctr">
              <a:solidFill>
                <a:srgbClr val="686767">
                  <a:alpha val="25000"/>
                </a:srgbClr>
              </a:solidFill>
              <a:prstDash val="sysDot"/>
              <a:round/>
              <a:headEnd type="none" w="med" len="med"/>
              <a:tailEnd type="none" w="med" len="med"/>
            </a:ln>
          </c:spPr>
        </c:majorGridlines>
        <c:numFmt formatCode="0.0" sourceLinked="0"/>
        <c:majorTickMark val="none"/>
        <c:minorTickMark val="none"/>
        <c:tickLblPos val="nextTo"/>
        <c:spPr>
          <a:ln w="6350">
            <a:solidFill>
              <a:srgbClr val="000000"/>
            </a:solidFill>
          </a:ln>
        </c:spPr>
        <c:crossAx val="322390240"/>
        <c:crosses val="autoZero"/>
        <c:crossBetween val="between"/>
      </c:valAx>
    </c:plotArea>
    <c:legend>
      <c:legendPos val="t"/>
      <c:layout>
        <c:manualLayout>
          <c:xMode val="edge"/>
          <c:yMode val="edge"/>
          <c:x val="5.1978395061728404E-2"/>
          <c:y val="3.8611975828602833E-3"/>
          <c:w val="0.92548333333333332"/>
          <c:h val="0.17863812334700449"/>
        </c:manualLayout>
      </c:layout>
      <c:overlay val="0"/>
    </c:legend>
    <c:plotVisOnly val="1"/>
    <c:dispBlanksAs val="gap"/>
    <c:showDLblsOverMax val="0"/>
  </c:chart>
  <c:spPr>
    <a:ln w="25400">
      <a:noFill/>
    </a:ln>
  </c:spPr>
  <c:txPr>
    <a:bodyPr/>
    <a:lstStyle/>
    <a:p>
      <a:pPr>
        <a:defRPr sz="800">
          <a:solidFill>
            <a:sysClr val="windowText" lastClr="000000"/>
          </a:solidFill>
          <a:latin typeface="Arial Narrow" panose="020B0606020202030204" pitchFamily="34" charset="0"/>
        </a:defRPr>
      </a:pPr>
      <a:endParaRPr lang="sk-SK"/>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8132916312290246E-2"/>
          <c:y val="0.1014226447500514"/>
          <c:w val="0.91281516639688332"/>
          <c:h val="0.79565683321842851"/>
        </c:manualLayout>
      </c:layout>
      <c:barChart>
        <c:barDir val="col"/>
        <c:grouping val="stacked"/>
        <c:varyColors val="0"/>
        <c:ser>
          <c:idx val="0"/>
          <c:order val="0"/>
          <c:tx>
            <c:strRef>
              <c:f>'Graf 3'!$C$23</c:f>
              <c:strCache>
                <c:ptCount val="1"/>
                <c:pt idx="0">
                  <c:v>POO</c:v>
                </c:pt>
              </c:strCache>
            </c:strRef>
          </c:tx>
          <c:spPr>
            <a:solidFill>
              <a:srgbClr val="7F7F7F"/>
            </a:solidFill>
          </c:spPr>
          <c:invertIfNegative val="0"/>
          <c:cat>
            <c:numRef>
              <c:f>'Graf 3'!$D$22:$K$22</c:f>
              <c:numCache>
                <c:formatCode>General</c:formatCode>
                <c:ptCount val="8"/>
                <c:pt idx="0">
                  <c:v>2022</c:v>
                </c:pt>
                <c:pt idx="1">
                  <c:v>2023</c:v>
                </c:pt>
                <c:pt idx="2">
                  <c:v>2024</c:v>
                </c:pt>
                <c:pt idx="3">
                  <c:v>2025</c:v>
                </c:pt>
                <c:pt idx="4">
                  <c:v>2026</c:v>
                </c:pt>
                <c:pt idx="5">
                  <c:v>2027</c:v>
                </c:pt>
                <c:pt idx="6">
                  <c:v>2028</c:v>
                </c:pt>
                <c:pt idx="7">
                  <c:v>2029</c:v>
                </c:pt>
              </c:numCache>
            </c:numRef>
          </c:cat>
          <c:val>
            <c:numRef>
              <c:f>'Graf 3'!$D$23:$K$23</c:f>
              <c:numCache>
                <c:formatCode>0.0</c:formatCode>
                <c:ptCount val="8"/>
                <c:pt idx="0">
                  <c:v>4.5852068820039046E-2</c:v>
                </c:pt>
                <c:pt idx="1">
                  <c:v>0.15563351764924305</c:v>
                </c:pt>
                <c:pt idx="2">
                  <c:v>0.70571725948443653</c:v>
                </c:pt>
                <c:pt idx="3">
                  <c:v>1.4241436253027866</c:v>
                </c:pt>
                <c:pt idx="4">
                  <c:v>1.7869947814805922</c:v>
                </c:pt>
                <c:pt idx="5">
                  <c:v>0.24048025460753678</c:v>
                </c:pt>
                <c:pt idx="6">
                  <c:v>0.20355368651548039</c:v>
                </c:pt>
                <c:pt idx="7" formatCode="General">
                  <c:v>3.9632616949960127E-2</c:v>
                </c:pt>
              </c:numCache>
            </c:numRef>
          </c:val>
          <c:extLst>
            <c:ext xmlns:c16="http://schemas.microsoft.com/office/drawing/2014/chart" uri="{C3380CC4-5D6E-409C-BE32-E72D297353CC}">
              <c16:uniqueId val="{00000000-2AB7-4A65-A990-0418CDFB5749}"/>
            </c:ext>
          </c:extLst>
        </c:ser>
        <c:ser>
          <c:idx val="1"/>
          <c:order val="1"/>
          <c:tx>
            <c:strRef>
              <c:f>'Graf 3'!$C$24</c:f>
              <c:strCache>
                <c:ptCount val="1"/>
                <c:pt idx="0">
                  <c:v>Štandardné fondy EÚ</c:v>
                </c:pt>
              </c:strCache>
            </c:strRef>
          </c:tx>
          <c:spPr>
            <a:solidFill>
              <a:srgbClr val="2EAFE1"/>
            </a:solidFill>
          </c:spPr>
          <c:invertIfNegative val="0"/>
          <c:cat>
            <c:numRef>
              <c:f>'Graf 3'!$D$22:$K$22</c:f>
              <c:numCache>
                <c:formatCode>General</c:formatCode>
                <c:ptCount val="8"/>
                <c:pt idx="0">
                  <c:v>2022</c:v>
                </c:pt>
                <c:pt idx="1">
                  <c:v>2023</c:v>
                </c:pt>
                <c:pt idx="2">
                  <c:v>2024</c:v>
                </c:pt>
                <c:pt idx="3">
                  <c:v>2025</c:v>
                </c:pt>
                <c:pt idx="4">
                  <c:v>2026</c:v>
                </c:pt>
                <c:pt idx="5">
                  <c:v>2027</c:v>
                </c:pt>
                <c:pt idx="6">
                  <c:v>2028</c:v>
                </c:pt>
                <c:pt idx="7">
                  <c:v>2029</c:v>
                </c:pt>
              </c:numCache>
            </c:numRef>
          </c:cat>
          <c:val>
            <c:numRef>
              <c:f>'Graf 3'!$D$24:$K$24</c:f>
              <c:numCache>
                <c:formatCode>0.0</c:formatCode>
                <c:ptCount val="8"/>
                <c:pt idx="0">
                  <c:v>2.0369022690764194</c:v>
                </c:pt>
                <c:pt idx="1">
                  <c:v>3.9801012751517919</c:v>
                </c:pt>
                <c:pt idx="2">
                  <c:v>2.2979329429699029</c:v>
                </c:pt>
                <c:pt idx="3">
                  <c:v>1.7492586104625691</c:v>
                </c:pt>
                <c:pt idx="4">
                  <c:v>1.6320400344679169</c:v>
                </c:pt>
                <c:pt idx="5">
                  <c:v>1.6419751875986754</c:v>
                </c:pt>
                <c:pt idx="6">
                  <c:v>1.7182230266907277</c:v>
                </c:pt>
                <c:pt idx="7" formatCode="General">
                  <c:v>2.3111607439384718</c:v>
                </c:pt>
              </c:numCache>
            </c:numRef>
          </c:val>
          <c:extLst>
            <c:ext xmlns:c16="http://schemas.microsoft.com/office/drawing/2014/chart" uri="{C3380CC4-5D6E-409C-BE32-E72D297353CC}">
              <c16:uniqueId val="{00000001-2AB7-4A65-A990-0418CDFB5749}"/>
            </c:ext>
          </c:extLst>
        </c:ser>
        <c:dLbls>
          <c:showLegendKey val="0"/>
          <c:showVal val="0"/>
          <c:showCatName val="0"/>
          <c:showSerName val="0"/>
          <c:showPercent val="0"/>
          <c:showBubbleSize val="0"/>
        </c:dLbls>
        <c:gapWidth val="150"/>
        <c:overlap val="100"/>
        <c:axId val="489686592"/>
        <c:axId val="489686984"/>
      </c:barChart>
      <c:catAx>
        <c:axId val="489686592"/>
        <c:scaling>
          <c:orientation val="minMax"/>
        </c:scaling>
        <c:delete val="0"/>
        <c:axPos val="b"/>
        <c:numFmt formatCode="General" sourceLinked="1"/>
        <c:majorTickMark val="none"/>
        <c:minorTickMark val="none"/>
        <c:tickLblPos val="low"/>
        <c:spPr>
          <a:ln w="12700">
            <a:solidFill>
              <a:srgbClr val="676868"/>
            </a:solidFill>
          </a:ln>
        </c:spPr>
        <c:crossAx val="489686984"/>
        <c:crosses val="autoZero"/>
        <c:auto val="1"/>
        <c:lblAlgn val="ctr"/>
        <c:lblOffset val="100"/>
        <c:noMultiLvlLbl val="0"/>
      </c:catAx>
      <c:valAx>
        <c:axId val="489686984"/>
        <c:scaling>
          <c:orientation val="minMax"/>
        </c:scaling>
        <c:delete val="0"/>
        <c:axPos val="l"/>
        <c:majorGridlines>
          <c:spPr>
            <a:ln w="3175">
              <a:solidFill>
                <a:srgbClr val="676868">
                  <a:alpha val="25000"/>
                </a:srgbClr>
              </a:solidFill>
              <a:prstDash val="sysDot"/>
            </a:ln>
          </c:spPr>
        </c:majorGridlines>
        <c:numFmt formatCode="#,##0.0" sourceLinked="0"/>
        <c:majorTickMark val="out"/>
        <c:minorTickMark val="none"/>
        <c:tickLblPos val="nextTo"/>
        <c:spPr>
          <a:ln>
            <a:noFill/>
          </a:ln>
        </c:spPr>
        <c:crossAx val="489686592"/>
        <c:crosses val="autoZero"/>
        <c:crossBetween val="between"/>
      </c:valAx>
    </c:plotArea>
    <c:legend>
      <c:legendPos val="r"/>
      <c:layout>
        <c:manualLayout>
          <c:xMode val="edge"/>
          <c:yMode val="edge"/>
          <c:x val="0.23363347874198653"/>
          <c:y val="5.8961984590635858E-3"/>
          <c:w val="0.60708953024480172"/>
          <c:h val="0.112926690615286"/>
        </c:manualLayout>
      </c:layout>
      <c:overlay val="1"/>
    </c:legend>
    <c:plotVisOnly val="1"/>
    <c:dispBlanksAs val="gap"/>
    <c:showDLblsOverMax val="0"/>
  </c:chart>
  <c:spPr>
    <a:ln>
      <a:noFill/>
    </a:ln>
  </c:spPr>
  <c:txPr>
    <a:bodyPr/>
    <a:lstStyle/>
    <a:p>
      <a:pPr>
        <a:defRPr sz="800">
          <a:latin typeface="Arial Narrow" panose="020B0606020202030204" pitchFamily="34" charset="0"/>
          <a:cs typeface="Calibri Light" panose="020F0302020204030204" pitchFamily="34" charset="0"/>
        </a:defRPr>
      </a:pPr>
      <a:endParaRPr lang="sk-SK"/>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746185283953718E-2"/>
          <c:y val="0.24727676068355237"/>
          <c:w val="0.86166782383664964"/>
          <c:h val="0.66314357552412195"/>
        </c:manualLayout>
      </c:layout>
      <c:barChart>
        <c:barDir val="col"/>
        <c:grouping val="stacked"/>
        <c:varyColors val="0"/>
        <c:ser>
          <c:idx val="2"/>
          <c:order val="1"/>
          <c:tx>
            <c:strRef>
              <c:f>CenyQ!$AF$86</c:f>
              <c:strCache>
                <c:ptCount val="1"/>
                <c:pt idx="0">
                  <c:v>Čistá inflácia</c:v>
                </c:pt>
              </c:strCache>
            </c:strRef>
          </c:tx>
          <c:spPr>
            <a:solidFill>
              <a:srgbClr val="2EAAE1"/>
            </a:solidFill>
            <a:ln>
              <a:noFill/>
            </a:ln>
            <a:effectLst/>
          </c:spPr>
          <c:invertIfNegative val="0"/>
          <c:cat>
            <c:numRef>
              <c:f>CenyQ!$AK$84:$AQ$84</c:f>
              <c:numCache>
                <c:formatCode>General</c:formatCode>
                <c:ptCount val="7"/>
                <c:pt idx="0">
                  <c:v>2024</c:v>
                </c:pt>
                <c:pt idx="1">
                  <c:v>2025</c:v>
                </c:pt>
                <c:pt idx="2">
                  <c:v>2026</c:v>
                </c:pt>
                <c:pt idx="3">
                  <c:v>2027</c:v>
                </c:pt>
                <c:pt idx="4">
                  <c:v>2028</c:v>
                </c:pt>
                <c:pt idx="5">
                  <c:v>2029</c:v>
                </c:pt>
                <c:pt idx="6">
                  <c:v>2030</c:v>
                </c:pt>
              </c:numCache>
            </c:numRef>
          </c:cat>
          <c:val>
            <c:numRef>
              <c:f>CenyQ!$AK$86:$AQ$86</c:f>
              <c:numCache>
                <c:formatCode>0.0</c:formatCode>
                <c:ptCount val="7"/>
                <c:pt idx="0">
                  <c:v>1.7488723616035626</c:v>
                </c:pt>
                <c:pt idx="1">
                  <c:v>1.5831501952540368</c:v>
                </c:pt>
                <c:pt idx="2">
                  <c:v>1.7845775665652766</c:v>
                </c:pt>
                <c:pt idx="3">
                  <c:v>1.88192817999092</c:v>
                </c:pt>
                <c:pt idx="4">
                  <c:v>1.6783747344736148</c:v>
                </c:pt>
                <c:pt idx="5">
                  <c:v>1.5550878375982857</c:v>
                </c:pt>
                <c:pt idx="6">
                  <c:v>1.5028063335928539</c:v>
                </c:pt>
              </c:numCache>
            </c:numRef>
          </c:val>
          <c:extLst>
            <c:ext xmlns:c16="http://schemas.microsoft.com/office/drawing/2014/chart" uri="{C3380CC4-5D6E-409C-BE32-E72D297353CC}">
              <c16:uniqueId val="{00000000-442C-413E-8E5E-199F234E86A2}"/>
            </c:ext>
          </c:extLst>
        </c:ser>
        <c:ser>
          <c:idx val="3"/>
          <c:order val="2"/>
          <c:tx>
            <c:strRef>
              <c:f>CenyQ!$AF$87</c:f>
              <c:strCache>
                <c:ptCount val="1"/>
                <c:pt idx="0">
                  <c:v>Ceny potravín </c:v>
                </c:pt>
              </c:strCache>
            </c:strRef>
          </c:tx>
          <c:spPr>
            <a:solidFill>
              <a:srgbClr val="B6B6B6"/>
            </a:solidFill>
            <a:ln w="25400">
              <a:noFill/>
            </a:ln>
            <a:effectLst/>
          </c:spPr>
          <c:invertIfNegative val="0"/>
          <c:cat>
            <c:numRef>
              <c:f>CenyQ!$AK$84:$AQ$84</c:f>
              <c:numCache>
                <c:formatCode>General</c:formatCode>
                <c:ptCount val="7"/>
                <c:pt idx="0">
                  <c:v>2024</c:v>
                </c:pt>
                <c:pt idx="1">
                  <c:v>2025</c:v>
                </c:pt>
                <c:pt idx="2">
                  <c:v>2026</c:v>
                </c:pt>
                <c:pt idx="3">
                  <c:v>2027</c:v>
                </c:pt>
                <c:pt idx="4">
                  <c:v>2028</c:v>
                </c:pt>
                <c:pt idx="5">
                  <c:v>2029</c:v>
                </c:pt>
                <c:pt idx="6">
                  <c:v>2030</c:v>
                </c:pt>
              </c:numCache>
            </c:numRef>
          </c:cat>
          <c:val>
            <c:numRef>
              <c:f>CenyQ!$AK$87:$AQ$87</c:f>
              <c:numCache>
                <c:formatCode>0.0</c:formatCode>
                <c:ptCount val="7"/>
                <c:pt idx="0">
                  <c:v>0.48907743605817694</c:v>
                </c:pt>
                <c:pt idx="1">
                  <c:v>0.64184168174822087</c:v>
                </c:pt>
                <c:pt idx="2">
                  <c:v>0.47784232871665222</c:v>
                </c:pt>
                <c:pt idx="3">
                  <c:v>0.60788007161836033</c:v>
                </c:pt>
                <c:pt idx="4">
                  <c:v>0.48090948301366471</c:v>
                </c:pt>
                <c:pt idx="5">
                  <c:v>0.45416545211536674</c:v>
                </c:pt>
                <c:pt idx="6">
                  <c:v>0.42678351207129644</c:v>
                </c:pt>
              </c:numCache>
            </c:numRef>
          </c:val>
          <c:extLst>
            <c:ext xmlns:c16="http://schemas.microsoft.com/office/drawing/2014/chart" uri="{C3380CC4-5D6E-409C-BE32-E72D297353CC}">
              <c16:uniqueId val="{00000001-442C-413E-8E5E-199F234E86A2}"/>
            </c:ext>
          </c:extLst>
        </c:ser>
        <c:ser>
          <c:idx val="4"/>
          <c:order val="3"/>
          <c:tx>
            <c:strRef>
              <c:f>CenyQ!$AF$88</c:f>
              <c:strCache>
                <c:ptCount val="1"/>
                <c:pt idx="0">
                  <c:v>Regulované ceny </c:v>
                </c:pt>
              </c:strCache>
            </c:strRef>
          </c:tx>
          <c:spPr>
            <a:solidFill>
              <a:srgbClr val="686767"/>
            </a:solidFill>
            <a:ln w="25400">
              <a:noFill/>
            </a:ln>
            <a:effectLst/>
          </c:spPr>
          <c:invertIfNegative val="0"/>
          <c:cat>
            <c:numRef>
              <c:f>CenyQ!$AK$84:$AQ$84</c:f>
              <c:numCache>
                <c:formatCode>General</c:formatCode>
                <c:ptCount val="7"/>
                <c:pt idx="0">
                  <c:v>2024</c:v>
                </c:pt>
                <c:pt idx="1">
                  <c:v>2025</c:v>
                </c:pt>
                <c:pt idx="2">
                  <c:v>2026</c:v>
                </c:pt>
                <c:pt idx="3">
                  <c:v>2027</c:v>
                </c:pt>
                <c:pt idx="4">
                  <c:v>2028</c:v>
                </c:pt>
                <c:pt idx="5">
                  <c:v>2029</c:v>
                </c:pt>
                <c:pt idx="6">
                  <c:v>2030</c:v>
                </c:pt>
              </c:numCache>
            </c:numRef>
          </c:cat>
          <c:val>
            <c:numRef>
              <c:f>CenyQ!$AK$88:$AQ$88</c:f>
              <c:numCache>
                <c:formatCode>0.0</c:formatCode>
                <c:ptCount val="7"/>
                <c:pt idx="0">
                  <c:v>0.21570255326035306</c:v>
                </c:pt>
                <c:pt idx="1">
                  <c:v>0.60595259395718781</c:v>
                </c:pt>
                <c:pt idx="2">
                  <c:v>1.3755710492978137</c:v>
                </c:pt>
                <c:pt idx="3">
                  <c:v>-5.076981885061356E-2</c:v>
                </c:pt>
                <c:pt idx="4">
                  <c:v>0.87850327540160622</c:v>
                </c:pt>
                <c:pt idx="5">
                  <c:v>0.2232330515295057</c:v>
                </c:pt>
                <c:pt idx="6">
                  <c:v>0.18959105426813708</c:v>
                </c:pt>
              </c:numCache>
            </c:numRef>
          </c:val>
          <c:extLst>
            <c:ext xmlns:c16="http://schemas.microsoft.com/office/drawing/2014/chart" uri="{C3380CC4-5D6E-409C-BE32-E72D297353CC}">
              <c16:uniqueId val="{00000002-442C-413E-8E5E-199F234E86A2}"/>
            </c:ext>
          </c:extLst>
        </c:ser>
        <c:ser>
          <c:idx val="5"/>
          <c:order val="4"/>
          <c:tx>
            <c:strRef>
              <c:f>CenyQ!$AF$89</c:f>
              <c:strCache>
                <c:ptCount val="1"/>
                <c:pt idx="0">
                  <c:v>Nepriame dane</c:v>
                </c:pt>
              </c:strCache>
            </c:strRef>
          </c:tx>
          <c:spPr>
            <a:solidFill>
              <a:schemeClr val="tx1"/>
            </a:solidFill>
            <a:ln w="25400">
              <a:noFill/>
            </a:ln>
            <a:effectLst/>
          </c:spPr>
          <c:invertIfNegative val="0"/>
          <c:cat>
            <c:numRef>
              <c:f>CenyQ!$AK$84:$AQ$84</c:f>
              <c:numCache>
                <c:formatCode>General</c:formatCode>
                <c:ptCount val="7"/>
                <c:pt idx="0">
                  <c:v>2024</c:v>
                </c:pt>
                <c:pt idx="1">
                  <c:v>2025</c:v>
                </c:pt>
                <c:pt idx="2">
                  <c:v>2026</c:v>
                </c:pt>
                <c:pt idx="3">
                  <c:v>2027</c:v>
                </c:pt>
                <c:pt idx="4">
                  <c:v>2028</c:v>
                </c:pt>
                <c:pt idx="5">
                  <c:v>2029</c:v>
                </c:pt>
                <c:pt idx="6">
                  <c:v>2030</c:v>
                </c:pt>
              </c:numCache>
            </c:numRef>
          </c:cat>
          <c:val>
            <c:numRef>
              <c:f>CenyQ!$AK$89:$AQ$89</c:f>
              <c:numCache>
                <c:formatCode>0.0</c:formatCode>
                <c:ptCount val="7"/>
                <c:pt idx="0">
                  <c:v>0.35</c:v>
                </c:pt>
                <c:pt idx="1">
                  <c:v>1.1484365328482617</c:v>
                </c:pt>
                <c:pt idx="2">
                  <c:v>0.16454444397387183</c:v>
                </c:pt>
                <c:pt idx="3">
                  <c:v>6.0384410298905157E-2</c:v>
                </c:pt>
                <c:pt idx="4">
                  <c:v>0.12032318220357148</c:v>
                </c:pt>
                <c:pt idx="5">
                  <c:v>2.6040008418741656E-2</c:v>
                </c:pt>
                <c:pt idx="6">
                  <c:v>0</c:v>
                </c:pt>
              </c:numCache>
            </c:numRef>
          </c:val>
          <c:extLst>
            <c:ext xmlns:c16="http://schemas.microsoft.com/office/drawing/2014/chart" uri="{C3380CC4-5D6E-409C-BE32-E72D297353CC}">
              <c16:uniqueId val="{00000003-442C-413E-8E5E-199F234E86A2}"/>
            </c:ext>
          </c:extLst>
        </c:ser>
        <c:dLbls>
          <c:showLegendKey val="0"/>
          <c:showVal val="0"/>
          <c:showCatName val="0"/>
          <c:showSerName val="0"/>
          <c:showPercent val="0"/>
          <c:showBubbleSize val="0"/>
        </c:dLbls>
        <c:gapWidth val="150"/>
        <c:overlap val="100"/>
        <c:axId val="617178168"/>
        <c:axId val="615686368"/>
      </c:barChart>
      <c:lineChart>
        <c:grouping val="standard"/>
        <c:varyColors val="0"/>
        <c:ser>
          <c:idx val="1"/>
          <c:order val="0"/>
          <c:tx>
            <c:strRef>
              <c:f>CenyQ!$AF$85</c:f>
              <c:strCache>
                <c:ptCount val="1"/>
                <c:pt idx="0">
                  <c:v>Celková inflácia</c:v>
                </c:pt>
              </c:strCache>
            </c:strRef>
          </c:tx>
          <c:spPr>
            <a:ln w="19050" cap="rnd">
              <a:solidFill>
                <a:srgbClr val="0C1D2B"/>
              </a:solidFill>
              <a:round/>
            </a:ln>
            <a:effectLst/>
          </c:spPr>
          <c:marker>
            <c:symbol val="none"/>
          </c:marker>
          <c:dLbls>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CenyQ!$AK$84:$AQ$84</c:f>
              <c:numCache>
                <c:formatCode>General</c:formatCode>
                <c:ptCount val="7"/>
                <c:pt idx="0">
                  <c:v>2024</c:v>
                </c:pt>
                <c:pt idx="1">
                  <c:v>2025</c:v>
                </c:pt>
                <c:pt idx="2">
                  <c:v>2026</c:v>
                </c:pt>
                <c:pt idx="3">
                  <c:v>2027</c:v>
                </c:pt>
                <c:pt idx="4">
                  <c:v>2028</c:v>
                </c:pt>
                <c:pt idx="5">
                  <c:v>2029</c:v>
                </c:pt>
                <c:pt idx="6">
                  <c:v>2030</c:v>
                </c:pt>
              </c:numCache>
            </c:numRef>
          </c:cat>
          <c:val>
            <c:numRef>
              <c:f>CenyQ!$AK$85:$AQ$85</c:f>
              <c:numCache>
                <c:formatCode>0.0</c:formatCode>
                <c:ptCount val="7"/>
                <c:pt idx="0">
                  <c:v>2.8036523509220928</c:v>
                </c:pt>
                <c:pt idx="1">
                  <c:v>3.9793810038077071</c:v>
                </c:pt>
                <c:pt idx="2">
                  <c:v>3.8025353885536144</c:v>
                </c:pt>
                <c:pt idx="3">
                  <c:v>2.4994228430575718</c:v>
                </c:pt>
                <c:pt idx="4">
                  <c:v>3.1581106750924572</c:v>
                </c:pt>
                <c:pt idx="5">
                  <c:v>2.2585263496618997</c:v>
                </c:pt>
                <c:pt idx="6">
                  <c:v>2.1191808999322874</c:v>
                </c:pt>
              </c:numCache>
            </c:numRef>
          </c:val>
          <c:smooth val="0"/>
          <c:extLst>
            <c:ext xmlns:c16="http://schemas.microsoft.com/office/drawing/2014/chart" uri="{C3380CC4-5D6E-409C-BE32-E72D297353CC}">
              <c16:uniqueId val="{00000004-442C-413E-8E5E-199F234E86A2}"/>
            </c:ext>
          </c:extLst>
        </c:ser>
        <c:dLbls>
          <c:showLegendKey val="0"/>
          <c:showVal val="0"/>
          <c:showCatName val="0"/>
          <c:showSerName val="0"/>
          <c:showPercent val="0"/>
          <c:showBubbleSize val="0"/>
        </c:dLbls>
        <c:marker val="1"/>
        <c:smooth val="0"/>
        <c:axId val="617178168"/>
        <c:axId val="615686368"/>
      </c:lineChart>
      <c:dateAx>
        <c:axId val="617178168"/>
        <c:scaling>
          <c:orientation val="minMax"/>
        </c:scaling>
        <c:delete val="0"/>
        <c:axPos val="b"/>
        <c:numFmt formatCode="0" sourceLinked="0"/>
        <c:majorTickMark val="none"/>
        <c:minorTickMark val="none"/>
        <c:tickLblPos val="low"/>
        <c:spPr>
          <a:noFill/>
          <a:ln w="12700" cap="flat" cmpd="sng" algn="ctr">
            <a:solidFill>
              <a:schemeClr val="tx1"/>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crossAx val="615686368"/>
        <c:crosses val="autoZero"/>
        <c:auto val="1"/>
        <c:lblOffset val="100"/>
        <c:baseTimeUnit val="months"/>
        <c:majorTimeUnit val="months"/>
        <c:minorUnit val="1"/>
        <c:minorTimeUnit val="months"/>
      </c:dateAx>
      <c:valAx>
        <c:axId val="615686368"/>
        <c:scaling>
          <c:orientation val="minMax"/>
        </c:scaling>
        <c:delete val="0"/>
        <c:axPos val="l"/>
        <c:majorGridlines>
          <c:spPr>
            <a:ln w="3175" cap="flat" cmpd="sng" algn="ctr">
              <a:solidFill>
                <a:schemeClr val="bg1">
                  <a:lumMod val="50000"/>
                  <a:alpha val="25000"/>
                </a:schemeClr>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crossAx val="617178168"/>
        <c:crosses val="autoZero"/>
        <c:crossBetween val="between"/>
        <c:majorUnit val="2"/>
      </c:valAx>
      <c:spPr>
        <a:noFill/>
        <a:ln>
          <a:noFill/>
        </a:ln>
        <a:effectLst/>
      </c:spPr>
    </c:plotArea>
    <c:legend>
      <c:legendPos val="b"/>
      <c:layout>
        <c:manualLayout>
          <c:xMode val="edge"/>
          <c:yMode val="edge"/>
          <c:x val="0"/>
          <c:y val="1.8548548304526954E-2"/>
          <c:w val="1"/>
          <c:h val="0.1840656039503844"/>
        </c:manualLayout>
      </c:layout>
      <c:overlay val="1"/>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Arial Narrow" panose="020B0606020202030204" pitchFamily="34" charset="0"/>
        </a:defRPr>
      </a:pPr>
      <a:endParaRPr lang="sk-SK"/>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'Trh práce'!$B$54</c:f>
              <c:strCache>
                <c:ptCount val="1"/>
                <c:pt idx="0">
                  <c:v>Reálna mesačná mzda</c:v>
                </c:pt>
              </c:strCache>
            </c:strRef>
          </c:tx>
          <c:spPr>
            <a:ln w="28575" cap="rnd">
              <a:solidFill>
                <a:schemeClr val="accent1"/>
              </a:solidFill>
              <a:round/>
            </a:ln>
            <a:effectLst/>
          </c:spPr>
          <c:marker>
            <c:symbol val="none"/>
          </c:marker>
          <c:cat>
            <c:numRef>
              <c:f>'Trh práce'!$J$5:$Y$5</c:f>
              <c:numCache>
                <c:formatCode>General</c:formatCode>
                <c:ptCount val="16"/>
                <c:pt idx="0">
                  <c:v>2015</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numCache>
            </c:numRef>
          </c:cat>
          <c:val>
            <c:numRef>
              <c:f>'Trh práce'!$J$55:$Y$55</c:f>
              <c:numCache>
                <c:formatCode>0.0</c:formatCode>
                <c:ptCount val="16"/>
                <c:pt idx="0">
                  <c:v>3.2531979462785632</c:v>
                </c:pt>
                <c:pt idx="1">
                  <c:v>3.8235974497387248</c:v>
                </c:pt>
                <c:pt idx="2">
                  <c:v>3.2542980503483587</c:v>
                </c:pt>
                <c:pt idx="3">
                  <c:v>3.6004576364930152</c:v>
                </c:pt>
                <c:pt idx="4">
                  <c:v>4.9875656115999645</c:v>
                </c:pt>
                <c:pt idx="5">
                  <c:v>1.7875323503948382</c:v>
                </c:pt>
                <c:pt idx="6">
                  <c:v>3.6099128122515811</c:v>
                </c:pt>
                <c:pt idx="7">
                  <c:v>-4.5217815914413766</c:v>
                </c:pt>
                <c:pt idx="8">
                  <c:v>-0.79130775268576592</c:v>
                </c:pt>
                <c:pt idx="9">
                  <c:v>3.7057761749962337</c:v>
                </c:pt>
                <c:pt idx="10">
                  <c:v>2.2000000000000002</c:v>
                </c:pt>
                <c:pt idx="11">
                  <c:v>0.59265602721638722</c:v>
                </c:pt>
                <c:pt idx="12">
                  <c:v>1.4794444971629073</c:v>
                </c:pt>
                <c:pt idx="13">
                  <c:v>1.2432167427981033</c:v>
                </c:pt>
                <c:pt idx="14">
                  <c:v>2.0552955965303266</c:v>
                </c:pt>
                <c:pt idx="15" formatCode="General">
                  <c:v>2.1671041592286944</c:v>
                </c:pt>
              </c:numCache>
            </c:numRef>
          </c:val>
          <c:smooth val="0"/>
          <c:extLst>
            <c:ext xmlns:c16="http://schemas.microsoft.com/office/drawing/2014/chart" uri="{C3380CC4-5D6E-409C-BE32-E72D297353CC}">
              <c16:uniqueId val="{00000000-A47C-4DAB-984D-BFFBC8EAAB8B}"/>
            </c:ext>
          </c:extLst>
        </c:ser>
        <c:dLbls>
          <c:showLegendKey val="0"/>
          <c:showVal val="0"/>
          <c:showCatName val="0"/>
          <c:showSerName val="0"/>
          <c:showPercent val="0"/>
          <c:showBubbleSize val="0"/>
        </c:dLbls>
        <c:smooth val="0"/>
        <c:axId val="1770306032"/>
        <c:axId val="1770303632"/>
      </c:lineChart>
      <c:catAx>
        <c:axId val="177030603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sk-SK"/>
          </a:p>
        </c:txPr>
        <c:crossAx val="1770303632"/>
        <c:crosses val="autoZero"/>
        <c:auto val="1"/>
        <c:lblAlgn val="ctr"/>
        <c:lblOffset val="100"/>
        <c:noMultiLvlLbl val="0"/>
      </c:catAx>
      <c:valAx>
        <c:axId val="17703036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sk-SK"/>
          </a:p>
        </c:txPr>
        <c:crossAx val="17703060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k-SK"/>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'G 5'!$G$8</c:f>
              <c:strCache>
                <c:ptCount val="1"/>
                <c:pt idx="0">
                  <c:v>Index geopolitických rizík</c:v>
                </c:pt>
              </c:strCache>
            </c:strRef>
          </c:tx>
          <c:spPr>
            <a:ln w="22225" cap="rnd">
              <a:solidFill>
                <a:srgbClr val="2EAAE1"/>
              </a:solidFill>
              <a:round/>
            </a:ln>
            <a:effectLst/>
          </c:spPr>
          <c:marker>
            <c:symbol val="none"/>
          </c:marker>
          <c:cat>
            <c:numRef>
              <c:f>'G 5'!$F$9:$F$4117</c:f>
              <c:numCache>
                <c:formatCode>m/d/yyyy</c:formatCode>
                <c:ptCount val="4109"/>
                <c:pt idx="0">
                  <c:v>42005</c:v>
                </c:pt>
                <c:pt idx="1">
                  <c:v>42006</c:v>
                </c:pt>
                <c:pt idx="2">
                  <c:v>42007</c:v>
                </c:pt>
                <c:pt idx="3">
                  <c:v>42008</c:v>
                </c:pt>
                <c:pt idx="4">
                  <c:v>42009</c:v>
                </c:pt>
                <c:pt idx="5">
                  <c:v>42010</c:v>
                </c:pt>
                <c:pt idx="6">
                  <c:v>42011</c:v>
                </c:pt>
                <c:pt idx="7">
                  <c:v>42012</c:v>
                </c:pt>
                <c:pt idx="8">
                  <c:v>42013</c:v>
                </c:pt>
                <c:pt idx="9">
                  <c:v>42014</c:v>
                </c:pt>
                <c:pt idx="10">
                  <c:v>42015</c:v>
                </c:pt>
                <c:pt idx="11">
                  <c:v>42016</c:v>
                </c:pt>
                <c:pt idx="12">
                  <c:v>42017</c:v>
                </c:pt>
                <c:pt idx="13">
                  <c:v>42018</c:v>
                </c:pt>
                <c:pt idx="14">
                  <c:v>42019</c:v>
                </c:pt>
                <c:pt idx="15">
                  <c:v>42020</c:v>
                </c:pt>
                <c:pt idx="16">
                  <c:v>42021</c:v>
                </c:pt>
                <c:pt idx="17">
                  <c:v>42022</c:v>
                </c:pt>
                <c:pt idx="18">
                  <c:v>42023</c:v>
                </c:pt>
                <c:pt idx="19">
                  <c:v>42024</c:v>
                </c:pt>
                <c:pt idx="20">
                  <c:v>42025</c:v>
                </c:pt>
                <c:pt idx="21">
                  <c:v>42026</c:v>
                </c:pt>
                <c:pt idx="22">
                  <c:v>42027</c:v>
                </c:pt>
                <c:pt idx="23">
                  <c:v>42028</c:v>
                </c:pt>
                <c:pt idx="24">
                  <c:v>42029</c:v>
                </c:pt>
                <c:pt idx="25">
                  <c:v>42030</c:v>
                </c:pt>
                <c:pt idx="26">
                  <c:v>42031</c:v>
                </c:pt>
                <c:pt idx="27">
                  <c:v>42032</c:v>
                </c:pt>
                <c:pt idx="28">
                  <c:v>42033</c:v>
                </c:pt>
                <c:pt idx="29">
                  <c:v>42034</c:v>
                </c:pt>
                <c:pt idx="30">
                  <c:v>42035</c:v>
                </c:pt>
                <c:pt idx="31">
                  <c:v>42036</c:v>
                </c:pt>
                <c:pt idx="32">
                  <c:v>42037</c:v>
                </c:pt>
                <c:pt idx="33">
                  <c:v>42038</c:v>
                </c:pt>
                <c:pt idx="34">
                  <c:v>42039</c:v>
                </c:pt>
                <c:pt idx="35">
                  <c:v>42040</c:v>
                </c:pt>
                <c:pt idx="36">
                  <c:v>42041</c:v>
                </c:pt>
                <c:pt idx="37">
                  <c:v>42042</c:v>
                </c:pt>
                <c:pt idx="38">
                  <c:v>42043</c:v>
                </c:pt>
                <c:pt idx="39">
                  <c:v>42044</c:v>
                </c:pt>
                <c:pt idx="40">
                  <c:v>42045</c:v>
                </c:pt>
                <c:pt idx="41">
                  <c:v>42046</c:v>
                </c:pt>
                <c:pt idx="42">
                  <c:v>42047</c:v>
                </c:pt>
                <c:pt idx="43">
                  <c:v>42048</c:v>
                </c:pt>
                <c:pt idx="44">
                  <c:v>42049</c:v>
                </c:pt>
                <c:pt idx="45">
                  <c:v>42050</c:v>
                </c:pt>
                <c:pt idx="46">
                  <c:v>42051</c:v>
                </c:pt>
                <c:pt idx="47">
                  <c:v>42052</c:v>
                </c:pt>
                <c:pt idx="48">
                  <c:v>42053</c:v>
                </c:pt>
                <c:pt idx="49">
                  <c:v>42054</c:v>
                </c:pt>
                <c:pt idx="50">
                  <c:v>42055</c:v>
                </c:pt>
                <c:pt idx="51">
                  <c:v>42056</c:v>
                </c:pt>
                <c:pt idx="52">
                  <c:v>42057</c:v>
                </c:pt>
                <c:pt idx="53">
                  <c:v>42058</c:v>
                </c:pt>
                <c:pt idx="54">
                  <c:v>42059</c:v>
                </c:pt>
                <c:pt idx="55">
                  <c:v>42060</c:v>
                </c:pt>
                <c:pt idx="56">
                  <c:v>42061</c:v>
                </c:pt>
                <c:pt idx="57">
                  <c:v>42062</c:v>
                </c:pt>
                <c:pt idx="58">
                  <c:v>42063</c:v>
                </c:pt>
                <c:pt idx="59">
                  <c:v>42064</c:v>
                </c:pt>
                <c:pt idx="60">
                  <c:v>42065</c:v>
                </c:pt>
                <c:pt idx="61">
                  <c:v>42066</c:v>
                </c:pt>
                <c:pt idx="62">
                  <c:v>42067</c:v>
                </c:pt>
                <c:pt idx="63">
                  <c:v>42068</c:v>
                </c:pt>
                <c:pt idx="64">
                  <c:v>42069</c:v>
                </c:pt>
                <c:pt idx="65">
                  <c:v>42070</c:v>
                </c:pt>
                <c:pt idx="66">
                  <c:v>42071</c:v>
                </c:pt>
                <c:pt idx="67">
                  <c:v>42072</c:v>
                </c:pt>
                <c:pt idx="68">
                  <c:v>42073</c:v>
                </c:pt>
                <c:pt idx="69">
                  <c:v>42074</c:v>
                </c:pt>
                <c:pt idx="70">
                  <c:v>42075</c:v>
                </c:pt>
                <c:pt idx="71">
                  <c:v>42076</c:v>
                </c:pt>
                <c:pt idx="72">
                  <c:v>42077</c:v>
                </c:pt>
                <c:pt idx="73">
                  <c:v>42078</c:v>
                </c:pt>
                <c:pt idx="74">
                  <c:v>42079</c:v>
                </c:pt>
                <c:pt idx="75">
                  <c:v>42080</c:v>
                </c:pt>
                <c:pt idx="76">
                  <c:v>42081</c:v>
                </c:pt>
                <c:pt idx="77">
                  <c:v>42082</c:v>
                </c:pt>
                <c:pt idx="78">
                  <c:v>42083</c:v>
                </c:pt>
                <c:pt idx="79">
                  <c:v>42084</c:v>
                </c:pt>
                <c:pt idx="80">
                  <c:v>42085</c:v>
                </c:pt>
                <c:pt idx="81">
                  <c:v>42086</c:v>
                </c:pt>
                <c:pt idx="82">
                  <c:v>42087</c:v>
                </c:pt>
                <c:pt idx="83">
                  <c:v>42088</c:v>
                </c:pt>
                <c:pt idx="84">
                  <c:v>42089</c:v>
                </c:pt>
                <c:pt idx="85">
                  <c:v>42090</c:v>
                </c:pt>
                <c:pt idx="86">
                  <c:v>42091</c:v>
                </c:pt>
                <c:pt idx="87">
                  <c:v>42092</c:v>
                </c:pt>
                <c:pt idx="88">
                  <c:v>42093</c:v>
                </c:pt>
                <c:pt idx="89">
                  <c:v>42094</c:v>
                </c:pt>
                <c:pt idx="90">
                  <c:v>42095</c:v>
                </c:pt>
                <c:pt idx="91">
                  <c:v>42096</c:v>
                </c:pt>
                <c:pt idx="92">
                  <c:v>42097</c:v>
                </c:pt>
                <c:pt idx="93">
                  <c:v>42098</c:v>
                </c:pt>
                <c:pt idx="94">
                  <c:v>42099</c:v>
                </c:pt>
                <c:pt idx="95">
                  <c:v>42100</c:v>
                </c:pt>
                <c:pt idx="96">
                  <c:v>42101</c:v>
                </c:pt>
                <c:pt idx="97">
                  <c:v>42102</c:v>
                </c:pt>
                <c:pt idx="98">
                  <c:v>42103</c:v>
                </c:pt>
                <c:pt idx="99">
                  <c:v>42104</c:v>
                </c:pt>
                <c:pt idx="100">
                  <c:v>42105</c:v>
                </c:pt>
                <c:pt idx="101">
                  <c:v>42106</c:v>
                </c:pt>
                <c:pt idx="102">
                  <c:v>42107</c:v>
                </c:pt>
                <c:pt idx="103">
                  <c:v>42108</c:v>
                </c:pt>
                <c:pt idx="104">
                  <c:v>42109</c:v>
                </c:pt>
                <c:pt idx="105">
                  <c:v>42110</c:v>
                </c:pt>
                <c:pt idx="106">
                  <c:v>42111</c:v>
                </c:pt>
                <c:pt idx="107">
                  <c:v>42112</c:v>
                </c:pt>
                <c:pt idx="108">
                  <c:v>42113</c:v>
                </c:pt>
                <c:pt idx="109">
                  <c:v>42114</c:v>
                </c:pt>
                <c:pt idx="110">
                  <c:v>42115</c:v>
                </c:pt>
                <c:pt idx="111">
                  <c:v>42116</c:v>
                </c:pt>
                <c:pt idx="112">
                  <c:v>42117</c:v>
                </c:pt>
                <c:pt idx="113">
                  <c:v>42118</c:v>
                </c:pt>
                <c:pt idx="114">
                  <c:v>42119</c:v>
                </c:pt>
                <c:pt idx="115">
                  <c:v>42120</c:v>
                </c:pt>
                <c:pt idx="116">
                  <c:v>42121</c:v>
                </c:pt>
                <c:pt idx="117">
                  <c:v>42122</c:v>
                </c:pt>
                <c:pt idx="118">
                  <c:v>42123</c:v>
                </c:pt>
                <c:pt idx="119">
                  <c:v>42124</c:v>
                </c:pt>
                <c:pt idx="120">
                  <c:v>42125</c:v>
                </c:pt>
                <c:pt idx="121">
                  <c:v>42126</c:v>
                </c:pt>
                <c:pt idx="122">
                  <c:v>42127</c:v>
                </c:pt>
                <c:pt idx="123">
                  <c:v>42128</c:v>
                </c:pt>
                <c:pt idx="124">
                  <c:v>42129</c:v>
                </c:pt>
                <c:pt idx="125">
                  <c:v>42130</c:v>
                </c:pt>
                <c:pt idx="126">
                  <c:v>42131</c:v>
                </c:pt>
                <c:pt idx="127">
                  <c:v>42132</c:v>
                </c:pt>
                <c:pt idx="128">
                  <c:v>42133</c:v>
                </c:pt>
                <c:pt idx="129">
                  <c:v>42134</c:v>
                </c:pt>
                <c:pt idx="130">
                  <c:v>42135</c:v>
                </c:pt>
                <c:pt idx="131">
                  <c:v>42136</c:v>
                </c:pt>
                <c:pt idx="132">
                  <c:v>42137</c:v>
                </c:pt>
                <c:pt idx="133">
                  <c:v>42138</c:v>
                </c:pt>
                <c:pt idx="134">
                  <c:v>42139</c:v>
                </c:pt>
                <c:pt idx="135">
                  <c:v>42140</c:v>
                </c:pt>
                <c:pt idx="136">
                  <c:v>42141</c:v>
                </c:pt>
                <c:pt idx="137">
                  <c:v>42142</c:v>
                </c:pt>
                <c:pt idx="138">
                  <c:v>42143</c:v>
                </c:pt>
                <c:pt idx="139">
                  <c:v>42144</c:v>
                </c:pt>
                <c:pt idx="140">
                  <c:v>42145</c:v>
                </c:pt>
                <c:pt idx="141">
                  <c:v>42146</c:v>
                </c:pt>
                <c:pt idx="142">
                  <c:v>42147</c:v>
                </c:pt>
                <c:pt idx="143">
                  <c:v>42148</c:v>
                </c:pt>
                <c:pt idx="144">
                  <c:v>42149</c:v>
                </c:pt>
                <c:pt idx="145">
                  <c:v>42150</c:v>
                </c:pt>
                <c:pt idx="146">
                  <c:v>42151</c:v>
                </c:pt>
                <c:pt idx="147">
                  <c:v>42152</c:v>
                </c:pt>
                <c:pt idx="148">
                  <c:v>42153</c:v>
                </c:pt>
                <c:pt idx="149">
                  <c:v>42154</c:v>
                </c:pt>
                <c:pt idx="150">
                  <c:v>42155</c:v>
                </c:pt>
                <c:pt idx="151">
                  <c:v>42156</c:v>
                </c:pt>
                <c:pt idx="152">
                  <c:v>42157</c:v>
                </c:pt>
                <c:pt idx="153">
                  <c:v>42158</c:v>
                </c:pt>
                <c:pt idx="154">
                  <c:v>42159</c:v>
                </c:pt>
                <c:pt idx="155">
                  <c:v>42160</c:v>
                </c:pt>
                <c:pt idx="156">
                  <c:v>42161</c:v>
                </c:pt>
                <c:pt idx="157">
                  <c:v>42162</c:v>
                </c:pt>
                <c:pt idx="158">
                  <c:v>42163</c:v>
                </c:pt>
                <c:pt idx="159">
                  <c:v>42164</c:v>
                </c:pt>
                <c:pt idx="160">
                  <c:v>42165</c:v>
                </c:pt>
                <c:pt idx="161">
                  <c:v>42166</c:v>
                </c:pt>
                <c:pt idx="162">
                  <c:v>42167</c:v>
                </c:pt>
                <c:pt idx="163">
                  <c:v>42168</c:v>
                </c:pt>
                <c:pt idx="164">
                  <c:v>42169</c:v>
                </c:pt>
                <c:pt idx="165">
                  <c:v>42170</c:v>
                </c:pt>
                <c:pt idx="166">
                  <c:v>42171</c:v>
                </c:pt>
                <c:pt idx="167">
                  <c:v>42172</c:v>
                </c:pt>
                <c:pt idx="168">
                  <c:v>42173</c:v>
                </c:pt>
                <c:pt idx="169">
                  <c:v>42174</c:v>
                </c:pt>
                <c:pt idx="170">
                  <c:v>42175</c:v>
                </c:pt>
                <c:pt idx="171">
                  <c:v>42176</c:v>
                </c:pt>
                <c:pt idx="172">
                  <c:v>42177</c:v>
                </c:pt>
                <c:pt idx="173">
                  <c:v>42178</c:v>
                </c:pt>
                <c:pt idx="174">
                  <c:v>42179</c:v>
                </c:pt>
                <c:pt idx="175">
                  <c:v>42180</c:v>
                </c:pt>
                <c:pt idx="176">
                  <c:v>42181</c:v>
                </c:pt>
                <c:pt idx="177">
                  <c:v>42182</c:v>
                </c:pt>
                <c:pt idx="178">
                  <c:v>42183</c:v>
                </c:pt>
                <c:pt idx="179">
                  <c:v>42184</c:v>
                </c:pt>
                <c:pt idx="180">
                  <c:v>42185</c:v>
                </c:pt>
                <c:pt idx="181">
                  <c:v>42186</c:v>
                </c:pt>
                <c:pt idx="182">
                  <c:v>42187</c:v>
                </c:pt>
                <c:pt idx="183">
                  <c:v>42188</c:v>
                </c:pt>
                <c:pt idx="184">
                  <c:v>42189</c:v>
                </c:pt>
                <c:pt idx="185">
                  <c:v>42190</c:v>
                </c:pt>
                <c:pt idx="186">
                  <c:v>42191</c:v>
                </c:pt>
                <c:pt idx="187">
                  <c:v>42192</c:v>
                </c:pt>
                <c:pt idx="188">
                  <c:v>42193</c:v>
                </c:pt>
                <c:pt idx="189">
                  <c:v>42194</c:v>
                </c:pt>
                <c:pt idx="190">
                  <c:v>42195</c:v>
                </c:pt>
                <c:pt idx="191">
                  <c:v>42196</c:v>
                </c:pt>
                <c:pt idx="192">
                  <c:v>42197</c:v>
                </c:pt>
                <c:pt idx="193">
                  <c:v>42198</c:v>
                </c:pt>
                <c:pt idx="194">
                  <c:v>42199</c:v>
                </c:pt>
                <c:pt idx="195">
                  <c:v>42200</c:v>
                </c:pt>
                <c:pt idx="196">
                  <c:v>42201</c:v>
                </c:pt>
                <c:pt idx="197">
                  <c:v>42202</c:v>
                </c:pt>
                <c:pt idx="198">
                  <c:v>42203</c:v>
                </c:pt>
                <c:pt idx="199">
                  <c:v>42204</c:v>
                </c:pt>
                <c:pt idx="200">
                  <c:v>42205</c:v>
                </c:pt>
                <c:pt idx="201">
                  <c:v>42206</c:v>
                </c:pt>
                <c:pt idx="202">
                  <c:v>42207</c:v>
                </c:pt>
                <c:pt idx="203">
                  <c:v>42208</c:v>
                </c:pt>
                <c:pt idx="204">
                  <c:v>42209</c:v>
                </c:pt>
                <c:pt idx="205">
                  <c:v>42210</c:v>
                </c:pt>
                <c:pt idx="206">
                  <c:v>42211</c:v>
                </c:pt>
                <c:pt idx="207">
                  <c:v>42212</c:v>
                </c:pt>
                <c:pt idx="208">
                  <c:v>42213</c:v>
                </c:pt>
                <c:pt idx="209">
                  <c:v>42214</c:v>
                </c:pt>
                <c:pt idx="210">
                  <c:v>42215</c:v>
                </c:pt>
                <c:pt idx="211">
                  <c:v>42216</c:v>
                </c:pt>
                <c:pt idx="212">
                  <c:v>42217</c:v>
                </c:pt>
                <c:pt idx="213">
                  <c:v>42218</c:v>
                </c:pt>
                <c:pt idx="214">
                  <c:v>42219</c:v>
                </c:pt>
                <c:pt idx="215">
                  <c:v>42220</c:v>
                </c:pt>
                <c:pt idx="216">
                  <c:v>42221</c:v>
                </c:pt>
                <c:pt idx="217">
                  <c:v>42222</c:v>
                </c:pt>
                <c:pt idx="218">
                  <c:v>42223</c:v>
                </c:pt>
                <c:pt idx="219">
                  <c:v>42224</c:v>
                </c:pt>
                <c:pt idx="220">
                  <c:v>42225</c:v>
                </c:pt>
                <c:pt idx="221">
                  <c:v>42226</c:v>
                </c:pt>
                <c:pt idx="222">
                  <c:v>42227</c:v>
                </c:pt>
                <c:pt idx="223">
                  <c:v>42228</c:v>
                </c:pt>
                <c:pt idx="224">
                  <c:v>42229</c:v>
                </c:pt>
                <c:pt idx="225">
                  <c:v>42230</c:v>
                </c:pt>
                <c:pt idx="226">
                  <c:v>42231</c:v>
                </c:pt>
                <c:pt idx="227">
                  <c:v>42232</c:v>
                </c:pt>
                <c:pt idx="228">
                  <c:v>42233</c:v>
                </c:pt>
                <c:pt idx="229">
                  <c:v>42234</c:v>
                </c:pt>
                <c:pt idx="230">
                  <c:v>42235</c:v>
                </c:pt>
                <c:pt idx="231">
                  <c:v>42236</c:v>
                </c:pt>
                <c:pt idx="232">
                  <c:v>42237</c:v>
                </c:pt>
                <c:pt idx="233">
                  <c:v>42238</c:v>
                </c:pt>
                <c:pt idx="234">
                  <c:v>42239</c:v>
                </c:pt>
                <c:pt idx="235">
                  <c:v>42240</c:v>
                </c:pt>
                <c:pt idx="236">
                  <c:v>42241</c:v>
                </c:pt>
                <c:pt idx="237">
                  <c:v>42242</c:v>
                </c:pt>
                <c:pt idx="238">
                  <c:v>42243</c:v>
                </c:pt>
                <c:pt idx="239">
                  <c:v>42244</c:v>
                </c:pt>
                <c:pt idx="240">
                  <c:v>42245</c:v>
                </c:pt>
                <c:pt idx="241">
                  <c:v>42246</c:v>
                </c:pt>
                <c:pt idx="242">
                  <c:v>42247</c:v>
                </c:pt>
                <c:pt idx="243">
                  <c:v>42248</c:v>
                </c:pt>
                <c:pt idx="244">
                  <c:v>42249</c:v>
                </c:pt>
                <c:pt idx="245">
                  <c:v>42250</c:v>
                </c:pt>
                <c:pt idx="246">
                  <c:v>42251</c:v>
                </c:pt>
                <c:pt idx="247">
                  <c:v>42252</c:v>
                </c:pt>
                <c:pt idx="248">
                  <c:v>42253</c:v>
                </c:pt>
                <c:pt idx="249">
                  <c:v>42254</c:v>
                </c:pt>
                <c:pt idx="250">
                  <c:v>42255</c:v>
                </c:pt>
                <c:pt idx="251">
                  <c:v>42256</c:v>
                </c:pt>
                <c:pt idx="252">
                  <c:v>42257</c:v>
                </c:pt>
                <c:pt idx="253">
                  <c:v>42258</c:v>
                </c:pt>
                <c:pt idx="254">
                  <c:v>42259</c:v>
                </c:pt>
                <c:pt idx="255">
                  <c:v>42260</c:v>
                </c:pt>
                <c:pt idx="256">
                  <c:v>42261</c:v>
                </c:pt>
                <c:pt idx="257">
                  <c:v>42262</c:v>
                </c:pt>
                <c:pt idx="258">
                  <c:v>42263</c:v>
                </c:pt>
                <c:pt idx="259">
                  <c:v>42264</c:v>
                </c:pt>
                <c:pt idx="260">
                  <c:v>42265</c:v>
                </c:pt>
                <c:pt idx="261">
                  <c:v>42266</c:v>
                </c:pt>
                <c:pt idx="262">
                  <c:v>42267</c:v>
                </c:pt>
                <c:pt idx="263">
                  <c:v>42268</c:v>
                </c:pt>
                <c:pt idx="264">
                  <c:v>42269</c:v>
                </c:pt>
                <c:pt idx="265">
                  <c:v>42270</c:v>
                </c:pt>
                <c:pt idx="266">
                  <c:v>42271</c:v>
                </c:pt>
                <c:pt idx="267">
                  <c:v>42272</c:v>
                </c:pt>
                <c:pt idx="268">
                  <c:v>42273</c:v>
                </c:pt>
                <c:pt idx="269">
                  <c:v>42274</c:v>
                </c:pt>
                <c:pt idx="270">
                  <c:v>42275</c:v>
                </c:pt>
                <c:pt idx="271">
                  <c:v>42276</c:v>
                </c:pt>
                <c:pt idx="272">
                  <c:v>42277</c:v>
                </c:pt>
                <c:pt idx="273">
                  <c:v>42278</c:v>
                </c:pt>
                <c:pt idx="274">
                  <c:v>42279</c:v>
                </c:pt>
                <c:pt idx="275">
                  <c:v>42280</c:v>
                </c:pt>
                <c:pt idx="276">
                  <c:v>42281</c:v>
                </c:pt>
                <c:pt idx="277">
                  <c:v>42282</c:v>
                </c:pt>
                <c:pt idx="278">
                  <c:v>42283</c:v>
                </c:pt>
                <c:pt idx="279">
                  <c:v>42284</c:v>
                </c:pt>
                <c:pt idx="280">
                  <c:v>42285</c:v>
                </c:pt>
                <c:pt idx="281">
                  <c:v>42286</c:v>
                </c:pt>
                <c:pt idx="282">
                  <c:v>42287</c:v>
                </c:pt>
                <c:pt idx="283">
                  <c:v>42288</c:v>
                </c:pt>
                <c:pt idx="284">
                  <c:v>42289</c:v>
                </c:pt>
                <c:pt idx="285">
                  <c:v>42290</c:v>
                </c:pt>
                <c:pt idx="286">
                  <c:v>42291</c:v>
                </c:pt>
                <c:pt idx="287">
                  <c:v>42292</c:v>
                </c:pt>
                <c:pt idx="288">
                  <c:v>42293</c:v>
                </c:pt>
                <c:pt idx="289">
                  <c:v>42294</c:v>
                </c:pt>
                <c:pt idx="290">
                  <c:v>42295</c:v>
                </c:pt>
                <c:pt idx="291">
                  <c:v>42296</c:v>
                </c:pt>
                <c:pt idx="292">
                  <c:v>42297</c:v>
                </c:pt>
                <c:pt idx="293">
                  <c:v>42298</c:v>
                </c:pt>
                <c:pt idx="294">
                  <c:v>42299</c:v>
                </c:pt>
                <c:pt idx="295">
                  <c:v>42300</c:v>
                </c:pt>
                <c:pt idx="296">
                  <c:v>42301</c:v>
                </c:pt>
                <c:pt idx="297">
                  <c:v>42302</c:v>
                </c:pt>
                <c:pt idx="298">
                  <c:v>42303</c:v>
                </c:pt>
                <c:pt idx="299">
                  <c:v>42304</c:v>
                </c:pt>
                <c:pt idx="300">
                  <c:v>42305</c:v>
                </c:pt>
                <c:pt idx="301">
                  <c:v>42306</c:v>
                </c:pt>
                <c:pt idx="302">
                  <c:v>42307</c:v>
                </c:pt>
                <c:pt idx="303">
                  <c:v>42308</c:v>
                </c:pt>
                <c:pt idx="304">
                  <c:v>42309</c:v>
                </c:pt>
                <c:pt idx="305">
                  <c:v>42310</c:v>
                </c:pt>
                <c:pt idx="306">
                  <c:v>42311</c:v>
                </c:pt>
                <c:pt idx="307">
                  <c:v>42312</c:v>
                </c:pt>
                <c:pt idx="308">
                  <c:v>42313</c:v>
                </c:pt>
                <c:pt idx="309">
                  <c:v>42314</c:v>
                </c:pt>
                <c:pt idx="310">
                  <c:v>42315</c:v>
                </c:pt>
                <c:pt idx="311">
                  <c:v>42316</c:v>
                </c:pt>
                <c:pt idx="312">
                  <c:v>42317</c:v>
                </c:pt>
                <c:pt idx="313">
                  <c:v>42318</c:v>
                </c:pt>
                <c:pt idx="314">
                  <c:v>42319</c:v>
                </c:pt>
                <c:pt idx="315">
                  <c:v>42320</c:v>
                </c:pt>
                <c:pt idx="316">
                  <c:v>42321</c:v>
                </c:pt>
                <c:pt idx="317">
                  <c:v>42322</c:v>
                </c:pt>
                <c:pt idx="318">
                  <c:v>42323</c:v>
                </c:pt>
                <c:pt idx="319">
                  <c:v>42324</c:v>
                </c:pt>
                <c:pt idx="320">
                  <c:v>42325</c:v>
                </c:pt>
                <c:pt idx="321">
                  <c:v>42326</c:v>
                </c:pt>
                <c:pt idx="322">
                  <c:v>42327</c:v>
                </c:pt>
                <c:pt idx="323">
                  <c:v>42328</c:v>
                </c:pt>
                <c:pt idx="324">
                  <c:v>42329</c:v>
                </c:pt>
                <c:pt idx="325">
                  <c:v>42330</c:v>
                </c:pt>
                <c:pt idx="326">
                  <c:v>42331</c:v>
                </c:pt>
                <c:pt idx="327">
                  <c:v>42332</c:v>
                </c:pt>
                <c:pt idx="328">
                  <c:v>42333</c:v>
                </c:pt>
                <c:pt idx="329">
                  <c:v>42334</c:v>
                </c:pt>
                <c:pt idx="330">
                  <c:v>42335</c:v>
                </c:pt>
                <c:pt idx="331">
                  <c:v>42336</c:v>
                </c:pt>
                <c:pt idx="332">
                  <c:v>42337</c:v>
                </c:pt>
                <c:pt idx="333">
                  <c:v>42338</c:v>
                </c:pt>
                <c:pt idx="334">
                  <c:v>42339</c:v>
                </c:pt>
                <c:pt idx="335">
                  <c:v>42340</c:v>
                </c:pt>
                <c:pt idx="336">
                  <c:v>42341</c:v>
                </c:pt>
                <c:pt idx="337">
                  <c:v>42342</c:v>
                </c:pt>
                <c:pt idx="338">
                  <c:v>42343</c:v>
                </c:pt>
                <c:pt idx="339">
                  <c:v>42344</c:v>
                </c:pt>
                <c:pt idx="340">
                  <c:v>42345</c:v>
                </c:pt>
                <c:pt idx="341">
                  <c:v>42346</c:v>
                </c:pt>
                <c:pt idx="342">
                  <c:v>42347</c:v>
                </c:pt>
                <c:pt idx="343">
                  <c:v>42348</c:v>
                </c:pt>
                <c:pt idx="344">
                  <c:v>42349</c:v>
                </c:pt>
                <c:pt idx="345">
                  <c:v>42350</c:v>
                </c:pt>
                <c:pt idx="346">
                  <c:v>42351</c:v>
                </c:pt>
                <c:pt idx="347">
                  <c:v>42352</c:v>
                </c:pt>
                <c:pt idx="348">
                  <c:v>42353</c:v>
                </c:pt>
                <c:pt idx="349">
                  <c:v>42354</c:v>
                </c:pt>
                <c:pt idx="350">
                  <c:v>42355</c:v>
                </c:pt>
                <c:pt idx="351">
                  <c:v>42356</c:v>
                </c:pt>
                <c:pt idx="352">
                  <c:v>42357</c:v>
                </c:pt>
                <c:pt idx="353">
                  <c:v>42358</c:v>
                </c:pt>
                <c:pt idx="354">
                  <c:v>42359</c:v>
                </c:pt>
                <c:pt idx="355">
                  <c:v>42360</c:v>
                </c:pt>
                <c:pt idx="356">
                  <c:v>42361</c:v>
                </c:pt>
                <c:pt idx="357">
                  <c:v>42362</c:v>
                </c:pt>
                <c:pt idx="358">
                  <c:v>42363</c:v>
                </c:pt>
                <c:pt idx="359">
                  <c:v>42364</c:v>
                </c:pt>
                <c:pt idx="360">
                  <c:v>42365</c:v>
                </c:pt>
                <c:pt idx="361">
                  <c:v>42366</c:v>
                </c:pt>
                <c:pt idx="362">
                  <c:v>42367</c:v>
                </c:pt>
                <c:pt idx="363">
                  <c:v>42368</c:v>
                </c:pt>
                <c:pt idx="364">
                  <c:v>42369</c:v>
                </c:pt>
                <c:pt idx="365">
                  <c:v>42370</c:v>
                </c:pt>
                <c:pt idx="366">
                  <c:v>42371</c:v>
                </c:pt>
                <c:pt idx="367">
                  <c:v>42372</c:v>
                </c:pt>
                <c:pt idx="368">
                  <c:v>42373</c:v>
                </c:pt>
                <c:pt idx="369">
                  <c:v>42374</c:v>
                </c:pt>
                <c:pt idx="370">
                  <c:v>42375</c:v>
                </c:pt>
                <c:pt idx="371">
                  <c:v>42376</c:v>
                </c:pt>
                <c:pt idx="372">
                  <c:v>42377</c:v>
                </c:pt>
                <c:pt idx="373">
                  <c:v>42378</c:v>
                </c:pt>
                <c:pt idx="374">
                  <c:v>42379</c:v>
                </c:pt>
                <c:pt idx="375">
                  <c:v>42380</c:v>
                </c:pt>
                <c:pt idx="376">
                  <c:v>42381</c:v>
                </c:pt>
                <c:pt idx="377">
                  <c:v>42382</c:v>
                </c:pt>
                <c:pt idx="378">
                  <c:v>42383</c:v>
                </c:pt>
                <c:pt idx="379">
                  <c:v>42384</c:v>
                </c:pt>
                <c:pt idx="380">
                  <c:v>42385</c:v>
                </c:pt>
                <c:pt idx="381">
                  <c:v>42386</c:v>
                </c:pt>
                <c:pt idx="382">
                  <c:v>42387</c:v>
                </c:pt>
                <c:pt idx="383">
                  <c:v>42388</c:v>
                </c:pt>
                <c:pt idx="384">
                  <c:v>42389</c:v>
                </c:pt>
                <c:pt idx="385">
                  <c:v>42390</c:v>
                </c:pt>
                <c:pt idx="386">
                  <c:v>42391</c:v>
                </c:pt>
                <c:pt idx="387">
                  <c:v>42392</c:v>
                </c:pt>
                <c:pt idx="388">
                  <c:v>42393</c:v>
                </c:pt>
                <c:pt idx="389">
                  <c:v>42394</c:v>
                </c:pt>
                <c:pt idx="390">
                  <c:v>42395</c:v>
                </c:pt>
                <c:pt idx="391">
                  <c:v>42396</c:v>
                </c:pt>
                <c:pt idx="392">
                  <c:v>42397</c:v>
                </c:pt>
                <c:pt idx="393">
                  <c:v>42398</c:v>
                </c:pt>
                <c:pt idx="394">
                  <c:v>42399</c:v>
                </c:pt>
                <c:pt idx="395">
                  <c:v>42400</c:v>
                </c:pt>
                <c:pt idx="396">
                  <c:v>42401</c:v>
                </c:pt>
                <c:pt idx="397">
                  <c:v>42402</c:v>
                </c:pt>
                <c:pt idx="398">
                  <c:v>42403</c:v>
                </c:pt>
                <c:pt idx="399">
                  <c:v>42404</c:v>
                </c:pt>
                <c:pt idx="400">
                  <c:v>42405</c:v>
                </c:pt>
                <c:pt idx="401">
                  <c:v>42406</c:v>
                </c:pt>
                <c:pt idx="402">
                  <c:v>42407</c:v>
                </c:pt>
                <c:pt idx="403">
                  <c:v>42408</c:v>
                </c:pt>
                <c:pt idx="404">
                  <c:v>42409</c:v>
                </c:pt>
                <c:pt idx="405">
                  <c:v>42410</c:v>
                </c:pt>
                <c:pt idx="406">
                  <c:v>42411</c:v>
                </c:pt>
                <c:pt idx="407">
                  <c:v>42412</c:v>
                </c:pt>
                <c:pt idx="408">
                  <c:v>42413</c:v>
                </c:pt>
                <c:pt idx="409">
                  <c:v>42414</c:v>
                </c:pt>
                <c:pt idx="410">
                  <c:v>42415</c:v>
                </c:pt>
                <c:pt idx="411">
                  <c:v>42416</c:v>
                </c:pt>
                <c:pt idx="412">
                  <c:v>42417</c:v>
                </c:pt>
                <c:pt idx="413">
                  <c:v>42418</c:v>
                </c:pt>
                <c:pt idx="414">
                  <c:v>42419</c:v>
                </c:pt>
                <c:pt idx="415">
                  <c:v>42420</c:v>
                </c:pt>
                <c:pt idx="416">
                  <c:v>42421</c:v>
                </c:pt>
                <c:pt idx="417">
                  <c:v>42422</c:v>
                </c:pt>
                <c:pt idx="418">
                  <c:v>42423</c:v>
                </c:pt>
                <c:pt idx="419">
                  <c:v>42424</c:v>
                </c:pt>
                <c:pt idx="420">
                  <c:v>42425</c:v>
                </c:pt>
                <c:pt idx="421">
                  <c:v>42426</c:v>
                </c:pt>
                <c:pt idx="422">
                  <c:v>42427</c:v>
                </c:pt>
                <c:pt idx="423">
                  <c:v>42428</c:v>
                </c:pt>
                <c:pt idx="424">
                  <c:v>42429</c:v>
                </c:pt>
                <c:pt idx="425">
                  <c:v>42430</c:v>
                </c:pt>
                <c:pt idx="426">
                  <c:v>42431</c:v>
                </c:pt>
                <c:pt idx="427">
                  <c:v>42432</c:v>
                </c:pt>
                <c:pt idx="428">
                  <c:v>42433</c:v>
                </c:pt>
                <c:pt idx="429">
                  <c:v>42434</c:v>
                </c:pt>
                <c:pt idx="430">
                  <c:v>42435</c:v>
                </c:pt>
                <c:pt idx="431">
                  <c:v>42436</c:v>
                </c:pt>
                <c:pt idx="432">
                  <c:v>42437</c:v>
                </c:pt>
                <c:pt idx="433">
                  <c:v>42438</c:v>
                </c:pt>
                <c:pt idx="434">
                  <c:v>42439</c:v>
                </c:pt>
                <c:pt idx="435">
                  <c:v>42440</c:v>
                </c:pt>
                <c:pt idx="436">
                  <c:v>42441</c:v>
                </c:pt>
                <c:pt idx="437">
                  <c:v>42442</c:v>
                </c:pt>
                <c:pt idx="438">
                  <c:v>42443</c:v>
                </c:pt>
                <c:pt idx="439">
                  <c:v>42444</c:v>
                </c:pt>
                <c:pt idx="440">
                  <c:v>42445</c:v>
                </c:pt>
                <c:pt idx="441">
                  <c:v>42446</c:v>
                </c:pt>
                <c:pt idx="442">
                  <c:v>42447</c:v>
                </c:pt>
                <c:pt idx="443">
                  <c:v>42448</c:v>
                </c:pt>
                <c:pt idx="444">
                  <c:v>42449</c:v>
                </c:pt>
                <c:pt idx="445">
                  <c:v>42450</c:v>
                </c:pt>
                <c:pt idx="446">
                  <c:v>42451</c:v>
                </c:pt>
                <c:pt idx="447">
                  <c:v>42452</c:v>
                </c:pt>
                <c:pt idx="448">
                  <c:v>42453</c:v>
                </c:pt>
                <c:pt idx="449">
                  <c:v>42454</c:v>
                </c:pt>
                <c:pt idx="450">
                  <c:v>42455</c:v>
                </c:pt>
                <c:pt idx="451">
                  <c:v>42456</c:v>
                </c:pt>
                <c:pt idx="452">
                  <c:v>42457</c:v>
                </c:pt>
                <c:pt idx="453">
                  <c:v>42458</c:v>
                </c:pt>
                <c:pt idx="454">
                  <c:v>42459</c:v>
                </c:pt>
                <c:pt idx="455">
                  <c:v>42460</c:v>
                </c:pt>
                <c:pt idx="456">
                  <c:v>42461</c:v>
                </c:pt>
                <c:pt idx="457">
                  <c:v>42462</c:v>
                </c:pt>
                <c:pt idx="458">
                  <c:v>42463</c:v>
                </c:pt>
                <c:pt idx="459">
                  <c:v>42464</c:v>
                </c:pt>
                <c:pt idx="460">
                  <c:v>42465</c:v>
                </c:pt>
                <c:pt idx="461">
                  <c:v>42466</c:v>
                </c:pt>
                <c:pt idx="462">
                  <c:v>42467</c:v>
                </c:pt>
                <c:pt idx="463">
                  <c:v>42468</c:v>
                </c:pt>
                <c:pt idx="464">
                  <c:v>42469</c:v>
                </c:pt>
                <c:pt idx="465">
                  <c:v>42470</c:v>
                </c:pt>
                <c:pt idx="466">
                  <c:v>42471</c:v>
                </c:pt>
                <c:pt idx="467">
                  <c:v>42472</c:v>
                </c:pt>
                <c:pt idx="468">
                  <c:v>42473</c:v>
                </c:pt>
                <c:pt idx="469">
                  <c:v>42474</c:v>
                </c:pt>
                <c:pt idx="470">
                  <c:v>42475</c:v>
                </c:pt>
                <c:pt idx="471">
                  <c:v>42476</c:v>
                </c:pt>
                <c:pt idx="472">
                  <c:v>42477</c:v>
                </c:pt>
                <c:pt idx="473">
                  <c:v>42478</c:v>
                </c:pt>
                <c:pt idx="474">
                  <c:v>42479</c:v>
                </c:pt>
                <c:pt idx="475">
                  <c:v>42480</c:v>
                </c:pt>
                <c:pt idx="476">
                  <c:v>42481</c:v>
                </c:pt>
                <c:pt idx="477">
                  <c:v>42482</c:v>
                </c:pt>
                <c:pt idx="478">
                  <c:v>42483</c:v>
                </c:pt>
                <c:pt idx="479">
                  <c:v>42484</c:v>
                </c:pt>
                <c:pt idx="480">
                  <c:v>42485</c:v>
                </c:pt>
                <c:pt idx="481">
                  <c:v>42486</c:v>
                </c:pt>
                <c:pt idx="482">
                  <c:v>42487</c:v>
                </c:pt>
                <c:pt idx="483">
                  <c:v>42488</c:v>
                </c:pt>
                <c:pt idx="484">
                  <c:v>42489</c:v>
                </c:pt>
                <c:pt idx="485">
                  <c:v>42490</c:v>
                </c:pt>
                <c:pt idx="486">
                  <c:v>42491</c:v>
                </c:pt>
                <c:pt idx="487">
                  <c:v>42492</c:v>
                </c:pt>
                <c:pt idx="488">
                  <c:v>42493</c:v>
                </c:pt>
                <c:pt idx="489">
                  <c:v>42494</c:v>
                </c:pt>
                <c:pt idx="490">
                  <c:v>42495</c:v>
                </c:pt>
                <c:pt idx="491">
                  <c:v>42496</c:v>
                </c:pt>
                <c:pt idx="492">
                  <c:v>42497</c:v>
                </c:pt>
                <c:pt idx="493">
                  <c:v>42498</c:v>
                </c:pt>
                <c:pt idx="494">
                  <c:v>42499</c:v>
                </c:pt>
                <c:pt idx="495">
                  <c:v>42500</c:v>
                </c:pt>
                <c:pt idx="496">
                  <c:v>42501</c:v>
                </c:pt>
                <c:pt idx="497">
                  <c:v>42502</c:v>
                </c:pt>
                <c:pt idx="498">
                  <c:v>42503</c:v>
                </c:pt>
                <c:pt idx="499">
                  <c:v>42504</c:v>
                </c:pt>
                <c:pt idx="500">
                  <c:v>42505</c:v>
                </c:pt>
                <c:pt idx="501">
                  <c:v>42506</c:v>
                </c:pt>
                <c:pt idx="502">
                  <c:v>42507</c:v>
                </c:pt>
                <c:pt idx="503">
                  <c:v>42508</c:v>
                </c:pt>
                <c:pt idx="504">
                  <c:v>42509</c:v>
                </c:pt>
                <c:pt idx="505">
                  <c:v>42510</c:v>
                </c:pt>
                <c:pt idx="506">
                  <c:v>42511</c:v>
                </c:pt>
                <c:pt idx="507">
                  <c:v>42512</c:v>
                </c:pt>
                <c:pt idx="508">
                  <c:v>42513</c:v>
                </c:pt>
                <c:pt idx="509">
                  <c:v>42514</c:v>
                </c:pt>
                <c:pt idx="510">
                  <c:v>42515</c:v>
                </c:pt>
                <c:pt idx="511">
                  <c:v>42516</c:v>
                </c:pt>
                <c:pt idx="512">
                  <c:v>42517</c:v>
                </c:pt>
                <c:pt idx="513">
                  <c:v>42518</c:v>
                </c:pt>
                <c:pt idx="514">
                  <c:v>42519</c:v>
                </c:pt>
                <c:pt idx="515">
                  <c:v>42520</c:v>
                </c:pt>
                <c:pt idx="516">
                  <c:v>42521</c:v>
                </c:pt>
                <c:pt idx="517">
                  <c:v>42522</c:v>
                </c:pt>
                <c:pt idx="518">
                  <c:v>42523</c:v>
                </c:pt>
                <c:pt idx="519">
                  <c:v>42524</c:v>
                </c:pt>
                <c:pt idx="520">
                  <c:v>42525</c:v>
                </c:pt>
                <c:pt idx="521">
                  <c:v>42526</c:v>
                </c:pt>
                <c:pt idx="522">
                  <c:v>42527</c:v>
                </c:pt>
                <c:pt idx="523">
                  <c:v>42528</c:v>
                </c:pt>
                <c:pt idx="524">
                  <c:v>42529</c:v>
                </c:pt>
                <c:pt idx="525">
                  <c:v>42530</c:v>
                </c:pt>
                <c:pt idx="526">
                  <c:v>42531</c:v>
                </c:pt>
                <c:pt idx="527">
                  <c:v>42532</c:v>
                </c:pt>
                <c:pt idx="528">
                  <c:v>42533</c:v>
                </c:pt>
                <c:pt idx="529">
                  <c:v>42534</c:v>
                </c:pt>
                <c:pt idx="530">
                  <c:v>42535</c:v>
                </c:pt>
                <c:pt idx="531">
                  <c:v>42536</c:v>
                </c:pt>
                <c:pt idx="532">
                  <c:v>42537</c:v>
                </c:pt>
                <c:pt idx="533">
                  <c:v>42538</c:v>
                </c:pt>
                <c:pt idx="534">
                  <c:v>42539</c:v>
                </c:pt>
                <c:pt idx="535">
                  <c:v>42540</c:v>
                </c:pt>
                <c:pt idx="536">
                  <c:v>42541</c:v>
                </c:pt>
                <c:pt idx="537">
                  <c:v>42542</c:v>
                </c:pt>
                <c:pt idx="538">
                  <c:v>42543</c:v>
                </c:pt>
                <c:pt idx="539">
                  <c:v>42544</c:v>
                </c:pt>
                <c:pt idx="540">
                  <c:v>42545</c:v>
                </c:pt>
                <c:pt idx="541">
                  <c:v>42546</c:v>
                </c:pt>
                <c:pt idx="542">
                  <c:v>42547</c:v>
                </c:pt>
                <c:pt idx="543">
                  <c:v>42548</c:v>
                </c:pt>
                <c:pt idx="544">
                  <c:v>42549</c:v>
                </c:pt>
                <c:pt idx="545">
                  <c:v>42550</c:v>
                </c:pt>
                <c:pt idx="546">
                  <c:v>42551</c:v>
                </c:pt>
                <c:pt idx="547">
                  <c:v>42552</c:v>
                </c:pt>
                <c:pt idx="548">
                  <c:v>42553</c:v>
                </c:pt>
                <c:pt idx="549">
                  <c:v>42554</c:v>
                </c:pt>
                <c:pt idx="550">
                  <c:v>42555</c:v>
                </c:pt>
                <c:pt idx="551">
                  <c:v>42556</c:v>
                </c:pt>
                <c:pt idx="552">
                  <c:v>42557</c:v>
                </c:pt>
                <c:pt idx="553">
                  <c:v>42558</c:v>
                </c:pt>
                <c:pt idx="554">
                  <c:v>42559</c:v>
                </c:pt>
                <c:pt idx="555">
                  <c:v>42560</c:v>
                </c:pt>
                <c:pt idx="556">
                  <c:v>42561</c:v>
                </c:pt>
                <c:pt idx="557">
                  <c:v>42562</c:v>
                </c:pt>
                <c:pt idx="558">
                  <c:v>42563</c:v>
                </c:pt>
                <c:pt idx="559">
                  <c:v>42564</c:v>
                </c:pt>
                <c:pt idx="560">
                  <c:v>42565</c:v>
                </c:pt>
                <c:pt idx="561">
                  <c:v>42566</c:v>
                </c:pt>
                <c:pt idx="562">
                  <c:v>42567</c:v>
                </c:pt>
                <c:pt idx="563">
                  <c:v>42568</c:v>
                </c:pt>
                <c:pt idx="564">
                  <c:v>42569</c:v>
                </c:pt>
                <c:pt idx="565">
                  <c:v>42570</c:v>
                </c:pt>
                <c:pt idx="566">
                  <c:v>42571</c:v>
                </c:pt>
                <c:pt idx="567">
                  <c:v>42572</c:v>
                </c:pt>
                <c:pt idx="568">
                  <c:v>42573</c:v>
                </c:pt>
                <c:pt idx="569">
                  <c:v>42574</c:v>
                </c:pt>
                <c:pt idx="570">
                  <c:v>42575</c:v>
                </c:pt>
                <c:pt idx="571">
                  <c:v>42576</c:v>
                </c:pt>
                <c:pt idx="572">
                  <c:v>42577</c:v>
                </c:pt>
                <c:pt idx="573">
                  <c:v>42578</c:v>
                </c:pt>
                <c:pt idx="574">
                  <c:v>42579</c:v>
                </c:pt>
                <c:pt idx="575">
                  <c:v>42580</c:v>
                </c:pt>
                <c:pt idx="576">
                  <c:v>42581</c:v>
                </c:pt>
                <c:pt idx="577">
                  <c:v>42582</c:v>
                </c:pt>
                <c:pt idx="578">
                  <c:v>42583</c:v>
                </c:pt>
                <c:pt idx="579">
                  <c:v>42584</c:v>
                </c:pt>
                <c:pt idx="580">
                  <c:v>42585</c:v>
                </c:pt>
                <c:pt idx="581">
                  <c:v>42586</c:v>
                </c:pt>
                <c:pt idx="582">
                  <c:v>42587</c:v>
                </c:pt>
                <c:pt idx="583">
                  <c:v>42588</c:v>
                </c:pt>
                <c:pt idx="584">
                  <c:v>42589</c:v>
                </c:pt>
                <c:pt idx="585">
                  <c:v>42590</c:v>
                </c:pt>
                <c:pt idx="586">
                  <c:v>42591</c:v>
                </c:pt>
                <c:pt idx="587">
                  <c:v>42592</c:v>
                </c:pt>
                <c:pt idx="588">
                  <c:v>42593</c:v>
                </c:pt>
                <c:pt idx="589">
                  <c:v>42594</c:v>
                </c:pt>
                <c:pt idx="590">
                  <c:v>42595</c:v>
                </c:pt>
                <c:pt idx="591">
                  <c:v>42596</c:v>
                </c:pt>
                <c:pt idx="592">
                  <c:v>42597</c:v>
                </c:pt>
                <c:pt idx="593">
                  <c:v>42598</c:v>
                </c:pt>
                <c:pt idx="594">
                  <c:v>42599</c:v>
                </c:pt>
                <c:pt idx="595">
                  <c:v>42600</c:v>
                </c:pt>
                <c:pt idx="596">
                  <c:v>42601</c:v>
                </c:pt>
                <c:pt idx="597">
                  <c:v>42602</c:v>
                </c:pt>
                <c:pt idx="598">
                  <c:v>42603</c:v>
                </c:pt>
                <c:pt idx="599">
                  <c:v>42604</c:v>
                </c:pt>
                <c:pt idx="600">
                  <c:v>42605</c:v>
                </c:pt>
                <c:pt idx="601">
                  <c:v>42606</c:v>
                </c:pt>
                <c:pt idx="602">
                  <c:v>42607</c:v>
                </c:pt>
                <c:pt idx="603">
                  <c:v>42608</c:v>
                </c:pt>
                <c:pt idx="604">
                  <c:v>42609</c:v>
                </c:pt>
                <c:pt idx="605">
                  <c:v>42610</c:v>
                </c:pt>
                <c:pt idx="606">
                  <c:v>42611</c:v>
                </c:pt>
                <c:pt idx="607">
                  <c:v>42612</c:v>
                </c:pt>
                <c:pt idx="608">
                  <c:v>42613</c:v>
                </c:pt>
                <c:pt idx="609">
                  <c:v>42614</c:v>
                </c:pt>
                <c:pt idx="610">
                  <c:v>42615</c:v>
                </c:pt>
                <c:pt idx="611">
                  <c:v>42616</c:v>
                </c:pt>
                <c:pt idx="612">
                  <c:v>42617</c:v>
                </c:pt>
                <c:pt idx="613">
                  <c:v>42618</c:v>
                </c:pt>
                <c:pt idx="614">
                  <c:v>42619</c:v>
                </c:pt>
                <c:pt idx="615">
                  <c:v>42620</c:v>
                </c:pt>
                <c:pt idx="616">
                  <c:v>42621</c:v>
                </c:pt>
                <c:pt idx="617">
                  <c:v>42622</c:v>
                </c:pt>
                <c:pt idx="618">
                  <c:v>42623</c:v>
                </c:pt>
                <c:pt idx="619">
                  <c:v>42624</c:v>
                </c:pt>
                <c:pt idx="620">
                  <c:v>42625</c:v>
                </c:pt>
                <c:pt idx="621">
                  <c:v>42626</c:v>
                </c:pt>
                <c:pt idx="622">
                  <c:v>42627</c:v>
                </c:pt>
                <c:pt idx="623">
                  <c:v>42628</c:v>
                </c:pt>
                <c:pt idx="624">
                  <c:v>42629</c:v>
                </c:pt>
                <c:pt idx="625">
                  <c:v>42630</c:v>
                </c:pt>
                <c:pt idx="626">
                  <c:v>42631</c:v>
                </c:pt>
                <c:pt idx="627">
                  <c:v>42632</c:v>
                </c:pt>
                <c:pt idx="628">
                  <c:v>42633</c:v>
                </c:pt>
                <c:pt idx="629">
                  <c:v>42634</c:v>
                </c:pt>
                <c:pt idx="630">
                  <c:v>42635</c:v>
                </c:pt>
                <c:pt idx="631">
                  <c:v>42636</c:v>
                </c:pt>
                <c:pt idx="632">
                  <c:v>42637</c:v>
                </c:pt>
                <c:pt idx="633">
                  <c:v>42638</c:v>
                </c:pt>
                <c:pt idx="634">
                  <c:v>42639</c:v>
                </c:pt>
                <c:pt idx="635">
                  <c:v>42640</c:v>
                </c:pt>
                <c:pt idx="636">
                  <c:v>42641</c:v>
                </c:pt>
                <c:pt idx="637">
                  <c:v>42642</c:v>
                </c:pt>
                <c:pt idx="638">
                  <c:v>42643</c:v>
                </c:pt>
                <c:pt idx="639">
                  <c:v>42644</c:v>
                </c:pt>
                <c:pt idx="640">
                  <c:v>42645</c:v>
                </c:pt>
                <c:pt idx="641">
                  <c:v>42646</c:v>
                </c:pt>
                <c:pt idx="642">
                  <c:v>42647</c:v>
                </c:pt>
                <c:pt idx="643">
                  <c:v>42648</c:v>
                </c:pt>
                <c:pt idx="644">
                  <c:v>42649</c:v>
                </c:pt>
                <c:pt idx="645">
                  <c:v>42650</c:v>
                </c:pt>
                <c:pt idx="646">
                  <c:v>42651</c:v>
                </c:pt>
                <c:pt idx="647">
                  <c:v>42652</c:v>
                </c:pt>
                <c:pt idx="648">
                  <c:v>42653</c:v>
                </c:pt>
                <c:pt idx="649">
                  <c:v>42654</c:v>
                </c:pt>
                <c:pt idx="650">
                  <c:v>42655</c:v>
                </c:pt>
                <c:pt idx="651">
                  <c:v>42656</c:v>
                </c:pt>
                <c:pt idx="652">
                  <c:v>42657</c:v>
                </c:pt>
                <c:pt idx="653">
                  <c:v>42658</c:v>
                </c:pt>
                <c:pt idx="654">
                  <c:v>42659</c:v>
                </c:pt>
                <c:pt idx="655">
                  <c:v>42660</c:v>
                </c:pt>
                <c:pt idx="656">
                  <c:v>42661</c:v>
                </c:pt>
                <c:pt idx="657">
                  <c:v>42662</c:v>
                </c:pt>
                <c:pt idx="658">
                  <c:v>42663</c:v>
                </c:pt>
                <c:pt idx="659">
                  <c:v>42664</c:v>
                </c:pt>
                <c:pt idx="660">
                  <c:v>42665</c:v>
                </c:pt>
                <c:pt idx="661">
                  <c:v>42666</c:v>
                </c:pt>
                <c:pt idx="662">
                  <c:v>42667</c:v>
                </c:pt>
                <c:pt idx="663">
                  <c:v>42668</c:v>
                </c:pt>
                <c:pt idx="664">
                  <c:v>42669</c:v>
                </c:pt>
                <c:pt idx="665">
                  <c:v>42670</c:v>
                </c:pt>
                <c:pt idx="666">
                  <c:v>42671</c:v>
                </c:pt>
                <c:pt idx="667">
                  <c:v>42672</c:v>
                </c:pt>
                <c:pt idx="668">
                  <c:v>42673</c:v>
                </c:pt>
                <c:pt idx="669">
                  <c:v>42674</c:v>
                </c:pt>
                <c:pt idx="670">
                  <c:v>42675</c:v>
                </c:pt>
                <c:pt idx="671">
                  <c:v>42676</c:v>
                </c:pt>
                <c:pt idx="672">
                  <c:v>42677</c:v>
                </c:pt>
                <c:pt idx="673">
                  <c:v>42678</c:v>
                </c:pt>
                <c:pt idx="674">
                  <c:v>42679</c:v>
                </c:pt>
                <c:pt idx="675">
                  <c:v>42680</c:v>
                </c:pt>
                <c:pt idx="676">
                  <c:v>42681</c:v>
                </c:pt>
                <c:pt idx="677">
                  <c:v>42682</c:v>
                </c:pt>
                <c:pt idx="678">
                  <c:v>42683</c:v>
                </c:pt>
                <c:pt idx="679">
                  <c:v>42684</c:v>
                </c:pt>
                <c:pt idx="680">
                  <c:v>42685</c:v>
                </c:pt>
                <c:pt idx="681">
                  <c:v>42686</c:v>
                </c:pt>
                <c:pt idx="682">
                  <c:v>42687</c:v>
                </c:pt>
                <c:pt idx="683">
                  <c:v>42688</c:v>
                </c:pt>
                <c:pt idx="684">
                  <c:v>42689</c:v>
                </c:pt>
                <c:pt idx="685">
                  <c:v>42690</c:v>
                </c:pt>
                <c:pt idx="686">
                  <c:v>42691</c:v>
                </c:pt>
                <c:pt idx="687">
                  <c:v>42692</c:v>
                </c:pt>
                <c:pt idx="688">
                  <c:v>42693</c:v>
                </c:pt>
                <c:pt idx="689">
                  <c:v>42694</c:v>
                </c:pt>
                <c:pt idx="690">
                  <c:v>42695</c:v>
                </c:pt>
                <c:pt idx="691">
                  <c:v>42696</c:v>
                </c:pt>
                <c:pt idx="692">
                  <c:v>42697</c:v>
                </c:pt>
                <c:pt idx="693">
                  <c:v>42698</c:v>
                </c:pt>
                <c:pt idx="694">
                  <c:v>42699</c:v>
                </c:pt>
                <c:pt idx="695">
                  <c:v>42700</c:v>
                </c:pt>
                <c:pt idx="696">
                  <c:v>42701</c:v>
                </c:pt>
                <c:pt idx="697">
                  <c:v>42702</c:v>
                </c:pt>
                <c:pt idx="698">
                  <c:v>42703</c:v>
                </c:pt>
                <c:pt idx="699">
                  <c:v>42704</c:v>
                </c:pt>
                <c:pt idx="700">
                  <c:v>42705</c:v>
                </c:pt>
                <c:pt idx="701">
                  <c:v>42706</c:v>
                </c:pt>
                <c:pt idx="702">
                  <c:v>42707</c:v>
                </c:pt>
                <c:pt idx="703">
                  <c:v>42708</c:v>
                </c:pt>
                <c:pt idx="704">
                  <c:v>42709</c:v>
                </c:pt>
                <c:pt idx="705">
                  <c:v>42710</c:v>
                </c:pt>
                <c:pt idx="706">
                  <c:v>42711</c:v>
                </c:pt>
                <c:pt idx="707">
                  <c:v>42712</c:v>
                </c:pt>
                <c:pt idx="708">
                  <c:v>42713</c:v>
                </c:pt>
                <c:pt idx="709">
                  <c:v>42714</c:v>
                </c:pt>
                <c:pt idx="710">
                  <c:v>42715</c:v>
                </c:pt>
                <c:pt idx="711">
                  <c:v>42716</c:v>
                </c:pt>
                <c:pt idx="712">
                  <c:v>42717</c:v>
                </c:pt>
                <c:pt idx="713">
                  <c:v>42718</c:v>
                </c:pt>
                <c:pt idx="714">
                  <c:v>42719</c:v>
                </c:pt>
                <c:pt idx="715">
                  <c:v>42720</c:v>
                </c:pt>
                <c:pt idx="716">
                  <c:v>42721</c:v>
                </c:pt>
                <c:pt idx="717">
                  <c:v>42722</c:v>
                </c:pt>
                <c:pt idx="718">
                  <c:v>42723</c:v>
                </c:pt>
                <c:pt idx="719">
                  <c:v>42724</c:v>
                </c:pt>
                <c:pt idx="720">
                  <c:v>42725</c:v>
                </c:pt>
                <c:pt idx="721">
                  <c:v>42726</c:v>
                </c:pt>
                <c:pt idx="722">
                  <c:v>42727</c:v>
                </c:pt>
                <c:pt idx="723">
                  <c:v>42728</c:v>
                </c:pt>
                <c:pt idx="724">
                  <c:v>42729</c:v>
                </c:pt>
                <c:pt idx="725">
                  <c:v>42730</c:v>
                </c:pt>
                <c:pt idx="726">
                  <c:v>42731</c:v>
                </c:pt>
                <c:pt idx="727">
                  <c:v>42732</c:v>
                </c:pt>
                <c:pt idx="728">
                  <c:v>42733</c:v>
                </c:pt>
                <c:pt idx="729">
                  <c:v>42734</c:v>
                </c:pt>
                <c:pt idx="730">
                  <c:v>42735</c:v>
                </c:pt>
                <c:pt idx="731">
                  <c:v>42736</c:v>
                </c:pt>
                <c:pt idx="732">
                  <c:v>42737</c:v>
                </c:pt>
                <c:pt idx="733">
                  <c:v>42738</c:v>
                </c:pt>
                <c:pt idx="734">
                  <c:v>42739</c:v>
                </c:pt>
                <c:pt idx="735">
                  <c:v>42740</c:v>
                </c:pt>
                <c:pt idx="736">
                  <c:v>42741</c:v>
                </c:pt>
                <c:pt idx="737">
                  <c:v>42742</c:v>
                </c:pt>
                <c:pt idx="738">
                  <c:v>42743</c:v>
                </c:pt>
                <c:pt idx="739">
                  <c:v>42744</c:v>
                </c:pt>
                <c:pt idx="740">
                  <c:v>42745</c:v>
                </c:pt>
                <c:pt idx="741">
                  <c:v>42746</c:v>
                </c:pt>
                <c:pt idx="742">
                  <c:v>42747</c:v>
                </c:pt>
                <c:pt idx="743">
                  <c:v>42748</c:v>
                </c:pt>
                <c:pt idx="744">
                  <c:v>42749</c:v>
                </c:pt>
                <c:pt idx="745">
                  <c:v>42750</c:v>
                </c:pt>
                <c:pt idx="746">
                  <c:v>42751</c:v>
                </c:pt>
                <c:pt idx="747">
                  <c:v>42752</c:v>
                </c:pt>
                <c:pt idx="748">
                  <c:v>42753</c:v>
                </c:pt>
                <c:pt idx="749">
                  <c:v>42754</c:v>
                </c:pt>
                <c:pt idx="750">
                  <c:v>42755</c:v>
                </c:pt>
                <c:pt idx="751">
                  <c:v>42756</c:v>
                </c:pt>
                <c:pt idx="752">
                  <c:v>42757</c:v>
                </c:pt>
                <c:pt idx="753">
                  <c:v>42758</c:v>
                </c:pt>
                <c:pt idx="754">
                  <c:v>42759</c:v>
                </c:pt>
                <c:pt idx="755">
                  <c:v>42760</c:v>
                </c:pt>
                <c:pt idx="756">
                  <c:v>42761</c:v>
                </c:pt>
                <c:pt idx="757">
                  <c:v>42762</c:v>
                </c:pt>
                <c:pt idx="758">
                  <c:v>42763</c:v>
                </c:pt>
                <c:pt idx="759">
                  <c:v>42764</c:v>
                </c:pt>
                <c:pt idx="760">
                  <c:v>42765</c:v>
                </c:pt>
                <c:pt idx="761">
                  <c:v>42766</c:v>
                </c:pt>
                <c:pt idx="762">
                  <c:v>42767</c:v>
                </c:pt>
                <c:pt idx="763">
                  <c:v>42768</c:v>
                </c:pt>
                <c:pt idx="764">
                  <c:v>42769</c:v>
                </c:pt>
                <c:pt idx="765">
                  <c:v>42770</c:v>
                </c:pt>
                <c:pt idx="766">
                  <c:v>42771</c:v>
                </c:pt>
                <c:pt idx="767">
                  <c:v>42772</c:v>
                </c:pt>
                <c:pt idx="768">
                  <c:v>42773</c:v>
                </c:pt>
                <c:pt idx="769">
                  <c:v>42774</c:v>
                </c:pt>
                <c:pt idx="770">
                  <c:v>42775</c:v>
                </c:pt>
                <c:pt idx="771">
                  <c:v>42776</c:v>
                </c:pt>
                <c:pt idx="772">
                  <c:v>42777</c:v>
                </c:pt>
                <c:pt idx="773">
                  <c:v>42778</c:v>
                </c:pt>
                <c:pt idx="774">
                  <c:v>42779</c:v>
                </c:pt>
                <c:pt idx="775">
                  <c:v>42780</c:v>
                </c:pt>
                <c:pt idx="776">
                  <c:v>42781</c:v>
                </c:pt>
                <c:pt idx="777">
                  <c:v>42782</c:v>
                </c:pt>
                <c:pt idx="778">
                  <c:v>42783</c:v>
                </c:pt>
                <c:pt idx="779">
                  <c:v>42784</c:v>
                </c:pt>
                <c:pt idx="780">
                  <c:v>42785</c:v>
                </c:pt>
                <c:pt idx="781">
                  <c:v>42786</c:v>
                </c:pt>
                <c:pt idx="782">
                  <c:v>42787</c:v>
                </c:pt>
                <c:pt idx="783">
                  <c:v>42788</c:v>
                </c:pt>
                <c:pt idx="784">
                  <c:v>42789</c:v>
                </c:pt>
                <c:pt idx="785">
                  <c:v>42790</c:v>
                </c:pt>
                <c:pt idx="786">
                  <c:v>42791</c:v>
                </c:pt>
                <c:pt idx="787">
                  <c:v>42792</c:v>
                </c:pt>
                <c:pt idx="788">
                  <c:v>42793</c:v>
                </c:pt>
                <c:pt idx="789">
                  <c:v>42794</c:v>
                </c:pt>
                <c:pt idx="790">
                  <c:v>42795</c:v>
                </c:pt>
                <c:pt idx="791">
                  <c:v>42796</c:v>
                </c:pt>
                <c:pt idx="792">
                  <c:v>42797</c:v>
                </c:pt>
                <c:pt idx="793">
                  <c:v>42798</c:v>
                </c:pt>
                <c:pt idx="794">
                  <c:v>42799</c:v>
                </c:pt>
                <c:pt idx="795">
                  <c:v>42800</c:v>
                </c:pt>
                <c:pt idx="796">
                  <c:v>42801</c:v>
                </c:pt>
                <c:pt idx="797">
                  <c:v>42802</c:v>
                </c:pt>
                <c:pt idx="798">
                  <c:v>42803</c:v>
                </c:pt>
                <c:pt idx="799">
                  <c:v>42804</c:v>
                </c:pt>
                <c:pt idx="800">
                  <c:v>42805</c:v>
                </c:pt>
                <c:pt idx="801">
                  <c:v>42806</c:v>
                </c:pt>
                <c:pt idx="802">
                  <c:v>42807</c:v>
                </c:pt>
                <c:pt idx="803">
                  <c:v>42808</c:v>
                </c:pt>
                <c:pt idx="804">
                  <c:v>42809</c:v>
                </c:pt>
                <c:pt idx="805">
                  <c:v>42810</c:v>
                </c:pt>
                <c:pt idx="806">
                  <c:v>42811</c:v>
                </c:pt>
                <c:pt idx="807">
                  <c:v>42812</c:v>
                </c:pt>
                <c:pt idx="808">
                  <c:v>42813</c:v>
                </c:pt>
                <c:pt idx="809">
                  <c:v>42814</c:v>
                </c:pt>
                <c:pt idx="810">
                  <c:v>42815</c:v>
                </c:pt>
                <c:pt idx="811">
                  <c:v>42816</c:v>
                </c:pt>
                <c:pt idx="812">
                  <c:v>42817</c:v>
                </c:pt>
                <c:pt idx="813">
                  <c:v>42818</c:v>
                </c:pt>
                <c:pt idx="814">
                  <c:v>42819</c:v>
                </c:pt>
                <c:pt idx="815">
                  <c:v>42820</c:v>
                </c:pt>
                <c:pt idx="816">
                  <c:v>42821</c:v>
                </c:pt>
                <c:pt idx="817">
                  <c:v>42822</c:v>
                </c:pt>
                <c:pt idx="818">
                  <c:v>42823</c:v>
                </c:pt>
                <c:pt idx="819">
                  <c:v>42824</c:v>
                </c:pt>
                <c:pt idx="820">
                  <c:v>42825</c:v>
                </c:pt>
                <c:pt idx="821">
                  <c:v>42826</c:v>
                </c:pt>
                <c:pt idx="822">
                  <c:v>42827</c:v>
                </c:pt>
                <c:pt idx="823">
                  <c:v>42828</c:v>
                </c:pt>
                <c:pt idx="824">
                  <c:v>42829</c:v>
                </c:pt>
                <c:pt idx="825">
                  <c:v>42830</c:v>
                </c:pt>
                <c:pt idx="826">
                  <c:v>42831</c:v>
                </c:pt>
                <c:pt idx="827">
                  <c:v>42832</c:v>
                </c:pt>
                <c:pt idx="828">
                  <c:v>42833</c:v>
                </c:pt>
                <c:pt idx="829">
                  <c:v>42834</c:v>
                </c:pt>
                <c:pt idx="830">
                  <c:v>42835</c:v>
                </c:pt>
                <c:pt idx="831">
                  <c:v>42836</c:v>
                </c:pt>
                <c:pt idx="832">
                  <c:v>42837</c:v>
                </c:pt>
                <c:pt idx="833">
                  <c:v>42838</c:v>
                </c:pt>
                <c:pt idx="834">
                  <c:v>42839</c:v>
                </c:pt>
                <c:pt idx="835">
                  <c:v>42840</c:v>
                </c:pt>
                <c:pt idx="836">
                  <c:v>42841</c:v>
                </c:pt>
                <c:pt idx="837">
                  <c:v>42842</c:v>
                </c:pt>
                <c:pt idx="838">
                  <c:v>42843</c:v>
                </c:pt>
                <c:pt idx="839">
                  <c:v>42844</c:v>
                </c:pt>
                <c:pt idx="840">
                  <c:v>42845</c:v>
                </c:pt>
                <c:pt idx="841">
                  <c:v>42846</c:v>
                </c:pt>
                <c:pt idx="842">
                  <c:v>42847</c:v>
                </c:pt>
                <c:pt idx="843">
                  <c:v>42848</c:v>
                </c:pt>
                <c:pt idx="844">
                  <c:v>42849</c:v>
                </c:pt>
                <c:pt idx="845">
                  <c:v>42850</c:v>
                </c:pt>
                <c:pt idx="846">
                  <c:v>42851</c:v>
                </c:pt>
                <c:pt idx="847">
                  <c:v>42852</c:v>
                </c:pt>
                <c:pt idx="848">
                  <c:v>42853</c:v>
                </c:pt>
                <c:pt idx="849">
                  <c:v>42854</c:v>
                </c:pt>
                <c:pt idx="850">
                  <c:v>42855</c:v>
                </c:pt>
                <c:pt idx="851">
                  <c:v>42856</c:v>
                </c:pt>
                <c:pt idx="852">
                  <c:v>42857</c:v>
                </c:pt>
                <c:pt idx="853">
                  <c:v>42858</c:v>
                </c:pt>
                <c:pt idx="854">
                  <c:v>42859</c:v>
                </c:pt>
                <c:pt idx="855">
                  <c:v>42860</c:v>
                </c:pt>
                <c:pt idx="856">
                  <c:v>42861</c:v>
                </c:pt>
                <c:pt idx="857">
                  <c:v>42862</c:v>
                </c:pt>
                <c:pt idx="858">
                  <c:v>42863</c:v>
                </c:pt>
                <c:pt idx="859">
                  <c:v>42864</c:v>
                </c:pt>
                <c:pt idx="860">
                  <c:v>42865</c:v>
                </c:pt>
                <c:pt idx="861">
                  <c:v>42866</c:v>
                </c:pt>
                <c:pt idx="862">
                  <c:v>42867</c:v>
                </c:pt>
                <c:pt idx="863">
                  <c:v>42868</c:v>
                </c:pt>
                <c:pt idx="864">
                  <c:v>42869</c:v>
                </c:pt>
                <c:pt idx="865">
                  <c:v>42870</c:v>
                </c:pt>
                <c:pt idx="866">
                  <c:v>42871</c:v>
                </c:pt>
                <c:pt idx="867">
                  <c:v>42872</c:v>
                </c:pt>
                <c:pt idx="868">
                  <c:v>42873</c:v>
                </c:pt>
                <c:pt idx="869">
                  <c:v>42874</c:v>
                </c:pt>
                <c:pt idx="870">
                  <c:v>42875</c:v>
                </c:pt>
                <c:pt idx="871">
                  <c:v>42876</c:v>
                </c:pt>
                <c:pt idx="872">
                  <c:v>42877</c:v>
                </c:pt>
                <c:pt idx="873">
                  <c:v>42878</c:v>
                </c:pt>
                <c:pt idx="874">
                  <c:v>42879</c:v>
                </c:pt>
                <c:pt idx="875">
                  <c:v>42880</c:v>
                </c:pt>
                <c:pt idx="876">
                  <c:v>42881</c:v>
                </c:pt>
                <c:pt idx="877">
                  <c:v>42882</c:v>
                </c:pt>
                <c:pt idx="878">
                  <c:v>42883</c:v>
                </c:pt>
                <c:pt idx="879">
                  <c:v>42884</c:v>
                </c:pt>
                <c:pt idx="880">
                  <c:v>42885</c:v>
                </c:pt>
                <c:pt idx="881">
                  <c:v>42886</c:v>
                </c:pt>
                <c:pt idx="882">
                  <c:v>42887</c:v>
                </c:pt>
                <c:pt idx="883">
                  <c:v>42888</c:v>
                </c:pt>
                <c:pt idx="884">
                  <c:v>42889</c:v>
                </c:pt>
                <c:pt idx="885">
                  <c:v>42890</c:v>
                </c:pt>
                <c:pt idx="886">
                  <c:v>42891</c:v>
                </c:pt>
                <c:pt idx="887">
                  <c:v>42892</c:v>
                </c:pt>
                <c:pt idx="888">
                  <c:v>42893</c:v>
                </c:pt>
                <c:pt idx="889">
                  <c:v>42894</c:v>
                </c:pt>
                <c:pt idx="890">
                  <c:v>42895</c:v>
                </c:pt>
                <c:pt idx="891">
                  <c:v>42896</c:v>
                </c:pt>
                <c:pt idx="892">
                  <c:v>42897</c:v>
                </c:pt>
                <c:pt idx="893">
                  <c:v>42898</c:v>
                </c:pt>
                <c:pt idx="894">
                  <c:v>42899</c:v>
                </c:pt>
                <c:pt idx="895">
                  <c:v>42900</c:v>
                </c:pt>
                <c:pt idx="896">
                  <c:v>42901</c:v>
                </c:pt>
                <c:pt idx="897">
                  <c:v>42902</c:v>
                </c:pt>
                <c:pt idx="898">
                  <c:v>42903</c:v>
                </c:pt>
                <c:pt idx="899">
                  <c:v>42904</c:v>
                </c:pt>
                <c:pt idx="900">
                  <c:v>42905</c:v>
                </c:pt>
                <c:pt idx="901">
                  <c:v>42906</c:v>
                </c:pt>
                <c:pt idx="902">
                  <c:v>42907</c:v>
                </c:pt>
                <c:pt idx="903">
                  <c:v>42908</c:v>
                </c:pt>
                <c:pt idx="904">
                  <c:v>42909</c:v>
                </c:pt>
                <c:pt idx="905">
                  <c:v>42910</c:v>
                </c:pt>
                <c:pt idx="906">
                  <c:v>42911</c:v>
                </c:pt>
                <c:pt idx="907">
                  <c:v>42912</c:v>
                </c:pt>
                <c:pt idx="908">
                  <c:v>42913</c:v>
                </c:pt>
                <c:pt idx="909">
                  <c:v>42914</c:v>
                </c:pt>
                <c:pt idx="910">
                  <c:v>42915</c:v>
                </c:pt>
                <c:pt idx="911">
                  <c:v>42916</c:v>
                </c:pt>
                <c:pt idx="912">
                  <c:v>42917</c:v>
                </c:pt>
                <c:pt idx="913">
                  <c:v>42918</c:v>
                </c:pt>
                <c:pt idx="914">
                  <c:v>42919</c:v>
                </c:pt>
                <c:pt idx="915">
                  <c:v>42920</c:v>
                </c:pt>
                <c:pt idx="916">
                  <c:v>42921</c:v>
                </c:pt>
                <c:pt idx="917">
                  <c:v>42922</c:v>
                </c:pt>
                <c:pt idx="918">
                  <c:v>42923</c:v>
                </c:pt>
                <c:pt idx="919">
                  <c:v>42924</c:v>
                </c:pt>
                <c:pt idx="920">
                  <c:v>42925</c:v>
                </c:pt>
                <c:pt idx="921">
                  <c:v>42926</c:v>
                </c:pt>
                <c:pt idx="922">
                  <c:v>42927</c:v>
                </c:pt>
                <c:pt idx="923">
                  <c:v>42928</c:v>
                </c:pt>
                <c:pt idx="924">
                  <c:v>42929</c:v>
                </c:pt>
                <c:pt idx="925">
                  <c:v>42930</c:v>
                </c:pt>
                <c:pt idx="926">
                  <c:v>42931</c:v>
                </c:pt>
                <c:pt idx="927">
                  <c:v>42932</c:v>
                </c:pt>
                <c:pt idx="928">
                  <c:v>42933</c:v>
                </c:pt>
                <c:pt idx="929">
                  <c:v>42934</c:v>
                </c:pt>
                <c:pt idx="930">
                  <c:v>42935</c:v>
                </c:pt>
                <c:pt idx="931">
                  <c:v>42936</c:v>
                </c:pt>
                <c:pt idx="932">
                  <c:v>42937</c:v>
                </c:pt>
                <c:pt idx="933">
                  <c:v>42938</c:v>
                </c:pt>
                <c:pt idx="934">
                  <c:v>42939</c:v>
                </c:pt>
                <c:pt idx="935">
                  <c:v>42940</c:v>
                </c:pt>
                <c:pt idx="936">
                  <c:v>42941</c:v>
                </c:pt>
                <c:pt idx="937">
                  <c:v>42942</c:v>
                </c:pt>
                <c:pt idx="938">
                  <c:v>42943</c:v>
                </c:pt>
                <c:pt idx="939">
                  <c:v>42944</c:v>
                </c:pt>
                <c:pt idx="940">
                  <c:v>42945</c:v>
                </c:pt>
                <c:pt idx="941">
                  <c:v>42946</c:v>
                </c:pt>
                <c:pt idx="942">
                  <c:v>42947</c:v>
                </c:pt>
                <c:pt idx="943">
                  <c:v>42948</c:v>
                </c:pt>
                <c:pt idx="944">
                  <c:v>42949</c:v>
                </c:pt>
                <c:pt idx="945">
                  <c:v>42950</c:v>
                </c:pt>
                <c:pt idx="946">
                  <c:v>42951</c:v>
                </c:pt>
                <c:pt idx="947">
                  <c:v>42952</c:v>
                </c:pt>
                <c:pt idx="948">
                  <c:v>42953</c:v>
                </c:pt>
                <c:pt idx="949">
                  <c:v>42954</c:v>
                </c:pt>
                <c:pt idx="950">
                  <c:v>42955</c:v>
                </c:pt>
                <c:pt idx="951">
                  <c:v>42956</c:v>
                </c:pt>
                <c:pt idx="952">
                  <c:v>42957</c:v>
                </c:pt>
                <c:pt idx="953">
                  <c:v>42958</c:v>
                </c:pt>
                <c:pt idx="954">
                  <c:v>42959</c:v>
                </c:pt>
                <c:pt idx="955">
                  <c:v>42960</c:v>
                </c:pt>
                <c:pt idx="956">
                  <c:v>42961</c:v>
                </c:pt>
                <c:pt idx="957">
                  <c:v>42962</c:v>
                </c:pt>
                <c:pt idx="958">
                  <c:v>42963</c:v>
                </c:pt>
                <c:pt idx="959">
                  <c:v>42964</c:v>
                </c:pt>
                <c:pt idx="960">
                  <c:v>42965</c:v>
                </c:pt>
                <c:pt idx="961">
                  <c:v>42966</c:v>
                </c:pt>
                <c:pt idx="962">
                  <c:v>42967</c:v>
                </c:pt>
                <c:pt idx="963">
                  <c:v>42968</c:v>
                </c:pt>
                <c:pt idx="964">
                  <c:v>42969</c:v>
                </c:pt>
                <c:pt idx="965">
                  <c:v>42970</c:v>
                </c:pt>
                <c:pt idx="966">
                  <c:v>42971</c:v>
                </c:pt>
                <c:pt idx="967">
                  <c:v>42972</c:v>
                </c:pt>
                <c:pt idx="968">
                  <c:v>42973</c:v>
                </c:pt>
                <c:pt idx="969">
                  <c:v>42974</c:v>
                </c:pt>
                <c:pt idx="970">
                  <c:v>42975</c:v>
                </c:pt>
                <c:pt idx="971">
                  <c:v>42976</c:v>
                </c:pt>
                <c:pt idx="972">
                  <c:v>42977</c:v>
                </c:pt>
                <c:pt idx="973">
                  <c:v>42978</c:v>
                </c:pt>
                <c:pt idx="974">
                  <c:v>42979</c:v>
                </c:pt>
                <c:pt idx="975">
                  <c:v>42980</c:v>
                </c:pt>
                <c:pt idx="976">
                  <c:v>42981</c:v>
                </c:pt>
                <c:pt idx="977">
                  <c:v>42982</c:v>
                </c:pt>
                <c:pt idx="978">
                  <c:v>42983</c:v>
                </c:pt>
                <c:pt idx="979">
                  <c:v>42984</c:v>
                </c:pt>
                <c:pt idx="980">
                  <c:v>42985</c:v>
                </c:pt>
                <c:pt idx="981">
                  <c:v>42986</c:v>
                </c:pt>
                <c:pt idx="982">
                  <c:v>42987</c:v>
                </c:pt>
                <c:pt idx="983">
                  <c:v>42988</c:v>
                </c:pt>
                <c:pt idx="984">
                  <c:v>42989</c:v>
                </c:pt>
                <c:pt idx="985">
                  <c:v>42990</c:v>
                </c:pt>
                <c:pt idx="986">
                  <c:v>42991</c:v>
                </c:pt>
                <c:pt idx="987">
                  <c:v>42992</c:v>
                </c:pt>
                <c:pt idx="988">
                  <c:v>42993</c:v>
                </c:pt>
                <c:pt idx="989">
                  <c:v>42994</c:v>
                </c:pt>
                <c:pt idx="990">
                  <c:v>42995</c:v>
                </c:pt>
                <c:pt idx="991">
                  <c:v>42996</c:v>
                </c:pt>
                <c:pt idx="992">
                  <c:v>42997</c:v>
                </c:pt>
                <c:pt idx="993">
                  <c:v>42998</c:v>
                </c:pt>
                <c:pt idx="994">
                  <c:v>42999</c:v>
                </c:pt>
                <c:pt idx="995">
                  <c:v>43000</c:v>
                </c:pt>
                <c:pt idx="996">
                  <c:v>43001</c:v>
                </c:pt>
                <c:pt idx="997">
                  <c:v>43002</c:v>
                </c:pt>
                <c:pt idx="998">
                  <c:v>43003</c:v>
                </c:pt>
                <c:pt idx="999">
                  <c:v>43004</c:v>
                </c:pt>
                <c:pt idx="1000">
                  <c:v>43005</c:v>
                </c:pt>
                <c:pt idx="1001">
                  <c:v>43006</c:v>
                </c:pt>
                <c:pt idx="1002">
                  <c:v>43007</c:v>
                </c:pt>
                <c:pt idx="1003">
                  <c:v>43008</c:v>
                </c:pt>
                <c:pt idx="1004">
                  <c:v>43009</c:v>
                </c:pt>
                <c:pt idx="1005">
                  <c:v>43010</c:v>
                </c:pt>
                <c:pt idx="1006">
                  <c:v>43011</c:v>
                </c:pt>
                <c:pt idx="1007">
                  <c:v>43012</c:v>
                </c:pt>
                <c:pt idx="1008">
                  <c:v>43013</c:v>
                </c:pt>
                <c:pt idx="1009">
                  <c:v>43014</c:v>
                </c:pt>
                <c:pt idx="1010">
                  <c:v>43015</c:v>
                </c:pt>
                <c:pt idx="1011">
                  <c:v>43016</c:v>
                </c:pt>
                <c:pt idx="1012">
                  <c:v>43017</c:v>
                </c:pt>
                <c:pt idx="1013">
                  <c:v>43018</c:v>
                </c:pt>
                <c:pt idx="1014">
                  <c:v>43019</c:v>
                </c:pt>
                <c:pt idx="1015">
                  <c:v>43020</c:v>
                </c:pt>
                <c:pt idx="1016">
                  <c:v>43021</c:v>
                </c:pt>
                <c:pt idx="1017">
                  <c:v>43022</c:v>
                </c:pt>
                <c:pt idx="1018">
                  <c:v>43023</c:v>
                </c:pt>
                <c:pt idx="1019">
                  <c:v>43024</c:v>
                </c:pt>
                <c:pt idx="1020">
                  <c:v>43025</c:v>
                </c:pt>
                <c:pt idx="1021">
                  <c:v>43026</c:v>
                </c:pt>
                <c:pt idx="1022">
                  <c:v>43027</c:v>
                </c:pt>
                <c:pt idx="1023">
                  <c:v>43028</c:v>
                </c:pt>
                <c:pt idx="1024">
                  <c:v>43029</c:v>
                </c:pt>
                <c:pt idx="1025">
                  <c:v>43030</c:v>
                </c:pt>
                <c:pt idx="1026">
                  <c:v>43031</c:v>
                </c:pt>
                <c:pt idx="1027">
                  <c:v>43032</c:v>
                </c:pt>
                <c:pt idx="1028">
                  <c:v>43033</c:v>
                </c:pt>
                <c:pt idx="1029">
                  <c:v>43034</c:v>
                </c:pt>
                <c:pt idx="1030">
                  <c:v>43035</c:v>
                </c:pt>
                <c:pt idx="1031">
                  <c:v>43036</c:v>
                </c:pt>
                <c:pt idx="1032">
                  <c:v>43037</c:v>
                </c:pt>
                <c:pt idx="1033">
                  <c:v>43038</c:v>
                </c:pt>
                <c:pt idx="1034">
                  <c:v>43039</c:v>
                </c:pt>
                <c:pt idx="1035">
                  <c:v>43040</c:v>
                </c:pt>
                <c:pt idx="1036">
                  <c:v>43041</c:v>
                </c:pt>
                <c:pt idx="1037">
                  <c:v>43042</c:v>
                </c:pt>
                <c:pt idx="1038">
                  <c:v>43043</c:v>
                </c:pt>
                <c:pt idx="1039">
                  <c:v>43044</c:v>
                </c:pt>
                <c:pt idx="1040">
                  <c:v>43045</c:v>
                </c:pt>
                <c:pt idx="1041">
                  <c:v>43046</c:v>
                </c:pt>
                <c:pt idx="1042">
                  <c:v>43047</c:v>
                </c:pt>
                <c:pt idx="1043">
                  <c:v>43048</c:v>
                </c:pt>
                <c:pt idx="1044">
                  <c:v>43049</c:v>
                </c:pt>
                <c:pt idx="1045">
                  <c:v>43050</c:v>
                </c:pt>
                <c:pt idx="1046">
                  <c:v>43051</c:v>
                </c:pt>
                <c:pt idx="1047">
                  <c:v>43052</c:v>
                </c:pt>
                <c:pt idx="1048">
                  <c:v>43053</c:v>
                </c:pt>
                <c:pt idx="1049">
                  <c:v>43054</c:v>
                </c:pt>
                <c:pt idx="1050">
                  <c:v>43055</c:v>
                </c:pt>
                <c:pt idx="1051">
                  <c:v>43056</c:v>
                </c:pt>
                <c:pt idx="1052">
                  <c:v>43057</c:v>
                </c:pt>
                <c:pt idx="1053">
                  <c:v>43058</c:v>
                </c:pt>
                <c:pt idx="1054">
                  <c:v>43059</c:v>
                </c:pt>
                <c:pt idx="1055">
                  <c:v>43060</c:v>
                </c:pt>
                <c:pt idx="1056">
                  <c:v>43061</c:v>
                </c:pt>
                <c:pt idx="1057">
                  <c:v>43062</c:v>
                </c:pt>
                <c:pt idx="1058">
                  <c:v>43063</c:v>
                </c:pt>
                <c:pt idx="1059">
                  <c:v>43064</c:v>
                </c:pt>
                <c:pt idx="1060">
                  <c:v>43065</c:v>
                </c:pt>
                <c:pt idx="1061">
                  <c:v>43066</c:v>
                </c:pt>
                <c:pt idx="1062">
                  <c:v>43067</c:v>
                </c:pt>
                <c:pt idx="1063">
                  <c:v>43068</c:v>
                </c:pt>
                <c:pt idx="1064">
                  <c:v>43069</c:v>
                </c:pt>
                <c:pt idx="1065">
                  <c:v>43070</c:v>
                </c:pt>
                <c:pt idx="1066">
                  <c:v>43071</c:v>
                </c:pt>
                <c:pt idx="1067">
                  <c:v>43072</c:v>
                </c:pt>
                <c:pt idx="1068">
                  <c:v>43073</c:v>
                </c:pt>
                <c:pt idx="1069">
                  <c:v>43074</c:v>
                </c:pt>
                <c:pt idx="1070">
                  <c:v>43075</c:v>
                </c:pt>
                <c:pt idx="1071">
                  <c:v>43076</c:v>
                </c:pt>
                <c:pt idx="1072">
                  <c:v>43077</c:v>
                </c:pt>
                <c:pt idx="1073">
                  <c:v>43078</c:v>
                </c:pt>
                <c:pt idx="1074">
                  <c:v>43079</c:v>
                </c:pt>
                <c:pt idx="1075">
                  <c:v>43080</c:v>
                </c:pt>
                <c:pt idx="1076">
                  <c:v>43081</c:v>
                </c:pt>
                <c:pt idx="1077">
                  <c:v>43082</c:v>
                </c:pt>
                <c:pt idx="1078">
                  <c:v>43083</c:v>
                </c:pt>
                <c:pt idx="1079">
                  <c:v>43084</c:v>
                </c:pt>
                <c:pt idx="1080">
                  <c:v>43085</c:v>
                </c:pt>
                <c:pt idx="1081">
                  <c:v>43086</c:v>
                </c:pt>
                <c:pt idx="1082">
                  <c:v>43087</c:v>
                </c:pt>
                <c:pt idx="1083">
                  <c:v>43088</c:v>
                </c:pt>
                <c:pt idx="1084">
                  <c:v>43089</c:v>
                </c:pt>
                <c:pt idx="1085">
                  <c:v>43090</c:v>
                </c:pt>
                <c:pt idx="1086">
                  <c:v>43091</c:v>
                </c:pt>
                <c:pt idx="1087">
                  <c:v>43092</c:v>
                </c:pt>
                <c:pt idx="1088">
                  <c:v>43093</c:v>
                </c:pt>
                <c:pt idx="1089">
                  <c:v>43094</c:v>
                </c:pt>
                <c:pt idx="1090">
                  <c:v>43095</c:v>
                </c:pt>
                <c:pt idx="1091">
                  <c:v>43096</c:v>
                </c:pt>
                <c:pt idx="1092">
                  <c:v>43097</c:v>
                </c:pt>
                <c:pt idx="1093">
                  <c:v>43098</c:v>
                </c:pt>
                <c:pt idx="1094">
                  <c:v>43099</c:v>
                </c:pt>
                <c:pt idx="1095">
                  <c:v>43100</c:v>
                </c:pt>
                <c:pt idx="1096">
                  <c:v>43101</c:v>
                </c:pt>
                <c:pt idx="1097">
                  <c:v>43102</c:v>
                </c:pt>
                <c:pt idx="1098">
                  <c:v>43103</c:v>
                </c:pt>
                <c:pt idx="1099">
                  <c:v>43104</c:v>
                </c:pt>
                <c:pt idx="1100">
                  <c:v>43105</c:v>
                </c:pt>
                <c:pt idx="1101">
                  <c:v>43106</c:v>
                </c:pt>
                <c:pt idx="1102">
                  <c:v>43107</c:v>
                </c:pt>
                <c:pt idx="1103">
                  <c:v>43108</c:v>
                </c:pt>
                <c:pt idx="1104">
                  <c:v>43109</c:v>
                </c:pt>
                <c:pt idx="1105">
                  <c:v>43110</c:v>
                </c:pt>
                <c:pt idx="1106">
                  <c:v>43111</c:v>
                </c:pt>
                <c:pt idx="1107">
                  <c:v>43112</c:v>
                </c:pt>
                <c:pt idx="1108">
                  <c:v>43113</c:v>
                </c:pt>
                <c:pt idx="1109">
                  <c:v>43114</c:v>
                </c:pt>
                <c:pt idx="1110">
                  <c:v>43115</c:v>
                </c:pt>
                <c:pt idx="1111">
                  <c:v>43116</c:v>
                </c:pt>
                <c:pt idx="1112">
                  <c:v>43117</c:v>
                </c:pt>
                <c:pt idx="1113">
                  <c:v>43118</c:v>
                </c:pt>
                <c:pt idx="1114">
                  <c:v>43119</c:v>
                </c:pt>
                <c:pt idx="1115">
                  <c:v>43120</c:v>
                </c:pt>
                <c:pt idx="1116">
                  <c:v>43121</c:v>
                </c:pt>
                <c:pt idx="1117">
                  <c:v>43122</c:v>
                </c:pt>
                <c:pt idx="1118">
                  <c:v>43123</c:v>
                </c:pt>
                <c:pt idx="1119">
                  <c:v>43124</c:v>
                </c:pt>
                <c:pt idx="1120">
                  <c:v>43125</c:v>
                </c:pt>
                <c:pt idx="1121">
                  <c:v>43126</c:v>
                </c:pt>
                <c:pt idx="1122">
                  <c:v>43127</c:v>
                </c:pt>
                <c:pt idx="1123">
                  <c:v>43128</c:v>
                </c:pt>
                <c:pt idx="1124">
                  <c:v>43129</c:v>
                </c:pt>
                <c:pt idx="1125">
                  <c:v>43130</c:v>
                </c:pt>
                <c:pt idx="1126">
                  <c:v>43131</c:v>
                </c:pt>
                <c:pt idx="1127">
                  <c:v>43132</c:v>
                </c:pt>
                <c:pt idx="1128">
                  <c:v>43133</c:v>
                </c:pt>
                <c:pt idx="1129">
                  <c:v>43134</c:v>
                </c:pt>
                <c:pt idx="1130">
                  <c:v>43135</c:v>
                </c:pt>
                <c:pt idx="1131">
                  <c:v>43136</c:v>
                </c:pt>
                <c:pt idx="1132">
                  <c:v>43137</c:v>
                </c:pt>
                <c:pt idx="1133">
                  <c:v>43138</c:v>
                </c:pt>
                <c:pt idx="1134">
                  <c:v>43139</c:v>
                </c:pt>
                <c:pt idx="1135">
                  <c:v>43140</c:v>
                </c:pt>
                <c:pt idx="1136">
                  <c:v>43141</c:v>
                </c:pt>
                <c:pt idx="1137">
                  <c:v>43142</c:v>
                </c:pt>
                <c:pt idx="1138">
                  <c:v>43143</c:v>
                </c:pt>
                <c:pt idx="1139">
                  <c:v>43144</c:v>
                </c:pt>
                <c:pt idx="1140">
                  <c:v>43145</c:v>
                </c:pt>
                <c:pt idx="1141">
                  <c:v>43146</c:v>
                </c:pt>
                <c:pt idx="1142">
                  <c:v>43147</c:v>
                </c:pt>
                <c:pt idx="1143">
                  <c:v>43148</c:v>
                </c:pt>
                <c:pt idx="1144">
                  <c:v>43149</c:v>
                </c:pt>
                <c:pt idx="1145">
                  <c:v>43150</c:v>
                </c:pt>
                <c:pt idx="1146">
                  <c:v>43151</c:v>
                </c:pt>
                <c:pt idx="1147">
                  <c:v>43152</c:v>
                </c:pt>
                <c:pt idx="1148">
                  <c:v>43153</c:v>
                </c:pt>
                <c:pt idx="1149">
                  <c:v>43154</c:v>
                </c:pt>
                <c:pt idx="1150">
                  <c:v>43155</c:v>
                </c:pt>
                <c:pt idx="1151">
                  <c:v>43156</c:v>
                </c:pt>
                <c:pt idx="1152">
                  <c:v>43157</c:v>
                </c:pt>
                <c:pt idx="1153">
                  <c:v>43158</c:v>
                </c:pt>
                <c:pt idx="1154">
                  <c:v>43159</c:v>
                </c:pt>
                <c:pt idx="1155">
                  <c:v>43160</c:v>
                </c:pt>
                <c:pt idx="1156">
                  <c:v>43161</c:v>
                </c:pt>
                <c:pt idx="1157">
                  <c:v>43162</c:v>
                </c:pt>
                <c:pt idx="1158">
                  <c:v>43163</c:v>
                </c:pt>
                <c:pt idx="1159">
                  <c:v>43164</c:v>
                </c:pt>
                <c:pt idx="1160">
                  <c:v>43165</c:v>
                </c:pt>
                <c:pt idx="1161">
                  <c:v>43166</c:v>
                </c:pt>
                <c:pt idx="1162">
                  <c:v>43167</c:v>
                </c:pt>
                <c:pt idx="1163">
                  <c:v>43168</c:v>
                </c:pt>
                <c:pt idx="1164">
                  <c:v>43169</c:v>
                </c:pt>
                <c:pt idx="1165">
                  <c:v>43170</c:v>
                </c:pt>
                <c:pt idx="1166">
                  <c:v>43171</c:v>
                </c:pt>
                <c:pt idx="1167">
                  <c:v>43172</c:v>
                </c:pt>
                <c:pt idx="1168">
                  <c:v>43173</c:v>
                </c:pt>
                <c:pt idx="1169">
                  <c:v>43174</c:v>
                </c:pt>
                <c:pt idx="1170">
                  <c:v>43175</c:v>
                </c:pt>
                <c:pt idx="1171">
                  <c:v>43176</c:v>
                </c:pt>
                <c:pt idx="1172">
                  <c:v>43177</c:v>
                </c:pt>
                <c:pt idx="1173">
                  <c:v>43178</c:v>
                </c:pt>
                <c:pt idx="1174">
                  <c:v>43179</c:v>
                </c:pt>
                <c:pt idx="1175">
                  <c:v>43180</c:v>
                </c:pt>
                <c:pt idx="1176">
                  <c:v>43181</c:v>
                </c:pt>
                <c:pt idx="1177">
                  <c:v>43182</c:v>
                </c:pt>
                <c:pt idx="1178">
                  <c:v>43183</c:v>
                </c:pt>
                <c:pt idx="1179">
                  <c:v>43184</c:v>
                </c:pt>
                <c:pt idx="1180">
                  <c:v>43185</c:v>
                </c:pt>
                <c:pt idx="1181">
                  <c:v>43186</c:v>
                </c:pt>
                <c:pt idx="1182">
                  <c:v>43187</c:v>
                </c:pt>
                <c:pt idx="1183">
                  <c:v>43188</c:v>
                </c:pt>
                <c:pt idx="1184">
                  <c:v>43189</c:v>
                </c:pt>
                <c:pt idx="1185">
                  <c:v>43190</c:v>
                </c:pt>
                <c:pt idx="1186">
                  <c:v>43191</c:v>
                </c:pt>
                <c:pt idx="1187">
                  <c:v>43192</c:v>
                </c:pt>
                <c:pt idx="1188">
                  <c:v>43193</c:v>
                </c:pt>
                <c:pt idx="1189">
                  <c:v>43194</c:v>
                </c:pt>
                <c:pt idx="1190">
                  <c:v>43195</c:v>
                </c:pt>
                <c:pt idx="1191">
                  <c:v>43196</c:v>
                </c:pt>
                <c:pt idx="1192">
                  <c:v>43197</c:v>
                </c:pt>
                <c:pt idx="1193">
                  <c:v>43198</c:v>
                </c:pt>
                <c:pt idx="1194">
                  <c:v>43199</c:v>
                </c:pt>
                <c:pt idx="1195">
                  <c:v>43200</c:v>
                </c:pt>
                <c:pt idx="1196">
                  <c:v>43201</c:v>
                </c:pt>
                <c:pt idx="1197">
                  <c:v>43202</c:v>
                </c:pt>
                <c:pt idx="1198">
                  <c:v>43203</c:v>
                </c:pt>
                <c:pt idx="1199">
                  <c:v>43204</c:v>
                </c:pt>
                <c:pt idx="1200">
                  <c:v>43205</c:v>
                </c:pt>
                <c:pt idx="1201">
                  <c:v>43206</c:v>
                </c:pt>
                <c:pt idx="1202">
                  <c:v>43207</c:v>
                </c:pt>
                <c:pt idx="1203">
                  <c:v>43208</c:v>
                </c:pt>
                <c:pt idx="1204">
                  <c:v>43209</c:v>
                </c:pt>
                <c:pt idx="1205">
                  <c:v>43210</c:v>
                </c:pt>
                <c:pt idx="1206">
                  <c:v>43211</c:v>
                </c:pt>
                <c:pt idx="1207">
                  <c:v>43212</c:v>
                </c:pt>
                <c:pt idx="1208">
                  <c:v>43213</c:v>
                </c:pt>
                <c:pt idx="1209">
                  <c:v>43214</c:v>
                </c:pt>
                <c:pt idx="1210">
                  <c:v>43215</c:v>
                </c:pt>
                <c:pt idx="1211">
                  <c:v>43216</c:v>
                </c:pt>
                <c:pt idx="1212">
                  <c:v>43217</c:v>
                </c:pt>
                <c:pt idx="1213">
                  <c:v>43218</c:v>
                </c:pt>
                <c:pt idx="1214">
                  <c:v>43219</c:v>
                </c:pt>
                <c:pt idx="1215">
                  <c:v>43220</c:v>
                </c:pt>
                <c:pt idx="1216">
                  <c:v>43221</c:v>
                </c:pt>
                <c:pt idx="1217">
                  <c:v>43222</c:v>
                </c:pt>
                <c:pt idx="1218">
                  <c:v>43223</c:v>
                </c:pt>
                <c:pt idx="1219">
                  <c:v>43224</c:v>
                </c:pt>
                <c:pt idx="1220">
                  <c:v>43225</c:v>
                </c:pt>
                <c:pt idx="1221">
                  <c:v>43226</c:v>
                </c:pt>
                <c:pt idx="1222">
                  <c:v>43227</c:v>
                </c:pt>
                <c:pt idx="1223">
                  <c:v>43228</c:v>
                </c:pt>
                <c:pt idx="1224">
                  <c:v>43229</c:v>
                </c:pt>
                <c:pt idx="1225">
                  <c:v>43230</c:v>
                </c:pt>
                <c:pt idx="1226">
                  <c:v>43231</c:v>
                </c:pt>
                <c:pt idx="1227">
                  <c:v>43232</c:v>
                </c:pt>
                <c:pt idx="1228">
                  <c:v>43233</c:v>
                </c:pt>
                <c:pt idx="1229">
                  <c:v>43234</c:v>
                </c:pt>
                <c:pt idx="1230">
                  <c:v>43235</c:v>
                </c:pt>
                <c:pt idx="1231">
                  <c:v>43236</c:v>
                </c:pt>
                <c:pt idx="1232">
                  <c:v>43237</c:v>
                </c:pt>
                <c:pt idx="1233">
                  <c:v>43238</c:v>
                </c:pt>
                <c:pt idx="1234">
                  <c:v>43239</c:v>
                </c:pt>
                <c:pt idx="1235">
                  <c:v>43240</c:v>
                </c:pt>
                <c:pt idx="1236">
                  <c:v>43241</c:v>
                </c:pt>
                <c:pt idx="1237">
                  <c:v>43242</c:v>
                </c:pt>
                <c:pt idx="1238">
                  <c:v>43243</c:v>
                </c:pt>
                <c:pt idx="1239">
                  <c:v>43244</c:v>
                </c:pt>
                <c:pt idx="1240">
                  <c:v>43245</c:v>
                </c:pt>
                <c:pt idx="1241">
                  <c:v>43246</c:v>
                </c:pt>
                <c:pt idx="1242">
                  <c:v>43247</c:v>
                </c:pt>
                <c:pt idx="1243">
                  <c:v>43248</c:v>
                </c:pt>
                <c:pt idx="1244">
                  <c:v>43249</c:v>
                </c:pt>
                <c:pt idx="1245">
                  <c:v>43250</c:v>
                </c:pt>
                <c:pt idx="1246">
                  <c:v>43251</c:v>
                </c:pt>
                <c:pt idx="1247">
                  <c:v>43252</c:v>
                </c:pt>
                <c:pt idx="1248">
                  <c:v>43253</c:v>
                </c:pt>
                <c:pt idx="1249">
                  <c:v>43254</c:v>
                </c:pt>
                <c:pt idx="1250">
                  <c:v>43255</c:v>
                </c:pt>
                <c:pt idx="1251">
                  <c:v>43256</c:v>
                </c:pt>
                <c:pt idx="1252">
                  <c:v>43257</c:v>
                </c:pt>
                <c:pt idx="1253">
                  <c:v>43258</c:v>
                </c:pt>
                <c:pt idx="1254">
                  <c:v>43259</c:v>
                </c:pt>
                <c:pt idx="1255">
                  <c:v>43260</c:v>
                </c:pt>
                <c:pt idx="1256">
                  <c:v>43261</c:v>
                </c:pt>
                <c:pt idx="1257">
                  <c:v>43262</c:v>
                </c:pt>
                <c:pt idx="1258">
                  <c:v>43263</c:v>
                </c:pt>
                <c:pt idx="1259">
                  <c:v>43264</c:v>
                </c:pt>
                <c:pt idx="1260">
                  <c:v>43265</c:v>
                </c:pt>
                <c:pt idx="1261">
                  <c:v>43266</c:v>
                </c:pt>
                <c:pt idx="1262">
                  <c:v>43267</c:v>
                </c:pt>
                <c:pt idx="1263">
                  <c:v>43268</c:v>
                </c:pt>
                <c:pt idx="1264">
                  <c:v>43269</c:v>
                </c:pt>
                <c:pt idx="1265">
                  <c:v>43270</c:v>
                </c:pt>
                <c:pt idx="1266">
                  <c:v>43271</c:v>
                </c:pt>
                <c:pt idx="1267">
                  <c:v>43272</c:v>
                </c:pt>
                <c:pt idx="1268">
                  <c:v>43273</c:v>
                </c:pt>
                <c:pt idx="1269">
                  <c:v>43274</c:v>
                </c:pt>
                <c:pt idx="1270">
                  <c:v>43275</c:v>
                </c:pt>
                <c:pt idx="1271">
                  <c:v>43276</c:v>
                </c:pt>
                <c:pt idx="1272">
                  <c:v>43277</c:v>
                </c:pt>
                <c:pt idx="1273">
                  <c:v>43278</c:v>
                </c:pt>
                <c:pt idx="1274">
                  <c:v>43279</c:v>
                </c:pt>
                <c:pt idx="1275">
                  <c:v>43280</c:v>
                </c:pt>
                <c:pt idx="1276">
                  <c:v>43281</c:v>
                </c:pt>
                <c:pt idx="1277">
                  <c:v>43282</c:v>
                </c:pt>
                <c:pt idx="1278">
                  <c:v>43283</c:v>
                </c:pt>
                <c:pt idx="1279">
                  <c:v>43284</c:v>
                </c:pt>
                <c:pt idx="1280">
                  <c:v>43285</c:v>
                </c:pt>
                <c:pt idx="1281">
                  <c:v>43286</c:v>
                </c:pt>
                <c:pt idx="1282">
                  <c:v>43287</c:v>
                </c:pt>
                <c:pt idx="1283">
                  <c:v>43288</c:v>
                </c:pt>
                <c:pt idx="1284">
                  <c:v>43289</c:v>
                </c:pt>
                <c:pt idx="1285">
                  <c:v>43290</c:v>
                </c:pt>
                <c:pt idx="1286">
                  <c:v>43291</c:v>
                </c:pt>
                <c:pt idx="1287">
                  <c:v>43292</c:v>
                </c:pt>
                <c:pt idx="1288">
                  <c:v>43293</c:v>
                </c:pt>
                <c:pt idx="1289">
                  <c:v>43294</c:v>
                </c:pt>
                <c:pt idx="1290">
                  <c:v>43295</c:v>
                </c:pt>
                <c:pt idx="1291">
                  <c:v>43296</c:v>
                </c:pt>
                <c:pt idx="1292">
                  <c:v>43297</c:v>
                </c:pt>
                <c:pt idx="1293">
                  <c:v>43298</c:v>
                </c:pt>
                <c:pt idx="1294">
                  <c:v>43299</c:v>
                </c:pt>
                <c:pt idx="1295">
                  <c:v>43300</c:v>
                </c:pt>
                <c:pt idx="1296">
                  <c:v>43301</c:v>
                </c:pt>
                <c:pt idx="1297">
                  <c:v>43302</c:v>
                </c:pt>
                <c:pt idx="1298">
                  <c:v>43303</c:v>
                </c:pt>
                <c:pt idx="1299">
                  <c:v>43304</c:v>
                </c:pt>
                <c:pt idx="1300">
                  <c:v>43305</c:v>
                </c:pt>
                <c:pt idx="1301">
                  <c:v>43306</c:v>
                </c:pt>
                <c:pt idx="1302">
                  <c:v>43307</c:v>
                </c:pt>
                <c:pt idx="1303">
                  <c:v>43308</c:v>
                </c:pt>
                <c:pt idx="1304">
                  <c:v>43309</c:v>
                </c:pt>
                <c:pt idx="1305">
                  <c:v>43310</c:v>
                </c:pt>
                <c:pt idx="1306">
                  <c:v>43311</c:v>
                </c:pt>
                <c:pt idx="1307">
                  <c:v>43312</c:v>
                </c:pt>
                <c:pt idx="1308">
                  <c:v>43313</c:v>
                </c:pt>
                <c:pt idx="1309">
                  <c:v>43314</c:v>
                </c:pt>
                <c:pt idx="1310">
                  <c:v>43315</c:v>
                </c:pt>
                <c:pt idx="1311">
                  <c:v>43316</c:v>
                </c:pt>
                <c:pt idx="1312">
                  <c:v>43317</c:v>
                </c:pt>
                <c:pt idx="1313">
                  <c:v>43318</c:v>
                </c:pt>
                <c:pt idx="1314">
                  <c:v>43319</c:v>
                </c:pt>
                <c:pt idx="1315">
                  <c:v>43320</c:v>
                </c:pt>
                <c:pt idx="1316">
                  <c:v>43321</c:v>
                </c:pt>
                <c:pt idx="1317">
                  <c:v>43322</c:v>
                </c:pt>
                <c:pt idx="1318">
                  <c:v>43323</c:v>
                </c:pt>
                <c:pt idx="1319">
                  <c:v>43324</c:v>
                </c:pt>
                <c:pt idx="1320">
                  <c:v>43325</c:v>
                </c:pt>
                <c:pt idx="1321">
                  <c:v>43326</c:v>
                </c:pt>
                <c:pt idx="1322">
                  <c:v>43327</c:v>
                </c:pt>
                <c:pt idx="1323">
                  <c:v>43328</c:v>
                </c:pt>
                <c:pt idx="1324">
                  <c:v>43329</c:v>
                </c:pt>
                <c:pt idx="1325">
                  <c:v>43330</c:v>
                </c:pt>
                <c:pt idx="1326">
                  <c:v>43331</c:v>
                </c:pt>
                <c:pt idx="1327">
                  <c:v>43332</c:v>
                </c:pt>
                <c:pt idx="1328">
                  <c:v>43333</c:v>
                </c:pt>
                <c:pt idx="1329">
                  <c:v>43334</c:v>
                </c:pt>
                <c:pt idx="1330">
                  <c:v>43335</c:v>
                </c:pt>
                <c:pt idx="1331">
                  <c:v>43336</c:v>
                </c:pt>
                <c:pt idx="1332">
                  <c:v>43337</c:v>
                </c:pt>
                <c:pt idx="1333">
                  <c:v>43338</c:v>
                </c:pt>
                <c:pt idx="1334">
                  <c:v>43339</c:v>
                </c:pt>
                <c:pt idx="1335">
                  <c:v>43340</c:v>
                </c:pt>
                <c:pt idx="1336">
                  <c:v>43341</c:v>
                </c:pt>
                <c:pt idx="1337">
                  <c:v>43342</c:v>
                </c:pt>
                <c:pt idx="1338">
                  <c:v>43343</c:v>
                </c:pt>
                <c:pt idx="1339">
                  <c:v>43344</c:v>
                </c:pt>
                <c:pt idx="1340">
                  <c:v>43345</c:v>
                </c:pt>
                <c:pt idx="1341">
                  <c:v>43346</c:v>
                </c:pt>
                <c:pt idx="1342">
                  <c:v>43347</c:v>
                </c:pt>
                <c:pt idx="1343">
                  <c:v>43348</c:v>
                </c:pt>
                <c:pt idx="1344">
                  <c:v>43349</c:v>
                </c:pt>
                <c:pt idx="1345">
                  <c:v>43350</c:v>
                </c:pt>
                <c:pt idx="1346">
                  <c:v>43351</c:v>
                </c:pt>
                <c:pt idx="1347">
                  <c:v>43352</c:v>
                </c:pt>
                <c:pt idx="1348">
                  <c:v>43353</c:v>
                </c:pt>
                <c:pt idx="1349">
                  <c:v>43354</c:v>
                </c:pt>
                <c:pt idx="1350">
                  <c:v>43355</c:v>
                </c:pt>
                <c:pt idx="1351">
                  <c:v>43356</c:v>
                </c:pt>
                <c:pt idx="1352">
                  <c:v>43357</c:v>
                </c:pt>
                <c:pt idx="1353">
                  <c:v>43358</c:v>
                </c:pt>
                <c:pt idx="1354">
                  <c:v>43359</c:v>
                </c:pt>
                <c:pt idx="1355">
                  <c:v>43360</c:v>
                </c:pt>
                <c:pt idx="1356">
                  <c:v>43361</c:v>
                </c:pt>
                <c:pt idx="1357">
                  <c:v>43362</c:v>
                </c:pt>
                <c:pt idx="1358">
                  <c:v>43363</c:v>
                </c:pt>
                <c:pt idx="1359">
                  <c:v>43364</c:v>
                </c:pt>
                <c:pt idx="1360">
                  <c:v>43365</c:v>
                </c:pt>
                <c:pt idx="1361">
                  <c:v>43366</c:v>
                </c:pt>
                <c:pt idx="1362">
                  <c:v>43367</c:v>
                </c:pt>
                <c:pt idx="1363">
                  <c:v>43368</c:v>
                </c:pt>
                <c:pt idx="1364">
                  <c:v>43369</c:v>
                </c:pt>
                <c:pt idx="1365">
                  <c:v>43370</c:v>
                </c:pt>
                <c:pt idx="1366">
                  <c:v>43371</c:v>
                </c:pt>
                <c:pt idx="1367">
                  <c:v>43372</c:v>
                </c:pt>
                <c:pt idx="1368">
                  <c:v>43373</c:v>
                </c:pt>
                <c:pt idx="1369">
                  <c:v>43374</c:v>
                </c:pt>
                <c:pt idx="1370">
                  <c:v>43375</c:v>
                </c:pt>
                <c:pt idx="1371">
                  <c:v>43376</c:v>
                </c:pt>
                <c:pt idx="1372">
                  <c:v>43377</c:v>
                </c:pt>
                <c:pt idx="1373">
                  <c:v>43378</c:v>
                </c:pt>
                <c:pt idx="1374">
                  <c:v>43379</c:v>
                </c:pt>
                <c:pt idx="1375">
                  <c:v>43380</c:v>
                </c:pt>
                <c:pt idx="1376">
                  <c:v>43381</c:v>
                </c:pt>
                <c:pt idx="1377">
                  <c:v>43382</c:v>
                </c:pt>
                <c:pt idx="1378">
                  <c:v>43383</c:v>
                </c:pt>
                <c:pt idx="1379">
                  <c:v>43384</c:v>
                </c:pt>
                <c:pt idx="1380">
                  <c:v>43385</c:v>
                </c:pt>
                <c:pt idx="1381">
                  <c:v>43386</c:v>
                </c:pt>
                <c:pt idx="1382">
                  <c:v>43387</c:v>
                </c:pt>
                <c:pt idx="1383">
                  <c:v>43388</c:v>
                </c:pt>
                <c:pt idx="1384">
                  <c:v>43389</c:v>
                </c:pt>
                <c:pt idx="1385">
                  <c:v>43390</c:v>
                </c:pt>
                <c:pt idx="1386">
                  <c:v>43391</c:v>
                </c:pt>
                <c:pt idx="1387">
                  <c:v>43392</c:v>
                </c:pt>
                <c:pt idx="1388">
                  <c:v>43393</c:v>
                </c:pt>
                <c:pt idx="1389">
                  <c:v>43394</c:v>
                </c:pt>
                <c:pt idx="1390">
                  <c:v>43395</c:v>
                </c:pt>
                <c:pt idx="1391">
                  <c:v>43396</c:v>
                </c:pt>
                <c:pt idx="1392">
                  <c:v>43397</c:v>
                </c:pt>
                <c:pt idx="1393">
                  <c:v>43398</c:v>
                </c:pt>
                <c:pt idx="1394">
                  <c:v>43399</c:v>
                </c:pt>
                <c:pt idx="1395">
                  <c:v>43400</c:v>
                </c:pt>
                <c:pt idx="1396">
                  <c:v>43401</c:v>
                </c:pt>
                <c:pt idx="1397">
                  <c:v>43402</c:v>
                </c:pt>
                <c:pt idx="1398">
                  <c:v>43403</c:v>
                </c:pt>
                <c:pt idx="1399">
                  <c:v>43404</c:v>
                </c:pt>
                <c:pt idx="1400">
                  <c:v>43405</c:v>
                </c:pt>
                <c:pt idx="1401">
                  <c:v>43406</c:v>
                </c:pt>
                <c:pt idx="1402">
                  <c:v>43407</c:v>
                </c:pt>
                <c:pt idx="1403">
                  <c:v>43408</c:v>
                </c:pt>
                <c:pt idx="1404">
                  <c:v>43409</c:v>
                </c:pt>
                <c:pt idx="1405">
                  <c:v>43410</c:v>
                </c:pt>
                <c:pt idx="1406">
                  <c:v>43411</c:v>
                </c:pt>
                <c:pt idx="1407">
                  <c:v>43412</c:v>
                </c:pt>
                <c:pt idx="1408">
                  <c:v>43413</c:v>
                </c:pt>
                <c:pt idx="1409">
                  <c:v>43414</c:v>
                </c:pt>
                <c:pt idx="1410">
                  <c:v>43415</c:v>
                </c:pt>
                <c:pt idx="1411">
                  <c:v>43416</c:v>
                </c:pt>
                <c:pt idx="1412">
                  <c:v>43417</c:v>
                </c:pt>
                <c:pt idx="1413">
                  <c:v>43418</c:v>
                </c:pt>
                <c:pt idx="1414">
                  <c:v>43419</c:v>
                </c:pt>
                <c:pt idx="1415">
                  <c:v>43420</c:v>
                </c:pt>
                <c:pt idx="1416">
                  <c:v>43421</c:v>
                </c:pt>
                <c:pt idx="1417">
                  <c:v>43422</c:v>
                </c:pt>
                <c:pt idx="1418">
                  <c:v>43423</c:v>
                </c:pt>
                <c:pt idx="1419">
                  <c:v>43424</c:v>
                </c:pt>
                <c:pt idx="1420">
                  <c:v>43425</c:v>
                </c:pt>
                <c:pt idx="1421">
                  <c:v>43426</c:v>
                </c:pt>
                <c:pt idx="1422">
                  <c:v>43427</c:v>
                </c:pt>
                <c:pt idx="1423">
                  <c:v>43428</c:v>
                </c:pt>
                <c:pt idx="1424">
                  <c:v>43429</c:v>
                </c:pt>
                <c:pt idx="1425">
                  <c:v>43430</c:v>
                </c:pt>
                <c:pt idx="1426">
                  <c:v>43431</c:v>
                </c:pt>
                <c:pt idx="1427">
                  <c:v>43432</c:v>
                </c:pt>
                <c:pt idx="1428">
                  <c:v>43433</c:v>
                </c:pt>
                <c:pt idx="1429">
                  <c:v>43434</c:v>
                </c:pt>
                <c:pt idx="1430">
                  <c:v>43435</c:v>
                </c:pt>
                <c:pt idx="1431">
                  <c:v>43436</c:v>
                </c:pt>
                <c:pt idx="1432">
                  <c:v>43437</c:v>
                </c:pt>
                <c:pt idx="1433">
                  <c:v>43438</c:v>
                </c:pt>
                <c:pt idx="1434">
                  <c:v>43439</c:v>
                </c:pt>
                <c:pt idx="1435">
                  <c:v>43440</c:v>
                </c:pt>
                <c:pt idx="1436">
                  <c:v>43441</c:v>
                </c:pt>
                <c:pt idx="1437">
                  <c:v>43442</c:v>
                </c:pt>
                <c:pt idx="1438">
                  <c:v>43443</c:v>
                </c:pt>
                <c:pt idx="1439">
                  <c:v>43444</c:v>
                </c:pt>
                <c:pt idx="1440">
                  <c:v>43445</c:v>
                </c:pt>
                <c:pt idx="1441">
                  <c:v>43446</c:v>
                </c:pt>
                <c:pt idx="1442">
                  <c:v>43447</c:v>
                </c:pt>
                <c:pt idx="1443">
                  <c:v>43448</c:v>
                </c:pt>
                <c:pt idx="1444">
                  <c:v>43449</c:v>
                </c:pt>
                <c:pt idx="1445">
                  <c:v>43450</c:v>
                </c:pt>
                <c:pt idx="1446">
                  <c:v>43451</c:v>
                </c:pt>
                <c:pt idx="1447">
                  <c:v>43452</c:v>
                </c:pt>
                <c:pt idx="1448">
                  <c:v>43453</c:v>
                </c:pt>
                <c:pt idx="1449">
                  <c:v>43454</c:v>
                </c:pt>
                <c:pt idx="1450">
                  <c:v>43455</c:v>
                </c:pt>
                <c:pt idx="1451">
                  <c:v>43456</c:v>
                </c:pt>
                <c:pt idx="1452">
                  <c:v>43457</c:v>
                </c:pt>
                <c:pt idx="1453">
                  <c:v>43458</c:v>
                </c:pt>
                <c:pt idx="1454">
                  <c:v>43459</c:v>
                </c:pt>
                <c:pt idx="1455">
                  <c:v>43460</c:v>
                </c:pt>
                <c:pt idx="1456">
                  <c:v>43461</c:v>
                </c:pt>
                <c:pt idx="1457">
                  <c:v>43462</c:v>
                </c:pt>
                <c:pt idx="1458">
                  <c:v>43463</c:v>
                </c:pt>
                <c:pt idx="1459">
                  <c:v>43464</c:v>
                </c:pt>
                <c:pt idx="1460">
                  <c:v>43465</c:v>
                </c:pt>
                <c:pt idx="1461">
                  <c:v>43466</c:v>
                </c:pt>
                <c:pt idx="1462">
                  <c:v>43467</c:v>
                </c:pt>
                <c:pt idx="1463">
                  <c:v>43468</c:v>
                </c:pt>
                <c:pt idx="1464">
                  <c:v>43469</c:v>
                </c:pt>
                <c:pt idx="1465">
                  <c:v>43470</c:v>
                </c:pt>
                <c:pt idx="1466">
                  <c:v>43471</c:v>
                </c:pt>
                <c:pt idx="1467">
                  <c:v>43472</c:v>
                </c:pt>
                <c:pt idx="1468">
                  <c:v>43473</c:v>
                </c:pt>
                <c:pt idx="1469">
                  <c:v>43474</c:v>
                </c:pt>
                <c:pt idx="1470">
                  <c:v>43475</c:v>
                </c:pt>
                <c:pt idx="1471">
                  <c:v>43476</c:v>
                </c:pt>
                <c:pt idx="1472">
                  <c:v>43477</c:v>
                </c:pt>
                <c:pt idx="1473">
                  <c:v>43478</c:v>
                </c:pt>
                <c:pt idx="1474">
                  <c:v>43479</c:v>
                </c:pt>
                <c:pt idx="1475">
                  <c:v>43480</c:v>
                </c:pt>
                <c:pt idx="1476">
                  <c:v>43481</c:v>
                </c:pt>
                <c:pt idx="1477">
                  <c:v>43482</c:v>
                </c:pt>
                <c:pt idx="1478">
                  <c:v>43483</c:v>
                </c:pt>
                <c:pt idx="1479">
                  <c:v>43484</c:v>
                </c:pt>
                <c:pt idx="1480">
                  <c:v>43485</c:v>
                </c:pt>
                <c:pt idx="1481">
                  <c:v>43486</c:v>
                </c:pt>
                <c:pt idx="1482">
                  <c:v>43487</c:v>
                </c:pt>
                <c:pt idx="1483">
                  <c:v>43488</c:v>
                </c:pt>
                <c:pt idx="1484">
                  <c:v>43489</c:v>
                </c:pt>
                <c:pt idx="1485">
                  <c:v>43490</c:v>
                </c:pt>
                <c:pt idx="1486">
                  <c:v>43491</c:v>
                </c:pt>
                <c:pt idx="1487">
                  <c:v>43492</c:v>
                </c:pt>
                <c:pt idx="1488">
                  <c:v>43493</c:v>
                </c:pt>
                <c:pt idx="1489">
                  <c:v>43494</c:v>
                </c:pt>
                <c:pt idx="1490">
                  <c:v>43495</c:v>
                </c:pt>
                <c:pt idx="1491">
                  <c:v>43496</c:v>
                </c:pt>
                <c:pt idx="1492">
                  <c:v>43497</c:v>
                </c:pt>
                <c:pt idx="1493">
                  <c:v>43498</c:v>
                </c:pt>
                <c:pt idx="1494">
                  <c:v>43499</c:v>
                </c:pt>
                <c:pt idx="1495">
                  <c:v>43500</c:v>
                </c:pt>
                <c:pt idx="1496">
                  <c:v>43501</c:v>
                </c:pt>
                <c:pt idx="1497">
                  <c:v>43502</c:v>
                </c:pt>
                <c:pt idx="1498">
                  <c:v>43503</c:v>
                </c:pt>
                <c:pt idx="1499">
                  <c:v>43504</c:v>
                </c:pt>
                <c:pt idx="1500">
                  <c:v>43505</c:v>
                </c:pt>
                <c:pt idx="1501">
                  <c:v>43506</c:v>
                </c:pt>
                <c:pt idx="1502">
                  <c:v>43507</c:v>
                </c:pt>
                <c:pt idx="1503">
                  <c:v>43508</c:v>
                </c:pt>
                <c:pt idx="1504">
                  <c:v>43509</c:v>
                </c:pt>
                <c:pt idx="1505">
                  <c:v>43510</c:v>
                </c:pt>
                <c:pt idx="1506">
                  <c:v>43511</c:v>
                </c:pt>
                <c:pt idx="1507">
                  <c:v>43512</c:v>
                </c:pt>
                <c:pt idx="1508">
                  <c:v>43513</c:v>
                </c:pt>
                <c:pt idx="1509">
                  <c:v>43514</c:v>
                </c:pt>
                <c:pt idx="1510">
                  <c:v>43515</c:v>
                </c:pt>
                <c:pt idx="1511">
                  <c:v>43516</c:v>
                </c:pt>
                <c:pt idx="1512">
                  <c:v>43517</c:v>
                </c:pt>
                <c:pt idx="1513">
                  <c:v>43518</c:v>
                </c:pt>
                <c:pt idx="1514">
                  <c:v>43519</c:v>
                </c:pt>
                <c:pt idx="1515">
                  <c:v>43520</c:v>
                </c:pt>
                <c:pt idx="1516">
                  <c:v>43521</c:v>
                </c:pt>
                <c:pt idx="1517">
                  <c:v>43522</c:v>
                </c:pt>
                <c:pt idx="1518">
                  <c:v>43523</c:v>
                </c:pt>
                <c:pt idx="1519">
                  <c:v>43524</c:v>
                </c:pt>
                <c:pt idx="1520">
                  <c:v>43525</c:v>
                </c:pt>
                <c:pt idx="1521">
                  <c:v>43526</c:v>
                </c:pt>
                <c:pt idx="1522">
                  <c:v>43527</c:v>
                </c:pt>
                <c:pt idx="1523">
                  <c:v>43528</c:v>
                </c:pt>
                <c:pt idx="1524">
                  <c:v>43529</c:v>
                </c:pt>
                <c:pt idx="1525">
                  <c:v>43530</c:v>
                </c:pt>
                <c:pt idx="1526">
                  <c:v>43531</c:v>
                </c:pt>
                <c:pt idx="1527">
                  <c:v>43532</c:v>
                </c:pt>
                <c:pt idx="1528">
                  <c:v>43533</c:v>
                </c:pt>
                <c:pt idx="1529">
                  <c:v>43534</c:v>
                </c:pt>
                <c:pt idx="1530">
                  <c:v>43535</c:v>
                </c:pt>
                <c:pt idx="1531">
                  <c:v>43536</c:v>
                </c:pt>
                <c:pt idx="1532">
                  <c:v>43537</c:v>
                </c:pt>
                <c:pt idx="1533">
                  <c:v>43538</c:v>
                </c:pt>
                <c:pt idx="1534">
                  <c:v>43539</c:v>
                </c:pt>
                <c:pt idx="1535">
                  <c:v>43540</c:v>
                </c:pt>
                <c:pt idx="1536">
                  <c:v>43541</c:v>
                </c:pt>
                <c:pt idx="1537">
                  <c:v>43542</c:v>
                </c:pt>
                <c:pt idx="1538">
                  <c:v>43543</c:v>
                </c:pt>
                <c:pt idx="1539">
                  <c:v>43544</c:v>
                </c:pt>
                <c:pt idx="1540">
                  <c:v>43545</c:v>
                </c:pt>
                <c:pt idx="1541">
                  <c:v>43546</c:v>
                </c:pt>
                <c:pt idx="1542">
                  <c:v>43547</c:v>
                </c:pt>
                <c:pt idx="1543">
                  <c:v>43548</c:v>
                </c:pt>
                <c:pt idx="1544">
                  <c:v>43549</c:v>
                </c:pt>
                <c:pt idx="1545">
                  <c:v>43550</c:v>
                </c:pt>
                <c:pt idx="1546">
                  <c:v>43551</c:v>
                </c:pt>
                <c:pt idx="1547">
                  <c:v>43552</c:v>
                </c:pt>
                <c:pt idx="1548">
                  <c:v>43553</c:v>
                </c:pt>
                <c:pt idx="1549">
                  <c:v>43554</c:v>
                </c:pt>
                <c:pt idx="1550">
                  <c:v>43555</c:v>
                </c:pt>
                <c:pt idx="1551">
                  <c:v>43556</c:v>
                </c:pt>
                <c:pt idx="1552">
                  <c:v>43557</c:v>
                </c:pt>
                <c:pt idx="1553">
                  <c:v>43558</c:v>
                </c:pt>
                <c:pt idx="1554">
                  <c:v>43559</c:v>
                </c:pt>
                <c:pt idx="1555">
                  <c:v>43560</c:v>
                </c:pt>
                <c:pt idx="1556">
                  <c:v>43561</c:v>
                </c:pt>
                <c:pt idx="1557">
                  <c:v>43562</c:v>
                </c:pt>
                <c:pt idx="1558">
                  <c:v>43563</c:v>
                </c:pt>
                <c:pt idx="1559">
                  <c:v>43564</c:v>
                </c:pt>
                <c:pt idx="1560">
                  <c:v>43565</c:v>
                </c:pt>
                <c:pt idx="1561">
                  <c:v>43566</c:v>
                </c:pt>
                <c:pt idx="1562">
                  <c:v>43567</c:v>
                </c:pt>
                <c:pt idx="1563">
                  <c:v>43568</c:v>
                </c:pt>
                <c:pt idx="1564">
                  <c:v>43569</c:v>
                </c:pt>
                <c:pt idx="1565">
                  <c:v>43570</c:v>
                </c:pt>
                <c:pt idx="1566">
                  <c:v>43571</c:v>
                </c:pt>
                <c:pt idx="1567">
                  <c:v>43572</c:v>
                </c:pt>
                <c:pt idx="1568">
                  <c:v>43573</c:v>
                </c:pt>
                <c:pt idx="1569">
                  <c:v>43574</c:v>
                </c:pt>
                <c:pt idx="1570">
                  <c:v>43575</c:v>
                </c:pt>
                <c:pt idx="1571">
                  <c:v>43576</c:v>
                </c:pt>
                <c:pt idx="1572">
                  <c:v>43577</c:v>
                </c:pt>
                <c:pt idx="1573">
                  <c:v>43578</c:v>
                </c:pt>
                <c:pt idx="1574">
                  <c:v>43579</c:v>
                </c:pt>
                <c:pt idx="1575">
                  <c:v>43580</c:v>
                </c:pt>
                <c:pt idx="1576">
                  <c:v>43581</c:v>
                </c:pt>
                <c:pt idx="1577">
                  <c:v>43582</c:v>
                </c:pt>
                <c:pt idx="1578">
                  <c:v>43583</c:v>
                </c:pt>
                <c:pt idx="1579">
                  <c:v>43584</c:v>
                </c:pt>
                <c:pt idx="1580">
                  <c:v>43585</c:v>
                </c:pt>
                <c:pt idx="1581">
                  <c:v>43586</c:v>
                </c:pt>
                <c:pt idx="1582">
                  <c:v>43587</c:v>
                </c:pt>
                <c:pt idx="1583">
                  <c:v>43588</c:v>
                </c:pt>
                <c:pt idx="1584">
                  <c:v>43589</c:v>
                </c:pt>
                <c:pt idx="1585">
                  <c:v>43590</c:v>
                </c:pt>
                <c:pt idx="1586">
                  <c:v>43591</c:v>
                </c:pt>
                <c:pt idx="1587">
                  <c:v>43592</c:v>
                </c:pt>
                <c:pt idx="1588">
                  <c:v>43593</c:v>
                </c:pt>
                <c:pt idx="1589">
                  <c:v>43594</c:v>
                </c:pt>
                <c:pt idx="1590">
                  <c:v>43595</c:v>
                </c:pt>
                <c:pt idx="1591">
                  <c:v>43596</c:v>
                </c:pt>
                <c:pt idx="1592">
                  <c:v>43597</c:v>
                </c:pt>
                <c:pt idx="1593">
                  <c:v>43598</c:v>
                </c:pt>
                <c:pt idx="1594">
                  <c:v>43599</c:v>
                </c:pt>
                <c:pt idx="1595">
                  <c:v>43600</c:v>
                </c:pt>
                <c:pt idx="1596">
                  <c:v>43601</c:v>
                </c:pt>
                <c:pt idx="1597">
                  <c:v>43602</c:v>
                </c:pt>
                <c:pt idx="1598">
                  <c:v>43603</c:v>
                </c:pt>
                <c:pt idx="1599">
                  <c:v>43604</c:v>
                </c:pt>
                <c:pt idx="1600">
                  <c:v>43605</c:v>
                </c:pt>
                <c:pt idx="1601">
                  <c:v>43606</c:v>
                </c:pt>
                <c:pt idx="1602">
                  <c:v>43607</c:v>
                </c:pt>
                <c:pt idx="1603">
                  <c:v>43608</c:v>
                </c:pt>
                <c:pt idx="1604">
                  <c:v>43609</c:v>
                </c:pt>
                <c:pt idx="1605">
                  <c:v>43610</c:v>
                </c:pt>
                <c:pt idx="1606">
                  <c:v>43611</c:v>
                </c:pt>
                <c:pt idx="1607">
                  <c:v>43612</c:v>
                </c:pt>
                <c:pt idx="1608">
                  <c:v>43613</c:v>
                </c:pt>
                <c:pt idx="1609">
                  <c:v>43614</c:v>
                </c:pt>
                <c:pt idx="1610">
                  <c:v>43615</c:v>
                </c:pt>
                <c:pt idx="1611">
                  <c:v>43616</c:v>
                </c:pt>
                <c:pt idx="1612">
                  <c:v>43617</c:v>
                </c:pt>
                <c:pt idx="1613">
                  <c:v>43618</c:v>
                </c:pt>
                <c:pt idx="1614">
                  <c:v>43619</c:v>
                </c:pt>
                <c:pt idx="1615">
                  <c:v>43620</c:v>
                </c:pt>
                <c:pt idx="1616">
                  <c:v>43621</c:v>
                </c:pt>
                <c:pt idx="1617">
                  <c:v>43622</c:v>
                </c:pt>
                <c:pt idx="1618">
                  <c:v>43623</c:v>
                </c:pt>
                <c:pt idx="1619">
                  <c:v>43624</c:v>
                </c:pt>
                <c:pt idx="1620">
                  <c:v>43625</c:v>
                </c:pt>
                <c:pt idx="1621">
                  <c:v>43626</c:v>
                </c:pt>
                <c:pt idx="1622">
                  <c:v>43627</c:v>
                </c:pt>
                <c:pt idx="1623">
                  <c:v>43628</c:v>
                </c:pt>
                <c:pt idx="1624">
                  <c:v>43629</c:v>
                </c:pt>
                <c:pt idx="1625">
                  <c:v>43630</c:v>
                </c:pt>
                <c:pt idx="1626">
                  <c:v>43631</c:v>
                </c:pt>
                <c:pt idx="1627">
                  <c:v>43632</c:v>
                </c:pt>
                <c:pt idx="1628">
                  <c:v>43633</c:v>
                </c:pt>
                <c:pt idx="1629">
                  <c:v>43634</c:v>
                </c:pt>
                <c:pt idx="1630">
                  <c:v>43635</c:v>
                </c:pt>
                <c:pt idx="1631">
                  <c:v>43636</c:v>
                </c:pt>
                <c:pt idx="1632">
                  <c:v>43637</c:v>
                </c:pt>
                <c:pt idx="1633">
                  <c:v>43638</c:v>
                </c:pt>
                <c:pt idx="1634">
                  <c:v>43639</c:v>
                </c:pt>
                <c:pt idx="1635">
                  <c:v>43640</c:v>
                </c:pt>
                <c:pt idx="1636">
                  <c:v>43641</c:v>
                </c:pt>
                <c:pt idx="1637">
                  <c:v>43642</c:v>
                </c:pt>
                <c:pt idx="1638">
                  <c:v>43643</c:v>
                </c:pt>
                <c:pt idx="1639">
                  <c:v>43644</c:v>
                </c:pt>
                <c:pt idx="1640">
                  <c:v>43645</c:v>
                </c:pt>
                <c:pt idx="1641">
                  <c:v>43646</c:v>
                </c:pt>
                <c:pt idx="1642">
                  <c:v>43647</c:v>
                </c:pt>
                <c:pt idx="1643">
                  <c:v>43648</c:v>
                </c:pt>
                <c:pt idx="1644">
                  <c:v>43649</c:v>
                </c:pt>
                <c:pt idx="1645">
                  <c:v>43650</c:v>
                </c:pt>
                <c:pt idx="1646">
                  <c:v>43651</c:v>
                </c:pt>
                <c:pt idx="1647">
                  <c:v>43652</c:v>
                </c:pt>
                <c:pt idx="1648">
                  <c:v>43653</c:v>
                </c:pt>
                <c:pt idx="1649">
                  <c:v>43654</c:v>
                </c:pt>
                <c:pt idx="1650">
                  <c:v>43655</c:v>
                </c:pt>
                <c:pt idx="1651">
                  <c:v>43656</c:v>
                </c:pt>
                <c:pt idx="1652">
                  <c:v>43657</c:v>
                </c:pt>
                <c:pt idx="1653">
                  <c:v>43658</c:v>
                </c:pt>
                <c:pt idx="1654">
                  <c:v>43659</c:v>
                </c:pt>
                <c:pt idx="1655">
                  <c:v>43660</c:v>
                </c:pt>
                <c:pt idx="1656">
                  <c:v>43661</c:v>
                </c:pt>
                <c:pt idx="1657">
                  <c:v>43662</c:v>
                </c:pt>
                <c:pt idx="1658">
                  <c:v>43663</c:v>
                </c:pt>
                <c:pt idx="1659">
                  <c:v>43664</c:v>
                </c:pt>
                <c:pt idx="1660">
                  <c:v>43665</c:v>
                </c:pt>
                <c:pt idx="1661">
                  <c:v>43666</c:v>
                </c:pt>
                <c:pt idx="1662">
                  <c:v>43667</c:v>
                </c:pt>
                <c:pt idx="1663">
                  <c:v>43668</c:v>
                </c:pt>
                <c:pt idx="1664">
                  <c:v>43669</c:v>
                </c:pt>
                <c:pt idx="1665">
                  <c:v>43670</c:v>
                </c:pt>
                <c:pt idx="1666">
                  <c:v>43671</c:v>
                </c:pt>
                <c:pt idx="1667">
                  <c:v>43672</c:v>
                </c:pt>
                <c:pt idx="1668">
                  <c:v>43673</c:v>
                </c:pt>
                <c:pt idx="1669">
                  <c:v>43674</c:v>
                </c:pt>
                <c:pt idx="1670">
                  <c:v>43675</c:v>
                </c:pt>
                <c:pt idx="1671">
                  <c:v>43676</c:v>
                </c:pt>
                <c:pt idx="1672">
                  <c:v>43677</c:v>
                </c:pt>
                <c:pt idx="1673">
                  <c:v>43678</c:v>
                </c:pt>
                <c:pt idx="1674">
                  <c:v>43679</c:v>
                </c:pt>
                <c:pt idx="1675">
                  <c:v>43680</c:v>
                </c:pt>
                <c:pt idx="1676">
                  <c:v>43681</c:v>
                </c:pt>
                <c:pt idx="1677">
                  <c:v>43682</c:v>
                </c:pt>
                <c:pt idx="1678">
                  <c:v>43683</c:v>
                </c:pt>
                <c:pt idx="1679">
                  <c:v>43684</c:v>
                </c:pt>
                <c:pt idx="1680">
                  <c:v>43685</c:v>
                </c:pt>
                <c:pt idx="1681">
                  <c:v>43686</c:v>
                </c:pt>
                <c:pt idx="1682">
                  <c:v>43687</c:v>
                </c:pt>
                <c:pt idx="1683">
                  <c:v>43688</c:v>
                </c:pt>
                <c:pt idx="1684">
                  <c:v>43689</c:v>
                </c:pt>
                <c:pt idx="1685">
                  <c:v>43690</c:v>
                </c:pt>
                <c:pt idx="1686">
                  <c:v>43691</c:v>
                </c:pt>
                <c:pt idx="1687">
                  <c:v>43692</c:v>
                </c:pt>
                <c:pt idx="1688">
                  <c:v>43693</c:v>
                </c:pt>
                <c:pt idx="1689">
                  <c:v>43694</c:v>
                </c:pt>
                <c:pt idx="1690">
                  <c:v>43695</c:v>
                </c:pt>
                <c:pt idx="1691">
                  <c:v>43696</c:v>
                </c:pt>
                <c:pt idx="1692">
                  <c:v>43697</c:v>
                </c:pt>
                <c:pt idx="1693">
                  <c:v>43698</c:v>
                </c:pt>
                <c:pt idx="1694">
                  <c:v>43699</c:v>
                </c:pt>
                <c:pt idx="1695">
                  <c:v>43700</c:v>
                </c:pt>
                <c:pt idx="1696">
                  <c:v>43701</c:v>
                </c:pt>
                <c:pt idx="1697">
                  <c:v>43702</c:v>
                </c:pt>
                <c:pt idx="1698">
                  <c:v>43703</c:v>
                </c:pt>
                <c:pt idx="1699">
                  <c:v>43704</c:v>
                </c:pt>
                <c:pt idx="1700">
                  <c:v>43705</c:v>
                </c:pt>
                <c:pt idx="1701">
                  <c:v>43706</c:v>
                </c:pt>
                <c:pt idx="1702">
                  <c:v>43707</c:v>
                </c:pt>
                <c:pt idx="1703">
                  <c:v>43708</c:v>
                </c:pt>
                <c:pt idx="1704">
                  <c:v>43709</c:v>
                </c:pt>
                <c:pt idx="1705">
                  <c:v>43710</c:v>
                </c:pt>
                <c:pt idx="1706">
                  <c:v>43711</c:v>
                </c:pt>
                <c:pt idx="1707">
                  <c:v>43712</c:v>
                </c:pt>
                <c:pt idx="1708">
                  <c:v>43713</c:v>
                </c:pt>
                <c:pt idx="1709">
                  <c:v>43714</c:v>
                </c:pt>
                <c:pt idx="1710">
                  <c:v>43715</c:v>
                </c:pt>
                <c:pt idx="1711">
                  <c:v>43716</c:v>
                </c:pt>
                <c:pt idx="1712">
                  <c:v>43717</c:v>
                </c:pt>
                <c:pt idx="1713">
                  <c:v>43718</c:v>
                </c:pt>
                <c:pt idx="1714">
                  <c:v>43719</c:v>
                </c:pt>
                <c:pt idx="1715">
                  <c:v>43720</c:v>
                </c:pt>
                <c:pt idx="1716">
                  <c:v>43721</c:v>
                </c:pt>
                <c:pt idx="1717">
                  <c:v>43722</c:v>
                </c:pt>
                <c:pt idx="1718">
                  <c:v>43723</c:v>
                </c:pt>
                <c:pt idx="1719">
                  <c:v>43724</c:v>
                </c:pt>
                <c:pt idx="1720">
                  <c:v>43725</c:v>
                </c:pt>
                <c:pt idx="1721">
                  <c:v>43726</c:v>
                </c:pt>
                <c:pt idx="1722">
                  <c:v>43727</c:v>
                </c:pt>
                <c:pt idx="1723">
                  <c:v>43728</c:v>
                </c:pt>
                <c:pt idx="1724">
                  <c:v>43729</c:v>
                </c:pt>
                <c:pt idx="1725">
                  <c:v>43730</c:v>
                </c:pt>
                <c:pt idx="1726">
                  <c:v>43731</c:v>
                </c:pt>
                <c:pt idx="1727">
                  <c:v>43732</c:v>
                </c:pt>
                <c:pt idx="1728">
                  <c:v>43733</c:v>
                </c:pt>
                <c:pt idx="1729">
                  <c:v>43734</c:v>
                </c:pt>
                <c:pt idx="1730">
                  <c:v>43735</c:v>
                </c:pt>
                <c:pt idx="1731">
                  <c:v>43736</c:v>
                </c:pt>
                <c:pt idx="1732">
                  <c:v>43737</c:v>
                </c:pt>
                <c:pt idx="1733">
                  <c:v>43738</c:v>
                </c:pt>
                <c:pt idx="1734">
                  <c:v>43739</c:v>
                </c:pt>
                <c:pt idx="1735">
                  <c:v>43740</c:v>
                </c:pt>
                <c:pt idx="1736">
                  <c:v>43741</c:v>
                </c:pt>
                <c:pt idx="1737">
                  <c:v>43742</c:v>
                </c:pt>
                <c:pt idx="1738">
                  <c:v>43743</c:v>
                </c:pt>
                <c:pt idx="1739">
                  <c:v>43744</c:v>
                </c:pt>
                <c:pt idx="1740">
                  <c:v>43745</c:v>
                </c:pt>
                <c:pt idx="1741">
                  <c:v>43746</c:v>
                </c:pt>
                <c:pt idx="1742">
                  <c:v>43747</c:v>
                </c:pt>
                <c:pt idx="1743">
                  <c:v>43748</c:v>
                </c:pt>
                <c:pt idx="1744">
                  <c:v>43749</c:v>
                </c:pt>
                <c:pt idx="1745">
                  <c:v>43750</c:v>
                </c:pt>
                <c:pt idx="1746">
                  <c:v>43751</c:v>
                </c:pt>
                <c:pt idx="1747">
                  <c:v>43752</c:v>
                </c:pt>
                <c:pt idx="1748">
                  <c:v>43753</c:v>
                </c:pt>
                <c:pt idx="1749">
                  <c:v>43754</c:v>
                </c:pt>
                <c:pt idx="1750">
                  <c:v>43755</c:v>
                </c:pt>
                <c:pt idx="1751">
                  <c:v>43756</c:v>
                </c:pt>
                <c:pt idx="1752">
                  <c:v>43757</c:v>
                </c:pt>
                <c:pt idx="1753">
                  <c:v>43758</c:v>
                </c:pt>
                <c:pt idx="1754">
                  <c:v>43759</c:v>
                </c:pt>
                <c:pt idx="1755">
                  <c:v>43760</c:v>
                </c:pt>
                <c:pt idx="1756">
                  <c:v>43761</c:v>
                </c:pt>
                <c:pt idx="1757">
                  <c:v>43762</c:v>
                </c:pt>
                <c:pt idx="1758">
                  <c:v>43763</c:v>
                </c:pt>
                <c:pt idx="1759">
                  <c:v>43764</c:v>
                </c:pt>
                <c:pt idx="1760">
                  <c:v>43765</c:v>
                </c:pt>
                <c:pt idx="1761">
                  <c:v>43766</c:v>
                </c:pt>
                <c:pt idx="1762">
                  <c:v>43767</c:v>
                </c:pt>
                <c:pt idx="1763">
                  <c:v>43768</c:v>
                </c:pt>
                <c:pt idx="1764">
                  <c:v>43769</c:v>
                </c:pt>
                <c:pt idx="1765">
                  <c:v>43770</c:v>
                </c:pt>
                <c:pt idx="1766">
                  <c:v>43771</c:v>
                </c:pt>
                <c:pt idx="1767">
                  <c:v>43772</c:v>
                </c:pt>
                <c:pt idx="1768">
                  <c:v>43773</c:v>
                </c:pt>
                <c:pt idx="1769">
                  <c:v>43774</c:v>
                </c:pt>
                <c:pt idx="1770">
                  <c:v>43775</c:v>
                </c:pt>
                <c:pt idx="1771">
                  <c:v>43776</c:v>
                </c:pt>
                <c:pt idx="1772">
                  <c:v>43777</c:v>
                </c:pt>
                <c:pt idx="1773">
                  <c:v>43778</c:v>
                </c:pt>
                <c:pt idx="1774">
                  <c:v>43779</c:v>
                </c:pt>
                <c:pt idx="1775">
                  <c:v>43780</c:v>
                </c:pt>
                <c:pt idx="1776">
                  <c:v>43781</c:v>
                </c:pt>
                <c:pt idx="1777">
                  <c:v>43782</c:v>
                </c:pt>
                <c:pt idx="1778">
                  <c:v>43783</c:v>
                </c:pt>
                <c:pt idx="1779">
                  <c:v>43784</c:v>
                </c:pt>
                <c:pt idx="1780">
                  <c:v>43785</c:v>
                </c:pt>
                <c:pt idx="1781">
                  <c:v>43786</c:v>
                </c:pt>
                <c:pt idx="1782">
                  <c:v>43787</c:v>
                </c:pt>
                <c:pt idx="1783">
                  <c:v>43788</c:v>
                </c:pt>
                <c:pt idx="1784">
                  <c:v>43789</c:v>
                </c:pt>
                <c:pt idx="1785">
                  <c:v>43790</c:v>
                </c:pt>
                <c:pt idx="1786">
                  <c:v>43791</c:v>
                </c:pt>
                <c:pt idx="1787">
                  <c:v>43792</c:v>
                </c:pt>
                <c:pt idx="1788">
                  <c:v>43793</c:v>
                </c:pt>
                <c:pt idx="1789">
                  <c:v>43794</c:v>
                </c:pt>
                <c:pt idx="1790">
                  <c:v>43795</c:v>
                </c:pt>
                <c:pt idx="1791">
                  <c:v>43796</c:v>
                </c:pt>
                <c:pt idx="1792">
                  <c:v>43797</c:v>
                </c:pt>
                <c:pt idx="1793">
                  <c:v>43798</c:v>
                </c:pt>
                <c:pt idx="1794">
                  <c:v>43799</c:v>
                </c:pt>
                <c:pt idx="1795">
                  <c:v>43800</c:v>
                </c:pt>
                <c:pt idx="1796">
                  <c:v>43801</c:v>
                </c:pt>
                <c:pt idx="1797">
                  <c:v>43802</c:v>
                </c:pt>
                <c:pt idx="1798">
                  <c:v>43803</c:v>
                </c:pt>
                <c:pt idx="1799">
                  <c:v>43804</c:v>
                </c:pt>
                <c:pt idx="1800">
                  <c:v>43805</c:v>
                </c:pt>
                <c:pt idx="1801">
                  <c:v>43806</c:v>
                </c:pt>
                <c:pt idx="1802">
                  <c:v>43807</c:v>
                </c:pt>
                <c:pt idx="1803">
                  <c:v>43808</c:v>
                </c:pt>
                <c:pt idx="1804">
                  <c:v>43809</c:v>
                </c:pt>
                <c:pt idx="1805">
                  <c:v>43810</c:v>
                </c:pt>
                <c:pt idx="1806">
                  <c:v>43811</c:v>
                </c:pt>
                <c:pt idx="1807">
                  <c:v>43812</c:v>
                </c:pt>
                <c:pt idx="1808">
                  <c:v>43813</c:v>
                </c:pt>
                <c:pt idx="1809">
                  <c:v>43814</c:v>
                </c:pt>
                <c:pt idx="1810">
                  <c:v>43815</c:v>
                </c:pt>
                <c:pt idx="1811">
                  <c:v>43816</c:v>
                </c:pt>
                <c:pt idx="1812">
                  <c:v>43817</c:v>
                </c:pt>
                <c:pt idx="1813">
                  <c:v>43818</c:v>
                </c:pt>
                <c:pt idx="1814">
                  <c:v>43819</c:v>
                </c:pt>
                <c:pt idx="1815">
                  <c:v>43820</c:v>
                </c:pt>
                <c:pt idx="1816">
                  <c:v>43821</c:v>
                </c:pt>
                <c:pt idx="1817">
                  <c:v>43822</c:v>
                </c:pt>
                <c:pt idx="1818">
                  <c:v>43823</c:v>
                </c:pt>
                <c:pt idx="1819">
                  <c:v>43824</c:v>
                </c:pt>
                <c:pt idx="1820">
                  <c:v>43825</c:v>
                </c:pt>
                <c:pt idx="1821">
                  <c:v>43826</c:v>
                </c:pt>
                <c:pt idx="1822">
                  <c:v>43827</c:v>
                </c:pt>
                <c:pt idx="1823">
                  <c:v>43828</c:v>
                </c:pt>
                <c:pt idx="1824">
                  <c:v>43829</c:v>
                </c:pt>
                <c:pt idx="1825">
                  <c:v>43830</c:v>
                </c:pt>
                <c:pt idx="1826">
                  <c:v>43831</c:v>
                </c:pt>
                <c:pt idx="1827">
                  <c:v>43832</c:v>
                </c:pt>
                <c:pt idx="1828">
                  <c:v>43833</c:v>
                </c:pt>
                <c:pt idx="1829">
                  <c:v>43834</c:v>
                </c:pt>
                <c:pt idx="1830">
                  <c:v>43835</c:v>
                </c:pt>
                <c:pt idx="1831">
                  <c:v>43836</c:v>
                </c:pt>
                <c:pt idx="1832">
                  <c:v>43837</c:v>
                </c:pt>
                <c:pt idx="1833">
                  <c:v>43838</c:v>
                </c:pt>
                <c:pt idx="1834">
                  <c:v>43839</c:v>
                </c:pt>
                <c:pt idx="1835">
                  <c:v>43840</c:v>
                </c:pt>
                <c:pt idx="1836">
                  <c:v>43841</c:v>
                </c:pt>
                <c:pt idx="1837">
                  <c:v>43842</c:v>
                </c:pt>
                <c:pt idx="1838">
                  <c:v>43843</c:v>
                </c:pt>
                <c:pt idx="1839">
                  <c:v>43844</c:v>
                </c:pt>
                <c:pt idx="1840">
                  <c:v>43845</c:v>
                </c:pt>
                <c:pt idx="1841">
                  <c:v>43846</c:v>
                </c:pt>
                <c:pt idx="1842">
                  <c:v>43847</c:v>
                </c:pt>
                <c:pt idx="1843">
                  <c:v>43848</c:v>
                </c:pt>
                <c:pt idx="1844">
                  <c:v>43849</c:v>
                </c:pt>
                <c:pt idx="1845">
                  <c:v>43850</c:v>
                </c:pt>
                <c:pt idx="1846">
                  <c:v>43851</c:v>
                </c:pt>
                <c:pt idx="1847">
                  <c:v>43852</c:v>
                </c:pt>
                <c:pt idx="1848">
                  <c:v>43853</c:v>
                </c:pt>
                <c:pt idx="1849">
                  <c:v>43854</c:v>
                </c:pt>
                <c:pt idx="1850">
                  <c:v>43855</c:v>
                </c:pt>
                <c:pt idx="1851">
                  <c:v>43856</c:v>
                </c:pt>
                <c:pt idx="1852">
                  <c:v>43857</c:v>
                </c:pt>
                <c:pt idx="1853">
                  <c:v>43858</c:v>
                </c:pt>
                <c:pt idx="1854">
                  <c:v>43859</c:v>
                </c:pt>
                <c:pt idx="1855">
                  <c:v>43860</c:v>
                </c:pt>
                <c:pt idx="1856">
                  <c:v>43861</c:v>
                </c:pt>
                <c:pt idx="1857">
                  <c:v>43862</c:v>
                </c:pt>
                <c:pt idx="1858">
                  <c:v>43863</c:v>
                </c:pt>
                <c:pt idx="1859">
                  <c:v>43864</c:v>
                </c:pt>
                <c:pt idx="1860">
                  <c:v>43865</c:v>
                </c:pt>
                <c:pt idx="1861">
                  <c:v>43866</c:v>
                </c:pt>
                <c:pt idx="1862">
                  <c:v>43867</c:v>
                </c:pt>
                <c:pt idx="1863">
                  <c:v>43868</c:v>
                </c:pt>
                <c:pt idx="1864">
                  <c:v>43869</c:v>
                </c:pt>
                <c:pt idx="1865">
                  <c:v>43870</c:v>
                </c:pt>
                <c:pt idx="1866">
                  <c:v>43871</c:v>
                </c:pt>
                <c:pt idx="1867">
                  <c:v>43872</c:v>
                </c:pt>
                <c:pt idx="1868">
                  <c:v>43873</c:v>
                </c:pt>
                <c:pt idx="1869">
                  <c:v>43874</c:v>
                </c:pt>
                <c:pt idx="1870">
                  <c:v>43875</c:v>
                </c:pt>
                <c:pt idx="1871">
                  <c:v>43876</c:v>
                </c:pt>
                <c:pt idx="1872">
                  <c:v>43877</c:v>
                </c:pt>
                <c:pt idx="1873">
                  <c:v>43878</c:v>
                </c:pt>
                <c:pt idx="1874">
                  <c:v>43879</c:v>
                </c:pt>
                <c:pt idx="1875">
                  <c:v>43880</c:v>
                </c:pt>
                <c:pt idx="1876">
                  <c:v>43881</c:v>
                </c:pt>
                <c:pt idx="1877">
                  <c:v>43882</c:v>
                </c:pt>
                <c:pt idx="1878">
                  <c:v>43883</c:v>
                </c:pt>
                <c:pt idx="1879">
                  <c:v>43884</c:v>
                </c:pt>
                <c:pt idx="1880">
                  <c:v>43885</c:v>
                </c:pt>
                <c:pt idx="1881">
                  <c:v>43886</c:v>
                </c:pt>
                <c:pt idx="1882">
                  <c:v>43887</c:v>
                </c:pt>
                <c:pt idx="1883">
                  <c:v>43888</c:v>
                </c:pt>
                <c:pt idx="1884">
                  <c:v>43889</c:v>
                </c:pt>
                <c:pt idx="1885">
                  <c:v>43890</c:v>
                </c:pt>
                <c:pt idx="1886">
                  <c:v>43891</c:v>
                </c:pt>
                <c:pt idx="1887">
                  <c:v>43892</c:v>
                </c:pt>
                <c:pt idx="1888">
                  <c:v>43893</c:v>
                </c:pt>
                <c:pt idx="1889">
                  <c:v>43894</c:v>
                </c:pt>
                <c:pt idx="1890">
                  <c:v>43895</c:v>
                </c:pt>
                <c:pt idx="1891">
                  <c:v>43896</c:v>
                </c:pt>
                <c:pt idx="1892">
                  <c:v>43897</c:v>
                </c:pt>
                <c:pt idx="1893">
                  <c:v>43898</c:v>
                </c:pt>
                <c:pt idx="1894">
                  <c:v>43899</c:v>
                </c:pt>
                <c:pt idx="1895">
                  <c:v>43900</c:v>
                </c:pt>
                <c:pt idx="1896">
                  <c:v>43901</c:v>
                </c:pt>
                <c:pt idx="1897">
                  <c:v>43902</c:v>
                </c:pt>
                <c:pt idx="1898">
                  <c:v>43903</c:v>
                </c:pt>
                <c:pt idx="1899">
                  <c:v>43904</c:v>
                </c:pt>
                <c:pt idx="1900">
                  <c:v>43905</c:v>
                </c:pt>
                <c:pt idx="1901">
                  <c:v>43906</c:v>
                </c:pt>
                <c:pt idx="1902">
                  <c:v>43907</c:v>
                </c:pt>
                <c:pt idx="1903">
                  <c:v>43908</c:v>
                </c:pt>
                <c:pt idx="1904">
                  <c:v>43909</c:v>
                </c:pt>
                <c:pt idx="1905">
                  <c:v>43910</c:v>
                </c:pt>
                <c:pt idx="1906">
                  <c:v>43911</c:v>
                </c:pt>
                <c:pt idx="1907">
                  <c:v>43912</c:v>
                </c:pt>
                <c:pt idx="1908">
                  <c:v>43913</c:v>
                </c:pt>
                <c:pt idx="1909">
                  <c:v>43914</c:v>
                </c:pt>
                <c:pt idx="1910">
                  <c:v>43915</c:v>
                </c:pt>
                <c:pt idx="1911">
                  <c:v>43916</c:v>
                </c:pt>
                <c:pt idx="1912">
                  <c:v>43917</c:v>
                </c:pt>
                <c:pt idx="1913">
                  <c:v>43918</c:v>
                </c:pt>
                <c:pt idx="1914">
                  <c:v>43919</c:v>
                </c:pt>
                <c:pt idx="1915">
                  <c:v>43920</c:v>
                </c:pt>
                <c:pt idx="1916">
                  <c:v>43921</c:v>
                </c:pt>
                <c:pt idx="1917">
                  <c:v>43922</c:v>
                </c:pt>
                <c:pt idx="1918">
                  <c:v>43923</c:v>
                </c:pt>
                <c:pt idx="1919">
                  <c:v>43924</c:v>
                </c:pt>
                <c:pt idx="1920">
                  <c:v>43925</c:v>
                </c:pt>
                <c:pt idx="1921">
                  <c:v>43926</c:v>
                </c:pt>
                <c:pt idx="1922">
                  <c:v>43927</c:v>
                </c:pt>
                <c:pt idx="1923">
                  <c:v>43928</c:v>
                </c:pt>
                <c:pt idx="1924">
                  <c:v>43929</c:v>
                </c:pt>
                <c:pt idx="1925">
                  <c:v>43930</c:v>
                </c:pt>
                <c:pt idx="1926">
                  <c:v>43931</c:v>
                </c:pt>
                <c:pt idx="1927">
                  <c:v>43932</c:v>
                </c:pt>
                <c:pt idx="1928">
                  <c:v>43933</c:v>
                </c:pt>
                <c:pt idx="1929">
                  <c:v>43934</c:v>
                </c:pt>
                <c:pt idx="1930">
                  <c:v>43935</c:v>
                </c:pt>
                <c:pt idx="1931">
                  <c:v>43936</c:v>
                </c:pt>
                <c:pt idx="1932">
                  <c:v>43937</c:v>
                </c:pt>
                <c:pt idx="1933">
                  <c:v>43938</c:v>
                </c:pt>
                <c:pt idx="1934">
                  <c:v>43939</c:v>
                </c:pt>
                <c:pt idx="1935">
                  <c:v>43940</c:v>
                </c:pt>
                <c:pt idx="1936">
                  <c:v>43941</c:v>
                </c:pt>
                <c:pt idx="1937">
                  <c:v>43942</c:v>
                </c:pt>
                <c:pt idx="1938">
                  <c:v>43943</c:v>
                </c:pt>
                <c:pt idx="1939">
                  <c:v>43944</c:v>
                </c:pt>
                <c:pt idx="1940">
                  <c:v>43945</c:v>
                </c:pt>
                <c:pt idx="1941">
                  <c:v>43946</c:v>
                </c:pt>
                <c:pt idx="1942">
                  <c:v>43947</c:v>
                </c:pt>
                <c:pt idx="1943">
                  <c:v>43948</c:v>
                </c:pt>
                <c:pt idx="1944">
                  <c:v>43949</c:v>
                </c:pt>
                <c:pt idx="1945">
                  <c:v>43950</c:v>
                </c:pt>
                <c:pt idx="1946">
                  <c:v>43951</c:v>
                </c:pt>
                <c:pt idx="1947">
                  <c:v>43952</c:v>
                </c:pt>
                <c:pt idx="1948">
                  <c:v>43953</c:v>
                </c:pt>
                <c:pt idx="1949">
                  <c:v>43954</c:v>
                </c:pt>
                <c:pt idx="1950">
                  <c:v>43955</c:v>
                </c:pt>
                <c:pt idx="1951">
                  <c:v>43956</c:v>
                </c:pt>
                <c:pt idx="1952">
                  <c:v>43957</c:v>
                </c:pt>
                <c:pt idx="1953">
                  <c:v>43958</c:v>
                </c:pt>
                <c:pt idx="1954">
                  <c:v>43959</c:v>
                </c:pt>
                <c:pt idx="1955">
                  <c:v>43960</c:v>
                </c:pt>
                <c:pt idx="1956">
                  <c:v>43961</c:v>
                </c:pt>
                <c:pt idx="1957">
                  <c:v>43962</c:v>
                </c:pt>
                <c:pt idx="1958">
                  <c:v>43963</c:v>
                </c:pt>
                <c:pt idx="1959">
                  <c:v>43964</c:v>
                </c:pt>
                <c:pt idx="1960">
                  <c:v>43965</c:v>
                </c:pt>
                <c:pt idx="1961">
                  <c:v>43966</c:v>
                </c:pt>
                <c:pt idx="1962">
                  <c:v>43967</c:v>
                </c:pt>
                <c:pt idx="1963">
                  <c:v>43968</c:v>
                </c:pt>
                <c:pt idx="1964">
                  <c:v>43969</c:v>
                </c:pt>
                <c:pt idx="1965">
                  <c:v>43970</c:v>
                </c:pt>
                <c:pt idx="1966">
                  <c:v>43971</c:v>
                </c:pt>
                <c:pt idx="1967">
                  <c:v>43972</c:v>
                </c:pt>
                <c:pt idx="1968">
                  <c:v>43973</c:v>
                </c:pt>
                <c:pt idx="1969">
                  <c:v>43974</c:v>
                </c:pt>
                <c:pt idx="1970">
                  <c:v>43975</c:v>
                </c:pt>
                <c:pt idx="1971">
                  <c:v>43976</c:v>
                </c:pt>
                <c:pt idx="1972">
                  <c:v>43977</c:v>
                </c:pt>
                <c:pt idx="1973">
                  <c:v>43978</c:v>
                </c:pt>
                <c:pt idx="1974">
                  <c:v>43979</c:v>
                </c:pt>
                <c:pt idx="1975">
                  <c:v>43980</c:v>
                </c:pt>
                <c:pt idx="1976">
                  <c:v>43981</c:v>
                </c:pt>
                <c:pt idx="1977">
                  <c:v>43982</c:v>
                </c:pt>
                <c:pt idx="1978">
                  <c:v>43983</c:v>
                </c:pt>
                <c:pt idx="1979">
                  <c:v>43984</c:v>
                </c:pt>
                <c:pt idx="1980">
                  <c:v>43985</c:v>
                </c:pt>
                <c:pt idx="1981">
                  <c:v>43986</c:v>
                </c:pt>
                <c:pt idx="1982">
                  <c:v>43987</c:v>
                </c:pt>
                <c:pt idx="1983">
                  <c:v>43988</c:v>
                </c:pt>
                <c:pt idx="1984">
                  <c:v>43989</c:v>
                </c:pt>
                <c:pt idx="1985">
                  <c:v>43990</c:v>
                </c:pt>
                <c:pt idx="1986">
                  <c:v>43991</c:v>
                </c:pt>
                <c:pt idx="1987">
                  <c:v>43992</c:v>
                </c:pt>
                <c:pt idx="1988">
                  <c:v>43993</c:v>
                </c:pt>
                <c:pt idx="1989">
                  <c:v>43994</c:v>
                </c:pt>
                <c:pt idx="1990">
                  <c:v>43995</c:v>
                </c:pt>
                <c:pt idx="1991">
                  <c:v>43996</c:v>
                </c:pt>
                <c:pt idx="1992">
                  <c:v>43997</c:v>
                </c:pt>
                <c:pt idx="1993">
                  <c:v>43998</c:v>
                </c:pt>
                <c:pt idx="1994">
                  <c:v>43999</c:v>
                </c:pt>
                <c:pt idx="1995">
                  <c:v>44000</c:v>
                </c:pt>
                <c:pt idx="1996">
                  <c:v>44001</c:v>
                </c:pt>
                <c:pt idx="1997">
                  <c:v>44002</c:v>
                </c:pt>
                <c:pt idx="1998">
                  <c:v>44003</c:v>
                </c:pt>
                <c:pt idx="1999">
                  <c:v>44004</c:v>
                </c:pt>
                <c:pt idx="2000">
                  <c:v>44005</c:v>
                </c:pt>
                <c:pt idx="2001">
                  <c:v>44006</c:v>
                </c:pt>
                <c:pt idx="2002">
                  <c:v>44007</c:v>
                </c:pt>
                <c:pt idx="2003">
                  <c:v>44008</c:v>
                </c:pt>
                <c:pt idx="2004">
                  <c:v>44009</c:v>
                </c:pt>
                <c:pt idx="2005">
                  <c:v>44010</c:v>
                </c:pt>
                <c:pt idx="2006">
                  <c:v>44011</c:v>
                </c:pt>
                <c:pt idx="2007">
                  <c:v>44012</c:v>
                </c:pt>
                <c:pt idx="2008">
                  <c:v>44013</c:v>
                </c:pt>
                <c:pt idx="2009">
                  <c:v>44014</c:v>
                </c:pt>
                <c:pt idx="2010">
                  <c:v>44015</c:v>
                </c:pt>
                <c:pt idx="2011">
                  <c:v>44016</c:v>
                </c:pt>
                <c:pt idx="2012">
                  <c:v>44017</c:v>
                </c:pt>
                <c:pt idx="2013">
                  <c:v>44018</c:v>
                </c:pt>
                <c:pt idx="2014">
                  <c:v>44019</c:v>
                </c:pt>
                <c:pt idx="2015">
                  <c:v>44020</c:v>
                </c:pt>
                <c:pt idx="2016">
                  <c:v>44021</c:v>
                </c:pt>
                <c:pt idx="2017">
                  <c:v>44022</c:v>
                </c:pt>
                <c:pt idx="2018">
                  <c:v>44023</c:v>
                </c:pt>
                <c:pt idx="2019">
                  <c:v>44024</c:v>
                </c:pt>
                <c:pt idx="2020">
                  <c:v>44025</c:v>
                </c:pt>
                <c:pt idx="2021">
                  <c:v>44026</c:v>
                </c:pt>
                <c:pt idx="2022">
                  <c:v>44027</c:v>
                </c:pt>
                <c:pt idx="2023">
                  <c:v>44028</c:v>
                </c:pt>
                <c:pt idx="2024">
                  <c:v>44029</c:v>
                </c:pt>
                <c:pt idx="2025">
                  <c:v>44030</c:v>
                </c:pt>
                <c:pt idx="2026">
                  <c:v>44031</c:v>
                </c:pt>
                <c:pt idx="2027">
                  <c:v>44032</c:v>
                </c:pt>
                <c:pt idx="2028">
                  <c:v>44033</c:v>
                </c:pt>
                <c:pt idx="2029">
                  <c:v>44034</c:v>
                </c:pt>
                <c:pt idx="2030">
                  <c:v>44035</c:v>
                </c:pt>
                <c:pt idx="2031">
                  <c:v>44036</c:v>
                </c:pt>
                <c:pt idx="2032">
                  <c:v>44037</c:v>
                </c:pt>
                <c:pt idx="2033">
                  <c:v>44038</c:v>
                </c:pt>
                <c:pt idx="2034">
                  <c:v>44039</c:v>
                </c:pt>
                <c:pt idx="2035">
                  <c:v>44040</c:v>
                </c:pt>
                <c:pt idx="2036">
                  <c:v>44041</c:v>
                </c:pt>
                <c:pt idx="2037">
                  <c:v>44042</c:v>
                </c:pt>
                <c:pt idx="2038">
                  <c:v>44043</c:v>
                </c:pt>
                <c:pt idx="2039">
                  <c:v>44044</c:v>
                </c:pt>
                <c:pt idx="2040">
                  <c:v>44045</c:v>
                </c:pt>
                <c:pt idx="2041">
                  <c:v>44046</c:v>
                </c:pt>
                <c:pt idx="2042">
                  <c:v>44047</c:v>
                </c:pt>
                <c:pt idx="2043">
                  <c:v>44048</c:v>
                </c:pt>
                <c:pt idx="2044">
                  <c:v>44049</c:v>
                </c:pt>
                <c:pt idx="2045">
                  <c:v>44050</c:v>
                </c:pt>
                <c:pt idx="2046">
                  <c:v>44051</c:v>
                </c:pt>
                <c:pt idx="2047">
                  <c:v>44052</c:v>
                </c:pt>
                <c:pt idx="2048">
                  <c:v>44053</c:v>
                </c:pt>
                <c:pt idx="2049">
                  <c:v>44054</c:v>
                </c:pt>
                <c:pt idx="2050">
                  <c:v>44055</c:v>
                </c:pt>
                <c:pt idx="2051">
                  <c:v>44056</c:v>
                </c:pt>
                <c:pt idx="2052">
                  <c:v>44057</c:v>
                </c:pt>
                <c:pt idx="2053">
                  <c:v>44058</c:v>
                </c:pt>
                <c:pt idx="2054">
                  <c:v>44059</c:v>
                </c:pt>
                <c:pt idx="2055">
                  <c:v>44060</c:v>
                </c:pt>
                <c:pt idx="2056">
                  <c:v>44061</c:v>
                </c:pt>
                <c:pt idx="2057">
                  <c:v>44062</c:v>
                </c:pt>
                <c:pt idx="2058">
                  <c:v>44063</c:v>
                </c:pt>
                <c:pt idx="2059">
                  <c:v>44064</c:v>
                </c:pt>
                <c:pt idx="2060">
                  <c:v>44065</c:v>
                </c:pt>
                <c:pt idx="2061">
                  <c:v>44066</c:v>
                </c:pt>
                <c:pt idx="2062">
                  <c:v>44067</c:v>
                </c:pt>
                <c:pt idx="2063">
                  <c:v>44068</c:v>
                </c:pt>
                <c:pt idx="2064">
                  <c:v>44069</c:v>
                </c:pt>
                <c:pt idx="2065">
                  <c:v>44070</c:v>
                </c:pt>
                <c:pt idx="2066">
                  <c:v>44071</c:v>
                </c:pt>
                <c:pt idx="2067">
                  <c:v>44072</c:v>
                </c:pt>
                <c:pt idx="2068">
                  <c:v>44073</c:v>
                </c:pt>
                <c:pt idx="2069">
                  <c:v>44074</c:v>
                </c:pt>
                <c:pt idx="2070">
                  <c:v>44075</c:v>
                </c:pt>
                <c:pt idx="2071">
                  <c:v>44076</c:v>
                </c:pt>
                <c:pt idx="2072">
                  <c:v>44077</c:v>
                </c:pt>
                <c:pt idx="2073">
                  <c:v>44078</c:v>
                </c:pt>
                <c:pt idx="2074">
                  <c:v>44079</c:v>
                </c:pt>
                <c:pt idx="2075">
                  <c:v>44080</c:v>
                </c:pt>
                <c:pt idx="2076">
                  <c:v>44081</c:v>
                </c:pt>
                <c:pt idx="2077">
                  <c:v>44082</c:v>
                </c:pt>
                <c:pt idx="2078">
                  <c:v>44083</c:v>
                </c:pt>
                <c:pt idx="2079">
                  <c:v>44084</c:v>
                </c:pt>
                <c:pt idx="2080">
                  <c:v>44085</c:v>
                </c:pt>
                <c:pt idx="2081">
                  <c:v>44086</c:v>
                </c:pt>
                <c:pt idx="2082">
                  <c:v>44087</c:v>
                </c:pt>
                <c:pt idx="2083">
                  <c:v>44088</c:v>
                </c:pt>
                <c:pt idx="2084">
                  <c:v>44089</c:v>
                </c:pt>
                <c:pt idx="2085">
                  <c:v>44090</c:v>
                </c:pt>
                <c:pt idx="2086">
                  <c:v>44091</c:v>
                </c:pt>
                <c:pt idx="2087">
                  <c:v>44092</c:v>
                </c:pt>
                <c:pt idx="2088">
                  <c:v>44093</c:v>
                </c:pt>
                <c:pt idx="2089">
                  <c:v>44094</c:v>
                </c:pt>
                <c:pt idx="2090">
                  <c:v>44095</c:v>
                </c:pt>
                <c:pt idx="2091">
                  <c:v>44096</c:v>
                </c:pt>
                <c:pt idx="2092">
                  <c:v>44097</c:v>
                </c:pt>
                <c:pt idx="2093">
                  <c:v>44098</c:v>
                </c:pt>
                <c:pt idx="2094">
                  <c:v>44099</c:v>
                </c:pt>
                <c:pt idx="2095">
                  <c:v>44100</c:v>
                </c:pt>
                <c:pt idx="2096">
                  <c:v>44101</c:v>
                </c:pt>
                <c:pt idx="2097">
                  <c:v>44102</c:v>
                </c:pt>
                <c:pt idx="2098">
                  <c:v>44103</c:v>
                </c:pt>
                <c:pt idx="2099">
                  <c:v>44104</c:v>
                </c:pt>
                <c:pt idx="2100">
                  <c:v>44105</c:v>
                </c:pt>
                <c:pt idx="2101">
                  <c:v>44106</c:v>
                </c:pt>
                <c:pt idx="2102">
                  <c:v>44107</c:v>
                </c:pt>
                <c:pt idx="2103">
                  <c:v>44108</c:v>
                </c:pt>
                <c:pt idx="2104">
                  <c:v>44109</c:v>
                </c:pt>
                <c:pt idx="2105">
                  <c:v>44110</c:v>
                </c:pt>
                <c:pt idx="2106">
                  <c:v>44111</c:v>
                </c:pt>
                <c:pt idx="2107">
                  <c:v>44112</c:v>
                </c:pt>
                <c:pt idx="2108">
                  <c:v>44113</c:v>
                </c:pt>
                <c:pt idx="2109">
                  <c:v>44114</c:v>
                </c:pt>
                <c:pt idx="2110">
                  <c:v>44115</c:v>
                </c:pt>
                <c:pt idx="2111">
                  <c:v>44116</c:v>
                </c:pt>
                <c:pt idx="2112">
                  <c:v>44117</c:v>
                </c:pt>
                <c:pt idx="2113">
                  <c:v>44118</c:v>
                </c:pt>
                <c:pt idx="2114">
                  <c:v>44119</c:v>
                </c:pt>
                <c:pt idx="2115">
                  <c:v>44120</c:v>
                </c:pt>
                <c:pt idx="2116">
                  <c:v>44121</c:v>
                </c:pt>
                <c:pt idx="2117">
                  <c:v>44122</c:v>
                </c:pt>
                <c:pt idx="2118">
                  <c:v>44123</c:v>
                </c:pt>
                <c:pt idx="2119">
                  <c:v>44124</c:v>
                </c:pt>
                <c:pt idx="2120">
                  <c:v>44125</c:v>
                </c:pt>
                <c:pt idx="2121">
                  <c:v>44126</c:v>
                </c:pt>
                <c:pt idx="2122">
                  <c:v>44127</c:v>
                </c:pt>
                <c:pt idx="2123">
                  <c:v>44128</c:v>
                </c:pt>
                <c:pt idx="2124">
                  <c:v>44129</c:v>
                </c:pt>
                <c:pt idx="2125">
                  <c:v>44130</c:v>
                </c:pt>
                <c:pt idx="2126">
                  <c:v>44131</c:v>
                </c:pt>
                <c:pt idx="2127">
                  <c:v>44132</c:v>
                </c:pt>
                <c:pt idx="2128">
                  <c:v>44133</c:v>
                </c:pt>
                <c:pt idx="2129">
                  <c:v>44134</c:v>
                </c:pt>
                <c:pt idx="2130">
                  <c:v>44135</c:v>
                </c:pt>
                <c:pt idx="2131">
                  <c:v>44136</c:v>
                </c:pt>
                <c:pt idx="2132">
                  <c:v>44137</c:v>
                </c:pt>
                <c:pt idx="2133">
                  <c:v>44138</c:v>
                </c:pt>
                <c:pt idx="2134">
                  <c:v>44139</c:v>
                </c:pt>
                <c:pt idx="2135">
                  <c:v>44140</c:v>
                </c:pt>
                <c:pt idx="2136">
                  <c:v>44141</c:v>
                </c:pt>
                <c:pt idx="2137">
                  <c:v>44142</c:v>
                </c:pt>
                <c:pt idx="2138">
                  <c:v>44143</c:v>
                </c:pt>
                <c:pt idx="2139">
                  <c:v>44144</c:v>
                </c:pt>
                <c:pt idx="2140">
                  <c:v>44145</c:v>
                </c:pt>
                <c:pt idx="2141">
                  <c:v>44146</c:v>
                </c:pt>
                <c:pt idx="2142">
                  <c:v>44147</c:v>
                </c:pt>
                <c:pt idx="2143">
                  <c:v>44148</c:v>
                </c:pt>
                <c:pt idx="2144">
                  <c:v>44149</c:v>
                </c:pt>
                <c:pt idx="2145">
                  <c:v>44150</c:v>
                </c:pt>
                <c:pt idx="2146">
                  <c:v>44151</c:v>
                </c:pt>
                <c:pt idx="2147">
                  <c:v>44152</c:v>
                </c:pt>
                <c:pt idx="2148">
                  <c:v>44153</c:v>
                </c:pt>
                <c:pt idx="2149">
                  <c:v>44154</c:v>
                </c:pt>
                <c:pt idx="2150">
                  <c:v>44155</c:v>
                </c:pt>
                <c:pt idx="2151">
                  <c:v>44156</c:v>
                </c:pt>
                <c:pt idx="2152">
                  <c:v>44157</c:v>
                </c:pt>
                <c:pt idx="2153">
                  <c:v>44158</c:v>
                </c:pt>
                <c:pt idx="2154">
                  <c:v>44159</c:v>
                </c:pt>
                <c:pt idx="2155">
                  <c:v>44160</c:v>
                </c:pt>
                <c:pt idx="2156">
                  <c:v>44161</c:v>
                </c:pt>
                <c:pt idx="2157">
                  <c:v>44162</c:v>
                </c:pt>
                <c:pt idx="2158">
                  <c:v>44163</c:v>
                </c:pt>
                <c:pt idx="2159">
                  <c:v>44164</c:v>
                </c:pt>
                <c:pt idx="2160">
                  <c:v>44165</c:v>
                </c:pt>
                <c:pt idx="2161">
                  <c:v>44166</c:v>
                </c:pt>
                <c:pt idx="2162">
                  <c:v>44167</c:v>
                </c:pt>
                <c:pt idx="2163">
                  <c:v>44168</c:v>
                </c:pt>
                <c:pt idx="2164">
                  <c:v>44169</c:v>
                </c:pt>
                <c:pt idx="2165">
                  <c:v>44170</c:v>
                </c:pt>
                <c:pt idx="2166">
                  <c:v>44171</c:v>
                </c:pt>
                <c:pt idx="2167">
                  <c:v>44172</c:v>
                </c:pt>
                <c:pt idx="2168">
                  <c:v>44173</c:v>
                </c:pt>
                <c:pt idx="2169">
                  <c:v>44174</c:v>
                </c:pt>
                <c:pt idx="2170">
                  <c:v>44175</c:v>
                </c:pt>
                <c:pt idx="2171">
                  <c:v>44176</c:v>
                </c:pt>
                <c:pt idx="2172">
                  <c:v>44177</c:v>
                </c:pt>
                <c:pt idx="2173">
                  <c:v>44178</c:v>
                </c:pt>
                <c:pt idx="2174">
                  <c:v>44179</c:v>
                </c:pt>
                <c:pt idx="2175">
                  <c:v>44180</c:v>
                </c:pt>
                <c:pt idx="2176">
                  <c:v>44181</c:v>
                </c:pt>
                <c:pt idx="2177">
                  <c:v>44182</c:v>
                </c:pt>
                <c:pt idx="2178">
                  <c:v>44183</c:v>
                </c:pt>
                <c:pt idx="2179">
                  <c:v>44184</c:v>
                </c:pt>
                <c:pt idx="2180">
                  <c:v>44185</c:v>
                </c:pt>
                <c:pt idx="2181">
                  <c:v>44186</c:v>
                </c:pt>
                <c:pt idx="2182">
                  <c:v>44187</c:v>
                </c:pt>
                <c:pt idx="2183">
                  <c:v>44188</c:v>
                </c:pt>
                <c:pt idx="2184">
                  <c:v>44189</c:v>
                </c:pt>
                <c:pt idx="2185">
                  <c:v>44190</c:v>
                </c:pt>
                <c:pt idx="2186">
                  <c:v>44191</c:v>
                </c:pt>
                <c:pt idx="2187">
                  <c:v>44192</c:v>
                </c:pt>
                <c:pt idx="2188">
                  <c:v>44193</c:v>
                </c:pt>
                <c:pt idx="2189">
                  <c:v>44194</c:v>
                </c:pt>
                <c:pt idx="2190">
                  <c:v>44195</c:v>
                </c:pt>
                <c:pt idx="2191">
                  <c:v>44196</c:v>
                </c:pt>
                <c:pt idx="2192">
                  <c:v>44197</c:v>
                </c:pt>
                <c:pt idx="2193">
                  <c:v>44198</c:v>
                </c:pt>
                <c:pt idx="2194">
                  <c:v>44199</c:v>
                </c:pt>
                <c:pt idx="2195">
                  <c:v>44200</c:v>
                </c:pt>
                <c:pt idx="2196">
                  <c:v>44201</c:v>
                </c:pt>
                <c:pt idx="2197">
                  <c:v>44202</c:v>
                </c:pt>
                <c:pt idx="2198">
                  <c:v>44203</c:v>
                </c:pt>
                <c:pt idx="2199">
                  <c:v>44204</c:v>
                </c:pt>
                <c:pt idx="2200">
                  <c:v>44205</c:v>
                </c:pt>
                <c:pt idx="2201">
                  <c:v>44206</c:v>
                </c:pt>
                <c:pt idx="2202">
                  <c:v>44207</c:v>
                </c:pt>
                <c:pt idx="2203">
                  <c:v>44208</c:v>
                </c:pt>
                <c:pt idx="2204">
                  <c:v>44209</c:v>
                </c:pt>
                <c:pt idx="2205">
                  <c:v>44210</c:v>
                </c:pt>
                <c:pt idx="2206">
                  <c:v>44211</c:v>
                </c:pt>
                <c:pt idx="2207">
                  <c:v>44212</c:v>
                </c:pt>
                <c:pt idx="2208">
                  <c:v>44213</c:v>
                </c:pt>
                <c:pt idx="2209">
                  <c:v>44214</c:v>
                </c:pt>
                <c:pt idx="2210">
                  <c:v>44215</c:v>
                </c:pt>
                <c:pt idx="2211">
                  <c:v>44216</c:v>
                </c:pt>
                <c:pt idx="2212">
                  <c:v>44217</c:v>
                </c:pt>
                <c:pt idx="2213">
                  <c:v>44218</c:v>
                </c:pt>
                <c:pt idx="2214">
                  <c:v>44219</c:v>
                </c:pt>
                <c:pt idx="2215">
                  <c:v>44220</c:v>
                </c:pt>
                <c:pt idx="2216">
                  <c:v>44221</c:v>
                </c:pt>
                <c:pt idx="2217">
                  <c:v>44222</c:v>
                </c:pt>
                <c:pt idx="2218">
                  <c:v>44223</c:v>
                </c:pt>
                <c:pt idx="2219">
                  <c:v>44224</c:v>
                </c:pt>
                <c:pt idx="2220">
                  <c:v>44225</c:v>
                </c:pt>
                <c:pt idx="2221">
                  <c:v>44226</c:v>
                </c:pt>
                <c:pt idx="2222">
                  <c:v>44227</c:v>
                </c:pt>
                <c:pt idx="2223">
                  <c:v>44228</c:v>
                </c:pt>
                <c:pt idx="2224">
                  <c:v>44229</c:v>
                </c:pt>
                <c:pt idx="2225">
                  <c:v>44230</c:v>
                </c:pt>
                <c:pt idx="2226">
                  <c:v>44231</c:v>
                </c:pt>
                <c:pt idx="2227">
                  <c:v>44232</c:v>
                </c:pt>
                <c:pt idx="2228">
                  <c:v>44233</c:v>
                </c:pt>
                <c:pt idx="2229">
                  <c:v>44234</c:v>
                </c:pt>
                <c:pt idx="2230">
                  <c:v>44235</c:v>
                </c:pt>
                <c:pt idx="2231">
                  <c:v>44236</c:v>
                </c:pt>
                <c:pt idx="2232">
                  <c:v>44237</c:v>
                </c:pt>
                <c:pt idx="2233">
                  <c:v>44238</c:v>
                </c:pt>
                <c:pt idx="2234">
                  <c:v>44239</c:v>
                </c:pt>
                <c:pt idx="2235">
                  <c:v>44240</c:v>
                </c:pt>
                <c:pt idx="2236">
                  <c:v>44241</c:v>
                </c:pt>
                <c:pt idx="2237">
                  <c:v>44242</c:v>
                </c:pt>
                <c:pt idx="2238">
                  <c:v>44243</c:v>
                </c:pt>
                <c:pt idx="2239">
                  <c:v>44244</c:v>
                </c:pt>
                <c:pt idx="2240">
                  <c:v>44245</c:v>
                </c:pt>
                <c:pt idx="2241">
                  <c:v>44246</c:v>
                </c:pt>
                <c:pt idx="2242">
                  <c:v>44247</c:v>
                </c:pt>
                <c:pt idx="2243">
                  <c:v>44248</c:v>
                </c:pt>
                <c:pt idx="2244">
                  <c:v>44249</c:v>
                </c:pt>
                <c:pt idx="2245">
                  <c:v>44250</c:v>
                </c:pt>
                <c:pt idx="2246">
                  <c:v>44251</c:v>
                </c:pt>
                <c:pt idx="2247">
                  <c:v>44252</c:v>
                </c:pt>
                <c:pt idx="2248">
                  <c:v>44253</c:v>
                </c:pt>
                <c:pt idx="2249">
                  <c:v>44254</c:v>
                </c:pt>
                <c:pt idx="2250">
                  <c:v>44255</c:v>
                </c:pt>
                <c:pt idx="2251">
                  <c:v>44256</c:v>
                </c:pt>
                <c:pt idx="2252">
                  <c:v>44257</c:v>
                </c:pt>
                <c:pt idx="2253">
                  <c:v>44258</c:v>
                </c:pt>
                <c:pt idx="2254">
                  <c:v>44259</c:v>
                </c:pt>
                <c:pt idx="2255">
                  <c:v>44260</c:v>
                </c:pt>
                <c:pt idx="2256">
                  <c:v>44261</c:v>
                </c:pt>
                <c:pt idx="2257">
                  <c:v>44262</c:v>
                </c:pt>
                <c:pt idx="2258">
                  <c:v>44263</c:v>
                </c:pt>
                <c:pt idx="2259">
                  <c:v>44264</c:v>
                </c:pt>
                <c:pt idx="2260">
                  <c:v>44265</c:v>
                </c:pt>
                <c:pt idx="2261">
                  <c:v>44266</c:v>
                </c:pt>
                <c:pt idx="2262">
                  <c:v>44267</c:v>
                </c:pt>
                <c:pt idx="2263">
                  <c:v>44268</c:v>
                </c:pt>
                <c:pt idx="2264">
                  <c:v>44269</c:v>
                </c:pt>
                <c:pt idx="2265">
                  <c:v>44270</c:v>
                </c:pt>
                <c:pt idx="2266">
                  <c:v>44271</c:v>
                </c:pt>
                <c:pt idx="2267">
                  <c:v>44272</c:v>
                </c:pt>
                <c:pt idx="2268">
                  <c:v>44273</c:v>
                </c:pt>
                <c:pt idx="2269">
                  <c:v>44274</c:v>
                </c:pt>
                <c:pt idx="2270">
                  <c:v>44275</c:v>
                </c:pt>
                <c:pt idx="2271">
                  <c:v>44276</c:v>
                </c:pt>
                <c:pt idx="2272">
                  <c:v>44277</c:v>
                </c:pt>
                <c:pt idx="2273">
                  <c:v>44278</c:v>
                </c:pt>
                <c:pt idx="2274">
                  <c:v>44279</c:v>
                </c:pt>
                <c:pt idx="2275">
                  <c:v>44280</c:v>
                </c:pt>
                <c:pt idx="2276">
                  <c:v>44281</c:v>
                </c:pt>
                <c:pt idx="2277">
                  <c:v>44282</c:v>
                </c:pt>
                <c:pt idx="2278">
                  <c:v>44283</c:v>
                </c:pt>
                <c:pt idx="2279">
                  <c:v>44284</c:v>
                </c:pt>
                <c:pt idx="2280">
                  <c:v>44285</c:v>
                </c:pt>
                <c:pt idx="2281">
                  <c:v>44286</c:v>
                </c:pt>
                <c:pt idx="2282">
                  <c:v>44287</c:v>
                </c:pt>
                <c:pt idx="2283">
                  <c:v>44288</c:v>
                </c:pt>
                <c:pt idx="2284">
                  <c:v>44289</c:v>
                </c:pt>
                <c:pt idx="2285">
                  <c:v>44290</c:v>
                </c:pt>
                <c:pt idx="2286">
                  <c:v>44291</c:v>
                </c:pt>
                <c:pt idx="2287">
                  <c:v>44292</c:v>
                </c:pt>
                <c:pt idx="2288">
                  <c:v>44293</c:v>
                </c:pt>
                <c:pt idx="2289">
                  <c:v>44294</c:v>
                </c:pt>
                <c:pt idx="2290">
                  <c:v>44295</c:v>
                </c:pt>
                <c:pt idx="2291">
                  <c:v>44296</c:v>
                </c:pt>
                <c:pt idx="2292">
                  <c:v>44297</c:v>
                </c:pt>
                <c:pt idx="2293">
                  <c:v>44298</c:v>
                </c:pt>
                <c:pt idx="2294">
                  <c:v>44299</c:v>
                </c:pt>
                <c:pt idx="2295">
                  <c:v>44300</c:v>
                </c:pt>
                <c:pt idx="2296">
                  <c:v>44301</c:v>
                </c:pt>
                <c:pt idx="2297">
                  <c:v>44302</c:v>
                </c:pt>
                <c:pt idx="2298">
                  <c:v>44303</c:v>
                </c:pt>
                <c:pt idx="2299">
                  <c:v>44304</c:v>
                </c:pt>
                <c:pt idx="2300">
                  <c:v>44305</c:v>
                </c:pt>
                <c:pt idx="2301">
                  <c:v>44306</c:v>
                </c:pt>
                <c:pt idx="2302">
                  <c:v>44307</c:v>
                </c:pt>
                <c:pt idx="2303">
                  <c:v>44308</c:v>
                </c:pt>
                <c:pt idx="2304">
                  <c:v>44309</c:v>
                </c:pt>
                <c:pt idx="2305">
                  <c:v>44310</c:v>
                </c:pt>
                <c:pt idx="2306">
                  <c:v>44311</c:v>
                </c:pt>
                <c:pt idx="2307">
                  <c:v>44312</c:v>
                </c:pt>
                <c:pt idx="2308">
                  <c:v>44313</c:v>
                </c:pt>
                <c:pt idx="2309">
                  <c:v>44314</c:v>
                </c:pt>
                <c:pt idx="2310">
                  <c:v>44315</c:v>
                </c:pt>
                <c:pt idx="2311">
                  <c:v>44316</c:v>
                </c:pt>
                <c:pt idx="2312">
                  <c:v>44317</c:v>
                </c:pt>
                <c:pt idx="2313">
                  <c:v>44318</c:v>
                </c:pt>
                <c:pt idx="2314">
                  <c:v>44319</c:v>
                </c:pt>
                <c:pt idx="2315">
                  <c:v>44320</c:v>
                </c:pt>
                <c:pt idx="2316">
                  <c:v>44321</c:v>
                </c:pt>
                <c:pt idx="2317">
                  <c:v>44322</c:v>
                </c:pt>
                <c:pt idx="2318">
                  <c:v>44323</c:v>
                </c:pt>
                <c:pt idx="2319">
                  <c:v>44324</c:v>
                </c:pt>
                <c:pt idx="2320">
                  <c:v>44325</c:v>
                </c:pt>
                <c:pt idx="2321">
                  <c:v>44326</c:v>
                </c:pt>
                <c:pt idx="2322">
                  <c:v>44327</c:v>
                </c:pt>
                <c:pt idx="2323">
                  <c:v>44328</c:v>
                </c:pt>
                <c:pt idx="2324">
                  <c:v>44329</c:v>
                </c:pt>
                <c:pt idx="2325">
                  <c:v>44330</c:v>
                </c:pt>
                <c:pt idx="2326">
                  <c:v>44331</c:v>
                </c:pt>
                <c:pt idx="2327">
                  <c:v>44332</c:v>
                </c:pt>
                <c:pt idx="2328">
                  <c:v>44333</c:v>
                </c:pt>
                <c:pt idx="2329">
                  <c:v>44334</c:v>
                </c:pt>
                <c:pt idx="2330">
                  <c:v>44335</c:v>
                </c:pt>
                <c:pt idx="2331">
                  <c:v>44336</c:v>
                </c:pt>
                <c:pt idx="2332">
                  <c:v>44337</c:v>
                </c:pt>
                <c:pt idx="2333">
                  <c:v>44338</c:v>
                </c:pt>
                <c:pt idx="2334">
                  <c:v>44339</c:v>
                </c:pt>
                <c:pt idx="2335">
                  <c:v>44340</c:v>
                </c:pt>
                <c:pt idx="2336">
                  <c:v>44341</c:v>
                </c:pt>
                <c:pt idx="2337">
                  <c:v>44342</c:v>
                </c:pt>
                <c:pt idx="2338">
                  <c:v>44343</c:v>
                </c:pt>
                <c:pt idx="2339">
                  <c:v>44344</c:v>
                </c:pt>
                <c:pt idx="2340">
                  <c:v>44345</c:v>
                </c:pt>
                <c:pt idx="2341">
                  <c:v>44346</c:v>
                </c:pt>
                <c:pt idx="2342">
                  <c:v>44347</c:v>
                </c:pt>
                <c:pt idx="2343">
                  <c:v>44348</c:v>
                </c:pt>
                <c:pt idx="2344">
                  <c:v>44349</c:v>
                </c:pt>
                <c:pt idx="2345">
                  <c:v>44350</c:v>
                </c:pt>
                <c:pt idx="2346">
                  <c:v>44351</c:v>
                </c:pt>
                <c:pt idx="2347">
                  <c:v>44352</c:v>
                </c:pt>
                <c:pt idx="2348">
                  <c:v>44353</c:v>
                </c:pt>
                <c:pt idx="2349">
                  <c:v>44354</c:v>
                </c:pt>
                <c:pt idx="2350">
                  <c:v>44355</c:v>
                </c:pt>
                <c:pt idx="2351">
                  <c:v>44356</c:v>
                </c:pt>
                <c:pt idx="2352">
                  <c:v>44357</c:v>
                </c:pt>
                <c:pt idx="2353">
                  <c:v>44358</c:v>
                </c:pt>
                <c:pt idx="2354">
                  <c:v>44359</c:v>
                </c:pt>
                <c:pt idx="2355">
                  <c:v>44360</c:v>
                </c:pt>
                <c:pt idx="2356">
                  <c:v>44361</c:v>
                </c:pt>
                <c:pt idx="2357">
                  <c:v>44362</c:v>
                </c:pt>
                <c:pt idx="2358">
                  <c:v>44363</c:v>
                </c:pt>
                <c:pt idx="2359">
                  <c:v>44364</c:v>
                </c:pt>
                <c:pt idx="2360">
                  <c:v>44365</c:v>
                </c:pt>
                <c:pt idx="2361">
                  <c:v>44366</c:v>
                </c:pt>
                <c:pt idx="2362">
                  <c:v>44367</c:v>
                </c:pt>
                <c:pt idx="2363">
                  <c:v>44368</c:v>
                </c:pt>
                <c:pt idx="2364">
                  <c:v>44369</c:v>
                </c:pt>
                <c:pt idx="2365">
                  <c:v>44370</c:v>
                </c:pt>
                <c:pt idx="2366">
                  <c:v>44371</c:v>
                </c:pt>
                <c:pt idx="2367">
                  <c:v>44372</c:v>
                </c:pt>
                <c:pt idx="2368">
                  <c:v>44373</c:v>
                </c:pt>
                <c:pt idx="2369">
                  <c:v>44374</c:v>
                </c:pt>
                <c:pt idx="2370">
                  <c:v>44375</c:v>
                </c:pt>
                <c:pt idx="2371">
                  <c:v>44376</c:v>
                </c:pt>
                <c:pt idx="2372">
                  <c:v>44377</c:v>
                </c:pt>
                <c:pt idx="2373">
                  <c:v>44378</c:v>
                </c:pt>
                <c:pt idx="2374">
                  <c:v>44379</c:v>
                </c:pt>
                <c:pt idx="2375">
                  <c:v>44380</c:v>
                </c:pt>
                <c:pt idx="2376">
                  <c:v>44381</c:v>
                </c:pt>
                <c:pt idx="2377">
                  <c:v>44382</c:v>
                </c:pt>
                <c:pt idx="2378">
                  <c:v>44383</c:v>
                </c:pt>
                <c:pt idx="2379">
                  <c:v>44384</c:v>
                </c:pt>
                <c:pt idx="2380">
                  <c:v>44385</c:v>
                </c:pt>
                <c:pt idx="2381">
                  <c:v>44386</c:v>
                </c:pt>
                <c:pt idx="2382">
                  <c:v>44387</c:v>
                </c:pt>
                <c:pt idx="2383">
                  <c:v>44388</c:v>
                </c:pt>
                <c:pt idx="2384">
                  <c:v>44389</c:v>
                </c:pt>
                <c:pt idx="2385">
                  <c:v>44390</c:v>
                </c:pt>
                <c:pt idx="2386">
                  <c:v>44391</c:v>
                </c:pt>
                <c:pt idx="2387">
                  <c:v>44392</c:v>
                </c:pt>
                <c:pt idx="2388">
                  <c:v>44393</c:v>
                </c:pt>
                <c:pt idx="2389">
                  <c:v>44394</c:v>
                </c:pt>
                <c:pt idx="2390">
                  <c:v>44395</c:v>
                </c:pt>
                <c:pt idx="2391">
                  <c:v>44396</c:v>
                </c:pt>
                <c:pt idx="2392">
                  <c:v>44397</c:v>
                </c:pt>
                <c:pt idx="2393">
                  <c:v>44398</c:v>
                </c:pt>
                <c:pt idx="2394">
                  <c:v>44399</c:v>
                </c:pt>
                <c:pt idx="2395">
                  <c:v>44400</c:v>
                </c:pt>
                <c:pt idx="2396">
                  <c:v>44401</c:v>
                </c:pt>
                <c:pt idx="2397">
                  <c:v>44402</c:v>
                </c:pt>
                <c:pt idx="2398">
                  <c:v>44403</c:v>
                </c:pt>
                <c:pt idx="2399">
                  <c:v>44404</c:v>
                </c:pt>
                <c:pt idx="2400">
                  <c:v>44405</c:v>
                </c:pt>
                <c:pt idx="2401">
                  <c:v>44406</c:v>
                </c:pt>
                <c:pt idx="2402">
                  <c:v>44407</c:v>
                </c:pt>
                <c:pt idx="2403">
                  <c:v>44408</c:v>
                </c:pt>
                <c:pt idx="2404">
                  <c:v>44409</c:v>
                </c:pt>
                <c:pt idx="2405">
                  <c:v>44410</c:v>
                </c:pt>
                <c:pt idx="2406">
                  <c:v>44411</c:v>
                </c:pt>
                <c:pt idx="2407">
                  <c:v>44412</c:v>
                </c:pt>
                <c:pt idx="2408">
                  <c:v>44413</c:v>
                </c:pt>
                <c:pt idx="2409">
                  <c:v>44414</c:v>
                </c:pt>
                <c:pt idx="2410">
                  <c:v>44415</c:v>
                </c:pt>
                <c:pt idx="2411">
                  <c:v>44416</c:v>
                </c:pt>
                <c:pt idx="2412">
                  <c:v>44417</c:v>
                </c:pt>
                <c:pt idx="2413">
                  <c:v>44418</c:v>
                </c:pt>
                <c:pt idx="2414">
                  <c:v>44419</c:v>
                </c:pt>
                <c:pt idx="2415">
                  <c:v>44420</c:v>
                </c:pt>
                <c:pt idx="2416">
                  <c:v>44421</c:v>
                </c:pt>
                <c:pt idx="2417">
                  <c:v>44422</c:v>
                </c:pt>
                <c:pt idx="2418">
                  <c:v>44423</c:v>
                </c:pt>
                <c:pt idx="2419">
                  <c:v>44424</c:v>
                </c:pt>
                <c:pt idx="2420">
                  <c:v>44425</c:v>
                </c:pt>
                <c:pt idx="2421">
                  <c:v>44426</c:v>
                </c:pt>
                <c:pt idx="2422">
                  <c:v>44427</c:v>
                </c:pt>
                <c:pt idx="2423">
                  <c:v>44428</c:v>
                </c:pt>
                <c:pt idx="2424">
                  <c:v>44429</c:v>
                </c:pt>
                <c:pt idx="2425">
                  <c:v>44430</c:v>
                </c:pt>
                <c:pt idx="2426">
                  <c:v>44431</c:v>
                </c:pt>
                <c:pt idx="2427">
                  <c:v>44432</c:v>
                </c:pt>
                <c:pt idx="2428">
                  <c:v>44433</c:v>
                </c:pt>
                <c:pt idx="2429">
                  <c:v>44434</c:v>
                </c:pt>
                <c:pt idx="2430">
                  <c:v>44435</c:v>
                </c:pt>
                <c:pt idx="2431">
                  <c:v>44436</c:v>
                </c:pt>
                <c:pt idx="2432">
                  <c:v>44437</c:v>
                </c:pt>
                <c:pt idx="2433">
                  <c:v>44438</c:v>
                </c:pt>
                <c:pt idx="2434">
                  <c:v>44439</c:v>
                </c:pt>
                <c:pt idx="2435">
                  <c:v>44440</c:v>
                </c:pt>
                <c:pt idx="2436">
                  <c:v>44441</c:v>
                </c:pt>
                <c:pt idx="2437">
                  <c:v>44442</c:v>
                </c:pt>
                <c:pt idx="2438">
                  <c:v>44443</c:v>
                </c:pt>
                <c:pt idx="2439">
                  <c:v>44444</c:v>
                </c:pt>
                <c:pt idx="2440">
                  <c:v>44445</c:v>
                </c:pt>
                <c:pt idx="2441">
                  <c:v>44446</c:v>
                </c:pt>
                <c:pt idx="2442">
                  <c:v>44447</c:v>
                </c:pt>
                <c:pt idx="2443">
                  <c:v>44448</c:v>
                </c:pt>
                <c:pt idx="2444">
                  <c:v>44449</c:v>
                </c:pt>
                <c:pt idx="2445">
                  <c:v>44450</c:v>
                </c:pt>
                <c:pt idx="2446">
                  <c:v>44451</c:v>
                </c:pt>
                <c:pt idx="2447">
                  <c:v>44452</c:v>
                </c:pt>
                <c:pt idx="2448">
                  <c:v>44453</c:v>
                </c:pt>
                <c:pt idx="2449">
                  <c:v>44454</c:v>
                </c:pt>
                <c:pt idx="2450">
                  <c:v>44455</c:v>
                </c:pt>
                <c:pt idx="2451">
                  <c:v>44456</c:v>
                </c:pt>
                <c:pt idx="2452">
                  <c:v>44457</c:v>
                </c:pt>
                <c:pt idx="2453">
                  <c:v>44458</c:v>
                </c:pt>
                <c:pt idx="2454">
                  <c:v>44459</c:v>
                </c:pt>
                <c:pt idx="2455">
                  <c:v>44460</c:v>
                </c:pt>
                <c:pt idx="2456">
                  <c:v>44461</c:v>
                </c:pt>
                <c:pt idx="2457">
                  <c:v>44462</c:v>
                </c:pt>
                <c:pt idx="2458">
                  <c:v>44463</c:v>
                </c:pt>
                <c:pt idx="2459">
                  <c:v>44464</c:v>
                </c:pt>
                <c:pt idx="2460">
                  <c:v>44465</c:v>
                </c:pt>
                <c:pt idx="2461">
                  <c:v>44466</c:v>
                </c:pt>
                <c:pt idx="2462">
                  <c:v>44467</c:v>
                </c:pt>
                <c:pt idx="2463">
                  <c:v>44468</c:v>
                </c:pt>
                <c:pt idx="2464">
                  <c:v>44469</c:v>
                </c:pt>
                <c:pt idx="2465">
                  <c:v>44470</c:v>
                </c:pt>
                <c:pt idx="2466">
                  <c:v>44471</c:v>
                </c:pt>
                <c:pt idx="2467">
                  <c:v>44472</c:v>
                </c:pt>
                <c:pt idx="2468">
                  <c:v>44473</c:v>
                </c:pt>
                <c:pt idx="2469">
                  <c:v>44474</c:v>
                </c:pt>
                <c:pt idx="2470">
                  <c:v>44475</c:v>
                </c:pt>
                <c:pt idx="2471">
                  <c:v>44476</c:v>
                </c:pt>
                <c:pt idx="2472">
                  <c:v>44477</c:v>
                </c:pt>
                <c:pt idx="2473">
                  <c:v>44478</c:v>
                </c:pt>
                <c:pt idx="2474">
                  <c:v>44479</c:v>
                </c:pt>
                <c:pt idx="2475">
                  <c:v>44480</c:v>
                </c:pt>
                <c:pt idx="2476">
                  <c:v>44481</c:v>
                </c:pt>
                <c:pt idx="2477">
                  <c:v>44482</c:v>
                </c:pt>
                <c:pt idx="2478">
                  <c:v>44483</c:v>
                </c:pt>
                <c:pt idx="2479">
                  <c:v>44484</c:v>
                </c:pt>
                <c:pt idx="2480">
                  <c:v>44485</c:v>
                </c:pt>
                <c:pt idx="2481">
                  <c:v>44486</c:v>
                </c:pt>
                <c:pt idx="2482">
                  <c:v>44487</c:v>
                </c:pt>
                <c:pt idx="2483">
                  <c:v>44488</c:v>
                </c:pt>
                <c:pt idx="2484">
                  <c:v>44489</c:v>
                </c:pt>
                <c:pt idx="2485">
                  <c:v>44490</c:v>
                </c:pt>
                <c:pt idx="2486">
                  <c:v>44491</c:v>
                </c:pt>
                <c:pt idx="2487">
                  <c:v>44492</c:v>
                </c:pt>
                <c:pt idx="2488">
                  <c:v>44493</c:v>
                </c:pt>
                <c:pt idx="2489">
                  <c:v>44494</c:v>
                </c:pt>
                <c:pt idx="2490">
                  <c:v>44495</c:v>
                </c:pt>
                <c:pt idx="2491">
                  <c:v>44496</c:v>
                </c:pt>
                <c:pt idx="2492">
                  <c:v>44497</c:v>
                </c:pt>
                <c:pt idx="2493">
                  <c:v>44498</c:v>
                </c:pt>
                <c:pt idx="2494">
                  <c:v>44499</c:v>
                </c:pt>
                <c:pt idx="2495">
                  <c:v>44500</c:v>
                </c:pt>
                <c:pt idx="2496">
                  <c:v>44501</c:v>
                </c:pt>
                <c:pt idx="2497">
                  <c:v>44502</c:v>
                </c:pt>
                <c:pt idx="2498">
                  <c:v>44503</c:v>
                </c:pt>
                <c:pt idx="2499">
                  <c:v>44504</c:v>
                </c:pt>
                <c:pt idx="2500">
                  <c:v>44505</c:v>
                </c:pt>
                <c:pt idx="2501">
                  <c:v>44506</c:v>
                </c:pt>
                <c:pt idx="2502">
                  <c:v>44507</c:v>
                </c:pt>
                <c:pt idx="2503">
                  <c:v>44508</c:v>
                </c:pt>
                <c:pt idx="2504">
                  <c:v>44509</c:v>
                </c:pt>
                <c:pt idx="2505">
                  <c:v>44510</c:v>
                </c:pt>
                <c:pt idx="2506">
                  <c:v>44511</c:v>
                </c:pt>
                <c:pt idx="2507">
                  <c:v>44512</c:v>
                </c:pt>
                <c:pt idx="2508">
                  <c:v>44513</c:v>
                </c:pt>
                <c:pt idx="2509">
                  <c:v>44514</c:v>
                </c:pt>
                <c:pt idx="2510">
                  <c:v>44515</c:v>
                </c:pt>
                <c:pt idx="2511">
                  <c:v>44516</c:v>
                </c:pt>
                <c:pt idx="2512">
                  <c:v>44517</c:v>
                </c:pt>
                <c:pt idx="2513">
                  <c:v>44518</c:v>
                </c:pt>
                <c:pt idx="2514">
                  <c:v>44519</c:v>
                </c:pt>
                <c:pt idx="2515">
                  <c:v>44520</c:v>
                </c:pt>
                <c:pt idx="2516">
                  <c:v>44521</c:v>
                </c:pt>
                <c:pt idx="2517">
                  <c:v>44522</c:v>
                </c:pt>
                <c:pt idx="2518">
                  <c:v>44523</c:v>
                </c:pt>
                <c:pt idx="2519">
                  <c:v>44524</c:v>
                </c:pt>
                <c:pt idx="2520">
                  <c:v>44525</c:v>
                </c:pt>
                <c:pt idx="2521">
                  <c:v>44526</c:v>
                </c:pt>
                <c:pt idx="2522">
                  <c:v>44527</c:v>
                </c:pt>
                <c:pt idx="2523">
                  <c:v>44528</c:v>
                </c:pt>
                <c:pt idx="2524">
                  <c:v>44529</c:v>
                </c:pt>
                <c:pt idx="2525">
                  <c:v>44530</c:v>
                </c:pt>
                <c:pt idx="2526">
                  <c:v>44531</c:v>
                </c:pt>
                <c:pt idx="2527">
                  <c:v>44532</c:v>
                </c:pt>
                <c:pt idx="2528">
                  <c:v>44533</c:v>
                </c:pt>
                <c:pt idx="2529">
                  <c:v>44534</c:v>
                </c:pt>
                <c:pt idx="2530">
                  <c:v>44535</c:v>
                </c:pt>
                <c:pt idx="2531">
                  <c:v>44536</c:v>
                </c:pt>
                <c:pt idx="2532">
                  <c:v>44537</c:v>
                </c:pt>
                <c:pt idx="2533">
                  <c:v>44538</c:v>
                </c:pt>
                <c:pt idx="2534">
                  <c:v>44539</c:v>
                </c:pt>
                <c:pt idx="2535">
                  <c:v>44540</c:v>
                </c:pt>
                <c:pt idx="2536">
                  <c:v>44541</c:v>
                </c:pt>
                <c:pt idx="2537">
                  <c:v>44542</c:v>
                </c:pt>
                <c:pt idx="2538">
                  <c:v>44543</c:v>
                </c:pt>
                <c:pt idx="2539">
                  <c:v>44544</c:v>
                </c:pt>
                <c:pt idx="2540">
                  <c:v>44545</c:v>
                </c:pt>
                <c:pt idx="2541">
                  <c:v>44546</c:v>
                </c:pt>
                <c:pt idx="2542">
                  <c:v>44547</c:v>
                </c:pt>
                <c:pt idx="2543">
                  <c:v>44548</c:v>
                </c:pt>
                <c:pt idx="2544">
                  <c:v>44549</c:v>
                </c:pt>
                <c:pt idx="2545">
                  <c:v>44550</c:v>
                </c:pt>
                <c:pt idx="2546">
                  <c:v>44551</c:v>
                </c:pt>
                <c:pt idx="2547">
                  <c:v>44552</c:v>
                </c:pt>
                <c:pt idx="2548">
                  <c:v>44553</c:v>
                </c:pt>
                <c:pt idx="2549">
                  <c:v>44554</c:v>
                </c:pt>
                <c:pt idx="2550">
                  <c:v>44555</c:v>
                </c:pt>
                <c:pt idx="2551">
                  <c:v>44556</c:v>
                </c:pt>
                <c:pt idx="2552">
                  <c:v>44557</c:v>
                </c:pt>
                <c:pt idx="2553">
                  <c:v>44558</c:v>
                </c:pt>
                <c:pt idx="2554">
                  <c:v>44559</c:v>
                </c:pt>
                <c:pt idx="2555">
                  <c:v>44560</c:v>
                </c:pt>
                <c:pt idx="2556">
                  <c:v>44561</c:v>
                </c:pt>
                <c:pt idx="2557">
                  <c:v>44562</c:v>
                </c:pt>
                <c:pt idx="2558">
                  <c:v>44563</c:v>
                </c:pt>
                <c:pt idx="2559">
                  <c:v>44564</c:v>
                </c:pt>
                <c:pt idx="2560">
                  <c:v>44565</c:v>
                </c:pt>
                <c:pt idx="2561">
                  <c:v>44566</c:v>
                </c:pt>
                <c:pt idx="2562">
                  <c:v>44567</c:v>
                </c:pt>
                <c:pt idx="2563">
                  <c:v>44568</c:v>
                </c:pt>
                <c:pt idx="2564">
                  <c:v>44569</c:v>
                </c:pt>
                <c:pt idx="2565">
                  <c:v>44570</c:v>
                </c:pt>
                <c:pt idx="2566">
                  <c:v>44571</c:v>
                </c:pt>
                <c:pt idx="2567">
                  <c:v>44572</c:v>
                </c:pt>
                <c:pt idx="2568">
                  <c:v>44573</c:v>
                </c:pt>
                <c:pt idx="2569">
                  <c:v>44574</c:v>
                </c:pt>
                <c:pt idx="2570">
                  <c:v>44575</c:v>
                </c:pt>
                <c:pt idx="2571">
                  <c:v>44576</c:v>
                </c:pt>
                <c:pt idx="2572">
                  <c:v>44577</c:v>
                </c:pt>
                <c:pt idx="2573">
                  <c:v>44578</c:v>
                </c:pt>
                <c:pt idx="2574">
                  <c:v>44579</c:v>
                </c:pt>
                <c:pt idx="2575">
                  <c:v>44580</c:v>
                </c:pt>
                <c:pt idx="2576">
                  <c:v>44581</c:v>
                </c:pt>
                <c:pt idx="2577">
                  <c:v>44582</c:v>
                </c:pt>
                <c:pt idx="2578">
                  <c:v>44583</c:v>
                </c:pt>
                <c:pt idx="2579">
                  <c:v>44584</c:v>
                </c:pt>
                <c:pt idx="2580">
                  <c:v>44585</c:v>
                </c:pt>
                <c:pt idx="2581">
                  <c:v>44586</c:v>
                </c:pt>
                <c:pt idx="2582">
                  <c:v>44587</c:v>
                </c:pt>
                <c:pt idx="2583">
                  <c:v>44588</c:v>
                </c:pt>
                <c:pt idx="2584">
                  <c:v>44589</c:v>
                </c:pt>
                <c:pt idx="2585">
                  <c:v>44590</c:v>
                </c:pt>
                <c:pt idx="2586">
                  <c:v>44591</c:v>
                </c:pt>
                <c:pt idx="2587">
                  <c:v>44592</c:v>
                </c:pt>
                <c:pt idx="2588">
                  <c:v>44593</c:v>
                </c:pt>
                <c:pt idx="2589">
                  <c:v>44594</c:v>
                </c:pt>
                <c:pt idx="2590">
                  <c:v>44595</c:v>
                </c:pt>
                <c:pt idx="2591">
                  <c:v>44596</c:v>
                </c:pt>
                <c:pt idx="2592">
                  <c:v>44597</c:v>
                </c:pt>
                <c:pt idx="2593">
                  <c:v>44598</c:v>
                </c:pt>
                <c:pt idx="2594">
                  <c:v>44599</c:v>
                </c:pt>
                <c:pt idx="2595">
                  <c:v>44600</c:v>
                </c:pt>
                <c:pt idx="2596">
                  <c:v>44601</c:v>
                </c:pt>
                <c:pt idx="2597">
                  <c:v>44602</c:v>
                </c:pt>
                <c:pt idx="2598">
                  <c:v>44603</c:v>
                </c:pt>
                <c:pt idx="2599">
                  <c:v>44604</c:v>
                </c:pt>
                <c:pt idx="2600">
                  <c:v>44605</c:v>
                </c:pt>
                <c:pt idx="2601">
                  <c:v>44606</c:v>
                </c:pt>
                <c:pt idx="2602">
                  <c:v>44607</c:v>
                </c:pt>
                <c:pt idx="2603">
                  <c:v>44608</c:v>
                </c:pt>
                <c:pt idx="2604">
                  <c:v>44609</c:v>
                </c:pt>
                <c:pt idx="2605">
                  <c:v>44610</c:v>
                </c:pt>
                <c:pt idx="2606">
                  <c:v>44611</c:v>
                </c:pt>
                <c:pt idx="2607">
                  <c:v>44612</c:v>
                </c:pt>
                <c:pt idx="2608">
                  <c:v>44613</c:v>
                </c:pt>
                <c:pt idx="2609">
                  <c:v>44614</c:v>
                </c:pt>
                <c:pt idx="2610">
                  <c:v>44615</c:v>
                </c:pt>
                <c:pt idx="2611">
                  <c:v>44616</c:v>
                </c:pt>
                <c:pt idx="2612">
                  <c:v>44617</c:v>
                </c:pt>
                <c:pt idx="2613">
                  <c:v>44618</c:v>
                </c:pt>
                <c:pt idx="2614">
                  <c:v>44619</c:v>
                </c:pt>
                <c:pt idx="2615">
                  <c:v>44620</c:v>
                </c:pt>
                <c:pt idx="2616">
                  <c:v>44621</c:v>
                </c:pt>
                <c:pt idx="2617">
                  <c:v>44622</c:v>
                </c:pt>
                <c:pt idx="2618">
                  <c:v>44623</c:v>
                </c:pt>
                <c:pt idx="2619">
                  <c:v>44624</c:v>
                </c:pt>
                <c:pt idx="2620">
                  <c:v>44625</c:v>
                </c:pt>
                <c:pt idx="2621">
                  <c:v>44626</c:v>
                </c:pt>
                <c:pt idx="2622">
                  <c:v>44627</c:v>
                </c:pt>
                <c:pt idx="2623">
                  <c:v>44628</c:v>
                </c:pt>
                <c:pt idx="2624">
                  <c:v>44629</c:v>
                </c:pt>
                <c:pt idx="2625">
                  <c:v>44630</c:v>
                </c:pt>
                <c:pt idx="2626">
                  <c:v>44631</c:v>
                </c:pt>
                <c:pt idx="2627">
                  <c:v>44632</c:v>
                </c:pt>
                <c:pt idx="2628">
                  <c:v>44633</c:v>
                </c:pt>
                <c:pt idx="2629">
                  <c:v>44634</c:v>
                </c:pt>
                <c:pt idx="2630">
                  <c:v>44635</c:v>
                </c:pt>
                <c:pt idx="2631">
                  <c:v>44636</c:v>
                </c:pt>
                <c:pt idx="2632">
                  <c:v>44637</c:v>
                </c:pt>
                <c:pt idx="2633">
                  <c:v>44638</c:v>
                </c:pt>
                <c:pt idx="2634">
                  <c:v>44639</c:v>
                </c:pt>
                <c:pt idx="2635">
                  <c:v>44640</c:v>
                </c:pt>
                <c:pt idx="2636">
                  <c:v>44641</c:v>
                </c:pt>
                <c:pt idx="2637">
                  <c:v>44642</c:v>
                </c:pt>
                <c:pt idx="2638">
                  <c:v>44643</c:v>
                </c:pt>
                <c:pt idx="2639">
                  <c:v>44644</c:v>
                </c:pt>
                <c:pt idx="2640">
                  <c:v>44645</c:v>
                </c:pt>
                <c:pt idx="2641">
                  <c:v>44646</c:v>
                </c:pt>
                <c:pt idx="2642">
                  <c:v>44647</c:v>
                </c:pt>
                <c:pt idx="2643">
                  <c:v>44648</c:v>
                </c:pt>
                <c:pt idx="2644">
                  <c:v>44649</c:v>
                </c:pt>
                <c:pt idx="2645">
                  <c:v>44650</c:v>
                </c:pt>
                <c:pt idx="2646">
                  <c:v>44651</c:v>
                </c:pt>
                <c:pt idx="2647">
                  <c:v>44652</c:v>
                </c:pt>
                <c:pt idx="2648">
                  <c:v>44653</c:v>
                </c:pt>
                <c:pt idx="2649">
                  <c:v>44654</c:v>
                </c:pt>
                <c:pt idx="2650">
                  <c:v>44655</c:v>
                </c:pt>
                <c:pt idx="2651">
                  <c:v>44656</c:v>
                </c:pt>
                <c:pt idx="2652">
                  <c:v>44657</c:v>
                </c:pt>
                <c:pt idx="2653">
                  <c:v>44658</c:v>
                </c:pt>
                <c:pt idx="2654">
                  <c:v>44659</c:v>
                </c:pt>
                <c:pt idx="2655">
                  <c:v>44660</c:v>
                </c:pt>
                <c:pt idx="2656">
                  <c:v>44661</c:v>
                </c:pt>
                <c:pt idx="2657">
                  <c:v>44662</c:v>
                </c:pt>
                <c:pt idx="2658">
                  <c:v>44663</c:v>
                </c:pt>
                <c:pt idx="2659">
                  <c:v>44664</c:v>
                </c:pt>
                <c:pt idx="2660">
                  <c:v>44665</c:v>
                </c:pt>
                <c:pt idx="2661">
                  <c:v>44666</c:v>
                </c:pt>
                <c:pt idx="2662">
                  <c:v>44667</c:v>
                </c:pt>
                <c:pt idx="2663">
                  <c:v>44668</c:v>
                </c:pt>
                <c:pt idx="2664">
                  <c:v>44669</c:v>
                </c:pt>
                <c:pt idx="2665">
                  <c:v>44670</c:v>
                </c:pt>
                <c:pt idx="2666">
                  <c:v>44671</c:v>
                </c:pt>
                <c:pt idx="2667">
                  <c:v>44672</c:v>
                </c:pt>
                <c:pt idx="2668">
                  <c:v>44673</c:v>
                </c:pt>
                <c:pt idx="2669">
                  <c:v>44674</c:v>
                </c:pt>
                <c:pt idx="2670">
                  <c:v>44675</c:v>
                </c:pt>
                <c:pt idx="2671">
                  <c:v>44676</c:v>
                </c:pt>
                <c:pt idx="2672">
                  <c:v>44677</c:v>
                </c:pt>
                <c:pt idx="2673">
                  <c:v>44678</c:v>
                </c:pt>
                <c:pt idx="2674">
                  <c:v>44679</c:v>
                </c:pt>
                <c:pt idx="2675">
                  <c:v>44680</c:v>
                </c:pt>
                <c:pt idx="2676">
                  <c:v>44681</c:v>
                </c:pt>
                <c:pt idx="2677">
                  <c:v>44682</c:v>
                </c:pt>
                <c:pt idx="2678">
                  <c:v>44683</c:v>
                </c:pt>
                <c:pt idx="2679">
                  <c:v>44684</c:v>
                </c:pt>
                <c:pt idx="2680">
                  <c:v>44685</c:v>
                </c:pt>
                <c:pt idx="2681">
                  <c:v>44686</c:v>
                </c:pt>
                <c:pt idx="2682">
                  <c:v>44687</c:v>
                </c:pt>
                <c:pt idx="2683">
                  <c:v>44688</c:v>
                </c:pt>
                <c:pt idx="2684">
                  <c:v>44689</c:v>
                </c:pt>
                <c:pt idx="2685">
                  <c:v>44690</c:v>
                </c:pt>
                <c:pt idx="2686">
                  <c:v>44691</c:v>
                </c:pt>
                <c:pt idx="2687">
                  <c:v>44692</c:v>
                </c:pt>
                <c:pt idx="2688">
                  <c:v>44693</c:v>
                </c:pt>
                <c:pt idx="2689">
                  <c:v>44694</c:v>
                </c:pt>
                <c:pt idx="2690">
                  <c:v>44695</c:v>
                </c:pt>
                <c:pt idx="2691">
                  <c:v>44696</c:v>
                </c:pt>
                <c:pt idx="2692">
                  <c:v>44697</c:v>
                </c:pt>
                <c:pt idx="2693">
                  <c:v>44698</c:v>
                </c:pt>
                <c:pt idx="2694">
                  <c:v>44699</c:v>
                </c:pt>
                <c:pt idx="2695">
                  <c:v>44700</c:v>
                </c:pt>
                <c:pt idx="2696">
                  <c:v>44701</c:v>
                </c:pt>
                <c:pt idx="2697">
                  <c:v>44702</c:v>
                </c:pt>
                <c:pt idx="2698">
                  <c:v>44703</c:v>
                </c:pt>
                <c:pt idx="2699">
                  <c:v>44704</c:v>
                </c:pt>
                <c:pt idx="2700">
                  <c:v>44705</c:v>
                </c:pt>
                <c:pt idx="2701">
                  <c:v>44706</c:v>
                </c:pt>
                <c:pt idx="2702">
                  <c:v>44707</c:v>
                </c:pt>
                <c:pt idx="2703">
                  <c:v>44708</c:v>
                </c:pt>
                <c:pt idx="2704">
                  <c:v>44709</c:v>
                </c:pt>
                <c:pt idx="2705">
                  <c:v>44710</c:v>
                </c:pt>
                <c:pt idx="2706">
                  <c:v>44711</c:v>
                </c:pt>
                <c:pt idx="2707">
                  <c:v>44712</c:v>
                </c:pt>
                <c:pt idx="2708">
                  <c:v>44713</c:v>
                </c:pt>
                <c:pt idx="2709">
                  <c:v>44714</c:v>
                </c:pt>
                <c:pt idx="2710">
                  <c:v>44715</c:v>
                </c:pt>
                <c:pt idx="2711">
                  <c:v>44716</c:v>
                </c:pt>
                <c:pt idx="2712">
                  <c:v>44717</c:v>
                </c:pt>
                <c:pt idx="2713">
                  <c:v>44718</c:v>
                </c:pt>
                <c:pt idx="2714">
                  <c:v>44719</c:v>
                </c:pt>
                <c:pt idx="2715">
                  <c:v>44720</c:v>
                </c:pt>
                <c:pt idx="2716">
                  <c:v>44721</c:v>
                </c:pt>
                <c:pt idx="2717">
                  <c:v>44722</c:v>
                </c:pt>
                <c:pt idx="2718">
                  <c:v>44723</c:v>
                </c:pt>
                <c:pt idx="2719">
                  <c:v>44724</c:v>
                </c:pt>
                <c:pt idx="2720">
                  <c:v>44725</c:v>
                </c:pt>
                <c:pt idx="2721">
                  <c:v>44726</c:v>
                </c:pt>
                <c:pt idx="2722">
                  <c:v>44727</c:v>
                </c:pt>
                <c:pt idx="2723">
                  <c:v>44728</c:v>
                </c:pt>
                <c:pt idx="2724">
                  <c:v>44729</c:v>
                </c:pt>
                <c:pt idx="2725">
                  <c:v>44730</c:v>
                </c:pt>
                <c:pt idx="2726">
                  <c:v>44731</c:v>
                </c:pt>
                <c:pt idx="2727">
                  <c:v>44732</c:v>
                </c:pt>
                <c:pt idx="2728">
                  <c:v>44733</c:v>
                </c:pt>
                <c:pt idx="2729">
                  <c:v>44734</c:v>
                </c:pt>
                <c:pt idx="2730">
                  <c:v>44735</c:v>
                </c:pt>
                <c:pt idx="2731">
                  <c:v>44736</c:v>
                </c:pt>
                <c:pt idx="2732">
                  <c:v>44737</c:v>
                </c:pt>
                <c:pt idx="2733">
                  <c:v>44738</c:v>
                </c:pt>
                <c:pt idx="2734">
                  <c:v>44739</c:v>
                </c:pt>
                <c:pt idx="2735">
                  <c:v>44740</c:v>
                </c:pt>
                <c:pt idx="2736">
                  <c:v>44741</c:v>
                </c:pt>
                <c:pt idx="2737">
                  <c:v>44742</c:v>
                </c:pt>
                <c:pt idx="2738">
                  <c:v>44743</c:v>
                </c:pt>
                <c:pt idx="2739">
                  <c:v>44744</c:v>
                </c:pt>
                <c:pt idx="2740">
                  <c:v>44745</c:v>
                </c:pt>
                <c:pt idx="2741">
                  <c:v>44746</c:v>
                </c:pt>
                <c:pt idx="2742">
                  <c:v>44747</c:v>
                </c:pt>
                <c:pt idx="2743">
                  <c:v>44748</c:v>
                </c:pt>
                <c:pt idx="2744">
                  <c:v>44749</c:v>
                </c:pt>
                <c:pt idx="2745">
                  <c:v>44750</c:v>
                </c:pt>
                <c:pt idx="2746">
                  <c:v>44751</c:v>
                </c:pt>
                <c:pt idx="2747">
                  <c:v>44752</c:v>
                </c:pt>
                <c:pt idx="2748">
                  <c:v>44753</c:v>
                </c:pt>
                <c:pt idx="2749">
                  <c:v>44754</c:v>
                </c:pt>
                <c:pt idx="2750">
                  <c:v>44755</c:v>
                </c:pt>
                <c:pt idx="2751">
                  <c:v>44756</c:v>
                </c:pt>
                <c:pt idx="2752">
                  <c:v>44757</c:v>
                </c:pt>
                <c:pt idx="2753">
                  <c:v>44758</c:v>
                </c:pt>
                <c:pt idx="2754">
                  <c:v>44759</c:v>
                </c:pt>
                <c:pt idx="2755">
                  <c:v>44760</c:v>
                </c:pt>
                <c:pt idx="2756">
                  <c:v>44761</c:v>
                </c:pt>
                <c:pt idx="2757">
                  <c:v>44762</c:v>
                </c:pt>
                <c:pt idx="2758">
                  <c:v>44763</c:v>
                </c:pt>
                <c:pt idx="2759">
                  <c:v>44764</c:v>
                </c:pt>
                <c:pt idx="2760">
                  <c:v>44765</c:v>
                </c:pt>
                <c:pt idx="2761">
                  <c:v>44766</c:v>
                </c:pt>
                <c:pt idx="2762">
                  <c:v>44767</c:v>
                </c:pt>
                <c:pt idx="2763">
                  <c:v>44768</c:v>
                </c:pt>
                <c:pt idx="2764">
                  <c:v>44769</c:v>
                </c:pt>
                <c:pt idx="2765">
                  <c:v>44770</c:v>
                </c:pt>
                <c:pt idx="2766">
                  <c:v>44771</c:v>
                </c:pt>
                <c:pt idx="2767">
                  <c:v>44772</c:v>
                </c:pt>
                <c:pt idx="2768">
                  <c:v>44773</c:v>
                </c:pt>
                <c:pt idx="2769">
                  <c:v>44774</c:v>
                </c:pt>
                <c:pt idx="2770">
                  <c:v>44775</c:v>
                </c:pt>
                <c:pt idx="2771">
                  <c:v>44776</c:v>
                </c:pt>
                <c:pt idx="2772">
                  <c:v>44777</c:v>
                </c:pt>
                <c:pt idx="2773">
                  <c:v>44778</c:v>
                </c:pt>
                <c:pt idx="2774">
                  <c:v>44779</c:v>
                </c:pt>
                <c:pt idx="2775">
                  <c:v>44780</c:v>
                </c:pt>
                <c:pt idx="2776">
                  <c:v>44781</c:v>
                </c:pt>
                <c:pt idx="2777">
                  <c:v>44782</c:v>
                </c:pt>
                <c:pt idx="2778">
                  <c:v>44783</c:v>
                </c:pt>
                <c:pt idx="2779">
                  <c:v>44784</c:v>
                </c:pt>
                <c:pt idx="2780">
                  <c:v>44785</c:v>
                </c:pt>
                <c:pt idx="2781">
                  <c:v>44786</c:v>
                </c:pt>
                <c:pt idx="2782">
                  <c:v>44787</c:v>
                </c:pt>
                <c:pt idx="2783">
                  <c:v>44788</c:v>
                </c:pt>
                <c:pt idx="2784">
                  <c:v>44789</c:v>
                </c:pt>
                <c:pt idx="2785">
                  <c:v>44790</c:v>
                </c:pt>
                <c:pt idx="2786">
                  <c:v>44791</c:v>
                </c:pt>
                <c:pt idx="2787">
                  <c:v>44792</c:v>
                </c:pt>
                <c:pt idx="2788">
                  <c:v>44793</c:v>
                </c:pt>
                <c:pt idx="2789">
                  <c:v>44794</c:v>
                </c:pt>
                <c:pt idx="2790">
                  <c:v>44795</c:v>
                </c:pt>
                <c:pt idx="2791">
                  <c:v>44796</c:v>
                </c:pt>
                <c:pt idx="2792">
                  <c:v>44797</c:v>
                </c:pt>
                <c:pt idx="2793">
                  <c:v>44798</c:v>
                </c:pt>
                <c:pt idx="2794">
                  <c:v>44799</c:v>
                </c:pt>
                <c:pt idx="2795">
                  <c:v>44800</c:v>
                </c:pt>
                <c:pt idx="2796">
                  <c:v>44801</c:v>
                </c:pt>
                <c:pt idx="2797">
                  <c:v>44802</c:v>
                </c:pt>
                <c:pt idx="2798">
                  <c:v>44803</c:v>
                </c:pt>
                <c:pt idx="2799">
                  <c:v>44804</c:v>
                </c:pt>
                <c:pt idx="2800">
                  <c:v>44805</c:v>
                </c:pt>
                <c:pt idx="2801">
                  <c:v>44806</c:v>
                </c:pt>
                <c:pt idx="2802">
                  <c:v>44807</c:v>
                </c:pt>
                <c:pt idx="2803">
                  <c:v>44808</c:v>
                </c:pt>
                <c:pt idx="2804">
                  <c:v>44809</c:v>
                </c:pt>
                <c:pt idx="2805">
                  <c:v>44810</c:v>
                </c:pt>
                <c:pt idx="2806">
                  <c:v>44811</c:v>
                </c:pt>
                <c:pt idx="2807">
                  <c:v>44812</c:v>
                </c:pt>
                <c:pt idx="2808">
                  <c:v>44813</c:v>
                </c:pt>
                <c:pt idx="2809">
                  <c:v>44814</c:v>
                </c:pt>
                <c:pt idx="2810">
                  <c:v>44815</c:v>
                </c:pt>
                <c:pt idx="2811">
                  <c:v>44816</c:v>
                </c:pt>
                <c:pt idx="2812">
                  <c:v>44817</c:v>
                </c:pt>
                <c:pt idx="2813">
                  <c:v>44818</c:v>
                </c:pt>
                <c:pt idx="2814">
                  <c:v>44819</c:v>
                </c:pt>
                <c:pt idx="2815">
                  <c:v>44820</c:v>
                </c:pt>
                <c:pt idx="2816">
                  <c:v>44821</c:v>
                </c:pt>
                <c:pt idx="2817">
                  <c:v>44822</c:v>
                </c:pt>
                <c:pt idx="2818">
                  <c:v>44823</c:v>
                </c:pt>
                <c:pt idx="2819">
                  <c:v>44824</c:v>
                </c:pt>
                <c:pt idx="2820">
                  <c:v>44825</c:v>
                </c:pt>
                <c:pt idx="2821">
                  <c:v>44826</c:v>
                </c:pt>
                <c:pt idx="2822">
                  <c:v>44827</c:v>
                </c:pt>
                <c:pt idx="2823">
                  <c:v>44828</c:v>
                </c:pt>
                <c:pt idx="2824">
                  <c:v>44829</c:v>
                </c:pt>
                <c:pt idx="2825">
                  <c:v>44830</c:v>
                </c:pt>
                <c:pt idx="2826">
                  <c:v>44831</c:v>
                </c:pt>
                <c:pt idx="2827">
                  <c:v>44832</c:v>
                </c:pt>
                <c:pt idx="2828">
                  <c:v>44833</c:v>
                </c:pt>
                <c:pt idx="2829">
                  <c:v>44834</c:v>
                </c:pt>
                <c:pt idx="2830">
                  <c:v>44835</c:v>
                </c:pt>
                <c:pt idx="2831">
                  <c:v>44836</c:v>
                </c:pt>
                <c:pt idx="2832">
                  <c:v>44837</c:v>
                </c:pt>
                <c:pt idx="2833">
                  <c:v>44838</c:v>
                </c:pt>
                <c:pt idx="2834">
                  <c:v>44839</c:v>
                </c:pt>
                <c:pt idx="2835">
                  <c:v>44840</c:v>
                </c:pt>
                <c:pt idx="2836">
                  <c:v>44841</c:v>
                </c:pt>
                <c:pt idx="2837">
                  <c:v>44842</c:v>
                </c:pt>
                <c:pt idx="2838">
                  <c:v>44843</c:v>
                </c:pt>
                <c:pt idx="2839">
                  <c:v>44844</c:v>
                </c:pt>
                <c:pt idx="2840">
                  <c:v>44845</c:v>
                </c:pt>
                <c:pt idx="2841">
                  <c:v>44846</c:v>
                </c:pt>
                <c:pt idx="2842">
                  <c:v>44847</c:v>
                </c:pt>
                <c:pt idx="2843">
                  <c:v>44848</c:v>
                </c:pt>
                <c:pt idx="2844">
                  <c:v>44849</c:v>
                </c:pt>
                <c:pt idx="2845">
                  <c:v>44850</c:v>
                </c:pt>
                <c:pt idx="2846">
                  <c:v>44851</c:v>
                </c:pt>
                <c:pt idx="2847">
                  <c:v>44852</c:v>
                </c:pt>
                <c:pt idx="2848">
                  <c:v>44853</c:v>
                </c:pt>
                <c:pt idx="2849">
                  <c:v>44854</c:v>
                </c:pt>
                <c:pt idx="2850">
                  <c:v>44855</c:v>
                </c:pt>
                <c:pt idx="2851">
                  <c:v>44856</c:v>
                </c:pt>
                <c:pt idx="2852">
                  <c:v>44857</c:v>
                </c:pt>
                <c:pt idx="2853">
                  <c:v>44858</c:v>
                </c:pt>
                <c:pt idx="2854">
                  <c:v>44859</c:v>
                </c:pt>
                <c:pt idx="2855">
                  <c:v>44860</c:v>
                </c:pt>
                <c:pt idx="2856">
                  <c:v>44861</c:v>
                </c:pt>
                <c:pt idx="2857">
                  <c:v>44862</c:v>
                </c:pt>
                <c:pt idx="2858">
                  <c:v>44863</c:v>
                </c:pt>
                <c:pt idx="2859">
                  <c:v>44864</c:v>
                </c:pt>
                <c:pt idx="2860">
                  <c:v>44865</c:v>
                </c:pt>
                <c:pt idx="2861">
                  <c:v>44866</c:v>
                </c:pt>
                <c:pt idx="2862">
                  <c:v>44867</c:v>
                </c:pt>
                <c:pt idx="2863">
                  <c:v>44868</c:v>
                </c:pt>
                <c:pt idx="2864">
                  <c:v>44869</c:v>
                </c:pt>
                <c:pt idx="2865">
                  <c:v>44870</c:v>
                </c:pt>
                <c:pt idx="2866">
                  <c:v>44871</c:v>
                </c:pt>
                <c:pt idx="2867">
                  <c:v>44872</c:v>
                </c:pt>
                <c:pt idx="2868">
                  <c:v>44873</c:v>
                </c:pt>
                <c:pt idx="2869">
                  <c:v>44874</c:v>
                </c:pt>
                <c:pt idx="2870">
                  <c:v>44875</c:v>
                </c:pt>
                <c:pt idx="2871">
                  <c:v>44876</c:v>
                </c:pt>
                <c:pt idx="2872">
                  <c:v>44877</c:v>
                </c:pt>
                <c:pt idx="2873">
                  <c:v>44878</c:v>
                </c:pt>
                <c:pt idx="2874">
                  <c:v>44879</c:v>
                </c:pt>
                <c:pt idx="2875">
                  <c:v>44880</c:v>
                </c:pt>
                <c:pt idx="2876">
                  <c:v>44881</c:v>
                </c:pt>
                <c:pt idx="2877">
                  <c:v>44882</c:v>
                </c:pt>
                <c:pt idx="2878">
                  <c:v>44883</c:v>
                </c:pt>
                <c:pt idx="2879">
                  <c:v>44884</c:v>
                </c:pt>
                <c:pt idx="2880">
                  <c:v>44885</c:v>
                </c:pt>
                <c:pt idx="2881">
                  <c:v>44886</c:v>
                </c:pt>
                <c:pt idx="2882">
                  <c:v>44887</c:v>
                </c:pt>
                <c:pt idx="2883">
                  <c:v>44888</c:v>
                </c:pt>
                <c:pt idx="2884">
                  <c:v>44889</c:v>
                </c:pt>
                <c:pt idx="2885">
                  <c:v>44890</c:v>
                </c:pt>
                <c:pt idx="2886">
                  <c:v>44891</c:v>
                </c:pt>
                <c:pt idx="2887">
                  <c:v>44892</c:v>
                </c:pt>
                <c:pt idx="2888">
                  <c:v>44893</c:v>
                </c:pt>
                <c:pt idx="2889">
                  <c:v>44894</c:v>
                </c:pt>
                <c:pt idx="2890">
                  <c:v>44895</c:v>
                </c:pt>
                <c:pt idx="2891">
                  <c:v>44896</c:v>
                </c:pt>
                <c:pt idx="2892">
                  <c:v>44897</c:v>
                </c:pt>
                <c:pt idx="2893">
                  <c:v>44898</c:v>
                </c:pt>
                <c:pt idx="2894">
                  <c:v>44899</c:v>
                </c:pt>
                <c:pt idx="2895">
                  <c:v>44900</c:v>
                </c:pt>
                <c:pt idx="2896">
                  <c:v>44901</c:v>
                </c:pt>
                <c:pt idx="2897">
                  <c:v>44902</c:v>
                </c:pt>
                <c:pt idx="2898">
                  <c:v>44903</c:v>
                </c:pt>
                <c:pt idx="2899">
                  <c:v>44904</c:v>
                </c:pt>
                <c:pt idx="2900">
                  <c:v>44905</c:v>
                </c:pt>
                <c:pt idx="2901">
                  <c:v>44906</c:v>
                </c:pt>
                <c:pt idx="2902">
                  <c:v>44907</c:v>
                </c:pt>
                <c:pt idx="2903">
                  <c:v>44908</c:v>
                </c:pt>
                <c:pt idx="2904">
                  <c:v>44909</c:v>
                </c:pt>
                <c:pt idx="2905">
                  <c:v>44910</c:v>
                </c:pt>
                <c:pt idx="2906">
                  <c:v>44911</c:v>
                </c:pt>
                <c:pt idx="2907">
                  <c:v>44912</c:v>
                </c:pt>
                <c:pt idx="2908">
                  <c:v>44913</c:v>
                </c:pt>
                <c:pt idx="2909">
                  <c:v>44914</c:v>
                </c:pt>
                <c:pt idx="2910">
                  <c:v>44915</c:v>
                </c:pt>
                <c:pt idx="2911">
                  <c:v>44916</c:v>
                </c:pt>
                <c:pt idx="2912">
                  <c:v>44917</c:v>
                </c:pt>
                <c:pt idx="2913">
                  <c:v>44918</c:v>
                </c:pt>
                <c:pt idx="2914">
                  <c:v>44919</c:v>
                </c:pt>
                <c:pt idx="2915">
                  <c:v>44920</c:v>
                </c:pt>
                <c:pt idx="2916">
                  <c:v>44921</c:v>
                </c:pt>
                <c:pt idx="2917">
                  <c:v>44922</c:v>
                </c:pt>
                <c:pt idx="2918">
                  <c:v>44923</c:v>
                </c:pt>
                <c:pt idx="2919">
                  <c:v>44924</c:v>
                </c:pt>
                <c:pt idx="2920">
                  <c:v>44925</c:v>
                </c:pt>
                <c:pt idx="2921">
                  <c:v>44926</c:v>
                </c:pt>
                <c:pt idx="2922">
                  <c:v>44927</c:v>
                </c:pt>
                <c:pt idx="2923">
                  <c:v>44928</c:v>
                </c:pt>
                <c:pt idx="2924">
                  <c:v>44929</c:v>
                </c:pt>
                <c:pt idx="2925">
                  <c:v>44930</c:v>
                </c:pt>
                <c:pt idx="2926">
                  <c:v>44931</c:v>
                </c:pt>
                <c:pt idx="2927">
                  <c:v>44932</c:v>
                </c:pt>
                <c:pt idx="2928">
                  <c:v>44933</c:v>
                </c:pt>
                <c:pt idx="2929">
                  <c:v>44934</c:v>
                </c:pt>
                <c:pt idx="2930">
                  <c:v>44935</c:v>
                </c:pt>
                <c:pt idx="2931">
                  <c:v>44936</c:v>
                </c:pt>
                <c:pt idx="2932">
                  <c:v>44937</c:v>
                </c:pt>
                <c:pt idx="2933">
                  <c:v>44938</c:v>
                </c:pt>
                <c:pt idx="2934">
                  <c:v>44939</c:v>
                </c:pt>
                <c:pt idx="2935">
                  <c:v>44940</c:v>
                </c:pt>
                <c:pt idx="2936">
                  <c:v>44941</c:v>
                </c:pt>
                <c:pt idx="2937">
                  <c:v>44942</c:v>
                </c:pt>
                <c:pt idx="2938">
                  <c:v>44943</c:v>
                </c:pt>
                <c:pt idx="2939">
                  <c:v>44944</c:v>
                </c:pt>
                <c:pt idx="2940">
                  <c:v>44945</c:v>
                </c:pt>
                <c:pt idx="2941">
                  <c:v>44946</c:v>
                </c:pt>
                <c:pt idx="2942">
                  <c:v>44947</c:v>
                </c:pt>
                <c:pt idx="2943">
                  <c:v>44948</c:v>
                </c:pt>
                <c:pt idx="2944">
                  <c:v>44949</c:v>
                </c:pt>
                <c:pt idx="2945">
                  <c:v>44950</c:v>
                </c:pt>
                <c:pt idx="2946">
                  <c:v>44951</c:v>
                </c:pt>
                <c:pt idx="2947">
                  <c:v>44952</c:v>
                </c:pt>
                <c:pt idx="2948">
                  <c:v>44953</c:v>
                </c:pt>
                <c:pt idx="2949">
                  <c:v>44954</c:v>
                </c:pt>
                <c:pt idx="2950">
                  <c:v>44955</c:v>
                </c:pt>
                <c:pt idx="2951">
                  <c:v>44956</c:v>
                </c:pt>
                <c:pt idx="2952">
                  <c:v>44957</c:v>
                </c:pt>
                <c:pt idx="2953">
                  <c:v>44958</c:v>
                </c:pt>
                <c:pt idx="2954">
                  <c:v>44959</c:v>
                </c:pt>
                <c:pt idx="2955">
                  <c:v>44960</c:v>
                </c:pt>
                <c:pt idx="2956">
                  <c:v>44961</c:v>
                </c:pt>
                <c:pt idx="2957">
                  <c:v>44962</c:v>
                </c:pt>
                <c:pt idx="2958">
                  <c:v>44963</c:v>
                </c:pt>
                <c:pt idx="2959">
                  <c:v>44964</c:v>
                </c:pt>
                <c:pt idx="2960">
                  <c:v>44965</c:v>
                </c:pt>
                <c:pt idx="2961">
                  <c:v>44966</c:v>
                </c:pt>
                <c:pt idx="2962">
                  <c:v>44967</c:v>
                </c:pt>
                <c:pt idx="2963">
                  <c:v>44968</c:v>
                </c:pt>
                <c:pt idx="2964">
                  <c:v>44969</c:v>
                </c:pt>
                <c:pt idx="2965">
                  <c:v>44970</c:v>
                </c:pt>
                <c:pt idx="2966">
                  <c:v>44971</c:v>
                </c:pt>
                <c:pt idx="2967">
                  <c:v>44972</c:v>
                </c:pt>
                <c:pt idx="2968">
                  <c:v>44973</c:v>
                </c:pt>
                <c:pt idx="2969">
                  <c:v>44974</c:v>
                </c:pt>
                <c:pt idx="2970">
                  <c:v>44975</c:v>
                </c:pt>
                <c:pt idx="2971">
                  <c:v>44976</c:v>
                </c:pt>
                <c:pt idx="2972">
                  <c:v>44977</c:v>
                </c:pt>
                <c:pt idx="2973">
                  <c:v>44978</c:v>
                </c:pt>
                <c:pt idx="2974">
                  <c:v>44979</c:v>
                </c:pt>
                <c:pt idx="2975">
                  <c:v>44980</c:v>
                </c:pt>
                <c:pt idx="2976">
                  <c:v>44981</c:v>
                </c:pt>
                <c:pt idx="2977">
                  <c:v>44982</c:v>
                </c:pt>
                <c:pt idx="2978">
                  <c:v>44983</c:v>
                </c:pt>
                <c:pt idx="2979">
                  <c:v>44984</c:v>
                </c:pt>
                <c:pt idx="2980">
                  <c:v>44985</c:v>
                </c:pt>
                <c:pt idx="2981">
                  <c:v>44986</c:v>
                </c:pt>
                <c:pt idx="2982">
                  <c:v>44987</c:v>
                </c:pt>
                <c:pt idx="2983">
                  <c:v>44988</c:v>
                </c:pt>
                <c:pt idx="2984">
                  <c:v>44989</c:v>
                </c:pt>
                <c:pt idx="2985">
                  <c:v>44990</c:v>
                </c:pt>
                <c:pt idx="2986">
                  <c:v>44991</c:v>
                </c:pt>
                <c:pt idx="2987">
                  <c:v>44992</c:v>
                </c:pt>
                <c:pt idx="2988">
                  <c:v>44993</c:v>
                </c:pt>
                <c:pt idx="2989">
                  <c:v>44994</c:v>
                </c:pt>
                <c:pt idx="2990">
                  <c:v>44995</c:v>
                </c:pt>
                <c:pt idx="2991">
                  <c:v>44996</c:v>
                </c:pt>
                <c:pt idx="2992">
                  <c:v>44997</c:v>
                </c:pt>
                <c:pt idx="2993">
                  <c:v>44998</c:v>
                </c:pt>
                <c:pt idx="2994">
                  <c:v>44999</c:v>
                </c:pt>
                <c:pt idx="2995">
                  <c:v>45000</c:v>
                </c:pt>
                <c:pt idx="2996">
                  <c:v>45001</c:v>
                </c:pt>
                <c:pt idx="2997">
                  <c:v>45002</c:v>
                </c:pt>
                <c:pt idx="2998">
                  <c:v>45003</c:v>
                </c:pt>
                <c:pt idx="2999">
                  <c:v>45004</c:v>
                </c:pt>
                <c:pt idx="3000">
                  <c:v>45005</c:v>
                </c:pt>
                <c:pt idx="3001">
                  <c:v>45006</c:v>
                </c:pt>
                <c:pt idx="3002">
                  <c:v>45007</c:v>
                </c:pt>
                <c:pt idx="3003">
                  <c:v>45008</c:v>
                </c:pt>
                <c:pt idx="3004">
                  <c:v>45009</c:v>
                </c:pt>
                <c:pt idx="3005">
                  <c:v>45010</c:v>
                </c:pt>
                <c:pt idx="3006">
                  <c:v>45011</c:v>
                </c:pt>
                <c:pt idx="3007">
                  <c:v>45012</c:v>
                </c:pt>
                <c:pt idx="3008">
                  <c:v>45013</c:v>
                </c:pt>
                <c:pt idx="3009">
                  <c:v>45014</c:v>
                </c:pt>
                <c:pt idx="3010">
                  <c:v>45015</c:v>
                </c:pt>
                <c:pt idx="3011">
                  <c:v>45016</c:v>
                </c:pt>
                <c:pt idx="3012">
                  <c:v>45017</c:v>
                </c:pt>
                <c:pt idx="3013">
                  <c:v>45018</c:v>
                </c:pt>
                <c:pt idx="3014">
                  <c:v>45019</c:v>
                </c:pt>
                <c:pt idx="3015">
                  <c:v>45020</c:v>
                </c:pt>
                <c:pt idx="3016">
                  <c:v>45021</c:v>
                </c:pt>
                <c:pt idx="3017">
                  <c:v>45022</c:v>
                </c:pt>
                <c:pt idx="3018">
                  <c:v>45023</c:v>
                </c:pt>
                <c:pt idx="3019">
                  <c:v>45024</c:v>
                </c:pt>
                <c:pt idx="3020">
                  <c:v>45025</c:v>
                </c:pt>
                <c:pt idx="3021">
                  <c:v>45026</c:v>
                </c:pt>
                <c:pt idx="3022">
                  <c:v>45027</c:v>
                </c:pt>
                <c:pt idx="3023">
                  <c:v>45028</c:v>
                </c:pt>
                <c:pt idx="3024">
                  <c:v>45029</c:v>
                </c:pt>
                <c:pt idx="3025">
                  <c:v>45030</c:v>
                </c:pt>
                <c:pt idx="3026">
                  <c:v>45031</c:v>
                </c:pt>
                <c:pt idx="3027">
                  <c:v>45032</c:v>
                </c:pt>
                <c:pt idx="3028">
                  <c:v>45033</c:v>
                </c:pt>
                <c:pt idx="3029">
                  <c:v>45034</c:v>
                </c:pt>
                <c:pt idx="3030">
                  <c:v>45035</c:v>
                </c:pt>
                <c:pt idx="3031">
                  <c:v>45036</c:v>
                </c:pt>
                <c:pt idx="3032">
                  <c:v>45037</c:v>
                </c:pt>
                <c:pt idx="3033">
                  <c:v>45038</c:v>
                </c:pt>
                <c:pt idx="3034">
                  <c:v>45039</c:v>
                </c:pt>
                <c:pt idx="3035">
                  <c:v>45040</c:v>
                </c:pt>
                <c:pt idx="3036">
                  <c:v>45041</c:v>
                </c:pt>
                <c:pt idx="3037">
                  <c:v>45042</c:v>
                </c:pt>
                <c:pt idx="3038">
                  <c:v>45043</c:v>
                </c:pt>
                <c:pt idx="3039">
                  <c:v>45044</c:v>
                </c:pt>
                <c:pt idx="3040">
                  <c:v>45045</c:v>
                </c:pt>
                <c:pt idx="3041">
                  <c:v>45046</c:v>
                </c:pt>
                <c:pt idx="3042">
                  <c:v>45047</c:v>
                </c:pt>
                <c:pt idx="3043">
                  <c:v>45048</c:v>
                </c:pt>
                <c:pt idx="3044">
                  <c:v>45049</c:v>
                </c:pt>
                <c:pt idx="3045">
                  <c:v>45050</c:v>
                </c:pt>
                <c:pt idx="3046">
                  <c:v>45051</c:v>
                </c:pt>
                <c:pt idx="3047">
                  <c:v>45052</c:v>
                </c:pt>
                <c:pt idx="3048">
                  <c:v>45053</c:v>
                </c:pt>
                <c:pt idx="3049">
                  <c:v>45054</c:v>
                </c:pt>
                <c:pt idx="3050">
                  <c:v>45055</c:v>
                </c:pt>
                <c:pt idx="3051">
                  <c:v>45056</c:v>
                </c:pt>
                <c:pt idx="3052">
                  <c:v>45057</c:v>
                </c:pt>
                <c:pt idx="3053">
                  <c:v>45058</c:v>
                </c:pt>
                <c:pt idx="3054">
                  <c:v>45059</c:v>
                </c:pt>
                <c:pt idx="3055">
                  <c:v>45060</c:v>
                </c:pt>
                <c:pt idx="3056">
                  <c:v>45061</c:v>
                </c:pt>
                <c:pt idx="3057">
                  <c:v>45062</c:v>
                </c:pt>
                <c:pt idx="3058">
                  <c:v>45063</c:v>
                </c:pt>
                <c:pt idx="3059">
                  <c:v>45064</c:v>
                </c:pt>
                <c:pt idx="3060">
                  <c:v>45065</c:v>
                </c:pt>
                <c:pt idx="3061">
                  <c:v>45066</c:v>
                </c:pt>
                <c:pt idx="3062">
                  <c:v>45067</c:v>
                </c:pt>
                <c:pt idx="3063">
                  <c:v>45068</c:v>
                </c:pt>
                <c:pt idx="3064">
                  <c:v>45069</c:v>
                </c:pt>
                <c:pt idx="3065">
                  <c:v>45070</c:v>
                </c:pt>
                <c:pt idx="3066">
                  <c:v>45071</c:v>
                </c:pt>
                <c:pt idx="3067">
                  <c:v>45072</c:v>
                </c:pt>
                <c:pt idx="3068">
                  <c:v>45073</c:v>
                </c:pt>
                <c:pt idx="3069">
                  <c:v>45074</c:v>
                </c:pt>
                <c:pt idx="3070">
                  <c:v>45075</c:v>
                </c:pt>
                <c:pt idx="3071">
                  <c:v>45076</c:v>
                </c:pt>
                <c:pt idx="3072">
                  <c:v>45077</c:v>
                </c:pt>
                <c:pt idx="3073">
                  <c:v>45078</c:v>
                </c:pt>
                <c:pt idx="3074">
                  <c:v>45079</c:v>
                </c:pt>
                <c:pt idx="3075">
                  <c:v>45080</c:v>
                </c:pt>
                <c:pt idx="3076">
                  <c:v>45081</c:v>
                </c:pt>
                <c:pt idx="3077">
                  <c:v>45082</c:v>
                </c:pt>
                <c:pt idx="3078">
                  <c:v>45083</c:v>
                </c:pt>
                <c:pt idx="3079">
                  <c:v>45084</c:v>
                </c:pt>
                <c:pt idx="3080">
                  <c:v>45085</c:v>
                </c:pt>
                <c:pt idx="3081">
                  <c:v>45086</c:v>
                </c:pt>
                <c:pt idx="3082">
                  <c:v>45087</c:v>
                </c:pt>
                <c:pt idx="3083">
                  <c:v>45088</c:v>
                </c:pt>
                <c:pt idx="3084">
                  <c:v>45089</c:v>
                </c:pt>
                <c:pt idx="3085">
                  <c:v>45090</c:v>
                </c:pt>
                <c:pt idx="3086">
                  <c:v>45091</c:v>
                </c:pt>
                <c:pt idx="3087">
                  <c:v>45092</c:v>
                </c:pt>
                <c:pt idx="3088">
                  <c:v>45093</c:v>
                </c:pt>
                <c:pt idx="3089">
                  <c:v>45094</c:v>
                </c:pt>
                <c:pt idx="3090">
                  <c:v>45095</c:v>
                </c:pt>
                <c:pt idx="3091">
                  <c:v>45096</c:v>
                </c:pt>
                <c:pt idx="3092">
                  <c:v>45097</c:v>
                </c:pt>
                <c:pt idx="3093">
                  <c:v>45098</c:v>
                </c:pt>
                <c:pt idx="3094">
                  <c:v>45099</c:v>
                </c:pt>
                <c:pt idx="3095">
                  <c:v>45100</c:v>
                </c:pt>
                <c:pt idx="3096">
                  <c:v>45101</c:v>
                </c:pt>
                <c:pt idx="3097">
                  <c:v>45102</c:v>
                </c:pt>
                <c:pt idx="3098">
                  <c:v>45103</c:v>
                </c:pt>
                <c:pt idx="3099">
                  <c:v>45104</c:v>
                </c:pt>
                <c:pt idx="3100">
                  <c:v>45105</c:v>
                </c:pt>
                <c:pt idx="3101">
                  <c:v>45106</c:v>
                </c:pt>
                <c:pt idx="3102">
                  <c:v>45107</c:v>
                </c:pt>
                <c:pt idx="3103">
                  <c:v>45108</c:v>
                </c:pt>
                <c:pt idx="3104">
                  <c:v>45109</c:v>
                </c:pt>
                <c:pt idx="3105">
                  <c:v>45110</c:v>
                </c:pt>
                <c:pt idx="3106">
                  <c:v>45111</c:v>
                </c:pt>
                <c:pt idx="3107">
                  <c:v>45112</c:v>
                </c:pt>
                <c:pt idx="3108">
                  <c:v>45113</c:v>
                </c:pt>
                <c:pt idx="3109">
                  <c:v>45114</c:v>
                </c:pt>
                <c:pt idx="3110">
                  <c:v>45115</c:v>
                </c:pt>
                <c:pt idx="3111">
                  <c:v>45116</c:v>
                </c:pt>
                <c:pt idx="3112">
                  <c:v>45117</c:v>
                </c:pt>
                <c:pt idx="3113">
                  <c:v>45118</c:v>
                </c:pt>
                <c:pt idx="3114">
                  <c:v>45119</c:v>
                </c:pt>
                <c:pt idx="3115">
                  <c:v>45120</c:v>
                </c:pt>
                <c:pt idx="3116">
                  <c:v>45121</c:v>
                </c:pt>
                <c:pt idx="3117">
                  <c:v>45122</c:v>
                </c:pt>
                <c:pt idx="3118">
                  <c:v>45123</c:v>
                </c:pt>
                <c:pt idx="3119">
                  <c:v>45124</c:v>
                </c:pt>
                <c:pt idx="3120">
                  <c:v>45125</c:v>
                </c:pt>
                <c:pt idx="3121">
                  <c:v>45126</c:v>
                </c:pt>
                <c:pt idx="3122">
                  <c:v>45127</c:v>
                </c:pt>
                <c:pt idx="3123">
                  <c:v>45128</c:v>
                </c:pt>
                <c:pt idx="3124">
                  <c:v>45129</c:v>
                </c:pt>
                <c:pt idx="3125">
                  <c:v>45130</c:v>
                </c:pt>
                <c:pt idx="3126">
                  <c:v>45131</c:v>
                </c:pt>
                <c:pt idx="3127">
                  <c:v>45132</c:v>
                </c:pt>
                <c:pt idx="3128">
                  <c:v>45133</c:v>
                </c:pt>
                <c:pt idx="3129">
                  <c:v>45134</c:v>
                </c:pt>
                <c:pt idx="3130">
                  <c:v>45135</c:v>
                </c:pt>
                <c:pt idx="3131">
                  <c:v>45136</c:v>
                </c:pt>
                <c:pt idx="3132">
                  <c:v>45137</c:v>
                </c:pt>
                <c:pt idx="3133">
                  <c:v>45138</c:v>
                </c:pt>
                <c:pt idx="3134">
                  <c:v>45139</c:v>
                </c:pt>
                <c:pt idx="3135">
                  <c:v>45140</c:v>
                </c:pt>
                <c:pt idx="3136">
                  <c:v>45141</c:v>
                </c:pt>
                <c:pt idx="3137">
                  <c:v>45142</c:v>
                </c:pt>
                <c:pt idx="3138">
                  <c:v>45143</c:v>
                </c:pt>
                <c:pt idx="3139">
                  <c:v>45144</c:v>
                </c:pt>
                <c:pt idx="3140">
                  <c:v>45145</c:v>
                </c:pt>
                <c:pt idx="3141">
                  <c:v>45146</c:v>
                </c:pt>
                <c:pt idx="3142">
                  <c:v>45147</c:v>
                </c:pt>
                <c:pt idx="3143">
                  <c:v>45148</c:v>
                </c:pt>
                <c:pt idx="3144">
                  <c:v>45149</c:v>
                </c:pt>
                <c:pt idx="3145">
                  <c:v>45150</c:v>
                </c:pt>
                <c:pt idx="3146">
                  <c:v>45151</c:v>
                </c:pt>
                <c:pt idx="3147">
                  <c:v>45152</c:v>
                </c:pt>
                <c:pt idx="3148">
                  <c:v>45153</c:v>
                </c:pt>
                <c:pt idx="3149">
                  <c:v>45154</c:v>
                </c:pt>
                <c:pt idx="3150">
                  <c:v>45155</c:v>
                </c:pt>
                <c:pt idx="3151">
                  <c:v>45156</c:v>
                </c:pt>
                <c:pt idx="3152">
                  <c:v>45157</c:v>
                </c:pt>
                <c:pt idx="3153">
                  <c:v>45158</c:v>
                </c:pt>
                <c:pt idx="3154">
                  <c:v>45159</c:v>
                </c:pt>
                <c:pt idx="3155">
                  <c:v>45160</c:v>
                </c:pt>
                <c:pt idx="3156">
                  <c:v>45161</c:v>
                </c:pt>
                <c:pt idx="3157">
                  <c:v>45162</c:v>
                </c:pt>
                <c:pt idx="3158">
                  <c:v>45163</c:v>
                </c:pt>
                <c:pt idx="3159">
                  <c:v>45164</c:v>
                </c:pt>
                <c:pt idx="3160">
                  <c:v>45165</c:v>
                </c:pt>
                <c:pt idx="3161">
                  <c:v>45166</c:v>
                </c:pt>
                <c:pt idx="3162">
                  <c:v>45167</c:v>
                </c:pt>
                <c:pt idx="3163">
                  <c:v>45168</c:v>
                </c:pt>
                <c:pt idx="3164">
                  <c:v>45169</c:v>
                </c:pt>
                <c:pt idx="3165">
                  <c:v>45170</c:v>
                </c:pt>
                <c:pt idx="3166">
                  <c:v>45171</c:v>
                </c:pt>
                <c:pt idx="3167">
                  <c:v>45172</c:v>
                </c:pt>
                <c:pt idx="3168">
                  <c:v>45173</c:v>
                </c:pt>
                <c:pt idx="3169">
                  <c:v>45174</c:v>
                </c:pt>
                <c:pt idx="3170">
                  <c:v>45175</c:v>
                </c:pt>
                <c:pt idx="3171">
                  <c:v>45176</c:v>
                </c:pt>
                <c:pt idx="3172">
                  <c:v>45177</c:v>
                </c:pt>
                <c:pt idx="3173">
                  <c:v>45178</c:v>
                </c:pt>
                <c:pt idx="3174">
                  <c:v>45179</c:v>
                </c:pt>
                <c:pt idx="3175">
                  <c:v>45180</c:v>
                </c:pt>
                <c:pt idx="3176">
                  <c:v>45181</c:v>
                </c:pt>
                <c:pt idx="3177">
                  <c:v>45182</c:v>
                </c:pt>
                <c:pt idx="3178">
                  <c:v>45183</c:v>
                </c:pt>
                <c:pt idx="3179">
                  <c:v>45184</c:v>
                </c:pt>
                <c:pt idx="3180">
                  <c:v>45185</c:v>
                </c:pt>
                <c:pt idx="3181">
                  <c:v>45186</c:v>
                </c:pt>
                <c:pt idx="3182">
                  <c:v>45187</c:v>
                </c:pt>
                <c:pt idx="3183">
                  <c:v>45188</c:v>
                </c:pt>
                <c:pt idx="3184">
                  <c:v>45189</c:v>
                </c:pt>
                <c:pt idx="3185">
                  <c:v>45190</c:v>
                </c:pt>
                <c:pt idx="3186">
                  <c:v>45191</c:v>
                </c:pt>
                <c:pt idx="3187">
                  <c:v>45192</c:v>
                </c:pt>
                <c:pt idx="3188">
                  <c:v>45193</c:v>
                </c:pt>
                <c:pt idx="3189">
                  <c:v>45194</c:v>
                </c:pt>
                <c:pt idx="3190">
                  <c:v>45195</c:v>
                </c:pt>
                <c:pt idx="3191">
                  <c:v>45196</c:v>
                </c:pt>
                <c:pt idx="3192">
                  <c:v>45197</c:v>
                </c:pt>
                <c:pt idx="3193">
                  <c:v>45198</c:v>
                </c:pt>
                <c:pt idx="3194">
                  <c:v>45199</c:v>
                </c:pt>
                <c:pt idx="3195">
                  <c:v>45200</c:v>
                </c:pt>
                <c:pt idx="3196">
                  <c:v>45201</c:v>
                </c:pt>
                <c:pt idx="3197">
                  <c:v>45202</c:v>
                </c:pt>
                <c:pt idx="3198">
                  <c:v>45203</c:v>
                </c:pt>
                <c:pt idx="3199">
                  <c:v>45204</c:v>
                </c:pt>
                <c:pt idx="3200">
                  <c:v>45205</c:v>
                </c:pt>
                <c:pt idx="3201">
                  <c:v>45206</c:v>
                </c:pt>
                <c:pt idx="3202">
                  <c:v>45207</c:v>
                </c:pt>
                <c:pt idx="3203">
                  <c:v>45208</c:v>
                </c:pt>
                <c:pt idx="3204">
                  <c:v>45209</c:v>
                </c:pt>
                <c:pt idx="3205">
                  <c:v>45210</c:v>
                </c:pt>
                <c:pt idx="3206">
                  <c:v>45211</c:v>
                </c:pt>
                <c:pt idx="3207">
                  <c:v>45212</c:v>
                </c:pt>
                <c:pt idx="3208">
                  <c:v>45213</c:v>
                </c:pt>
                <c:pt idx="3209">
                  <c:v>45214</c:v>
                </c:pt>
                <c:pt idx="3210">
                  <c:v>45215</c:v>
                </c:pt>
                <c:pt idx="3211">
                  <c:v>45216</c:v>
                </c:pt>
                <c:pt idx="3212">
                  <c:v>45217</c:v>
                </c:pt>
                <c:pt idx="3213">
                  <c:v>45218</c:v>
                </c:pt>
                <c:pt idx="3214">
                  <c:v>45219</c:v>
                </c:pt>
                <c:pt idx="3215">
                  <c:v>45220</c:v>
                </c:pt>
                <c:pt idx="3216">
                  <c:v>45221</c:v>
                </c:pt>
                <c:pt idx="3217">
                  <c:v>45222</c:v>
                </c:pt>
                <c:pt idx="3218">
                  <c:v>45223</c:v>
                </c:pt>
                <c:pt idx="3219">
                  <c:v>45224</c:v>
                </c:pt>
                <c:pt idx="3220">
                  <c:v>45225</c:v>
                </c:pt>
                <c:pt idx="3221">
                  <c:v>45226</c:v>
                </c:pt>
                <c:pt idx="3222">
                  <c:v>45227</c:v>
                </c:pt>
                <c:pt idx="3223">
                  <c:v>45228</c:v>
                </c:pt>
                <c:pt idx="3224">
                  <c:v>45229</c:v>
                </c:pt>
                <c:pt idx="3225">
                  <c:v>45230</c:v>
                </c:pt>
                <c:pt idx="3226">
                  <c:v>45231</c:v>
                </c:pt>
                <c:pt idx="3227">
                  <c:v>45232</c:v>
                </c:pt>
                <c:pt idx="3228">
                  <c:v>45233</c:v>
                </c:pt>
                <c:pt idx="3229">
                  <c:v>45234</c:v>
                </c:pt>
                <c:pt idx="3230">
                  <c:v>45235</c:v>
                </c:pt>
                <c:pt idx="3231">
                  <c:v>45236</c:v>
                </c:pt>
                <c:pt idx="3232">
                  <c:v>45237</c:v>
                </c:pt>
                <c:pt idx="3233">
                  <c:v>45238</c:v>
                </c:pt>
                <c:pt idx="3234">
                  <c:v>45239</c:v>
                </c:pt>
                <c:pt idx="3235">
                  <c:v>45240</c:v>
                </c:pt>
                <c:pt idx="3236">
                  <c:v>45241</c:v>
                </c:pt>
                <c:pt idx="3237">
                  <c:v>45242</c:v>
                </c:pt>
                <c:pt idx="3238">
                  <c:v>45243</c:v>
                </c:pt>
                <c:pt idx="3239">
                  <c:v>45244</c:v>
                </c:pt>
                <c:pt idx="3240">
                  <c:v>45245</c:v>
                </c:pt>
                <c:pt idx="3241">
                  <c:v>45246</c:v>
                </c:pt>
                <c:pt idx="3242">
                  <c:v>45247</c:v>
                </c:pt>
                <c:pt idx="3243">
                  <c:v>45248</c:v>
                </c:pt>
                <c:pt idx="3244">
                  <c:v>45249</c:v>
                </c:pt>
                <c:pt idx="3245">
                  <c:v>45250</c:v>
                </c:pt>
                <c:pt idx="3246">
                  <c:v>45251</c:v>
                </c:pt>
                <c:pt idx="3247">
                  <c:v>45252</c:v>
                </c:pt>
                <c:pt idx="3248">
                  <c:v>45253</c:v>
                </c:pt>
                <c:pt idx="3249">
                  <c:v>45254</c:v>
                </c:pt>
                <c:pt idx="3250">
                  <c:v>45255</c:v>
                </c:pt>
                <c:pt idx="3251">
                  <c:v>45256</c:v>
                </c:pt>
                <c:pt idx="3252">
                  <c:v>45257</c:v>
                </c:pt>
                <c:pt idx="3253">
                  <c:v>45258</c:v>
                </c:pt>
                <c:pt idx="3254">
                  <c:v>45259</c:v>
                </c:pt>
                <c:pt idx="3255">
                  <c:v>45260</c:v>
                </c:pt>
                <c:pt idx="3256">
                  <c:v>45261</c:v>
                </c:pt>
                <c:pt idx="3257">
                  <c:v>45262</c:v>
                </c:pt>
                <c:pt idx="3258">
                  <c:v>45263</c:v>
                </c:pt>
                <c:pt idx="3259">
                  <c:v>45264</c:v>
                </c:pt>
                <c:pt idx="3260">
                  <c:v>45265</c:v>
                </c:pt>
                <c:pt idx="3261">
                  <c:v>45266</c:v>
                </c:pt>
                <c:pt idx="3262">
                  <c:v>45267</c:v>
                </c:pt>
                <c:pt idx="3263">
                  <c:v>45268</c:v>
                </c:pt>
                <c:pt idx="3264">
                  <c:v>45269</c:v>
                </c:pt>
                <c:pt idx="3265">
                  <c:v>45270</c:v>
                </c:pt>
                <c:pt idx="3266">
                  <c:v>45271</c:v>
                </c:pt>
                <c:pt idx="3267">
                  <c:v>45272</c:v>
                </c:pt>
                <c:pt idx="3268">
                  <c:v>45273</c:v>
                </c:pt>
                <c:pt idx="3269">
                  <c:v>45274</c:v>
                </c:pt>
                <c:pt idx="3270">
                  <c:v>45275</c:v>
                </c:pt>
                <c:pt idx="3271">
                  <c:v>45276</c:v>
                </c:pt>
                <c:pt idx="3272">
                  <c:v>45277</c:v>
                </c:pt>
                <c:pt idx="3273">
                  <c:v>45278</c:v>
                </c:pt>
                <c:pt idx="3274">
                  <c:v>45279</c:v>
                </c:pt>
                <c:pt idx="3275">
                  <c:v>45280</c:v>
                </c:pt>
                <c:pt idx="3276">
                  <c:v>45281</c:v>
                </c:pt>
                <c:pt idx="3277">
                  <c:v>45282</c:v>
                </c:pt>
                <c:pt idx="3278">
                  <c:v>45283</c:v>
                </c:pt>
                <c:pt idx="3279">
                  <c:v>45284</c:v>
                </c:pt>
                <c:pt idx="3280">
                  <c:v>45285</c:v>
                </c:pt>
                <c:pt idx="3281">
                  <c:v>45286</c:v>
                </c:pt>
                <c:pt idx="3282">
                  <c:v>45287</c:v>
                </c:pt>
                <c:pt idx="3283">
                  <c:v>45288</c:v>
                </c:pt>
                <c:pt idx="3284">
                  <c:v>45289</c:v>
                </c:pt>
                <c:pt idx="3285">
                  <c:v>45290</c:v>
                </c:pt>
                <c:pt idx="3286">
                  <c:v>45291</c:v>
                </c:pt>
                <c:pt idx="3287">
                  <c:v>45292</c:v>
                </c:pt>
                <c:pt idx="3288">
                  <c:v>45293</c:v>
                </c:pt>
                <c:pt idx="3289">
                  <c:v>45294</c:v>
                </c:pt>
                <c:pt idx="3290">
                  <c:v>45295</c:v>
                </c:pt>
                <c:pt idx="3291">
                  <c:v>45296</c:v>
                </c:pt>
                <c:pt idx="3292">
                  <c:v>45297</c:v>
                </c:pt>
                <c:pt idx="3293">
                  <c:v>45298</c:v>
                </c:pt>
                <c:pt idx="3294">
                  <c:v>45299</c:v>
                </c:pt>
                <c:pt idx="3295">
                  <c:v>45300</c:v>
                </c:pt>
                <c:pt idx="3296">
                  <c:v>45301</c:v>
                </c:pt>
                <c:pt idx="3297">
                  <c:v>45302</c:v>
                </c:pt>
                <c:pt idx="3298">
                  <c:v>45303</c:v>
                </c:pt>
                <c:pt idx="3299">
                  <c:v>45304</c:v>
                </c:pt>
                <c:pt idx="3300">
                  <c:v>45305</c:v>
                </c:pt>
                <c:pt idx="3301">
                  <c:v>45306</c:v>
                </c:pt>
                <c:pt idx="3302">
                  <c:v>45307</c:v>
                </c:pt>
                <c:pt idx="3303">
                  <c:v>45308</c:v>
                </c:pt>
                <c:pt idx="3304">
                  <c:v>45309</c:v>
                </c:pt>
                <c:pt idx="3305">
                  <c:v>45310</c:v>
                </c:pt>
                <c:pt idx="3306">
                  <c:v>45311</c:v>
                </c:pt>
                <c:pt idx="3307">
                  <c:v>45312</c:v>
                </c:pt>
                <c:pt idx="3308">
                  <c:v>45313</c:v>
                </c:pt>
                <c:pt idx="3309">
                  <c:v>45314</c:v>
                </c:pt>
                <c:pt idx="3310">
                  <c:v>45315</c:v>
                </c:pt>
                <c:pt idx="3311">
                  <c:v>45316</c:v>
                </c:pt>
                <c:pt idx="3312">
                  <c:v>45317</c:v>
                </c:pt>
                <c:pt idx="3313">
                  <c:v>45318</c:v>
                </c:pt>
                <c:pt idx="3314">
                  <c:v>45319</c:v>
                </c:pt>
                <c:pt idx="3315">
                  <c:v>45320</c:v>
                </c:pt>
                <c:pt idx="3316">
                  <c:v>45321</c:v>
                </c:pt>
                <c:pt idx="3317">
                  <c:v>45322</c:v>
                </c:pt>
                <c:pt idx="3318">
                  <c:v>45323</c:v>
                </c:pt>
                <c:pt idx="3319">
                  <c:v>45324</c:v>
                </c:pt>
                <c:pt idx="3320">
                  <c:v>45325</c:v>
                </c:pt>
                <c:pt idx="3321">
                  <c:v>45326</c:v>
                </c:pt>
                <c:pt idx="3322">
                  <c:v>45327</c:v>
                </c:pt>
                <c:pt idx="3323">
                  <c:v>45328</c:v>
                </c:pt>
                <c:pt idx="3324">
                  <c:v>45329</c:v>
                </c:pt>
                <c:pt idx="3325">
                  <c:v>45330</c:v>
                </c:pt>
                <c:pt idx="3326">
                  <c:v>45331</c:v>
                </c:pt>
                <c:pt idx="3327">
                  <c:v>45332</c:v>
                </c:pt>
                <c:pt idx="3328">
                  <c:v>45333</c:v>
                </c:pt>
                <c:pt idx="3329">
                  <c:v>45334</c:v>
                </c:pt>
                <c:pt idx="3330">
                  <c:v>45335</c:v>
                </c:pt>
                <c:pt idx="3331">
                  <c:v>45336</c:v>
                </c:pt>
                <c:pt idx="3332">
                  <c:v>45337</c:v>
                </c:pt>
                <c:pt idx="3333">
                  <c:v>45338</c:v>
                </c:pt>
                <c:pt idx="3334">
                  <c:v>45339</c:v>
                </c:pt>
                <c:pt idx="3335">
                  <c:v>45340</c:v>
                </c:pt>
                <c:pt idx="3336">
                  <c:v>45341</c:v>
                </c:pt>
                <c:pt idx="3337">
                  <c:v>45342</c:v>
                </c:pt>
                <c:pt idx="3338">
                  <c:v>45343</c:v>
                </c:pt>
                <c:pt idx="3339">
                  <c:v>45344</c:v>
                </c:pt>
                <c:pt idx="3340">
                  <c:v>45345</c:v>
                </c:pt>
                <c:pt idx="3341">
                  <c:v>45346</c:v>
                </c:pt>
                <c:pt idx="3342">
                  <c:v>45347</c:v>
                </c:pt>
                <c:pt idx="3343">
                  <c:v>45348</c:v>
                </c:pt>
                <c:pt idx="3344">
                  <c:v>45349</c:v>
                </c:pt>
                <c:pt idx="3345">
                  <c:v>45350</c:v>
                </c:pt>
                <c:pt idx="3346">
                  <c:v>45351</c:v>
                </c:pt>
                <c:pt idx="3347">
                  <c:v>45352</c:v>
                </c:pt>
                <c:pt idx="3348">
                  <c:v>45353</c:v>
                </c:pt>
                <c:pt idx="3349">
                  <c:v>45354</c:v>
                </c:pt>
                <c:pt idx="3350">
                  <c:v>45355</c:v>
                </c:pt>
                <c:pt idx="3351">
                  <c:v>45356</c:v>
                </c:pt>
                <c:pt idx="3352">
                  <c:v>45357</c:v>
                </c:pt>
                <c:pt idx="3353">
                  <c:v>45358</c:v>
                </c:pt>
                <c:pt idx="3354">
                  <c:v>45359</c:v>
                </c:pt>
                <c:pt idx="3355">
                  <c:v>45360</c:v>
                </c:pt>
                <c:pt idx="3356">
                  <c:v>45361</c:v>
                </c:pt>
                <c:pt idx="3357">
                  <c:v>45362</c:v>
                </c:pt>
                <c:pt idx="3358">
                  <c:v>45363</c:v>
                </c:pt>
                <c:pt idx="3359">
                  <c:v>45364</c:v>
                </c:pt>
                <c:pt idx="3360">
                  <c:v>45365</c:v>
                </c:pt>
                <c:pt idx="3361">
                  <c:v>45366</c:v>
                </c:pt>
                <c:pt idx="3362">
                  <c:v>45367</c:v>
                </c:pt>
                <c:pt idx="3363">
                  <c:v>45368</c:v>
                </c:pt>
                <c:pt idx="3364">
                  <c:v>45369</c:v>
                </c:pt>
                <c:pt idx="3365">
                  <c:v>45370</c:v>
                </c:pt>
                <c:pt idx="3366">
                  <c:v>45371</c:v>
                </c:pt>
                <c:pt idx="3367">
                  <c:v>45372</c:v>
                </c:pt>
                <c:pt idx="3368">
                  <c:v>45373</c:v>
                </c:pt>
                <c:pt idx="3369">
                  <c:v>45374</c:v>
                </c:pt>
                <c:pt idx="3370">
                  <c:v>45375</c:v>
                </c:pt>
                <c:pt idx="3371">
                  <c:v>45376</c:v>
                </c:pt>
                <c:pt idx="3372">
                  <c:v>45377</c:v>
                </c:pt>
                <c:pt idx="3373">
                  <c:v>45378</c:v>
                </c:pt>
                <c:pt idx="3374">
                  <c:v>45379</c:v>
                </c:pt>
                <c:pt idx="3375">
                  <c:v>45380</c:v>
                </c:pt>
                <c:pt idx="3376">
                  <c:v>45381</c:v>
                </c:pt>
                <c:pt idx="3377">
                  <c:v>45382</c:v>
                </c:pt>
                <c:pt idx="3378">
                  <c:v>45383</c:v>
                </c:pt>
                <c:pt idx="3379">
                  <c:v>45384</c:v>
                </c:pt>
                <c:pt idx="3380">
                  <c:v>45385</c:v>
                </c:pt>
                <c:pt idx="3381">
                  <c:v>45386</c:v>
                </c:pt>
                <c:pt idx="3382">
                  <c:v>45387</c:v>
                </c:pt>
                <c:pt idx="3383">
                  <c:v>45388</c:v>
                </c:pt>
                <c:pt idx="3384">
                  <c:v>45389</c:v>
                </c:pt>
                <c:pt idx="3385">
                  <c:v>45390</c:v>
                </c:pt>
                <c:pt idx="3386">
                  <c:v>45391</c:v>
                </c:pt>
                <c:pt idx="3387">
                  <c:v>45392</c:v>
                </c:pt>
                <c:pt idx="3388">
                  <c:v>45393</c:v>
                </c:pt>
                <c:pt idx="3389">
                  <c:v>45394</c:v>
                </c:pt>
                <c:pt idx="3390">
                  <c:v>45395</c:v>
                </c:pt>
                <c:pt idx="3391">
                  <c:v>45396</c:v>
                </c:pt>
                <c:pt idx="3392">
                  <c:v>45397</c:v>
                </c:pt>
                <c:pt idx="3393">
                  <c:v>45398</c:v>
                </c:pt>
                <c:pt idx="3394">
                  <c:v>45399</c:v>
                </c:pt>
                <c:pt idx="3395">
                  <c:v>45400</c:v>
                </c:pt>
                <c:pt idx="3396">
                  <c:v>45401</c:v>
                </c:pt>
                <c:pt idx="3397">
                  <c:v>45402</c:v>
                </c:pt>
                <c:pt idx="3398">
                  <c:v>45403</c:v>
                </c:pt>
                <c:pt idx="3399">
                  <c:v>45404</c:v>
                </c:pt>
                <c:pt idx="3400">
                  <c:v>45405</c:v>
                </c:pt>
                <c:pt idx="3401">
                  <c:v>45406</c:v>
                </c:pt>
                <c:pt idx="3402">
                  <c:v>45407</c:v>
                </c:pt>
                <c:pt idx="3403">
                  <c:v>45408</c:v>
                </c:pt>
                <c:pt idx="3404">
                  <c:v>45409</c:v>
                </c:pt>
                <c:pt idx="3405">
                  <c:v>45410</c:v>
                </c:pt>
                <c:pt idx="3406">
                  <c:v>45411</c:v>
                </c:pt>
                <c:pt idx="3407">
                  <c:v>45412</c:v>
                </c:pt>
                <c:pt idx="3408">
                  <c:v>45413</c:v>
                </c:pt>
                <c:pt idx="3409">
                  <c:v>45414</c:v>
                </c:pt>
                <c:pt idx="3410">
                  <c:v>45415</c:v>
                </c:pt>
                <c:pt idx="3411">
                  <c:v>45416</c:v>
                </c:pt>
                <c:pt idx="3412">
                  <c:v>45417</c:v>
                </c:pt>
                <c:pt idx="3413">
                  <c:v>45418</c:v>
                </c:pt>
                <c:pt idx="3414">
                  <c:v>45419</c:v>
                </c:pt>
                <c:pt idx="3415">
                  <c:v>45420</c:v>
                </c:pt>
                <c:pt idx="3416">
                  <c:v>45421</c:v>
                </c:pt>
                <c:pt idx="3417">
                  <c:v>45422</c:v>
                </c:pt>
                <c:pt idx="3418">
                  <c:v>45423</c:v>
                </c:pt>
                <c:pt idx="3419">
                  <c:v>45424</c:v>
                </c:pt>
                <c:pt idx="3420">
                  <c:v>45425</c:v>
                </c:pt>
                <c:pt idx="3421">
                  <c:v>45426</c:v>
                </c:pt>
                <c:pt idx="3422">
                  <c:v>45427</c:v>
                </c:pt>
                <c:pt idx="3423">
                  <c:v>45428</c:v>
                </c:pt>
                <c:pt idx="3424">
                  <c:v>45429</c:v>
                </c:pt>
                <c:pt idx="3425">
                  <c:v>45430</c:v>
                </c:pt>
                <c:pt idx="3426">
                  <c:v>45431</c:v>
                </c:pt>
                <c:pt idx="3427">
                  <c:v>45432</c:v>
                </c:pt>
                <c:pt idx="3428">
                  <c:v>45433</c:v>
                </c:pt>
                <c:pt idx="3429">
                  <c:v>45434</c:v>
                </c:pt>
                <c:pt idx="3430">
                  <c:v>45435</c:v>
                </c:pt>
                <c:pt idx="3431">
                  <c:v>45436</c:v>
                </c:pt>
                <c:pt idx="3432">
                  <c:v>45437</c:v>
                </c:pt>
                <c:pt idx="3433">
                  <c:v>45438</c:v>
                </c:pt>
                <c:pt idx="3434">
                  <c:v>45439</c:v>
                </c:pt>
                <c:pt idx="3435">
                  <c:v>45440</c:v>
                </c:pt>
                <c:pt idx="3436">
                  <c:v>45441</c:v>
                </c:pt>
                <c:pt idx="3437">
                  <c:v>45442</c:v>
                </c:pt>
                <c:pt idx="3438">
                  <c:v>45443</c:v>
                </c:pt>
                <c:pt idx="3439">
                  <c:v>45444</c:v>
                </c:pt>
                <c:pt idx="3440">
                  <c:v>45445</c:v>
                </c:pt>
                <c:pt idx="3441">
                  <c:v>45446</c:v>
                </c:pt>
                <c:pt idx="3442">
                  <c:v>45447</c:v>
                </c:pt>
                <c:pt idx="3443">
                  <c:v>45448</c:v>
                </c:pt>
                <c:pt idx="3444">
                  <c:v>45449</c:v>
                </c:pt>
                <c:pt idx="3445">
                  <c:v>45450</c:v>
                </c:pt>
                <c:pt idx="3446">
                  <c:v>45451</c:v>
                </c:pt>
                <c:pt idx="3447">
                  <c:v>45452</c:v>
                </c:pt>
                <c:pt idx="3448">
                  <c:v>45453</c:v>
                </c:pt>
                <c:pt idx="3449">
                  <c:v>45454</c:v>
                </c:pt>
                <c:pt idx="3450">
                  <c:v>45455</c:v>
                </c:pt>
                <c:pt idx="3451">
                  <c:v>45456</c:v>
                </c:pt>
                <c:pt idx="3452">
                  <c:v>45457</c:v>
                </c:pt>
                <c:pt idx="3453">
                  <c:v>45458</c:v>
                </c:pt>
                <c:pt idx="3454">
                  <c:v>45459</c:v>
                </c:pt>
                <c:pt idx="3455">
                  <c:v>45460</c:v>
                </c:pt>
                <c:pt idx="3456">
                  <c:v>45461</c:v>
                </c:pt>
                <c:pt idx="3457">
                  <c:v>45462</c:v>
                </c:pt>
                <c:pt idx="3458">
                  <c:v>45463</c:v>
                </c:pt>
                <c:pt idx="3459">
                  <c:v>45464</c:v>
                </c:pt>
                <c:pt idx="3460">
                  <c:v>45465</c:v>
                </c:pt>
                <c:pt idx="3461">
                  <c:v>45466</c:v>
                </c:pt>
                <c:pt idx="3462">
                  <c:v>45467</c:v>
                </c:pt>
                <c:pt idx="3463">
                  <c:v>45468</c:v>
                </c:pt>
                <c:pt idx="3464">
                  <c:v>45469</c:v>
                </c:pt>
                <c:pt idx="3465">
                  <c:v>45470</c:v>
                </c:pt>
                <c:pt idx="3466">
                  <c:v>45471</c:v>
                </c:pt>
                <c:pt idx="3467">
                  <c:v>45472</c:v>
                </c:pt>
                <c:pt idx="3468">
                  <c:v>45473</c:v>
                </c:pt>
                <c:pt idx="3469">
                  <c:v>45474</c:v>
                </c:pt>
                <c:pt idx="3470">
                  <c:v>45475</c:v>
                </c:pt>
                <c:pt idx="3471">
                  <c:v>45476</c:v>
                </c:pt>
                <c:pt idx="3472">
                  <c:v>45477</c:v>
                </c:pt>
                <c:pt idx="3473">
                  <c:v>45478</c:v>
                </c:pt>
                <c:pt idx="3474">
                  <c:v>45479</c:v>
                </c:pt>
                <c:pt idx="3475">
                  <c:v>45480</c:v>
                </c:pt>
                <c:pt idx="3476">
                  <c:v>45481</c:v>
                </c:pt>
                <c:pt idx="3477">
                  <c:v>45482</c:v>
                </c:pt>
                <c:pt idx="3478">
                  <c:v>45483</c:v>
                </c:pt>
                <c:pt idx="3479">
                  <c:v>45484</c:v>
                </c:pt>
                <c:pt idx="3480">
                  <c:v>45485</c:v>
                </c:pt>
                <c:pt idx="3481">
                  <c:v>45486</c:v>
                </c:pt>
                <c:pt idx="3482">
                  <c:v>45487</c:v>
                </c:pt>
                <c:pt idx="3483">
                  <c:v>45488</c:v>
                </c:pt>
                <c:pt idx="3484">
                  <c:v>45489</c:v>
                </c:pt>
                <c:pt idx="3485">
                  <c:v>45490</c:v>
                </c:pt>
                <c:pt idx="3486">
                  <c:v>45491</c:v>
                </c:pt>
                <c:pt idx="3487">
                  <c:v>45492</c:v>
                </c:pt>
                <c:pt idx="3488">
                  <c:v>45493</c:v>
                </c:pt>
                <c:pt idx="3489">
                  <c:v>45494</c:v>
                </c:pt>
                <c:pt idx="3490">
                  <c:v>45495</c:v>
                </c:pt>
                <c:pt idx="3491">
                  <c:v>45496</c:v>
                </c:pt>
                <c:pt idx="3492">
                  <c:v>45497</c:v>
                </c:pt>
                <c:pt idx="3493">
                  <c:v>45498</c:v>
                </c:pt>
                <c:pt idx="3494">
                  <c:v>45499</c:v>
                </c:pt>
                <c:pt idx="3495">
                  <c:v>45500</c:v>
                </c:pt>
                <c:pt idx="3496">
                  <c:v>45501</c:v>
                </c:pt>
                <c:pt idx="3497">
                  <c:v>45502</c:v>
                </c:pt>
                <c:pt idx="3498">
                  <c:v>45503</c:v>
                </c:pt>
                <c:pt idx="3499">
                  <c:v>45504</c:v>
                </c:pt>
                <c:pt idx="3500">
                  <c:v>45505</c:v>
                </c:pt>
                <c:pt idx="3501">
                  <c:v>45506</c:v>
                </c:pt>
                <c:pt idx="3502">
                  <c:v>45507</c:v>
                </c:pt>
                <c:pt idx="3503">
                  <c:v>45508</c:v>
                </c:pt>
                <c:pt idx="3504">
                  <c:v>45509</c:v>
                </c:pt>
                <c:pt idx="3505">
                  <c:v>45510</c:v>
                </c:pt>
                <c:pt idx="3506">
                  <c:v>45511</c:v>
                </c:pt>
                <c:pt idx="3507">
                  <c:v>45512</c:v>
                </c:pt>
                <c:pt idx="3508">
                  <c:v>45513</c:v>
                </c:pt>
                <c:pt idx="3509">
                  <c:v>45514</c:v>
                </c:pt>
                <c:pt idx="3510">
                  <c:v>45515</c:v>
                </c:pt>
                <c:pt idx="3511">
                  <c:v>45516</c:v>
                </c:pt>
                <c:pt idx="3512">
                  <c:v>45517</c:v>
                </c:pt>
                <c:pt idx="3513">
                  <c:v>45518</c:v>
                </c:pt>
                <c:pt idx="3514">
                  <c:v>45519</c:v>
                </c:pt>
                <c:pt idx="3515">
                  <c:v>45520</c:v>
                </c:pt>
                <c:pt idx="3516">
                  <c:v>45521</c:v>
                </c:pt>
                <c:pt idx="3517">
                  <c:v>45522</c:v>
                </c:pt>
                <c:pt idx="3518">
                  <c:v>45523</c:v>
                </c:pt>
                <c:pt idx="3519">
                  <c:v>45524</c:v>
                </c:pt>
                <c:pt idx="3520">
                  <c:v>45525</c:v>
                </c:pt>
                <c:pt idx="3521">
                  <c:v>45526</c:v>
                </c:pt>
                <c:pt idx="3522">
                  <c:v>45527</c:v>
                </c:pt>
                <c:pt idx="3523">
                  <c:v>45528</c:v>
                </c:pt>
                <c:pt idx="3524">
                  <c:v>45529</c:v>
                </c:pt>
                <c:pt idx="3525">
                  <c:v>45530</c:v>
                </c:pt>
                <c:pt idx="3526">
                  <c:v>45531</c:v>
                </c:pt>
                <c:pt idx="3527">
                  <c:v>45532</c:v>
                </c:pt>
                <c:pt idx="3528">
                  <c:v>45533</c:v>
                </c:pt>
                <c:pt idx="3529">
                  <c:v>45534</c:v>
                </c:pt>
                <c:pt idx="3530">
                  <c:v>45535</c:v>
                </c:pt>
                <c:pt idx="3531">
                  <c:v>45536</c:v>
                </c:pt>
                <c:pt idx="3532">
                  <c:v>45537</c:v>
                </c:pt>
                <c:pt idx="3533">
                  <c:v>45538</c:v>
                </c:pt>
                <c:pt idx="3534">
                  <c:v>45539</c:v>
                </c:pt>
                <c:pt idx="3535">
                  <c:v>45540</c:v>
                </c:pt>
                <c:pt idx="3536">
                  <c:v>45541</c:v>
                </c:pt>
                <c:pt idx="3537">
                  <c:v>45542</c:v>
                </c:pt>
                <c:pt idx="3538">
                  <c:v>45543</c:v>
                </c:pt>
                <c:pt idx="3539">
                  <c:v>45544</c:v>
                </c:pt>
                <c:pt idx="3540">
                  <c:v>45545</c:v>
                </c:pt>
                <c:pt idx="3541">
                  <c:v>45546</c:v>
                </c:pt>
                <c:pt idx="3542">
                  <c:v>45547</c:v>
                </c:pt>
                <c:pt idx="3543">
                  <c:v>45548</c:v>
                </c:pt>
                <c:pt idx="3544">
                  <c:v>45549</c:v>
                </c:pt>
                <c:pt idx="3545">
                  <c:v>45550</c:v>
                </c:pt>
                <c:pt idx="3546">
                  <c:v>45551</c:v>
                </c:pt>
                <c:pt idx="3547">
                  <c:v>45552</c:v>
                </c:pt>
                <c:pt idx="3548">
                  <c:v>45553</c:v>
                </c:pt>
                <c:pt idx="3549">
                  <c:v>45554</c:v>
                </c:pt>
                <c:pt idx="3550">
                  <c:v>45555</c:v>
                </c:pt>
                <c:pt idx="3551">
                  <c:v>45556</c:v>
                </c:pt>
                <c:pt idx="3552">
                  <c:v>45557</c:v>
                </c:pt>
                <c:pt idx="3553">
                  <c:v>45558</c:v>
                </c:pt>
                <c:pt idx="3554">
                  <c:v>45559</c:v>
                </c:pt>
                <c:pt idx="3555">
                  <c:v>45560</c:v>
                </c:pt>
                <c:pt idx="3556">
                  <c:v>45561</c:v>
                </c:pt>
                <c:pt idx="3557">
                  <c:v>45562</c:v>
                </c:pt>
                <c:pt idx="3558">
                  <c:v>45563</c:v>
                </c:pt>
                <c:pt idx="3559">
                  <c:v>45564</c:v>
                </c:pt>
                <c:pt idx="3560">
                  <c:v>45565</c:v>
                </c:pt>
                <c:pt idx="3561">
                  <c:v>45566</c:v>
                </c:pt>
                <c:pt idx="3562">
                  <c:v>45567</c:v>
                </c:pt>
                <c:pt idx="3563">
                  <c:v>45568</c:v>
                </c:pt>
                <c:pt idx="3564">
                  <c:v>45569</c:v>
                </c:pt>
                <c:pt idx="3565">
                  <c:v>45570</c:v>
                </c:pt>
                <c:pt idx="3566">
                  <c:v>45571</c:v>
                </c:pt>
                <c:pt idx="3567">
                  <c:v>45572</c:v>
                </c:pt>
                <c:pt idx="3568">
                  <c:v>45573</c:v>
                </c:pt>
                <c:pt idx="3569">
                  <c:v>45574</c:v>
                </c:pt>
                <c:pt idx="3570">
                  <c:v>45575</c:v>
                </c:pt>
                <c:pt idx="3571">
                  <c:v>45576</c:v>
                </c:pt>
                <c:pt idx="3572">
                  <c:v>45577</c:v>
                </c:pt>
                <c:pt idx="3573">
                  <c:v>45578</c:v>
                </c:pt>
                <c:pt idx="3574">
                  <c:v>45579</c:v>
                </c:pt>
                <c:pt idx="3575">
                  <c:v>45580</c:v>
                </c:pt>
                <c:pt idx="3576">
                  <c:v>45581</c:v>
                </c:pt>
                <c:pt idx="3577">
                  <c:v>45582</c:v>
                </c:pt>
                <c:pt idx="3578">
                  <c:v>45583</c:v>
                </c:pt>
                <c:pt idx="3579">
                  <c:v>45584</c:v>
                </c:pt>
                <c:pt idx="3580">
                  <c:v>45585</c:v>
                </c:pt>
                <c:pt idx="3581">
                  <c:v>45586</c:v>
                </c:pt>
                <c:pt idx="3582">
                  <c:v>45587</c:v>
                </c:pt>
                <c:pt idx="3583">
                  <c:v>45588</c:v>
                </c:pt>
                <c:pt idx="3584">
                  <c:v>45589</c:v>
                </c:pt>
                <c:pt idx="3585">
                  <c:v>45590</c:v>
                </c:pt>
                <c:pt idx="3586">
                  <c:v>45591</c:v>
                </c:pt>
                <c:pt idx="3587">
                  <c:v>45592</c:v>
                </c:pt>
                <c:pt idx="3588">
                  <c:v>45593</c:v>
                </c:pt>
                <c:pt idx="3589">
                  <c:v>45594</c:v>
                </c:pt>
                <c:pt idx="3590">
                  <c:v>45595</c:v>
                </c:pt>
                <c:pt idx="3591">
                  <c:v>45596</c:v>
                </c:pt>
                <c:pt idx="3592">
                  <c:v>45597</c:v>
                </c:pt>
                <c:pt idx="3593">
                  <c:v>45598</c:v>
                </c:pt>
                <c:pt idx="3594">
                  <c:v>45599</c:v>
                </c:pt>
                <c:pt idx="3595">
                  <c:v>45600</c:v>
                </c:pt>
                <c:pt idx="3596">
                  <c:v>45601</c:v>
                </c:pt>
                <c:pt idx="3597">
                  <c:v>45602</c:v>
                </c:pt>
                <c:pt idx="3598">
                  <c:v>45603</c:v>
                </c:pt>
                <c:pt idx="3599">
                  <c:v>45604</c:v>
                </c:pt>
                <c:pt idx="3600">
                  <c:v>45605</c:v>
                </c:pt>
                <c:pt idx="3601">
                  <c:v>45606</c:v>
                </c:pt>
                <c:pt idx="3602">
                  <c:v>45607</c:v>
                </c:pt>
                <c:pt idx="3603">
                  <c:v>45608</c:v>
                </c:pt>
                <c:pt idx="3604">
                  <c:v>45609</c:v>
                </c:pt>
                <c:pt idx="3605">
                  <c:v>45610</c:v>
                </c:pt>
                <c:pt idx="3606">
                  <c:v>45611</c:v>
                </c:pt>
                <c:pt idx="3607">
                  <c:v>45612</c:v>
                </c:pt>
                <c:pt idx="3608">
                  <c:v>45613</c:v>
                </c:pt>
                <c:pt idx="3609">
                  <c:v>45614</c:v>
                </c:pt>
                <c:pt idx="3610">
                  <c:v>45615</c:v>
                </c:pt>
                <c:pt idx="3611">
                  <c:v>45616</c:v>
                </c:pt>
                <c:pt idx="3612">
                  <c:v>45617</c:v>
                </c:pt>
                <c:pt idx="3613">
                  <c:v>45618</c:v>
                </c:pt>
                <c:pt idx="3614">
                  <c:v>45619</c:v>
                </c:pt>
                <c:pt idx="3615">
                  <c:v>45620</c:v>
                </c:pt>
                <c:pt idx="3616">
                  <c:v>45621</c:v>
                </c:pt>
                <c:pt idx="3617">
                  <c:v>45622</c:v>
                </c:pt>
                <c:pt idx="3618">
                  <c:v>45623</c:v>
                </c:pt>
                <c:pt idx="3619">
                  <c:v>45624</c:v>
                </c:pt>
                <c:pt idx="3620">
                  <c:v>45625</c:v>
                </c:pt>
                <c:pt idx="3621">
                  <c:v>45626</c:v>
                </c:pt>
                <c:pt idx="3622">
                  <c:v>45627</c:v>
                </c:pt>
                <c:pt idx="3623">
                  <c:v>45628</c:v>
                </c:pt>
                <c:pt idx="3624">
                  <c:v>45629</c:v>
                </c:pt>
                <c:pt idx="3625">
                  <c:v>45630</c:v>
                </c:pt>
                <c:pt idx="3626">
                  <c:v>45631</c:v>
                </c:pt>
                <c:pt idx="3627">
                  <c:v>45632</c:v>
                </c:pt>
                <c:pt idx="3628">
                  <c:v>45633</c:v>
                </c:pt>
                <c:pt idx="3629">
                  <c:v>45634</c:v>
                </c:pt>
                <c:pt idx="3630">
                  <c:v>45635</c:v>
                </c:pt>
                <c:pt idx="3631">
                  <c:v>45636</c:v>
                </c:pt>
                <c:pt idx="3632">
                  <c:v>45637</c:v>
                </c:pt>
                <c:pt idx="3633">
                  <c:v>45638</c:v>
                </c:pt>
                <c:pt idx="3634">
                  <c:v>45639</c:v>
                </c:pt>
                <c:pt idx="3635">
                  <c:v>45640</c:v>
                </c:pt>
                <c:pt idx="3636">
                  <c:v>45641</c:v>
                </c:pt>
                <c:pt idx="3637">
                  <c:v>45642</c:v>
                </c:pt>
                <c:pt idx="3638">
                  <c:v>45643</c:v>
                </c:pt>
                <c:pt idx="3639">
                  <c:v>45644</c:v>
                </c:pt>
                <c:pt idx="3640">
                  <c:v>45645</c:v>
                </c:pt>
                <c:pt idx="3641">
                  <c:v>45646</c:v>
                </c:pt>
                <c:pt idx="3642">
                  <c:v>45647</c:v>
                </c:pt>
                <c:pt idx="3643">
                  <c:v>45648</c:v>
                </c:pt>
                <c:pt idx="3644">
                  <c:v>45649</c:v>
                </c:pt>
                <c:pt idx="3645">
                  <c:v>45650</c:v>
                </c:pt>
                <c:pt idx="3646">
                  <c:v>45651</c:v>
                </c:pt>
                <c:pt idx="3647">
                  <c:v>45652</c:v>
                </c:pt>
                <c:pt idx="3648">
                  <c:v>45653</c:v>
                </c:pt>
                <c:pt idx="3649">
                  <c:v>45654</c:v>
                </c:pt>
                <c:pt idx="3650">
                  <c:v>45655</c:v>
                </c:pt>
                <c:pt idx="3651">
                  <c:v>45656</c:v>
                </c:pt>
                <c:pt idx="3652">
                  <c:v>45657</c:v>
                </c:pt>
                <c:pt idx="3653">
                  <c:v>45658</c:v>
                </c:pt>
                <c:pt idx="3654">
                  <c:v>45659</c:v>
                </c:pt>
                <c:pt idx="3655">
                  <c:v>45660</c:v>
                </c:pt>
                <c:pt idx="3656">
                  <c:v>45661</c:v>
                </c:pt>
                <c:pt idx="3657">
                  <c:v>45662</c:v>
                </c:pt>
                <c:pt idx="3658">
                  <c:v>45663</c:v>
                </c:pt>
                <c:pt idx="3659">
                  <c:v>45664</c:v>
                </c:pt>
                <c:pt idx="3660">
                  <c:v>45665</c:v>
                </c:pt>
                <c:pt idx="3661">
                  <c:v>45666</c:v>
                </c:pt>
                <c:pt idx="3662">
                  <c:v>45667</c:v>
                </c:pt>
                <c:pt idx="3663">
                  <c:v>45668</c:v>
                </c:pt>
                <c:pt idx="3664">
                  <c:v>45669</c:v>
                </c:pt>
                <c:pt idx="3665">
                  <c:v>45670</c:v>
                </c:pt>
                <c:pt idx="3666">
                  <c:v>45671</c:v>
                </c:pt>
                <c:pt idx="3667">
                  <c:v>45672</c:v>
                </c:pt>
                <c:pt idx="3668">
                  <c:v>45673</c:v>
                </c:pt>
                <c:pt idx="3669">
                  <c:v>45674</c:v>
                </c:pt>
                <c:pt idx="3670">
                  <c:v>45675</c:v>
                </c:pt>
                <c:pt idx="3671">
                  <c:v>45676</c:v>
                </c:pt>
                <c:pt idx="3672">
                  <c:v>45677</c:v>
                </c:pt>
                <c:pt idx="3673">
                  <c:v>45678</c:v>
                </c:pt>
                <c:pt idx="3674">
                  <c:v>45679</c:v>
                </c:pt>
                <c:pt idx="3675">
                  <c:v>45680</c:v>
                </c:pt>
                <c:pt idx="3676">
                  <c:v>45681</c:v>
                </c:pt>
                <c:pt idx="3677">
                  <c:v>45682</c:v>
                </c:pt>
                <c:pt idx="3678">
                  <c:v>45683</c:v>
                </c:pt>
                <c:pt idx="3679">
                  <c:v>45684</c:v>
                </c:pt>
                <c:pt idx="3680">
                  <c:v>45685</c:v>
                </c:pt>
                <c:pt idx="3681">
                  <c:v>45686</c:v>
                </c:pt>
                <c:pt idx="3682">
                  <c:v>45687</c:v>
                </c:pt>
                <c:pt idx="3683">
                  <c:v>45688</c:v>
                </c:pt>
                <c:pt idx="3684">
                  <c:v>45689</c:v>
                </c:pt>
                <c:pt idx="3685">
                  <c:v>45690</c:v>
                </c:pt>
                <c:pt idx="3686">
                  <c:v>45691</c:v>
                </c:pt>
                <c:pt idx="3687">
                  <c:v>45692</c:v>
                </c:pt>
                <c:pt idx="3688">
                  <c:v>45693</c:v>
                </c:pt>
                <c:pt idx="3689">
                  <c:v>45694</c:v>
                </c:pt>
                <c:pt idx="3690">
                  <c:v>45695</c:v>
                </c:pt>
                <c:pt idx="3691">
                  <c:v>45696</c:v>
                </c:pt>
                <c:pt idx="3692">
                  <c:v>45697</c:v>
                </c:pt>
                <c:pt idx="3693">
                  <c:v>45698</c:v>
                </c:pt>
                <c:pt idx="3694">
                  <c:v>45699</c:v>
                </c:pt>
                <c:pt idx="3695">
                  <c:v>45700</c:v>
                </c:pt>
                <c:pt idx="3696">
                  <c:v>45701</c:v>
                </c:pt>
                <c:pt idx="3697">
                  <c:v>45702</c:v>
                </c:pt>
                <c:pt idx="3698">
                  <c:v>45703</c:v>
                </c:pt>
                <c:pt idx="3699">
                  <c:v>45704</c:v>
                </c:pt>
                <c:pt idx="3700">
                  <c:v>45705</c:v>
                </c:pt>
                <c:pt idx="3701">
                  <c:v>45706</c:v>
                </c:pt>
                <c:pt idx="3702">
                  <c:v>45707</c:v>
                </c:pt>
                <c:pt idx="3703">
                  <c:v>45708</c:v>
                </c:pt>
                <c:pt idx="3704">
                  <c:v>45709</c:v>
                </c:pt>
                <c:pt idx="3705">
                  <c:v>45710</c:v>
                </c:pt>
                <c:pt idx="3706">
                  <c:v>45711</c:v>
                </c:pt>
                <c:pt idx="3707">
                  <c:v>45712</c:v>
                </c:pt>
                <c:pt idx="3708">
                  <c:v>45713</c:v>
                </c:pt>
                <c:pt idx="3709">
                  <c:v>45714</c:v>
                </c:pt>
                <c:pt idx="3710">
                  <c:v>45715</c:v>
                </c:pt>
                <c:pt idx="3711">
                  <c:v>45716</c:v>
                </c:pt>
                <c:pt idx="3712">
                  <c:v>45717</c:v>
                </c:pt>
                <c:pt idx="3713">
                  <c:v>45718</c:v>
                </c:pt>
                <c:pt idx="3714">
                  <c:v>45719</c:v>
                </c:pt>
                <c:pt idx="3715">
                  <c:v>45720</c:v>
                </c:pt>
                <c:pt idx="3716">
                  <c:v>45721</c:v>
                </c:pt>
                <c:pt idx="3717">
                  <c:v>45722</c:v>
                </c:pt>
                <c:pt idx="3718">
                  <c:v>45723</c:v>
                </c:pt>
                <c:pt idx="3719">
                  <c:v>45724</c:v>
                </c:pt>
                <c:pt idx="3720">
                  <c:v>45725</c:v>
                </c:pt>
                <c:pt idx="3721">
                  <c:v>45726</c:v>
                </c:pt>
                <c:pt idx="3722">
                  <c:v>45727</c:v>
                </c:pt>
                <c:pt idx="3723">
                  <c:v>45728</c:v>
                </c:pt>
                <c:pt idx="3724">
                  <c:v>45729</c:v>
                </c:pt>
                <c:pt idx="3725">
                  <c:v>45730</c:v>
                </c:pt>
                <c:pt idx="3726">
                  <c:v>45731</c:v>
                </c:pt>
                <c:pt idx="3727">
                  <c:v>45732</c:v>
                </c:pt>
                <c:pt idx="3728">
                  <c:v>45733</c:v>
                </c:pt>
                <c:pt idx="3729">
                  <c:v>45734</c:v>
                </c:pt>
                <c:pt idx="3730">
                  <c:v>45735</c:v>
                </c:pt>
                <c:pt idx="3731">
                  <c:v>45736</c:v>
                </c:pt>
                <c:pt idx="3732">
                  <c:v>45737</c:v>
                </c:pt>
                <c:pt idx="3733">
                  <c:v>45738</c:v>
                </c:pt>
                <c:pt idx="3734">
                  <c:v>45739</c:v>
                </c:pt>
                <c:pt idx="3735">
                  <c:v>45740</c:v>
                </c:pt>
                <c:pt idx="3736">
                  <c:v>45741</c:v>
                </c:pt>
                <c:pt idx="3737">
                  <c:v>45742</c:v>
                </c:pt>
                <c:pt idx="3738">
                  <c:v>45743</c:v>
                </c:pt>
                <c:pt idx="3739">
                  <c:v>45744</c:v>
                </c:pt>
                <c:pt idx="3740">
                  <c:v>45745</c:v>
                </c:pt>
                <c:pt idx="3741">
                  <c:v>45746</c:v>
                </c:pt>
                <c:pt idx="3742">
                  <c:v>45747</c:v>
                </c:pt>
                <c:pt idx="3743">
                  <c:v>45748</c:v>
                </c:pt>
                <c:pt idx="3744">
                  <c:v>45749</c:v>
                </c:pt>
                <c:pt idx="3745">
                  <c:v>45750</c:v>
                </c:pt>
                <c:pt idx="3746">
                  <c:v>45751</c:v>
                </c:pt>
                <c:pt idx="3747">
                  <c:v>45752</c:v>
                </c:pt>
                <c:pt idx="3748">
                  <c:v>45753</c:v>
                </c:pt>
                <c:pt idx="3749">
                  <c:v>45754</c:v>
                </c:pt>
                <c:pt idx="3750">
                  <c:v>45755</c:v>
                </c:pt>
                <c:pt idx="3751">
                  <c:v>45756</c:v>
                </c:pt>
                <c:pt idx="3752">
                  <c:v>45757</c:v>
                </c:pt>
                <c:pt idx="3753">
                  <c:v>45758</c:v>
                </c:pt>
                <c:pt idx="3754">
                  <c:v>45759</c:v>
                </c:pt>
                <c:pt idx="3755">
                  <c:v>45760</c:v>
                </c:pt>
                <c:pt idx="3756">
                  <c:v>45761</c:v>
                </c:pt>
                <c:pt idx="3757">
                  <c:v>45762</c:v>
                </c:pt>
                <c:pt idx="3758">
                  <c:v>45763</c:v>
                </c:pt>
                <c:pt idx="3759">
                  <c:v>45764</c:v>
                </c:pt>
                <c:pt idx="3760">
                  <c:v>45765</c:v>
                </c:pt>
                <c:pt idx="3761">
                  <c:v>45766</c:v>
                </c:pt>
                <c:pt idx="3762">
                  <c:v>45767</c:v>
                </c:pt>
                <c:pt idx="3763">
                  <c:v>45768</c:v>
                </c:pt>
                <c:pt idx="3764">
                  <c:v>45769</c:v>
                </c:pt>
                <c:pt idx="3765">
                  <c:v>45770</c:v>
                </c:pt>
                <c:pt idx="3766">
                  <c:v>45771</c:v>
                </c:pt>
                <c:pt idx="3767">
                  <c:v>45772</c:v>
                </c:pt>
                <c:pt idx="3768">
                  <c:v>45773</c:v>
                </c:pt>
                <c:pt idx="3769">
                  <c:v>45774</c:v>
                </c:pt>
                <c:pt idx="3770">
                  <c:v>45775</c:v>
                </c:pt>
                <c:pt idx="3771">
                  <c:v>45776</c:v>
                </c:pt>
                <c:pt idx="3772">
                  <c:v>45777</c:v>
                </c:pt>
                <c:pt idx="3773">
                  <c:v>45778</c:v>
                </c:pt>
                <c:pt idx="3774">
                  <c:v>45779</c:v>
                </c:pt>
                <c:pt idx="3775">
                  <c:v>45780</c:v>
                </c:pt>
                <c:pt idx="3776">
                  <c:v>45781</c:v>
                </c:pt>
                <c:pt idx="3777">
                  <c:v>45782</c:v>
                </c:pt>
                <c:pt idx="3778">
                  <c:v>45783</c:v>
                </c:pt>
                <c:pt idx="3779">
                  <c:v>45784</c:v>
                </c:pt>
                <c:pt idx="3780">
                  <c:v>45785</c:v>
                </c:pt>
                <c:pt idx="3781">
                  <c:v>45786</c:v>
                </c:pt>
                <c:pt idx="3782">
                  <c:v>45787</c:v>
                </c:pt>
                <c:pt idx="3783">
                  <c:v>45788</c:v>
                </c:pt>
                <c:pt idx="3784">
                  <c:v>45789</c:v>
                </c:pt>
                <c:pt idx="3785">
                  <c:v>45790</c:v>
                </c:pt>
                <c:pt idx="3786">
                  <c:v>45791</c:v>
                </c:pt>
                <c:pt idx="3787">
                  <c:v>45792</c:v>
                </c:pt>
                <c:pt idx="3788">
                  <c:v>45793</c:v>
                </c:pt>
                <c:pt idx="3789">
                  <c:v>45794</c:v>
                </c:pt>
                <c:pt idx="3790">
                  <c:v>45795</c:v>
                </c:pt>
                <c:pt idx="3791">
                  <c:v>45796</c:v>
                </c:pt>
                <c:pt idx="3792">
                  <c:v>45797</c:v>
                </c:pt>
                <c:pt idx="3793">
                  <c:v>45798</c:v>
                </c:pt>
                <c:pt idx="3794">
                  <c:v>45799</c:v>
                </c:pt>
                <c:pt idx="3795">
                  <c:v>45800</c:v>
                </c:pt>
                <c:pt idx="3796">
                  <c:v>45801</c:v>
                </c:pt>
                <c:pt idx="3797">
                  <c:v>45802</c:v>
                </c:pt>
                <c:pt idx="3798">
                  <c:v>45803</c:v>
                </c:pt>
                <c:pt idx="3799">
                  <c:v>45804</c:v>
                </c:pt>
                <c:pt idx="3800">
                  <c:v>45805</c:v>
                </c:pt>
                <c:pt idx="3801">
                  <c:v>45806</c:v>
                </c:pt>
                <c:pt idx="3802">
                  <c:v>45807</c:v>
                </c:pt>
                <c:pt idx="3803">
                  <c:v>45808</c:v>
                </c:pt>
                <c:pt idx="3804">
                  <c:v>45809</c:v>
                </c:pt>
                <c:pt idx="3805">
                  <c:v>45810</c:v>
                </c:pt>
                <c:pt idx="3806">
                  <c:v>45811</c:v>
                </c:pt>
                <c:pt idx="3807">
                  <c:v>45812</c:v>
                </c:pt>
                <c:pt idx="3808">
                  <c:v>45813</c:v>
                </c:pt>
                <c:pt idx="3809">
                  <c:v>45814</c:v>
                </c:pt>
                <c:pt idx="3810">
                  <c:v>45815</c:v>
                </c:pt>
                <c:pt idx="3811">
                  <c:v>45816</c:v>
                </c:pt>
                <c:pt idx="3812">
                  <c:v>45817</c:v>
                </c:pt>
                <c:pt idx="3813">
                  <c:v>45818</c:v>
                </c:pt>
                <c:pt idx="3814">
                  <c:v>45819</c:v>
                </c:pt>
                <c:pt idx="3815">
                  <c:v>45820</c:v>
                </c:pt>
                <c:pt idx="3816">
                  <c:v>45821</c:v>
                </c:pt>
                <c:pt idx="3817">
                  <c:v>45822</c:v>
                </c:pt>
                <c:pt idx="3818">
                  <c:v>45823</c:v>
                </c:pt>
                <c:pt idx="3819">
                  <c:v>45824</c:v>
                </c:pt>
                <c:pt idx="3820">
                  <c:v>45825</c:v>
                </c:pt>
                <c:pt idx="3821">
                  <c:v>45826</c:v>
                </c:pt>
                <c:pt idx="3822">
                  <c:v>45827</c:v>
                </c:pt>
                <c:pt idx="3823">
                  <c:v>45828</c:v>
                </c:pt>
                <c:pt idx="3824">
                  <c:v>45829</c:v>
                </c:pt>
                <c:pt idx="3825">
                  <c:v>45830</c:v>
                </c:pt>
                <c:pt idx="3826">
                  <c:v>45831</c:v>
                </c:pt>
                <c:pt idx="3827">
                  <c:v>45832</c:v>
                </c:pt>
                <c:pt idx="3828">
                  <c:v>45833</c:v>
                </c:pt>
                <c:pt idx="3829">
                  <c:v>45834</c:v>
                </c:pt>
                <c:pt idx="3830">
                  <c:v>45835</c:v>
                </c:pt>
                <c:pt idx="3831">
                  <c:v>45836</c:v>
                </c:pt>
                <c:pt idx="3832">
                  <c:v>45837</c:v>
                </c:pt>
                <c:pt idx="3833">
                  <c:v>45838</c:v>
                </c:pt>
                <c:pt idx="3834">
                  <c:v>45839</c:v>
                </c:pt>
                <c:pt idx="3835">
                  <c:v>45840</c:v>
                </c:pt>
                <c:pt idx="3836">
                  <c:v>45841</c:v>
                </c:pt>
                <c:pt idx="3837">
                  <c:v>45842</c:v>
                </c:pt>
                <c:pt idx="3838">
                  <c:v>45843</c:v>
                </c:pt>
                <c:pt idx="3839">
                  <c:v>45844</c:v>
                </c:pt>
                <c:pt idx="3840">
                  <c:v>45845</c:v>
                </c:pt>
                <c:pt idx="3841">
                  <c:v>45846</c:v>
                </c:pt>
                <c:pt idx="3842">
                  <c:v>45847</c:v>
                </c:pt>
                <c:pt idx="3843">
                  <c:v>45848</c:v>
                </c:pt>
                <c:pt idx="3844">
                  <c:v>45849</c:v>
                </c:pt>
                <c:pt idx="3845">
                  <c:v>45850</c:v>
                </c:pt>
                <c:pt idx="3846">
                  <c:v>45851</c:v>
                </c:pt>
                <c:pt idx="3847">
                  <c:v>45852</c:v>
                </c:pt>
                <c:pt idx="3848">
                  <c:v>45853</c:v>
                </c:pt>
                <c:pt idx="3849">
                  <c:v>45854</c:v>
                </c:pt>
                <c:pt idx="3850">
                  <c:v>45855</c:v>
                </c:pt>
                <c:pt idx="3851">
                  <c:v>45856</c:v>
                </c:pt>
                <c:pt idx="3852">
                  <c:v>45857</c:v>
                </c:pt>
                <c:pt idx="3853">
                  <c:v>45858</c:v>
                </c:pt>
                <c:pt idx="3854">
                  <c:v>45859</c:v>
                </c:pt>
                <c:pt idx="3855">
                  <c:v>45860</c:v>
                </c:pt>
                <c:pt idx="3856">
                  <c:v>45861</c:v>
                </c:pt>
                <c:pt idx="3857">
                  <c:v>45862</c:v>
                </c:pt>
                <c:pt idx="3858">
                  <c:v>45863</c:v>
                </c:pt>
                <c:pt idx="3859">
                  <c:v>45864</c:v>
                </c:pt>
                <c:pt idx="3860">
                  <c:v>45865</c:v>
                </c:pt>
                <c:pt idx="3861">
                  <c:v>45866</c:v>
                </c:pt>
                <c:pt idx="3862">
                  <c:v>45867</c:v>
                </c:pt>
                <c:pt idx="3863">
                  <c:v>45868</c:v>
                </c:pt>
                <c:pt idx="3864">
                  <c:v>45869</c:v>
                </c:pt>
                <c:pt idx="3865">
                  <c:v>45870</c:v>
                </c:pt>
                <c:pt idx="3866">
                  <c:v>45871</c:v>
                </c:pt>
                <c:pt idx="3867">
                  <c:v>45872</c:v>
                </c:pt>
                <c:pt idx="3868">
                  <c:v>45873</c:v>
                </c:pt>
                <c:pt idx="3869">
                  <c:v>45874</c:v>
                </c:pt>
                <c:pt idx="3870">
                  <c:v>45875</c:v>
                </c:pt>
                <c:pt idx="3871">
                  <c:v>45876</c:v>
                </c:pt>
                <c:pt idx="3872">
                  <c:v>45877</c:v>
                </c:pt>
                <c:pt idx="3873">
                  <c:v>45878</c:v>
                </c:pt>
                <c:pt idx="3874">
                  <c:v>45879</c:v>
                </c:pt>
                <c:pt idx="3875">
                  <c:v>45880</c:v>
                </c:pt>
                <c:pt idx="3876">
                  <c:v>45881</c:v>
                </c:pt>
                <c:pt idx="3877">
                  <c:v>45882</c:v>
                </c:pt>
                <c:pt idx="3878">
                  <c:v>45883</c:v>
                </c:pt>
                <c:pt idx="3879">
                  <c:v>45884</c:v>
                </c:pt>
                <c:pt idx="3880">
                  <c:v>45885</c:v>
                </c:pt>
                <c:pt idx="3881">
                  <c:v>45886</c:v>
                </c:pt>
                <c:pt idx="3882">
                  <c:v>45887</c:v>
                </c:pt>
                <c:pt idx="3883">
                  <c:v>45888</c:v>
                </c:pt>
                <c:pt idx="3884">
                  <c:v>45889</c:v>
                </c:pt>
                <c:pt idx="3885">
                  <c:v>45890</c:v>
                </c:pt>
                <c:pt idx="3886">
                  <c:v>45891</c:v>
                </c:pt>
                <c:pt idx="3887">
                  <c:v>45892</c:v>
                </c:pt>
                <c:pt idx="3888">
                  <c:v>45893</c:v>
                </c:pt>
                <c:pt idx="3889">
                  <c:v>45894</c:v>
                </c:pt>
                <c:pt idx="3890">
                  <c:v>45895</c:v>
                </c:pt>
                <c:pt idx="3891">
                  <c:v>45896</c:v>
                </c:pt>
                <c:pt idx="3892">
                  <c:v>45897</c:v>
                </c:pt>
                <c:pt idx="3893">
                  <c:v>45898</c:v>
                </c:pt>
                <c:pt idx="3894">
                  <c:v>45899</c:v>
                </c:pt>
                <c:pt idx="3895">
                  <c:v>45900</c:v>
                </c:pt>
                <c:pt idx="3896">
                  <c:v>45901</c:v>
                </c:pt>
                <c:pt idx="3897">
                  <c:v>45902</c:v>
                </c:pt>
                <c:pt idx="3898">
                  <c:v>45903</c:v>
                </c:pt>
                <c:pt idx="3899">
                  <c:v>45904</c:v>
                </c:pt>
                <c:pt idx="3900">
                  <c:v>45905</c:v>
                </c:pt>
                <c:pt idx="3901">
                  <c:v>45906</c:v>
                </c:pt>
                <c:pt idx="3902">
                  <c:v>45907</c:v>
                </c:pt>
                <c:pt idx="3903">
                  <c:v>45908</c:v>
                </c:pt>
                <c:pt idx="3904">
                  <c:v>45909</c:v>
                </c:pt>
                <c:pt idx="3905">
                  <c:v>45910</c:v>
                </c:pt>
                <c:pt idx="3906">
                  <c:v>45911</c:v>
                </c:pt>
                <c:pt idx="3907">
                  <c:v>45912</c:v>
                </c:pt>
                <c:pt idx="3908">
                  <c:v>45913</c:v>
                </c:pt>
                <c:pt idx="3909">
                  <c:v>45914</c:v>
                </c:pt>
                <c:pt idx="3910">
                  <c:v>45915</c:v>
                </c:pt>
                <c:pt idx="3911">
                  <c:v>45916</c:v>
                </c:pt>
                <c:pt idx="3912">
                  <c:v>45917</c:v>
                </c:pt>
                <c:pt idx="3913">
                  <c:v>45918</c:v>
                </c:pt>
                <c:pt idx="3914">
                  <c:v>45919</c:v>
                </c:pt>
                <c:pt idx="3915">
                  <c:v>45920</c:v>
                </c:pt>
                <c:pt idx="3916">
                  <c:v>45921</c:v>
                </c:pt>
                <c:pt idx="3917">
                  <c:v>45922</c:v>
                </c:pt>
                <c:pt idx="3918">
                  <c:v>45923</c:v>
                </c:pt>
                <c:pt idx="3919">
                  <c:v>45924</c:v>
                </c:pt>
                <c:pt idx="3920">
                  <c:v>45925</c:v>
                </c:pt>
                <c:pt idx="3921">
                  <c:v>45926</c:v>
                </c:pt>
                <c:pt idx="3922">
                  <c:v>45927</c:v>
                </c:pt>
                <c:pt idx="3923">
                  <c:v>45928</c:v>
                </c:pt>
                <c:pt idx="3924">
                  <c:v>45929</c:v>
                </c:pt>
                <c:pt idx="3925">
                  <c:v>45930</c:v>
                </c:pt>
                <c:pt idx="3926">
                  <c:v>45931</c:v>
                </c:pt>
                <c:pt idx="3927">
                  <c:v>45932</c:v>
                </c:pt>
                <c:pt idx="3928">
                  <c:v>45933</c:v>
                </c:pt>
                <c:pt idx="3929">
                  <c:v>45934</c:v>
                </c:pt>
                <c:pt idx="3930">
                  <c:v>45935</c:v>
                </c:pt>
                <c:pt idx="3931">
                  <c:v>45936</c:v>
                </c:pt>
                <c:pt idx="3932">
                  <c:v>45937</c:v>
                </c:pt>
                <c:pt idx="3933">
                  <c:v>45938</c:v>
                </c:pt>
                <c:pt idx="3934">
                  <c:v>45939</c:v>
                </c:pt>
                <c:pt idx="3935">
                  <c:v>45940</c:v>
                </c:pt>
                <c:pt idx="3936">
                  <c:v>45941</c:v>
                </c:pt>
                <c:pt idx="3937">
                  <c:v>45942</c:v>
                </c:pt>
                <c:pt idx="3938">
                  <c:v>45943</c:v>
                </c:pt>
                <c:pt idx="3939">
                  <c:v>45944</c:v>
                </c:pt>
                <c:pt idx="3940">
                  <c:v>45945</c:v>
                </c:pt>
                <c:pt idx="3941">
                  <c:v>45946</c:v>
                </c:pt>
                <c:pt idx="3942">
                  <c:v>45947</c:v>
                </c:pt>
                <c:pt idx="3943">
                  <c:v>45948</c:v>
                </c:pt>
                <c:pt idx="3944">
                  <c:v>45949</c:v>
                </c:pt>
                <c:pt idx="3945">
                  <c:v>45950</c:v>
                </c:pt>
                <c:pt idx="3946">
                  <c:v>45951</c:v>
                </c:pt>
                <c:pt idx="3947">
                  <c:v>45952</c:v>
                </c:pt>
                <c:pt idx="3948">
                  <c:v>45953</c:v>
                </c:pt>
                <c:pt idx="3949">
                  <c:v>45954</c:v>
                </c:pt>
                <c:pt idx="3950">
                  <c:v>45955</c:v>
                </c:pt>
                <c:pt idx="3951">
                  <c:v>45956</c:v>
                </c:pt>
                <c:pt idx="3952">
                  <c:v>45957</c:v>
                </c:pt>
                <c:pt idx="3953">
                  <c:v>45958</c:v>
                </c:pt>
                <c:pt idx="3954">
                  <c:v>45959</c:v>
                </c:pt>
                <c:pt idx="3955">
                  <c:v>45960</c:v>
                </c:pt>
                <c:pt idx="3956">
                  <c:v>45961</c:v>
                </c:pt>
                <c:pt idx="3957">
                  <c:v>45962</c:v>
                </c:pt>
                <c:pt idx="3958">
                  <c:v>45963</c:v>
                </c:pt>
                <c:pt idx="3959">
                  <c:v>45964</c:v>
                </c:pt>
                <c:pt idx="3960">
                  <c:v>45965</c:v>
                </c:pt>
                <c:pt idx="3961">
                  <c:v>45966</c:v>
                </c:pt>
                <c:pt idx="3962">
                  <c:v>45967</c:v>
                </c:pt>
                <c:pt idx="3963">
                  <c:v>45968</c:v>
                </c:pt>
                <c:pt idx="3964">
                  <c:v>45969</c:v>
                </c:pt>
                <c:pt idx="3965">
                  <c:v>45970</c:v>
                </c:pt>
                <c:pt idx="3966">
                  <c:v>45971</c:v>
                </c:pt>
                <c:pt idx="3967">
                  <c:v>45972</c:v>
                </c:pt>
                <c:pt idx="3968">
                  <c:v>45973</c:v>
                </c:pt>
                <c:pt idx="3969">
                  <c:v>45974</c:v>
                </c:pt>
                <c:pt idx="3970">
                  <c:v>45975</c:v>
                </c:pt>
                <c:pt idx="3971">
                  <c:v>45976</c:v>
                </c:pt>
                <c:pt idx="3972">
                  <c:v>45977</c:v>
                </c:pt>
                <c:pt idx="3973">
                  <c:v>45978</c:v>
                </c:pt>
                <c:pt idx="3974">
                  <c:v>45979</c:v>
                </c:pt>
                <c:pt idx="3975">
                  <c:v>45980</c:v>
                </c:pt>
                <c:pt idx="3976">
                  <c:v>45981</c:v>
                </c:pt>
                <c:pt idx="3977">
                  <c:v>45982</c:v>
                </c:pt>
                <c:pt idx="3978">
                  <c:v>45983</c:v>
                </c:pt>
                <c:pt idx="3979">
                  <c:v>45984</c:v>
                </c:pt>
                <c:pt idx="3980">
                  <c:v>45985</c:v>
                </c:pt>
                <c:pt idx="3981">
                  <c:v>45986</c:v>
                </c:pt>
                <c:pt idx="3982">
                  <c:v>45987</c:v>
                </c:pt>
                <c:pt idx="3983">
                  <c:v>45988</c:v>
                </c:pt>
                <c:pt idx="3984">
                  <c:v>45989</c:v>
                </c:pt>
                <c:pt idx="3985">
                  <c:v>45990</c:v>
                </c:pt>
                <c:pt idx="3986">
                  <c:v>45991</c:v>
                </c:pt>
                <c:pt idx="3987">
                  <c:v>45992</c:v>
                </c:pt>
                <c:pt idx="3988">
                  <c:v>45993</c:v>
                </c:pt>
                <c:pt idx="3989">
                  <c:v>45994</c:v>
                </c:pt>
                <c:pt idx="3990">
                  <c:v>45995</c:v>
                </c:pt>
                <c:pt idx="3991">
                  <c:v>45996</c:v>
                </c:pt>
                <c:pt idx="3992">
                  <c:v>45997</c:v>
                </c:pt>
                <c:pt idx="3993">
                  <c:v>45998</c:v>
                </c:pt>
                <c:pt idx="3994">
                  <c:v>45999</c:v>
                </c:pt>
                <c:pt idx="3995">
                  <c:v>46000</c:v>
                </c:pt>
                <c:pt idx="3996">
                  <c:v>46001</c:v>
                </c:pt>
                <c:pt idx="3997">
                  <c:v>46002</c:v>
                </c:pt>
                <c:pt idx="3998">
                  <c:v>46003</c:v>
                </c:pt>
                <c:pt idx="3999">
                  <c:v>46004</c:v>
                </c:pt>
                <c:pt idx="4000">
                  <c:v>46005</c:v>
                </c:pt>
                <c:pt idx="4001">
                  <c:v>46006</c:v>
                </c:pt>
                <c:pt idx="4002">
                  <c:v>46007</c:v>
                </c:pt>
                <c:pt idx="4003">
                  <c:v>46008</c:v>
                </c:pt>
                <c:pt idx="4004">
                  <c:v>46009</c:v>
                </c:pt>
                <c:pt idx="4005">
                  <c:v>46010</c:v>
                </c:pt>
                <c:pt idx="4006">
                  <c:v>46011</c:v>
                </c:pt>
                <c:pt idx="4007">
                  <c:v>46012</c:v>
                </c:pt>
                <c:pt idx="4008">
                  <c:v>46013</c:v>
                </c:pt>
                <c:pt idx="4009">
                  <c:v>46014</c:v>
                </c:pt>
                <c:pt idx="4010">
                  <c:v>46015</c:v>
                </c:pt>
                <c:pt idx="4011">
                  <c:v>46016</c:v>
                </c:pt>
                <c:pt idx="4012">
                  <c:v>46017</c:v>
                </c:pt>
                <c:pt idx="4013">
                  <c:v>46018</c:v>
                </c:pt>
                <c:pt idx="4014">
                  <c:v>46019</c:v>
                </c:pt>
                <c:pt idx="4015">
                  <c:v>46020</c:v>
                </c:pt>
                <c:pt idx="4016">
                  <c:v>46021</c:v>
                </c:pt>
                <c:pt idx="4017">
                  <c:v>46022</c:v>
                </c:pt>
                <c:pt idx="4018">
                  <c:v>46023</c:v>
                </c:pt>
                <c:pt idx="4019">
                  <c:v>46024</c:v>
                </c:pt>
                <c:pt idx="4020">
                  <c:v>46025</c:v>
                </c:pt>
                <c:pt idx="4021">
                  <c:v>46026</c:v>
                </c:pt>
                <c:pt idx="4022">
                  <c:v>46027</c:v>
                </c:pt>
                <c:pt idx="4023">
                  <c:v>46028</c:v>
                </c:pt>
                <c:pt idx="4024">
                  <c:v>46029</c:v>
                </c:pt>
                <c:pt idx="4025">
                  <c:v>46030</c:v>
                </c:pt>
                <c:pt idx="4026">
                  <c:v>46031</c:v>
                </c:pt>
                <c:pt idx="4027">
                  <c:v>46032</c:v>
                </c:pt>
                <c:pt idx="4028">
                  <c:v>46033</c:v>
                </c:pt>
                <c:pt idx="4029">
                  <c:v>46034</c:v>
                </c:pt>
                <c:pt idx="4030">
                  <c:v>46035</c:v>
                </c:pt>
                <c:pt idx="4031">
                  <c:v>46036</c:v>
                </c:pt>
                <c:pt idx="4032">
                  <c:v>46037</c:v>
                </c:pt>
                <c:pt idx="4033">
                  <c:v>46038</c:v>
                </c:pt>
                <c:pt idx="4034">
                  <c:v>46039</c:v>
                </c:pt>
                <c:pt idx="4035">
                  <c:v>46040</c:v>
                </c:pt>
                <c:pt idx="4036">
                  <c:v>46041</c:v>
                </c:pt>
                <c:pt idx="4037">
                  <c:v>46042</c:v>
                </c:pt>
                <c:pt idx="4038">
                  <c:v>46043</c:v>
                </c:pt>
                <c:pt idx="4039">
                  <c:v>46044</c:v>
                </c:pt>
                <c:pt idx="4040">
                  <c:v>46045</c:v>
                </c:pt>
                <c:pt idx="4041">
                  <c:v>46046</c:v>
                </c:pt>
                <c:pt idx="4042">
                  <c:v>46047</c:v>
                </c:pt>
                <c:pt idx="4043">
                  <c:v>46048</c:v>
                </c:pt>
                <c:pt idx="4044">
                  <c:v>46049</c:v>
                </c:pt>
                <c:pt idx="4045">
                  <c:v>46050</c:v>
                </c:pt>
                <c:pt idx="4046">
                  <c:v>46051</c:v>
                </c:pt>
                <c:pt idx="4047">
                  <c:v>46052</c:v>
                </c:pt>
                <c:pt idx="4048">
                  <c:v>46053</c:v>
                </c:pt>
                <c:pt idx="4049">
                  <c:v>46054</c:v>
                </c:pt>
                <c:pt idx="4050">
                  <c:v>46055</c:v>
                </c:pt>
                <c:pt idx="4051">
                  <c:v>46056</c:v>
                </c:pt>
                <c:pt idx="4052">
                  <c:v>46057</c:v>
                </c:pt>
                <c:pt idx="4053">
                  <c:v>46058</c:v>
                </c:pt>
                <c:pt idx="4054">
                  <c:v>46059</c:v>
                </c:pt>
                <c:pt idx="4055">
                  <c:v>46060</c:v>
                </c:pt>
                <c:pt idx="4056">
                  <c:v>46061</c:v>
                </c:pt>
                <c:pt idx="4057">
                  <c:v>46062</c:v>
                </c:pt>
                <c:pt idx="4058">
                  <c:v>46063</c:v>
                </c:pt>
                <c:pt idx="4059">
                  <c:v>46064</c:v>
                </c:pt>
                <c:pt idx="4060">
                  <c:v>46065</c:v>
                </c:pt>
                <c:pt idx="4061">
                  <c:v>46066</c:v>
                </c:pt>
                <c:pt idx="4062">
                  <c:v>46067</c:v>
                </c:pt>
                <c:pt idx="4063">
                  <c:v>46068</c:v>
                </c:pt>
                <c:pt idx="4064">
                  <c:v>46069</c:v>
                </c:pt>
                <c:pt idx="4065">
                  <c:v>46070</c:v>
                </c:pt>
                <c:pt idx="4066">
                  <c:v>46071</c:v>
                </c:pt>
                <c:pt idx="4067">
                  <c:v>46072</c:v>
                </c:pt>
                <c:pt idx="4068">
                  <c:v>46073</c:v>
                </c:pt>
                <c:pt idx="4069">
                  <c:v>46074</c:v>
                </c:pt>
                <c:pt idx="4070">
                  <c:v>46075</c:v>
                </c:pt>
                <c:pt idx="4071">
                  <c:v>46076</c:v>
                </c:pt>
                <c:pt idx="4072">
                  <c:v>46077</c:v>
                </c:pt>
                <c:pt idx="4073">
                  <c:v>46078</c:v>
                </c:pt>
                <c:pt idx="4074">
                  <c:v>46079</c:v>
                </c:pt>
                <c:pt idx="4075">
                  <c:v>46080</c:v>
                </c:pt>
                <c:pt idx="4076">
                  <c:v>46081</c:v>
                </c:pt>
                <c:pt idx="4077">
                  <c:v>46082</c:v>
                </c:pt>
                <c:pt idx="4078">
                  <c:v>46083</c:v>
                </c:pt>
                <c:pt idx="4079">
                  <c:v>46084</c:v>
                </c:pt>
                <c:pt idx="4080">
                  <c:v>46085</c:v>
                </c:pt>
                <c:pt idx="4081">
                  <c:v>46086</c:v>
                </c:pt>
                <c:pt idx="4082">
                  <c:v>46087</c:v>
                </c:pt>
                <c:pt idx="4083">
                  <c:v>46088</c:v>
                </c:pt>
                <c:pt idx="4084">
                  <c:v>46089</c:v>
                </c:pt>
                <c:pt idx="4085">
                  <c:v>46090</c:v>
                </c:pt>
                <c:pt idx="4086">
                  <c:v>46091</c:v>
                </c:pt>
                <c:pt idx="4087">
                  <c:v>46092</c:v>
                </c:pt>
                <c:pt idx="4088">
                  <c:v>46093</c:v>
                </c:pt>
                <c:pt idx="4089">
                  <c:v>46094</c:v>
                </c:pt>
                <c:pt idx="4090">
                  <c:v>46095</c:v>
                </c:pt>
                <c:pt idx="4091">
                  <c:v>46096</c:v>
                </c:pt>
                <c:pt idx="4092">
                  <c:v>46097</c:v>
                </c:pt>
                <c:pt idx="4093">
                  <c:v>46098</c:v>
                </c:pt>
                <c:pt idx="4094">
                  <c:v>46099</c:v>
                </c:pt>
                <c:pt idx="4095">
                  <c:v>46100</c:v>
                </c:pt>
                <c:pt idx="4096">
                  <c:v>46101</c:v>
                </c:pt>
                <c:pt idx="4097">
                  <c:v>46102</c:v>
                </c:pt>
                <c:pt idx="4098">
                  <c:v>46103</c:v>
                </c:pt>
                <c:pt idx="4099">
                  <c:v>46104</c:v>
                </c:pt>
                <c:pt idx="4100">
                  <c:v>46105</c:v>
                </c:pt>
                <c:pt idx="4101">
                  <c:v>46106</c:v>
                </c:pt>
                <c:pt idx="4102">
                  <c:v>46107</c:v>
                </c:pt>
                <c:pt idx="4103">
                  <c:v>46108</c:v>
                </c:pt>
                <c:pt idx="4104">
                  <c:v>46109</c:v>
                </c:pt>
                <c:pt idx="4105">
                  <c:v>46110</c:v>
                </c:pt>
                <c:pt idx="4106">
                  <c:v>46111</c:v>
                </c:pt>
                <c:pt idx="4107">
                  <c:v>46112</c:v>
                </c:pt>
                <c:pt idx="4108">
                  <c:v>46113</c:v>
                </c:pt>
              </c:numCache>
            </c:numRef>
          </c:cat>
          <c:val>
            <c:numRef>
              <c:f>'G 5'!$G$9:$G$4117</c:f>
              <c:numCache>
                <c:formatCode>#,##0.00</c:formatCode>
                <c:ptCount val="4109"/>
                <c:pt idx="0">
                  <c:v>85.237808227539063</c:v>
                </c:pt>
                <c:pt idx="1">
                  <c:v>85.851631164550781</c:v>
                </c:pt>
                <c:pt idx="2">
                  <c:v>84.638946533203125</c:v>
                </c:pt>
                <c:pt idx="3">
                  <c:v>83.10491943359375</c:v>
                </c:pt>
                <c:pt idx="4">
                  <c:v>84.407447814941406</c:v>
                </c:pt>
                <c:pt idx="5">
                  <c:v>85.168251037597656</c:v>
                </c:pt>
                <c:pt idx="6">
                  <c:v>84.144691467285156</c:v>
                </c:pt>
                <c:pt idx="7">
                  <c:v>87.350166320800781</c:v>
                </c:pt>
                <c:pt idx="8">
                  <c:v>85.914207458496094</c:v>
                </c:pt>
                <c:pt idx="9">
                  <c:v>87.81549072265625</c:v>
                </c:pt>
                <c:pt idx="10">
                  <c:v>88.434555053710938</c:v>
                </c:pt>
                <c:pt idx="11">
                  <c:v>90.976875305175781</c:v>
                </c:pt>
                <c:pt idx="12">
                  <c:v>93.087234497070313</c:v>
                </c:pt>
                <c:pt idx="13">
                  <c:v>93.801185607910156</c:v>
                </c:pt>
                <c:pt idx="14">
                  <c:v>93.69189453125</c:v>
                </c:pt>
                <c:pt idx="15">
                  <c:v>94.070747375488281</c:v>
                </c:pt>
                <c:pt idx="16">
                  <c:v>93.584571838378906</c:v>
                </c:pt>
                <c:pt idx="17">
                  <c:v>92.489891052246094</c:v>
                </c:pt>
                <c:pt idx="18">
                  <c:v>94.0499267578125</c:v>
                </c:pt>
                <c:pt idx="19">
                  <c:v>96.242782592773438</c:v>
                </c:pt>
                <c:pt idx="20">
                  <c:v>98.719688415527344</c:v>
                </c:pt>
                <c:pt idx="21">
                  <c:v>100.10959625244141</c:v>
                </c:pt>
                <c:pt idx="22">
                  <c:v>99.625534057617188</c:v>
                </c:pt>
                <c:pt idx="23">
                  <c:v>101.41536712646484</c:v>
                </c:pt>
                <c:pt idx="24">
                  <c:v>101.29534912109375</c:v>
                </c:pt>
                <c:pt idx="25">
                  <c:v>103.79875183105469</c:v>
                </c:pt>
                <c:pt idx="26">
                  <c:v>105.88027954101563</c:v>
                </c:pt>
                <c:pt idx="27">
                  <c:v>107.66433715820313</c:v>
                </c:pt>
                <c:pt idx="28">
                  <c:v>108.85314178466797</c:v>
                </c:pt>
                <c:pt idx="29">
                  <c:v>109.94546508789063</c:v>
                </c:pt>
                <c:pt idx="30">
                  <c:v>109.46508026123047</c:v>
                </c:pt>
                <c:pt idx="31">
                  <c:v>109.71072387695313</c:v>
                </c:pt>
                <c:pt idx="32">
                  <c:v>111.30134582519531</c:v>
                </c:pt>
                <c:pt idx="33">
                  <c:v>115.46037292480469</c:v>
                </c:pt>
                <c:pt idx="34">
                  <c:v>115.12624359130859</c:v>
                </c:pt>
                <c:pt idx="35">
                  <c:v>115.87970733642578</c:v>
                </c:pt>
                <c:pt idx="36">
                  <c:v>118.80237579345703</c:v>
                </c:pt>
                <c:pt idx="37">
                  <c:v>117.07942199707031</c:v>
                </c:pt>
                <c:pt idx="38">
                  <c:v>118.49185180664063</c:v>
                </c:pt>
                <c:pt idx="39">
                  <c:v>118.16677856445313</c:v>
                </c:pt>
                <c:pt idx="40">
                  <c:v>119.43694305419922</c:v>
                </c:pt>
                <c:pt idx="41">
                  <c:v>118.19583892822266</c:v>
                </c:pt>
                <c:pt idx="42">
                  <c:v>115.69773864746094</c:v>
                </c:pt>
                <c:pt idx="43">
                  <c:v>117.40602111816406</c:v>
                </c:pt>
                <c:pt idx="44">
                  <c:v>114.99137878417969</c:v>
                </c:pt>
                <c:pt idx="45">
                  <c:v>112.14710235595703</c:v>
                </c:pt>
                <c:pt idx="46">
                  <c:v>111.95657348632813</c:v>
                </c:pt>
                <c:pt idx="47">
                  <c:v>113.47720336914063</c:v>
                </c:pt>
                <c:pt idx="48">
                  <c:v>114.62434387207031</c:v>
                </c:pt>
                <c:pt idx="49">
                  <c:v>113.57661437988281</c:v>
                </c:pt>
                <c:pt idx="50">
                  <c:v>113.18798065185547</c:v>
                </c:pt>
                <c:pt idx="51">
                  <c:v>112.30361938476563</c:v>
                </c:pt>
                <c:pt idx="52">
                  <c:v>111.45581817626953</c:v>
                </c:pt>
                <c:pt idx="53">
                  <c:v>113.80451202392578</c:v>
                </c:pt>
                <c:pt idx="54">
                  <c:v>115.093505859375</c:v>
                </c:pt>
                <c:pt idx="55">
                  <c:v>114.375244140625</c:v>
                </c:pt>
                <c:pt idx="56">
                  <c:v>114.37191009521484</c:v>
                </c:pt>
                <c:pt idx="57">
                  <c:v>113.02116394042969</c:v>
                </c:pt>
                <c:pt idx="58">
                  <c:v>111.23040008544922</c:v>
                </c:pt>
                <c:pt idx="59">
                  <c:v>110.72665405273438</c:v>
                </c:pt>
                <c:pt idx="60">
                  <c:v>112.236572265625</c:v>
                </c:pt>
                <c:pt idx="61">
                  <c:v>113.40812683105469</c:v>
                </c:pt>
                <c:pt idx="62">
                  <c:v>117.31385040283203</c:v>
                </c:pt>
                <c:pt idx="63">
                  <c:v>115.18837738037109</c:v>
                </c:pt>
                <c:pt idx="64">
                  <c:v>115.03319549560547</c:v>
                </c:pt>
                <c:pt idx="65">
                  <c:v>114.02217102050781</c:v>
                </c:pt>
                <c:pt idx="66">
                  <c:v>111.34218597412109</c:v>
                </c:pt>
                <c:pt idx="67">
                  <c:v>110.10450744628906</c:v>
                </c:pt>
                <c:pt idx="68">
                  <c:v>109.52731323242188</c:v>
                </c:pt>
                <c:pt idx="69">
                  <c:v>107.82900238037109</c:v>
                </c:pt>
                <c:pt idx="70">
                  <c:v>106.87498474121094</c:v>
                </c:pt>
                <c:pt idx="71">
                  <c:v>105.44173431396484</c:v>
                </c:pt>
                <c:pt idx="72">
                  <c:v>105.11749267578125</c:v>
                </c:pt>
                <c:pt idx="73">
                  <c:v>104.35234069824219</c:v>
                </c:pt>
                <c:pt idx="74">
                  <c:v>105.982666015625</c:v>
                </c:pt>
                <c:pt idx="75">
                  <c:v>106.86635589599609</c:v>
                </c:pt>
                <c:pt idx="76">
                  <c:v>107.36161804199219</c:v>
                </c:pt>
                <c:pt idx="77">
                  <c:v>105.0989990234375</c:v>
                </c:pt>
                <c:pt idx="78">
                  <c:v>103.10200500488281</c:v>
                </c:pt>
                <c:pt idx="79">
                  <c:v>100.79197692871094</c:v>
                </c:pt>
                <c:pt idx="80">
                  <c:v>98.859344482421875</c:v>
                </c:pt>
                <c:pt idx="81">
                  <c:v>99.735458374023438</c:v>
                </c:pt>
                <c:pt idx="82">
                  <c:v>100.29195404052734</c:v>
                </c:pt>
                <c:pt idx="83">
                  <c:v>98.198707580566406</c:v>
                </c:pt>
                <c:pt idx="84">
                  <c:v>96.675956726074219</c:v>
                </c:pt>
                <c:pt idx="85">
                  <c:v>99.505088806152344</c:v>
                </c:pt>
                <c:pt idx="86">
                  <c:v>99.396728515625</c:v>
                </c:pt>
                <c:pt idx="87">
                  <c:v>100.17032623291016</c:v>
                </c:pt>
                <c:pt idx="88">
                  <c:v>102.55959320068359</c:v>
                </c:pt>
                <c:pt idx="89">
                  <c:v>103.21450042724609</c:v>
                </c:pt>
                <c:pt idx="90">
                  <c:v>104.32993316650391</c:v>
                </c:pt>
                <c:pt idx="91">
                  <c:v>103.14571380615234</c:v>
                </c:pt>
                <c:pt idx="92">
                  <c:v>100.87324523925781</c:v>
                </c:pt>
                <c:pt idx="93">
                  <c:v>103.81129455566406</c:v>
                </c:pt>
                <c:pt idx="94">
                  <c:v>104.82518768310547</c:v>
                </c:pt>
                <c:pt idx="95">
                  <c:v>106.74824523925781</c:v>
                </c:pt>
                <c:pt idx="96">
                  <c:v>107.55106353759766</c:v>
                </c:pt>
                <c:pt idx="97">
                  <c:v>110.44886779785156</c:v>
                </c:pt>
                <c:pt idx="98">
                  <c:v>111.95027923583984</c:v>
                </c:pt>
                <c:pt idx="99">
                  <c:v>114.08666229248047</c:v>
                </c:pt>
                <c:pt idx="100">
                  <c:v>113.06241607666016</c:v>
                </c:pt>
                <c:pt idx="101">
                  <c:v>112.56752777099609</c:v>
                </c:pt>
                <c:pt idx="102">
                  <c:v>112.97883605957031</c:v>
                </c:pt>
                <c:pt idx="103">
                  <c:v>113.14425659179688</c:v>
                </c:pt>
                <c:pt idx="104">
                  <c:v>114.29083251953125</c:v>
                </c:pt>
                <c:pt idx="105">
                  <c:v>114.53834533691406</c:v>
                </c:pt>
                <c:pt idx="106">
                  <c:v>113.92786407470703</c:v>
                </c:pt>
                <c:pt idx="107">
                  <c:v>113.64826965332031</c:v>
                </c:pt>
                <c:pt idx="108">
                  <c:v>113.74992370605469</c:v>
                </c:pt>
                <c:pt idx="109">
                  <c:v>114.32236480712891</c:v>
                </c:pt>
                <c:pt idx="110">
                  <c:v>114.53610992431641</c:v>
                </c:pt>
                <c:pt idx="111">
                  <c:v>113.77920532226563</c:v>
                </c:pt>
                <c:pt idx="112">
                  <c:v>112.46910095214844</c:v>
                </c:pt>
                <c:pt idx="113">
                  <c:v>114.16995239257813</c:v>
                </c:pt>
                <c:pt idx="114">
                  <c:v>112.10488128662109</c:v>
                </c:pt>
                <c:pt idx="115">
                  <c:v>106.77245330810547</c:v>
                </c:pt>
                <c:pt idx="116">
                  <c:v>106.24678802490234</c:v>
                </c:pt>
                <c:pt idx="117">
                  <c:v>103.47555541992188</c:v>
                </c:pt>
                <c:pt idx="118">
                  <c:v>102.17100524902344</c:v>
                </c:pt>
                <c:pt idx="119">
                  <c:v>99.560722351074219</c:v>
                </c:pt>
                <c:pt idx="120">
                  <c:v>97.4710693359375</c:v>
                </c:pt>
                <c:pt idx="121">
                  <c:v>95.057991027832031</c:v>
                </c:pt>
                <c:pt idx="122">
                  <c:v>91.5142822265625</c:v>
                </c:pt>
                <c:pt idx="123">
                  <c:v>88.346527099609375</c:v>
                </c:pt>
                <c:pt idx="124">
                  <c:v>85.956764221191406</c:v>
                </c:pt>
                <c:pt idx="125">
                  <c:v>85.386924743652344</c:v>
                </c:pt>
                <c:pt idx="126">
                  <c:v>83.858917236328125</c:v>
                </c:pt>
                <c:pt idx="127">
                  <c:v>80.692161560058594</c:v>
                </c:pt>
                <c:pt idx="128">
                  <c:v>77.86749267578125</c:v>
                </c:pt>
                <c:pt idx="129">
                  <c:v>74.882293701171875</c:v>
                </c:pt>
                <c:pt idx="130">
                  <c:v>76.342094421386719</c:v>
                </c:pt>
                <c:pt idx="131">
                  <c:v>76.647598266601563</c:v>
                </c:pt>
                <c:pt idx="132">
                  <c:v>77.819595336914063</c:v>
                </c:pt>
                <c:pt idx="133">
                  <c:v>76.346839904785156</c:v>
                </c:pt>
                <c:pt idx="134">
                  <c:v>74.732810974121094</c:v>
                </c:pt>
                <c:pt idx="135">
                  <c:v>73.848678588867188</c:v>
                </c:pt>
                <c:pt idx="136">
                  <c:v>73.109596252441406</c:v>
                </c:pt>
                <c:pt idx="137">
                  <c:v>75.26422119140625</c:v>
                </c:pt>
                <c:pt idx="138">
                  <c:v>76.285003662109375</c:v>
                </c:pt>
                <c:pt idx="139">
                  <c:v>75.609382629394531</c:v>
                </c:pt>
                <c:pt idx="140">
                  <c:v>74.659515380859375</c:v>
                </c:pt>
                <c:pt idx="141">
                  <c:v>74.949531555175781</c:v>
                </c:pt>
                <c:pt idx="142">
                  <c:v>75.60675048828125</c:v>
                </c:pt>
                <c:pt idx="143">
                  <c:v>72.498710632324219</c:v>
                </c:pt>
                <c:pt idx="144">
                  <c:v>74.006370544433594</c:v>
                </c:pt>
                <c:pt idx="145">
                  <c:v>73.9437255859375</c:v>
                </c:pt>
                <c:pt idx="146">
                  <c:v>74.184890747070313</c:v>
                </c:pt>
                <c:pt idx="147">
                  <c:v>74.514381408691406</c:v>
                </c:pt>
                <c:pt idx="148">
                  <c:v>73.560203552246094</c:v>
                </c:pt>
                <c:pt idx="149">
                  <c:v>74.089096069335938</c:v>
                </c:pt>
                <c:pt idx="150">
                  <c:v>74.349136352539063</c:v>
                </c:pt>
                <c:pt idx="151">
                  <c:v>76.508460998535156</c:v>
                </c:pt>
                <c:pt idx="152">
                  <c:v>77.225563049316406</c:v>
                </c:pt>
                <c:pt idx="153">
                  <c:v>79.17633056640625</c:v>
                </c:pt>
                <c:pt idx="154">
                  <c:v>80.488471984863281</c:v>
                </c:pt>
                <c:pt idx="155">
                  <c:v>79.248710632324219</c:v>
                </c:pt>
                <c:pt idx="156">
                  <c:v>78.32867431640625</c:v>
                </c:pt>
                <c:pt idx="157">
                  <c:v>78.823699951171875</c:v>
                </c:pt>
                <c:pt idx="158">
                  <c:v>79.880973815917969</c:v>
                </c:pt>
                <c:pt idx="159">
                  <c:v>81.310394287109375</c:v>
                </c:pt>
                <c:pt idx="160">
                  <c:v>78.974052429199219</c:v>
                </c:pt>
                <c:pt idx="161">
                  <c:v>78.734016418457031</c:v>
                </c:pt>
                <c:pt idx="162">
                  <c:v>76.309333801269531</c:v>
                </c:pt>
                <c:pt idx="163">
                  <c:v>75.598663330078125</c:v>
                </c:pt>
                <c:pt idx="164">
                  <c:v>74.580734252929688</c:v>
                </c:pt>
                <c:pt idx="165">
                  <c:v>74.080841064453125</c:v>
                </c:pt>
                <c:pt idx="166">
                  <c:v>75.325477600097656</c:v>
                </c:pt>
                <c:pt idx="167">
                  <c:v>74.252487182617188</c:v>
                </c:pt>
                <c:pt idx="168">
                  <c:v>72.740798950195313</c:v>
                </c:pt>
                <c:pt idx="169">
                  <c:v>71.834495544433594</c:v>
                </c:pt>
                <c:pt idx="170">
                  <c:v>73.256721496582031</c:v>
                </c:pt>
                <c:pt idx="171">
                  <c:v>72.936027526855469</c:v>
                </c:pt>
                <c:pt idx="172">
                  <c:v>73.265625</c:v>
                </c:pt>
                <c:pt idx="173">
                  <c:v>74.610771179199219</c:v>
                </c:pt>
                <c:pt idx="174">
                  <c:v>74.548530578613281</c:v>
                </c:pt>
                <c:pt idx="175">
                  <c:v>77.668716430664063</c:v>
                </c:pt>
                <c:pt idx="176">
                  <c:v>77.609153747558594</c:v>
                </c:pt>
                <c:pt idx="177">
                  <c:v>78.350288391113281</c:v>
                </c:pt>
                <c:pt idx="178">
                  <c:v>80.166526794433594</c:v>
                </c:pt>
                <c:pt idx="179">
                  <c:v>82.443580627441406</c:v>
                </c:pt>
                <c:pt idx="180">
                  <c:v>85.286209106445313</c:v>
                </c:pt>
                <c:pt idx="181">
                  <c:v>84.849769592285156</c:v>
                </c:pt>
                <c:pt idx="182">
                  <c:v>85.490234375</c:v>
                </c:pt>
                <c:pt idx="183">
                  <c:v>84.084770202636719</c:v>
                </c:pt>
                <c:pt idx="184">
                  <c:v>82.951194763183594</c:v>
                </c:pt>
                <c:pt idx="185">
                  <c:v>83.547889709472656</c:v>
                </c:pt>
                <c:pt idx="186">
                  <c:v>85.969276428222656</c:v>
                </c:pt>
                <c:pt idx="187">
                  <c:v>85.818832397460938</c:v>
                </c:pt>
                <c:pt idx="188">
                  <c:v>85.151901245117188</c:v>
                </c:pt>
                <c:pt idx="189">
                  <c:v>83.924118041992188</c:v>
                </c:pt>
                <c:pt idx="190">
                  <c:v>85.884307861328125</c:v>
                </c:pt>
                <c:pt idx="191">
                  <c:v>86.770538330078125</c:v>
                </c:pt>
                <c:pt idx="192">
                  <c:v>88.891494750976563</c:v>
                </c:pt>
                <c:pt idx="193">
                  <c:v>91.122238159179688</c:v>
                </c:pt>
                <c:pt idx="194">
                  <c:v>91.22235107421875</c:v>
                </c:pt>
                <c:pt idx="195">
                  <c:v>96.781723022460938</c:v>
                </c:pt>
                <c:pt idx="196">
                  <c:v>96.895820617675781</c:v>
                </c:pt>
                <c:pt idx="197">
                  <c:v>99.130241394042969</c:v>
                </c:pt>
                <c:pt idx="198">
                  <c:v>98.476547241210938</c:v>
                </c:pt>
                <c:pt idx="199">
                  <c:v>100.289794921875</c:v>
                </c:pt>
                <c:pt idx="200">
                  <c:v>101.15171051025391</c:v>
                </c:pt>
                <c:pt idx="201">
                  <c:v>105.12873077392578</c:v>
                </c:pt>
                <c:pt idx="202">
                  <c:v>107.20449066162109</c:v>
                </c:pt>
                <c:pt idx="203">
                  <c:v>106.677978515625</c:v>
                </c:pt>
                <c:pt idx="204">
                  <c:v>107.62934875488281</c:v>
                </c:pt>
                <c:pt idx="205">
                  <c:v>106.33339691162109</c:v>
                </c:pt>
                <c:pt idx="206">
                  <c:v>107.86394500732422</c:v>
                </c:pt>
                <c:pt idx="207">
                  <c:v>110.97422790527344</c:v>
                </c:pt>
                <c:pt idx="208">
                  <c:v>111.73980712890625</c:v>
                </c:pt>
                <c:pt idx="209">
                  <c:v>110.50719451904297</c:v>
                </c:pt>
                <c:pt idx="210">
                  <c:v>107.36273956298828</c:v>
                </c:pt>
                <c:pt idx="211">
                  <c:v>106.66719055175781</c:v>
                </c:pt>
                <c:pt idx="212">
                  <c:v>105.98220062255859</c:v>
                </c:pt>
                <c:pt idx="213">
                  <c:v>105.40221405029297</c:v>
                </c:pt>
                <c:pt idx="214">
                  <c:v>104.68011474609375</c:v>
                </c:pt>
                <c:pt idx="215">
                  <c:v>107.17015838623047</c:v>
                </c:pt>
                <c:pt idx="216">
                  <c:v>106.12024688720703</c:v>
                </c:pt>
                <c:pt idx="217">
                  <c:v>107.67724609375</c:v>
                </c:pt>
                <c:pt idx="218">
                  <c:v>108.62237548828125</c:v>
                </c:pt>
                <c:pt idx="219">
                  <c:v>108.96002960205078</c:v>
                </c:pt>
                <c:pt idx="220">
                  <c:v>108.22487640380859</c:v>
                </c:pt>
                <c:pt idx="221">
                  <c:v>108.47074127197266</c:v>
                </c:pt>
                <c:pt idx="222">
                  <c:v>108.08828735351563</c:v>
                </c:pt>
                <c:pt idx="223">
                  <c:v>107.23365020751953</c:v>
                </c:pt>
                <c:pt idx="224">
                  <c:v>108.64734649658203</c:v>
                </c:pt>
                <c:pt idx="225">
                  <c:v>103.59215545654297</c:v>
                </c:pt>
                <c:pt idx="226">
                  <c:v>101.26499938964844</c:v>
                </c:pt>
                <c:pt idx="227">
                  <c:v>98.740921020507813</c:v>
                </c:pt>
                <c:pt idx="228">
                  <c:v>99.81207275390625</c:v>
                </c:pt>
                <c:pt idx="229">
                  <c:v>99.474449157714844</c:v>
                </c:pt>
                <c:pt idx="230">
                  <c:v>99.33319091796875</c:v>
                </c:pt>
                <c:pt idx="231">
                  <c:v>93.828781127929688</c:v>
                </c:pt>
                <c:pt idx="232">
                  <c:v>91.60577392578125</c:v>
                </c:pt>
                <c:pt idx="233">
                  <c:v>91.325523376464844</c:v>
                </c:pt>
                <c:pt idx="234">
                  <c:v>89.387245178222656</c:v>
                </c:pt>
                <c:pt idx="235">
                  <c:v>89.761550903320313</c:v>
                </c:pt>
                <c:pt idx="236">
                  <c:v>87.45184326171875</c:v>
                </c:pt>
                <c:pt idx="237">
                  <c:v>84.374214172363281</c:v>
                </c:pt>
                <c:pt idx="238">
                  <c:v>82.8001708984375</c:v>
                </c:pt>
                <c:pt idx="239">
                  <c:v>81.231422424316406</c:v>
                </c:pt>
                <c:pt idx="240">
                  <c:v>80.874595642089844</c:v>
                </c:pt>
                <c:pt idx="241">
                  <c:v>80.82391357421875</c:v>
                </c:pt>
                <c:pt idx="242">
                  <c:v>81.331817626953125</c:v>
                </c:pt>
                <c:pt idx="243">
                  <c:v>82.224197387695313</c:v>
                </c:pt>
                <c:pt idx="244">
                  <c:v>83.799446105957031</c:v>
                </c:pt>
                <c:pt idx="245">
                  <c:v>81.478851318359375</c:v>
                </c:pt>
                <c:pt idx="246">
                  <c:v>82.152206420898438</c:v>
                </c:pt>
                <c:pt idx="247">
                  <c:v>80.90142822265625</c:v>
                </c:pt>
                <c:pt idx="248">
                  <c:v>80.651565551757813</c:v>
                </c:pt>
                <c:pt idx="249">
                  <c:v>81.162109375</c:v>
                </c:pt>
                <c:pt idx="250">
                  <c:v>82.249420166015625</c:v>
                </c:pt>
                <c:pt idx="251">
                  <c:v>84.042106628417969</c:v>
                </c:pt>
                <c:pt idx="252">
                  <c:v>85.692573547363281</c:v>
                </c:pt>
                <c:pt idx="253">
                  <c:v>86.407363891601563</c:v>
                </c:pt>
                <c:pt idx="254">
                  <c:v>86.128639221191406</c:v>
                </c:pt>
                <c:pt idx="255">
                  <c:v>85.361625671386719</c:v>
                </c:pt>
                <c:pt idx="256">
                  <c:v>86.431838989257813</c:v>
                </c:pt>
                <c:pt idx="257">
                  <c:v>88.146827697753906</c:v>
                </c:pt>
                <c:pt idx="258">
                  <c:v>87.742301940917969</c:v>
                </c:pt>
                <c:pt idx="259">
                  <c:v>87.571189880371094</c:v>
                </c:pt>
                <c:pt idx="260">
                  <c:v>86.332511901855469</c:v>
                </c:pt>
                <c:pt idx="261">
                  <c:v>88.138015747070313</c:v>
                </c:pt>
                <c:pt idx="262">
                  <c:v>87.535293579101563</c:v>
                </c:pt>
                <c:pt idx="263">
                  <c:v>87.771957397460938</c:v>
                </c:pt>
                <c:pt idx="264">
                  <c:v>92.223312377929688</c:v>
                </c:pt>
                <c:pt idx="265">
                  <c:v>91.637290954589844</c:v>
                </c:pt>
                <c:pt idx="266">
                  <c:v>92.6566162109375</c:v>
                </c:pt>
                <c:pt idx="267">
                  <c:v>92.747749328613281</c:v>
                </c:pt>
                <c:pt idx="268">
                  <c:v>92.503646850585938</c:v>
                </c:pt>
                <c:pt idx="269">
                  <c:v>93.2421875</c:v>
                </c:pt>
                <c:pt idx="270">
                  <c:v>94.170585632324219</c:v>
                </c:pt>
                <c:pt idx="271">
                  <c:v>95.532440185546875</c:v>
                </c:pt>
                <c:pt idx="272">
                  <c:v>96.266708374023438</c:v>
                </c:pt>
                <c:pt idx="273">
                  <c:v>97.337631225585938</c:v>
                </c:pt>
                <c:pt idx="274">
                  <c:v>100.82546997070313</c:v>
                </c:pt>
                <c:pt idx="275">
                  <c:v>100.32778930664063</c:v>
                </c:pt>
                <c:pt idx="276">
                  <c:v>99.793289184570313</c:v>
                </c:pt>
                <c:pt idx="277">
                  <c:v>99.787269592285156</c:v>
                </c:pt>
                <c:pt idx="278">
                  <c:v>100.80367279052734</c:v>
                </c:pt>
                <c:pt idx="279">
                  <c:v>101.69057464599609</c:v>
                </c:pt>
                <c:pt idx="280">
                  <c:v>100.11335754394531</c:v>
                </c:pt>
                <c:pt idx="281">
                  <c:v>98.302619934082031</c:v>
                </c:pt>
                <c:pt idx="282">
                  <c:v>97.111366271972656</c:v>
                </c:pt>
                <c:pt idx="283">
                  <c:v>95.919334411621094</c:v>
                </c:pt>
                <c:pt idx="284">
                  <c:v>95.171463012695313</c:v>
                </c:pt>
                <c:pt idx="285">
                  <c:v>96.017227172851563</c:v>
                </c:pt>
                <c:pt idx="286">
                  <c:v>96.867179870605469</c:v>
                </c:pt>
                <c:pt idx="287">
                  <c:v>95.5882568359375</c:v>
                </c:pt>
                <c:pt idx="288">
                  <c:v>95.812271118164063</c:v>
                </c:pt>
                <c:pt idx="289">
                  <c:v>96.70819091796875</c:v>
                </c:pt>
                <c:pt idx="290">
                  <c:v>96.147941589355469</c:v>
                </c:pt>
                <c:pt idx="291">
                  <c:v>96.2166748046875</c:v>
                </c:pt>
                <c:pt idx="292">
                  <c:v>96.282577514648438</c:v>
                </c:pt>
                <c:pt idx="293">
                  <c:v>95.714523315429688</c:v>
                </c:pt>
                <c:pt idx="294">
                  <c:v>91.717926025390625</c:v>
                </c:pt>
                <c:pt idx="295">
                  <c:v>91.496742248535156</c:v>
                </c:pt>
                <c:pt idx="296">
                  <c:v>90.984405517578125</c:v>
                </c:pt>
                <c:pt idx="297">
                  <c:v>89.987716674804688</c:v>
                </c:pt>
                <c:pt idx="298">
                  <c:v>90.170341491699219</c:v>
                </c:pt>
                <c:pt idx="299">
                  <c:v>89.316986083984375</c:v>
                </c:pt>
                <c:pt idx="300">
                  <c:v>88.513824462890625</c:v>
                </c:pt>
                <c:pt idx="301">
                  <c:v>86.881813049316406</c:v>
                </c:pt>
                <c:pt idx="302">
                  <c:v>86.556190490722656</c:v>
                </c:pt>
                <c:pt idx="303">
                  <c:v>84.984046936035156</c:v>
                </c:pt>
                <c:pt idx="304">
                  <c:v>80.524421691894531</c:v>
                </c:pt>
                <c:pt idx="305">
                  <c:v>81.836555480957031</c:v>
                </c:pt>
                <c:pt idx="306">
                  <c:v>80.879158020019531</c:v>
                </c:pt>
                <c:pt idx="307">
                  <c:v>81.058723449707031</c:v>
                </c:pt>
                <c:pt idx="308">
                  <c:v>79.302528381347656</c:v>
                </c:pt>
                <c:pt idx="309">
                  <c:v>78.585929870605469</c:v>
                </c:pt>
                <c:pt idx="310">
                  <c:v>79.638526916503906</c:v>
                </c:pt>
                <c:pt idx="311">
                  <c:v>79.495925903320313</c:v>
                </c:pt>
                <c:pt idx="312">
                  <c:v>78.820358276367188</c:v>
                </c:pt>
                <c:pt idx="313">
                  <c:v>78.893394470214844</c:v>
                </c:pt>
                <c:pt idx="314">
                  <c:v>77.98223876953125</c:v>
                </c:pt>
                <c:pt idx="315">
                  <c:v>76.763359069824219</c:v>
                </c:pt>
                <c:pt idx="316">
                  <c:v>75.301094055175781</c:v>
                </c:pt>
                <c:pt idx="317">
                  <c:v>76.528610229492188</c:v>
                </c:pt>
                <c:pt idx="318">
                  <c:v>77.824188232421875</c:v>
                </c:pt>
                <c:pt idx="319">
                  <c:v>83.880912780761719</c:v>
                </c:pt>
                <c:pt idx="320">
                  <c:v>93.445793151855469</c:v>
                </c:pt>
                <c:pt idx="321">
                  <c:v>100.92650604248047</c:v>
                </c:pt>
                <c:pt idx="322">
                  <c:v>106.68428802490234</c:v>
                </c:pt>
                <c:pt idx="323">
                  <c:v>111.4449462890625</c:v>
                </c:pt>
                <c:pt idx="324">
                  <c:v>114.86775970458984</c:v>
                </c:pt>
                <c:pt idx="325">
                  <c:v>119.01397705078125</c:v>
                </c:pt>
                <c:pt idx="326">
                  <c:v>122.23671722412109</c:v>
                </c:pt>
                <c:pt idx="327">
                  <c:v>128.73335266113281</c:v>
                </c:pt>
                <c:pt idx="328">
                  <c:v>134.19184875488281</c:v>
                </c:pt>
                <c:pt idx="329">
                  <c:v>138.30979919433594</c:v>
                </c:pt>
                <c:pt idx="330">
                  <c:v>143.96159362792969</c:v>
                </c:pt>
                <c:pt idx="331">
                  <c:v>145.2520751953125</c:v>
                </c:pt>
                <c:pt idx="332">
                  <c:v>145.65242004394531</c:v>
                </c:pt>
                <c:pt idx="333">
                  <c:v>146.28372192382813</c:v>
                </c:pt>
                <c:pt idx="334">
                  <c:v>150.41497802734375</c:v>
                </c:pt>
                <c:pt idx="335">
                  <c:v>153.17427062988281</c:v>
                </c:pt>
                <c:pt idx="336">
                  <c:v>156.66267395019531</c:v>
                </c:pt>
                <c:pt idx="337">
                  <c:v>158.65768432617188</c:v>
                </c:pt>
                <c:pt idx="338">
                  <c:v>161.91366577148438</c:v>
                </c:pt>
                <c:pt idx="339">
                  <c:v>163.45211791992188</c:v>
                </c:pt>
                <c:pt idx="340">
                  <c:v>166.62380981445313</c:v>
                </c:pt>
                <c:pt idx="341">
                  <c:v>170.41958618164063</c:v>
                </c:pt>
                <c:pt idx="342">
                  <c:v>174.15921020507813</c:v>
                </c:pt>
                <c:pt idx="343">
                  <c:v>176.2293701171875</c:v>
                </c:pt>
                <c:pt idx="344">
                  <c:v>179.49679565429688</c:v>
                </c:pt>
                <c:pt idx="345">
                  <c:v>181.48109436035156</c:v>
                </c:pt>
                <c:pt idx="346">
                  <c:v>182.14949035644531</c:v>
                </c:pt>
                <c:pt idx="347">
                  <c:v>182.09193420410156</c:v>
                </c:pt>
                <c:pt idx="348">
                  <c:v>182.53181457519531</c:v>
                </c:pt>
                <c:pt idx="349">
                  <c:v>178.48564147949219</c:v>
                </c:pt>
                <c:pt idx="350">
                  <c:v>172.1165771484375</c:v>
                </c:pt>
                <c:pt idx="351">
                  <c:v>166.28257751464844</c:v>
                </c:pt>
                <c:pt idx="352">
                  <c:v>162.03404235839844</c:v>
                </c:pt>
                <c:pt idx="353">
                  <c:v>158.31423950195313</c:v>
                </c:pt>
                <c:pt idx="354">
                  <c:v>158.09690856933594</c:v>
                </c:pt>
                <c:pt idx="355">
                  <c:v>156.08860778808594</c:v>
                </c:pt>
                <c:pt idx="356">
                  <c:v>152.87965393066406</c:v>
                </c:pt>
                <c:pt idx="357">
                  <c:v>148.35586547851563</c:v>
                </c:pt>
                <c:pt idx="358">
                  <c:v>145.4664306640625</c:v>
                </c:pt>
                <c:pt idx="359">
                  <c:v>144.21217346191406</c:v>
                </c:pt>
                <c:pt idx="360">
                  <c:v>139.72357177734375</c:v>
                </c:pt>
                <c:pt idx="361">
                  <c:v>141.27218627929688</c:v>
                </c:pt>
                <c:pt idx="362">
                  <c:v>141.46649169921875</c:v>
                </c:pt>
                <c:pt idx="363">
                  <c:v>142.84428405761719</c:v>
                </c:pt>
                <c:pt idx="364">
                  <c:v>139.49786376953125</c:v>
                </c:pt>
                <c:pt idx="365">
                  <c:v>140.03579711914063</c:v>
                </c:pt>
                <c:pt idx="366">
                  <c:v>137.76545715332031</c:v>
                </c:pt>
                <c:pt idx="367">
                  <c:v>136.32476806640625</c:v>
                </c:pt>
                <c:pt idx="368">
                  <c:v>135.5062255859375</c:v>
                </c:pt>
                <c:pt idx="369">
                  <c:v>137.83358764648438</c:v>
                </c:pt>
                <c:pt idx="370">
                  <c:v>136.63699340820313</c:v>
                </c:pt>
                <c:pt idx="371">
                  <c:v>136.87771606445313</c:v>
                </c:pt>
                <c:pt idx="372">
                  <c:v>136.26165771484375</c:v>
                </c:pt>
                <c:pt idx="373">
                  <c:v>133.58808898925781</c:v>
                </c:pt>
                <c:pt idx="374">
                  <c:v>131.94856262207031</c:v>
                </c:pt>
                <c:pt idx="375">
                  <c:v>131.66864013671875</c:v>
                </c:pt>
                <c:pt idx="376">
                  <c:v>132.494140625</c:v>
                </c:pt>
                <c:pt idx="377">
                  <c:v>133.15800476074219</c:v>
                </c:pt>
                <c:pt idx="378">
                  <c:v>132.5986328125</c:v>
                </c:pt>
                <c:pt idx="379">
                  <c:v>130.66952514648438</c:v>
                </c:pt>
                <c:pt idx="380">
                  <c:v>128.33633422851563</c:v>
                </c:pt>
                <c:pt idx="381">
                  <c:v>127.25482940673828</c:v>
                </c:pt>
                <c:pt idx="382">
                  <c:v>128.33970642089844</c:v>
                </c:pt>
                <c:pt idx="383">
                  <c:v>130.13377380371094</c:v>
                </c:pt>
                <c:pt idx="384">
                  <c:v>131.11109924316406</c:v>
                </c:pt>
                <c:pt idx="385">
                  <c:v>129.26408386230469</c:v>
                </c:pt>
                <c:pt idx="386">
                  <c:v>130.50154113769531</c:v>
                </c:pt>
                <c:pt idx="387">
                  <c:v>129.5611572265625</c:v>
                </c:pt>
                <c:pt idx="388">
                  <c:v>127.06130981445313</c:v>
                </c:pt>
                <c:pt idx="389">
                  <c:v>125.31004333496094</c:v>
                </c:pt>
                <c:pt idx="390">
                  <c:v>124.27935791015625</c:v>
                </c:pt>
                <c:pt idx="391">
                  <c:v>122.48439788818359</c:v>
                </c:pt>
                <c:pt idx="392">
                  <c:v>121.40076446533203</c:v>
                </c:pt>
                <c:pt idx="393">
                  <c:v>119.45708465576172</c:v>
                </c:pt>
                <c:pt idx="394">
                  <c:v>118.47169494628906</c:v>
                </c:pt>
                <c:pt idx="395">
                  <c:v>112.86811065673828</c:v>
                </c:pt>
                <c:pt idx="396">
                  <c:v>114.29785919189453</c:v>
                </c:pt>
                <c:pt idx="397">
                  <c:v>113.97804260253906</c:v>
                </c:pt>
                <c:pt idx="398">
                  <c:v>112.99337005615234</c:v>
                </c:pt>
                <c:pt idx="399">
                  <c:v>109.37651062011719</c:v>
                </c:pt>
                <c:pt idx="400">
                  <c:v>107.64010620117188</c:v>
                </c:pt>
                <c:pt idx="401">
                  <c:v>103.37734222412109</c:v>
                </c:pt>
                <c:pt idx="402">
                  <c:v>101.01650238037109</c:v>
                </c:pt>
                <c:pt idx="403">
                  <c:v>103.42752838134766</c:v>
                </c:pt>
                <c:pt idx="404">
                  <c:v>102.65363311767578</c:v>
                </c:pt>
                <c:pt idx="405">
                  <c:v>102.78955841064453</c:v>
                </c:pt>
                <c:pt idx="406">
                  <c:v>103.19243621826172</c:v>
                </c:pt>
                <c:pt idx="407">
                  <c:v>102.08606719970703</c:v>
                </c:pt>
                <c:pt idx="408">
                  <c:v>100.05805206298828</c:v>
                </c:pt>
                <c:pt idx="409">
                  <c:v>100.16620635986328</c:v>
                </c:pt>
                <c:pt idx="410">
                  <c:v>99.773078918457031</c:v>
                </c:pt>
                <c:pt idx="411">
                  <c:v>100.66714477539063</c:v>
                </c:pt>
                <c:pt idx="412">
                  <c:v>100.20407104492188</c:v>
                </c:pt>
                <c:pt idx="413">
                  <c:v>99.022048950195313</c:v>
                </c:pt>
                <c:pt idx="414">
                  <c:v>97.930427551269531</c:v>
                </c:pt>
                <c:pt idx="415">
                  <c:v>97.313270568847656</c:v>
                </c:pt>
                <c:pt idx="416">
                  <c:v>95.658447265625</c:v>
                </c:pt>
                <c:pt idx="417">
                  <c:v>96.383438110351563</c:v>
                </c:pt>
                <c:pt idx="418">
                  <c:v>98.530715942382813</c:v>
                </c:pt>
                <c:pt idx="419">
                  <c:v>99.624015808105469</c:v>
                </c:pt>
                <c:pt idx="420">
                  <c:v>99.129905700683594</c:v>
                </c:pt>
                <c:pt idx="421">
                  <c:v>98.959915161132813</c:v>
                </c:pt>
                <c:pt idx="422">
                  <c:v>97.947898864746094</c:v>
                </c:pt>
                <c:pt idx="423">
                  <c:v>98.566841125488281</c:v>
                </c:pt>
                <c:pt idx="424">
                  <c:v>99.206489562988281</c:v>
                </c:pt>
                <c:pt idx="425">
                  <c:v>101.95672607421875</c:v>
                </c:pt>
                <c:pt idx="426">
                  <c:v>100.26153564453125</c:v>
                </c:pt>
                <c:pt idx="427">
                  <c:v>101.20346832275391</c:v>
                </c:pt>
                <c:pt idx="428">
                  <c:v>100.13617706298828</c:v>
                </c:pt>
                <c:pt idx="429">
                  <c:v>99.201560974121094</c:v>
                </c:pt>
                <c:pt idx="430">
                  <c:v>97.277587890625</c:v>
                </c:pt>
                <c:pt idx="431">
                  <c:v>96.939628601074219</c:v>
                </c:pt>
                <c:pt idx="432">
                  <c:v>96.701904296875</c:v>
                </c:pt>
                <c:pt idx="433">
                  <c:v>95.109565734863281</c:v>
                </c:pt>
                <c:pt idx="434">
                  <c:v>95.8544921875</c:v>
                </c:pt>
                <c:pt idx="435">
                  <c:v>94.493911743164063</c:v>
                </c:pt>
                <c:pt idx="436">
                  <c:v>92.409477233886719</c:v>
                </c:pt>
                <c:pt idx="437">
                  <c:v>91.015411376953125</c:v>
                </c:pt>
                <c:pt idx="438">
                  <c:v>93.352508544921875</c:v>
                </c:pt>
                <c:pt idx="439">
                  <c:v>93.903396606445313</c:v>
                </c:pt>
                <c:pt idx="440">
                  <c:v>94.543075561523438</c:v>
                </c:pt>
                <c:pt idx="441">
                  <c:v>92.903656005859375</c:v>
                </c:pt>
                <c:pt idx="442">
                  <c:v>91.916259765625</c:v>
                </c:pt>
                <c:pt idx="443">
                  <c:v>89.300506591796875</c:v>
                </c:pt>
                <c:pt idx="444">
                  <c:v>86.39300537109375</c:v>
                </c:pt>
                <c:pt idx="445">
                  <c:v>87.830070495605469</c:v>
                </c:pt>
                <c:pt idx="446">
                  <c:v>88.335159301757813</c:v>
                </c:pt>
                <c:pt idx="447">
                  <c:v>93.025588989257813</c:v>
                </c:pt>
                <c:pt idx="448">
                  <c:v>92.741928100585938</c:v>
                </c:pt>
                <c:pt idx="449">
                  <c:v>95.113555908203125</c:v>
                </c:pt>
                <c:pt idx="450">
                  <c:v>96.593437194824219</c:v>
                </c:pt>
                <c:pt idx="451">
                  <c:v>95.801368713378906</c:v>
                </c:pt>
                <c:pt idx="452">
                  <c:v>99.491691589355469</c:v>
                </c:pt>
                <c:pt idx="453">
                  <c:v>101.72953796386719</c:v>
                </c:pt>
                <c:pt idx="454">
                  <c:v>104.42098999023438</c:v>
                </c:pt>
                <c:pt idx="455">
                  <c:v>104.68905639648438</c:v>
                </c:pt>
                <c:pt idx="456">
                  <c:v>107.18418121337891</c:v>
                </c:pt>
                <c:pt idx="457">
                  <c:v>105.74178314208984</c:v>
                </c:pt>
                <c:pt idx="458">
                  <c:v>106.86772155761719</c:v>
                </c:pt>
                <c:pt idx="459">
                  <c:v>108.35198974609375</c:v>
                </c:pt>
                <c:pt idx="460">
                  <c:v>109.60541534423828</c:v>
                </c:pt>
                <c:pt idx="461">
                  <c:v>110.74983978271484</c:v>
                </c:pt>
                <c:pt idx="462">
                  <c:v>110.44386291503906</c:v>
                </c:pt>
                <c:pt idx="463">
                  <c:v>108.93441009521484</c:v>
                </c:pt>
                <c:pt idx="464">
                  <c:v>107.08765411376953</c:v>
                </c:pt>
                <c:pt idx="465">
                  <c:v>107.45704650878906</c:v>
                </c:pt>
                <c:pt idx="466">
                  <c:v>108.78361511230469</c:v>
                </c:pt>
                <c:pt idx="467">
                  <c:v>109.30025482177734</c:v>
                </c:pt>
                <c:pt idx="468">
                  <c:v>108.06537628173828</c:v>
                </c:pt>
                <c:pt idx="469">
                  <c:v>106.87466430664063</c:v>
                </c:pt>
                <c:pt idx="470">
                  <c:v>106.40913391113281</c:v>
                </c:pt>
                <c:pt idx="471">
                  <c:v>105.60807037353516</c:v>
                </c:pt>
                <c:pt idx="472">
                  <c:v>104.26287841796875</c:v>
                </c:pt>
                <c:pt idx="473">
                  <c:v>104.65676879882813</c:v>
                </c:pt>
                <c:pt idx="474">
                  <c:v>105.18618774414063</c:v>
                </c:pt>
                <c:pt idx="475">
                  <c:v>104.54341125488281</c:v>
                </c:pt>
                <c:pt idx="476">
                  <c:v>105.10812377929688</c:v>
                </c:pt>
                <c:pt idx="477">
                  <c:v>99.486335754394531</c:v>
                </c:pt>
                <c:pt idx="478">
                  <c:v>96.107933044433594</c:v>
                </c:pt>
                <c:pt idx="479">
                  <c:v>92.781936645507813</c:v>
                </c:pt>
                <c:pt idx="480">
                  <c:v>92.071495056152344</c:v>
                </c:pt>
                <c:pt idx="481">
                  <c:v>92.577919006347656</c:v>
                </c:pt>
                <c:pt idx="482">
                  <c:v>89.8104248046875</c:v>
                </c:pt>
                <c:pt idx="483">
                  <c:v>87.707244873046875</c:v>
                </c:pt>
                <c:pt idx="484">
                  <c:v>85.609214782714844</c:v>
                </c:pt>
                <c:pt idx="485">
                  <c:v>83.6279296875</c:v>
                </c:pt>
                <c:pt idx="486">
                  <c:v>80.98321533203125</c:v>
                </c:pt>
                <c:pt idx="487">
                  <c:v>81.343711853027344</c:v>
                </c:pt>
                <c:pt idx="488">
                  <c:v>80.188323974609375</c:v>
                </c:pt>
                <c:pt idx="489">
                  <c:v>79.895851135253906</c:v>
                </c:pt>
                <c:pt idx="490">
                  <c:v>80.381378173828125</c:v>
                </c:pt>
                <c:pt idx="491">
                  <c:v>79.643173217773438</c:v>
                </c:pt>
                <c:pt idx="492">
                  <c:v>78.333213806152344</c:v>
                </c:pt>
                <c:pt idx="493">
                  <c:v>77.528366088867188</c:v>
                </c:pt>
                <c:pt idx="494">
                  <c:v>79.389541625976563</c:v>
                </c:pt>
                <c:pt idx="495">
                  <c:v>79.496612548828125</c:v>
                </c:pt>
                <c:pt idx="496">
                  <c:v>80.091796875</c:v>
                </c:pt>
                <c:pt idx="497">
                  <c:v>80.809707641601563</c:v>
                </c:pt>
                <c:pt idx="498">
                  <c:v>80.493553161621094</c:v>
                </c:pt>
                <c:pt idx="499">
                  <c:v>78.799163818359375</c:v>
                </c:pt>
                <c:pt idx="500">
                  <c:v>78.350807189941406</c:v>
                </c:pt>
                <c:pt idx="501">
                  <c:v>78.725173950195313</c:v>
                </c:pt>
                <c:pt idx="502">
                  <c:v>79.53485107421875</c:v>
                </c:pt>
                <c:pt idx="503">
                  <c:v>80.871421813964844</c:v>
                </c:pt>
                <c:pt idx="504">
                  <c:v>80.327232360839844</c:v>
                </c:pt>
                <c:pt idx="505">
                  <c:v>81.084632873535156</c:v>
                </c:pt>
                <c:pt idx="506">
                  <c:v>80.771339416503906</c:v>
                </c:pt>
                <c:pt idx="507">
                  <c:v>81.686248779296875</c:v>
                </c:pt>
                <c:pt idx="508">
                  <c:v>84.393310546875</c:v>
                </c:pt>
                <c:pt idx="509">
                  <c:v>84.383140563964844</c:v>
                </c:pt>
                <c:pt idx="510">
                  <c:v>84.232223510742188</c:v>
                </c:pt>
                <c:pt idx="511">
                  <c:v>83.85260009765625</c:v>
                </c:pt>
                <c:pt idx="512">
                  <c:v>84.108909606933594</c:v>
                </c:pt>
                <c:pt idx="513">
                  <c:v>82.663589477539063</c:v>
                </c:pt>
                <c:pt idx="514">
                  <c:v>81.577911376953125</c:v>
                </c:pt>
                <c:pt idx="515">
                  <c:v>82.807533264160156</c:v>
                </c:pt>
                <c:pt idx="516">
                  <c:v>84.93243408203125</c:v>
                </c:pt>
                <c:pt idx="517">
                  <c:v>84.983116149902344</c:v>
                </c:pt>
                <c:pt idx="518">
                  <c:v>85.766983032226563</c:v>
                </c:pt>
                <c:pt idx="519">
                  <c:v>87.094657897949219</c:v>
                </c:pt>
                <c:pt idx="520">
                  <c:v>85.527496337890625</c:v>
                </c:pt>
                <c:pt idx="521">
                  <c:v>85.000244140625</c:v>
                </c:pt>
                <c:pt idx="522">
                  <c:v>86.56109619140625</c:v>
                </c:pt>
                <c:pt idx="523">
                  <c:v>88.457511901855469</c:v>
                </c:pt>
                <c:pt idx="524">
                  <c:v>87.668869018554688</c:v>
                </c:pt>
                <c:pt idx="525">
                  <c:v>87.286872863769531</c:v>
                </c:pt>
                <c:pt idx="526">
                  <c:v>85.572586059570313</c:v>
                </c:pt>
                <c:pt idx="527">
                  <c:v>83.675216674804688</c:v>
                </c:pt>
                <c:pt idx="528">
                  <c:v>81.2799072265625</c:v>
                </c:pt>
                <c:pt idx="529">
                  <c:v>82.858634948730469</c:v>
                </c:pt>
                <c:pt idx="530">
                  <c:v>84.038337707519531</c:v>
                </c:pt>
                <c:pt idx="531">
                  <c:v>86.133018493652344</c:v>
                </c:pt>
                <c:pt idx="532">
                  <c:v>85.81890869140625</c:v>
                </c:pt>
                <c:pt idx="533">
                  <c:v>86.048446655273438</c:v>
                </c:pt>
                <c:pt idx="534">
                  <c:v>85.947731018066406</c:v>
                </c:pt>
                <c:pt idx="535">
                  <c:v>85.542625427246094</c:v>
                </c:pt>
                <c:pt idx="536">
                  <c:v>85.773139953613281</c:v>
                </c:pt>
                <c:pt idx="537">
                  <c:v>86.178153991699219</c:v>
                </c:pt>
                <c:pt idx="538">
                  <c:v>85.604949951171875</c:v>
                </c:pt>
                <c:pt idx="539">
                  <c:v>86.277618408203125</c:v>
                </c:pt>
                <c:pt idx="540">
                  <c:v>86.006240844726563</c:v>
                </c:pt>
                <c:pt idx="541">
                  <c:v>85.525566101074219</c:v>
                </c:pt>
                <c:pt idx="542">
                  <c:v>84.072235107421875</c:v>
                </c:pt>
                <c:pt idx="543">
                  <c:v>85.651176452636719</c:v>
                </c:pt>
                <c:pt idx="544">
                  <c:v>87.36700439453125</c:v>
                </c:pt>
                <c:pt idx="545">
                  <c:v>88.776557922363281</c:v>
                </c:pt>
                <c:pt idx="546">
                  <c:v>88.547157287597656</c:v>
                </c:pt>
                <c:pt idx="547">
                  <c:v>88.921272277832031</c:v>
                </c:pt>
                <c:pt idx="548">
                  <c:v>88.728904724121094</c:v>
                </c:pt>
                <c:pt idx="549">
                  <c:v>87.346115112304688</c:v>
                </c:pt>
                <c:pt idx="550">
                  <c:v>86.880218505859375</c:v>
                </c:pt>
                <c:pt idx="551">
                  <c:v>88.037826538085938</c:v>
                </c:pt>
                <c:pt idx="552">
                  <c:v>88.245864868164063</c:v>
                </c:pt>
                <c:pt idx="553">
                  <c:v>90.321029663085938</c:v>
                </c:pt>
                <c:pt idx="554">
                  <c:v>92.131263732910156</c:v>
                </c:pt>
                <c:pt idx="555">
                  <c:v>93.723800659179688</c:v>
                </c:pt>
                <c:pt idx="556">
                  <c:v>95.701187133789063</c:v>
                </c:pt>
                <c:pt idx="557">
                  <c:v>97.228164672851563</c:v>
                </c:pt>
                <c:pt idx="558">
                  <c:v>100.51023101806641</c:v>
                </c:pt>
                <c:pt idx="559">
                  <c:v>99.322952270507813</c:v>
                </c:pt>
                <c:pt idx="560">
                  <c:v>99.358596801757813</c:v>
                </c:pt>
                <c:pt idx="561">
                  <c:v>98.088760375976563</c:v>
                </c:pt>
                <c:pt idx="562">
                  <c:v>103.37396240234375</c:v>
                </c:pt>
                <c:pt idx="563">
                  <c:v>106.33821105957031</c:v>
                </c:pt>
                <c:pt idx="564">
                  <c:v>109.24298095703125</c:v>
                </c:pt>
                <c:pt idx="565">
                  <c:v>112.12629699707031</c:v>
                </c:pt>
                <c:pt idx="566">
                  <c:v>112.57514190673828</c:v>
                </c:pt>
                <c:pt idx="567">
                  <c:v>113.58362579345703</c:v>
                </c:pt>
                <c:pt idx="568">
                  <c:v>115.10472869873047</c:v>
                </c:pt>
                <c:pt idx="569">
                  <c:v>114.13414001464844</c:v>
                </c:pt>
                <c:pt idx="570">
                  <c:v>115.34795379638672</c:v>
                </c:pt>
                <c:pt idx="571">
                  <c:v>116.88380432128906</c:v>
                </c:pt>
                <c:pt idx="572">
                  <c:v>118.33515167236328</c:v>
                </c:pt>
                <c:pt idx="573">
                  <c:v>117.98714447021484</c:v>
                </c:pt>
                <c:pt idx="574">
                  <c:v>117.80220794677734</c:v>
                </c:pt>
                <c:pt idx="575">
                  <c:v>116.36053466796875</c:v>
                </c:pt>
                <c:pt idx="576">
                  <c:v>114.10349273681641</c:v>
                </c:pt>
                <c:pt idx="577">
                  <c:v>112.01203155517578</c:v>
                </c:pt>
                <c:pt idx="578">
                  <c:v>112.33585357666016</c:v>
                </c:pt>
                <c:pt idx="579">
                  <c:v>113.12208557128906</c:v>
                </c:pt>
                <c:pt idx="580">
                  <c:v>115.64450836181641</c:v>
                </c:pt>
                <c:pt idx="581">
                  <c:v>117.51670837402344</c:v>
                </c:pt>
                <c:pt idx="582">
                  <c:v>117.03888702392578</c:v>
                </c:pt>
                <c:pt idx="583">
                  <c:v>113.82316589355469</c:v>
                </c:pt>
                <c:pt idx="584">
                  <c:v>111.88530731201172</c:v>
                </c:pt>
                <c:pt idx="585">
                  <c:v>112.11553955078125</c:v>
                </c:pt>
                <c:pt idx="586">
                  <c:v>111.86724853515625</c:v>
                </c:pt>
                <c:pt idx="587">
                  <c:v>112.73339080810547</c:v>
                </c:pt>
                <c:pt idx="588">
                  <c:v>112.15869903564453</c:v>
                </c:pt>
                <c:pt idx="589">
                  <c:v>113.98919677734375</c:v>
                </c:pt>
                <c:pt idx="590">
                  <c:v>113.56777954101563</c:v>
                </c:pt>
                <c:pt idx="591">
                  <c:v>113.41973876953125</c:v>
                </c:pt>
                <c:pt idx="592">
                  <c:v>108.76222229003906</c:v>
                </c:pt>
                <c:pt idx="593">
                  <c:v>105.65924072265625</c:v>
                </c:pt>
                <c:pt idx="594">
                  <c:v>102.42966461181641</c:v>
                </c:pt>
                <c:pt idx="595">
                  <c:v>100.04334259033203</c:v>
                </c:pt>
                <c:pt idx="596">
                  <c:v>99.180343627929688</c:v>
                </c:pt>
                <c:pt idx="597">
                  <c:v>96.156349182128906</c:v>
                </c:pt>
                <c:pt idx="598">
                  <c:v>91.921890258789063</c:v>
                </c:pt>
                <c:pt idx="599">
                  <c:v>92.150703430175781</c:v>
                </c:pt>
                <c:pt idx="600">
                  <c:v>91.682937622070313</c:v>
                </c:pt>
                <c:pt idx="601">
                  <c:v>92.971633911132813</c:v>
                </c:pt>
                <c:pt idx="602">
                  <c:v>96.144081115722656</c:v>
                </c:pt>
                <c:pt idx="603">
                  <c:v>95.506591796875</c:v>
                </c:pt>
                <c:pt idx="604">
                  <c:v>96.386825561523438</c:v>
                </c:pt>
                <c:pt idx="605">
                  <c:v>95.188606262207031</c:v>
                </c:pt>
                <c:pt idx="606">
                  <c:v>98.011222839355469</c:v>
                </c:pt>
                <c:pt idx="607">
                  <c:v>99.025505065917969</c:v>
                </c:pt>
                <c:pt idx="608">
                  <c:v>98.611915588378906</c:v>
                </c:pt>
                <c:pt idx="609">
                  <c:v>96.80224609375</c:v>
                </c:pt>
                <c:pt idx="610">
                  <c:v>95.431121826171875</c:v>
                </c:pt>
                <c:pt idx="611">
                  <c:v>93.013107299804688</c:v>
                </c:pt>
                <c:pt idx="612">
                  <c:v>92.785720825195313</c:v>
                </c:pt>
                <c:pt idx="613">
                  <c:v>93.042129516601563</c:v>
                </c:pt>
                <c:pt idx="614">
                  <c:v>93.657005310058594</c:v>
                </c:pt>
                <c:pt idx="615">
                  <c:v>92.851913452148438</c:v>
                </c:pt>
                <c:pt idx="616">
                  <c:v>91.064323425292969</c:v>
                </c:pt>
                <c:pt idx="617">
                  <c:v>91.087112426757813</c:v>
                </c:pt>
                <c:pt idx="618">
                  <c:v>91.510871887207031</c:v>
                </c:pt>
                <c:pt idx="619">
                  <c:v>90.860359191894531</c:v>
                </c:pt>
                <c:pt idx="620">
                  <c:v>92.21917724609375</c:v>
                </c:pt>
                <c:pt idx="621">
                  <c:v>93.388633728027344</c:v>
                </c:pt>
                <c:pt idx="622">
                  <c:v>93.980049133300781</c:v>
                </c:pt>
                <c:pt idx="623">
                  <c:v>94.117080688476563</c:v>
                </c:pt>
                <c:pt idx="624">
                  <c:v>93.779708862304688</c:v>
                </c:pt>
                <c:pt idx="625">
                  <c:v>92.052276611328125</c:v>
                </c:pt>
                <c:pt idx="626">
                  <c:v>92.9283447265625</c:v>
                </c:pt>
                <c:pt idx="627">
                  <c:v>99.590812683105469</c:v>
                </c:pt>
                <c:pt idx="628">
                  <c:v>104.92400360107422</c:v>
                </c:pt>
                <c:pt idx="629">
                  <c:v>107.52857971191406</c:v>
                </c:pt>
                <c:pt idx="630">
                  <c:v>107.711181640625</c:v>
                </c:pt>
                <c:pt idx="631">
                  <c:v>106.41173553466797</c:v>
                </c:pt>
                <c:pt idx="632">
                  <c:v>102.90176391601563</c:v>
                </c:pt>
                <c:pt idx="633">
                  <c:v>101.97365570068359</c:v>
                </c:pt>
                <c:pt idx="634">
                  <c:v>102.52500915527344</c:v>
                </c:pt>
                <c:pt idx="635">
                  <c:v>102.92652130126953</c:v>
                </c:pt>
                <c:pt idx="636">
                  <c:v>101.74970245361328</c:v>
                </c:pt>
                <c:pt idx="637">
                  <c:v>102.57997894287109</c:v>
                </c:pt>
                <c:pt idx="638">
                  <c:v>103.7169189453125</c:v>
                </c:pt>
                <c:pt idx="639">
                  <c:v>102.90717315673828</c:v>
                </c:pt>
                <c:pt idx="640">
                  <c:v>102.48783111572266</c:v>
                </c:pt>
                <c:pt idx="641">
                  <c:v>101.91892242431641</c:v>
                </c:pt>
                <c:pt idx="642">
                  <c:v>103.94747161865234</c:v>
                </c:pt>
                <c:pt idx="643">
                  <c:v>106.1878662109375</c:v>
                </c:pt>
                <c:pt idx="644">
                  <c:v>106.23300933837891</c:v>
                </c:pt>
                <c:pt idx="645">
                  <c:v>104.01451110839844</c:v>
                </c:pt>
                <c:pt idx="646">
                  <c:v>103.67380523681641</c:v>
                </c:pt>
                <c:pt idx="647">
                  <c:v>103.16214752197266</c:v>
                </c:pt>
                <c:pt idx="648">
                  <c:v>102.48625946044922</c:v>
                </c:pt>
                <c:pt idx="649">
                  <c:v>102.22900390625</c:v>
                </c:pt>
                <c:pt idx="650">
                  <c:v>101.03121185302734</c:v>
                </c:pt>
                <c:pt idx="651">
                  <c:v>100.70730590820313</c:v>
                </c:pt>
                <c:pt idx="652">
                  <c:v>99.961502075195313</c:v>
                </c:pt>
                <c:pt idx="653">
                  <c:v>98.668601989746094</c:v>
                </c:pt>
                <c:pt idx="654">
                  <c:v>98.752532958984375</c:v>
                </c:pt>
                <c:pt idx="655">
                  <c:v>100.81656646728516</c:v>
                </c:pt>
                <c:pt idx="656">
                  <c:v>101.14115142822266</c:v>
                </c:pt>
                <c:pt idx="657">
                  <c:v>96.356887817382813</c:v>
                </c:pt>
                <c:pt idx="658">
                  <c:v>94.105148315429688</c:v>
                </c:pt>
                <c:pt idx="659">
                  <c:v>91.313156127929688</c:v>
                </c:pt>
                <c:pt idx="660">
                  <c:v>90.852142333984375</c:v>
                </c:pt>
                <c:pt idx="661">
                  <c:v>90.171218872070313</c:v>
                </c:pt>
                <c:pt idx="662">
                  <c:v>90.650367736816406</c:v>
                </c:pt>
                <c:pt idx="663">
                  <c:v>91.278221130371094</c:v>
                </c:pt>
                <c:pt idx="664">
                  <c:v>90.048622131347656</c:v>
                </c:pt>
                <c:pt idx="665">
                  <c:v>90.55633544921875</c:v>
                </c:pt>
                <c:pt idx="666">
                  <c:v>89.433609008789063</c:v>
                </c:pt>
                <c:pt idx="667">
                  <c:v>88.1729736328125</c:v>
                </c:pt>
                <c:pt idx="668">
                  <c:v>86.911331176757813</c:v>
                </c:pt>
                <c:pt idx="669">
                  <c:v>87.44781494140625</c:v>
                </c:pt>
                <c:pt idx="670">
                  <c:v>88.277084350585938</c:v>
                </c:pt>
                <c:pt idx="671">
                  <c:v>88.683738708496094</c:v>
                </c:pt>
                <c:pt idx="672">
                  <c:v>85.840553283691406</c:v>
                </c:pt>
                <c:pt idx="673">
                  <c:v>83.450752258300781</c:v>
                </c:pt>
                <c:pt idx="674">
                  <c:v>82.531730651855469</c:v>
                </c:pt>
                <c:pt idx="675">
                  <c:v>84.009651184082031</c:v>
                </c:pt>
                <c:pt idx="676">
                  <c:v>84.537017822265625</c:v>
                </c:pt>
                <c:pt idx="677">
                  <c:v>84.140579223632813</c:v>
                </c:pt>
                <c:pt idx="678">
                  <c:v>82.813079833984375</c:v>
                </c:pt>
                <c:pt idx="679">
                  <c:v>82.341827392578125</c:v>
                </c:pt>
                <c:pt idx="680">
                  <c:v>82.118179321289063</c:v>
                </c:pt>
                <c:pt idx="681">
                  <c:v>79.68609619140625</c:v>
                </c:pt>
                <c:pt idx="682">
                  <c:v>78.833526611328125</c:v>
                </c:pt>
                <c:pt idx="683">
                  <c:v>81.926933288574219</c:v>
                </c:pt>
                <c:pt idx="684">
                  <c:v>82.857086181640625</c:v>
                </c:pt>
                <c:pt idx="685">
                  <c:v>82.127082824707031</c:v>
                </c:pt>
                <c:pt idx="686">
                  <c:v>80.311492919921875</c:v>
                </c:pt>
                <c:pt idx="687">
                  <c:v>79.642959594726563</c:v>
                </c:pt>
                <c:pt idx="688">
                  <c:v>77.853752136230469</c:v>
                </c:pt>
                <c:pt idx="689">
                  <c:v>76.973724365234375</c:v>
                </c:pt>
                <c:pt idx="690">
                  <c:v>78.203224182128906</c:v>
                </c:pt>
                <c:pt idx="691">
                  <c:v>78.877914428710938</c:v>
                </c:pt>
                <c:pt idx="692">
                  <c:v>78.532646179199219</c:v>
                </c:pt>
                <c:pt idx="693">
                  <c:v>78.413360595703125</c:v>
                </c:pt>
                <c:pt idx="694">
                  <c:v>77.731231689453125</c:v>
                </c:pt>
                <c:pt idx="695">
                  <c:v>77.199508666992188</c:v>
                </c:pt>
                <c:pt idx="696">
                  <c:v>78.12237548828125</c:v>
                </c:pt>
                <c:pt idx="697">
                  <c:v>79.601142883300781</c:v>
                </c:pt>
                <c:pt idx="698">
                  <c:v>81.700820922851563</c:v>
                </c:pt>
                <c:pt idx="699">
                  <c:v>83.579399108886719</c:v>
                </c:pt>
                <c:pt idx="700">
                  <c:v>85.477493286132813</c:v>
                </c:pt>
                <c:pt idx="701">
                  <c:v>85.071662902832031</c:v>
                </c:pt>
                <c:pt idx="702">
                  <c:v>84.21502685546875</c:v>
                </c:pt>
                <c:pt idx="703">
                  <c:v>83.372787475585938</c:v>
                </c:pt>
                <c:pt idx="704">
                  <c:v>84.043006896972656</c:v>
                </c:pt>
                <c:pt idx="705">
                  <c:v>84.006851196289063</c:v>
                </c:pt>
                <c:pt idx="706">
                  <c:v>85.25140380859375</c:v>
                </c:pt>
                <c:pt idx="707">
                  <c:v>84.775680541992188</c:v>
                </c:pt>
                <c:pt idx="708">
                  <c:v>85.472175598144531</c:v>
                </c:pt>
                <c:pt idx="709">
                  <c:v>85.183761596679688</c:v>
                </c:pt>
                <c:pt idx="710">
                  <c:v>83.597740173339844</c:v>
                </c:pt>
                <c:pt idx="711">
                  <c:v>85.461761474609375</c:v>
                </c:pt>
                <c:pt idx="712">
                  <c:v>87.777374267578125</c:v>
                </c:pt>
                <c:pt idx="713">
                  <c:v>86.367271423339844</c:v>
                </c:pt>
                <c:pt idx="714">
                  <c:v>87.283164978027344</c:v>
                </c:pt>
                <c:pt idx="715">
                  <c:v>87.3184814453125</c:v>
                </c:pt>
                <c:pt idx="716">
                  <c:v>87.223724365234375</c:v>
                </c:pt>
                <c:pt idx="717">
                  <c:v>86.871940612792969</c:v>
                </c:pt>
                <c:pt idx="718">
                  <c:v>87.672035217285156</c:v>
                </c:pt>
                <c:pt idx="719">
                  <c:v>89.740776062011719</c:v>
                </c:pt>
                <c:pt idx="720">
                  <c:v>92.296348571777344</c:v>
                </c:pt>
                <c:pt idx="721">
                  <c:v>93.134872436523438</c:v>
                </c:pt>
                <c:pt idx="722">
                  <c:v>96.706672668457031</c:v>
                </c:pt>
                <c:pt idx="723">
                  <c:v>97.801055908203125</c:v>
                </c:pt>
                <c:pt idx="724">
                  <c:v>98.253746032714844</c:v>
                </c:pt>
                <c:pt idx="725">
                  <c:v>98.673629760742188</c:v>
                </c:pt>
                <c:pt idx="726">
                  <c:v>98.039390563964844</c:v>
                </c:pt>
                <c:pt idx="727">
                  <c:v>98.579635620117188</c:v>
                </c:pt>
                <c:pt idx="728">
                  <c:v>97.024787902832031</c:v>
                </c:pt>
                <c:pt idx="729">
                  <c:v>99.907928466796875</c:v>
                </c:pt>
                <c:pt idx="730">
                  <c:v>100.12006378173828</c:v>
                </c:pt>
                <c:pt idx="731">
                  <c:v>101.57374572753906</c:v>
                </c:pt>
                <c:pt idx="732">
                  <c:v>105.25035095214844</c:v>
                </c:pt>
                <c:pt idx="733">
                  <c:v>108.55113983154297</c:v>
                </c:pt>
                <c:pt idx="734">
                  <c:v>109.33985900878906</c:v>
                </c:pt>
                <c:pt idx="735">
                  <c:v>109.32539367675781</c:v>
                </c:pt>
                <c:pt idx="736">
                  <c:v>110.18250274658203</c:v>
                </c:pt>
                <c:pt idx="737">
                  <c:v>110.04377746582031</c:v>
                </c:pt>
                <c:pt idx="738">
                  <c:v>108.93476104736328</c:v>
                </c:pt>
                <c:pt idx="739">
                  <c:v>112.21616363525391</c:v>
                </c:pt>
                <c:pt idx="740">
                  <c:v>112.85450744628906</c:v>
                </c:pt>
                <c:pt idx="741">
                  <c:v>114.25839996337891</c:v>
                </c:pt>
                <c:pt idx="742">
                  <c:v>114.01634979248047</c:v>
                </c:pt>
                <c:pt idx="743">
                  <c:v>114.55292510986328</c:v>
                </c:pt>
                <c:pt idx="744">
                  <c:v>113.07003784179688</c:v>
                </c:pt>
                <c:pt idx="745">
                  <c:v>110.4456787109375</c:v>
                </c:pt>
                <c:pt idx="746">
                  <c:v>110.96144104003906</c:v>
                </c:pt>
                <c:pt idx="747">
                  <c:v>111.59909057617188</c:v>
                </c:pt>
                <c:pt idx="748">
                  <c:v>112.15299987792969</c:v>
                </c:pt>
                <c:pt idx="749">
                  <c:v>112.52046203613281</c:v>
                </c:pt>
                <c:pt idx="750">
                  <c:v>109.5028076171875</c:v>
                </c:pt>
                <c:pt idx="751">
                  <c:v>106.62947082519531</c:v>
                </c:pt>
                <c:pt idx="752">
                  <c:v>103.37278747558594</c:v>
                </c:pt>
                <c:pt idx="753">
                  <c:v>103.73614501953125</c:v>
                </c:pt>
                <c:pt idx="754">
                  <c:v>103.96642303466797</c:v>
                </c:pt>
                <c:pt idx="755">
                  <c:v>104.25432586669922</c:v>
                </c:pt>
                <c:pt idx="756">
                  <c:v>104.93978118896484</c:v>
                </c:pt>
                <c:pt idx="757">
                  <c:v>104.66480255126953</c:v>
                </c:pt>
                <c:pt idx="758">
                  <c:v>104.65989685058594</c:v>
                </c:pt>
                <c:pt idx="759">
                  <c:v>101.64536285400391</c:v>
                </c:pt>
                <c:pt idx="760">
                  <c:v>102.09574127197266</c:v>
                </c:pt>
                <c:pt idx="761">
                  <c:v>104.76969909667969</c:v>
                </c:pt>
                <c:pt idx="762">
                  <c:v>104.90039825439453</c:v>
                </c:pt>
                <c:pt idx="763">
                  <c:v>106.37135314941406</c:v>
                </c:pt>
                <c:pt idx="764">
                  <c:v>108.87605285644531</c:v>
                </c:pt>
                <c:pt idx="765">
                  <c:v>111.54048919677734</c:v>
                </c:pt>
                <c:pt idx="766">
                  <c:v>108.92240142822266</c:v>
                </c:pt>
                <c:pt idx="767">
                  <c:v>109.33313751220703</c:v>
                </c:pt>
                <c:pt idx="768">
                  <c:v>114.21737670898438</c:v>
                </c:pt>
                <c:pt idx="769">
                  <c:v>112.24729919433594</c:v>
                </c:pt>
                <c:pt idx="770">
                  <c:v>113.10822296142578</c:v>
                </c:pt>
                <c:pt idx="771">
                  <c:v>115.60137939453125</c:v>
                </c:pt>
                <c:pt idx="772">
                  <c:v>115.54776000976563</c:v>
                </c:pt>
                <c:pt idx="773">
                  <c:v>114.29053497314453</c:v>
                </c:pt>
                <c:pt idx="774">
                  <c:v>116.54306030273438</c:v>
                </c:pt>
                <c:pt idx="775">
                  <c:v>121.76532745361328</c:v>
                </c:pt>
                <c:pt idx="776">
                  <c:v>123.30777740478516</c:v>
                </c:pt>
                <c:pt idx="777">
                  <c:v>124.19732666015625</c:v>
                </c:pt>
                <c:pt idx="778">
                  <c:v>123.73143005371094</c:v>
                </c:pt>
                <c:pt idx="779">
                  <c:v>122.61750030517578</c:v>
                </c:pt>
                <c:pt idx="780">
                  <c:v>122.29775238037109</c:v>
                </c:pt>
                <c:pt idx="781">
                  <c:v>124.67780303955078</c:v>
                </c:pt>
                <c:pt idx="782">
                  <c:v>126.48101043701172</c:v>
                </c:pt>
                <c:pt idx="783">
                  <c:v>125.94096374511719</c:v>
                </c:pt>
                <c:pt idx="784">
                  <c:v>124.70088195800781</c:v>
                </c:pt>
                <c:pt idx="785">
                  <c:v>124.24903869628906</c:v>
                </c:pt>
                <c:pt idx="786">
                  <c:v>121.98371124267578</c:v>
                </c:pt>
                <c:pt idx="787">
                  <c:v>119.61540222167969</c:v>
                </c:pt>
                <c:pt idx="788">
                  <c:v>119.03953552246094</c:v>
                </c:pt>
                <c:pt idx="789">
                  <c:v>117.48416137695313</c:v>
                </c:pt>
                <c:pt idx="790">
                  <c:v>116.27120208740234</c:v>
                </c:pt>
                <c:pt idx="791">
                  <c:v>113.79959869384766</c:v>
                </c:pt>
                <c:pt idx="792">
                  <c:v>110.93959045410156</c:v>
                </c:pt>
                <c:pt idx="793">
                  <c:v>105.9508056640625</c:v>
                </c:pt>
                <c:pt idx="794">
                  <c:v>103.88716888427734</c:v>
                </c:pt>
                <c:pt idx="795">
                  <c:v>102.86009216308594</c:v>
                </c:pt>
                <c:pt idx="796">
                  <c:v>105.90578460693359</c:v>
                </c:pt>
                <c:pt idx="797">
                  <c:v>106.82459259033203</c:v>
                </c:pt>
                <c:pt idx="798">
                  <c:v>104.78113555908203</c:v>
                </c:pt>
                <c:pt idx="799">
                  <c:v>103.777099609375</c:v>
                </c:pt>
                <c:pt idx="800">
                  <c:v>102.46385955810547</c:v>
                </c:pt>
                <c:pt idx="801">
                  <c:v>97.910308837890625</c:v>
                </c:pt>
                <c:pt idx="802">
                  <c:v>96.252593994140625</c:v>
                </c:pt>
                <c:pt idx="803">
                  <c:v>95.269439697265625</c:v>
                </c:pt>
                <c:pt idx="804">
                  <c:v>94.0640869140625</c:v>
                </c:pt>
                <c:pt idx="805">
                  <c:v>90.554832458496094</c:v>
                </c:pt>
                <c:pt idx="806">
                  <c:v>89.827484130859375</c:v>
                </c:pt>
                <c:pt idx="807">
                  <c:v>88.618446350097656</c:v>
                </c:pt>
                <c:pt idx="808">
                  <c:v>88.99822998046875</c:v>
                </c:pt>
                <c:pt idx="809">
                  <c:v>90.60894775390625</c:v>
                </c:pt>
                <c:pt idx="810">
                  <c:v>90.147483825683594</c:v>
                </c:pt>
                <c:pt idx="811">
                  <c:v>91.683494567871094</c:v>
                </c:pt>
                <c:pt idx="812">
                  <c:v>91.415443420410156</c:v>
                </c:pt>
                <c:pt idx="813">
                  <c:v>94.152908325195313</c:v>
                </c:pt>
                <c:pt idx="814">
                  <c:v>94.954116821289063</c:v>
                </c:pt>
                <c:pt idx="815">
                  <c:v>93.491401672363281</c:v>
                </c:pt>
                <c:pt idx="816">
                  <c:v>95.927444458007813</c:v>
                </c:pt>
                <c:pt idx="817">
                  <c:v>97.234718322753906</c:v>
                </c:pt>
                <c:pt idx="818">
                  <c:v>97.640815734863281</c:v>
                </c:pt>
                <c:pt idx="819">
                  <c:v>97.842819213867188</c:v>
                </c:pt>
                <c:pt idx="820">
                  <c:v>97.44403076171875</c:v>
                </c:pt>
                <c:pt idx="821">
                  <c:v>95.837089538574219</c:v>
                </c:pt>
                <c:pt idx="822">
                  <c:v>95.946945190429688</c:v>
                </c:pt>
                <c:pt idx="823">
                  <c:v>98.062126159667969</c:v>
                </c:pt>
                <c:pt idx="824">
                  <c:v>99.010421752929688</c:v>
                </c:pt>
                <c:pt idx="825">
                  <c:v>99.275100708007813</c:v>
                </c:pt>
                <c:pt idx="826">
                  <c:v>98.68218994140625</c:v>
                </c:pt>
                <c:pt idx="827">
                  <c:v>99.772140502929688</c:v>
                </c:pt>
                <c:pt idx="828">
                  <c:v>101.55813598632813</c:v>
                </c:pt>
                <c:pt idx="829">
                  <c:v>103.50984954833984</c:v>
                </c:pt>
                <c:pt idx="830">
                  <c:v>106.24494934082031</c:v>
                </c:pt>
                <c:pt idx="831">
                  <c:v>106.960205078125</c:v>
                </c:pt>
                <c:pt idx="832">
                  <c:v>110.05585479736328</c:v>
                </c:pt>
                <c:pt idx="833">
                  <c:v>113.28629302978516</c:v>
                </c:pt>
                <c:pt idx="834">
                  <c:v>114.22221374511719</c:v>
                </c:pt>
                <c:pt idx="835">
                  <c:v>115.49620056152344</c:v>
                </c:pt>
                <c:pt idx="836">
                  <c:v>115.13296508789063</c:v>
                </c:pt>
                <c:pt idx="837">
                  <c:v>115.81220245361328</c:v>
                </c:pt>
                <c:pt idx="838">
                  <c:v>116.0372314453125</c:v>
                </c:pt>
                <c:pt idx="839">
                  <c:v>116.45051574707031</c:v>
                </c:pt>
                <c:pt idx="840">
                  <c:v>119.70233917236328</c:v>
                </c:pt>
                <c:pt idx="841">
                  <c:v>118.84433746337891</c:v>
                </c:pt>
                <c:pt idx="842">
                  <c:v>118.71819305419922</c:v>
                </c:pt>
                <c:pt idx="843">
                  <c:v>114.17911529541016</c:v>
                </c:pt>
                <c:pt idx="844">
                  <c:v>116.14311218261719</c:v>
                </c:pt>
                <c:pt idx="845">
                  <c:v>116.63916778564453</c:v>
                </c:pt>
                <c:pt idx="846">
                  <c:v>115.82598876953125</c:v>
                </c:pt>
                <c:pt idx="847">
                  <c:v>116.39836883544922</c:v>
                </c:pt>
                <c:pt idx="848">
                  <c:v>117.49239349365234</c:v>
                </c:pt>
                <c:pt idx="849">
                  <c:v>117.77392578125</c:v>
                </c:pt>
                <c:pt idx="850">
                  <c:v>115.10228729248047</c:v>
                </c:pt>
                <c:pt idx="851">
                  <c:v>117.0994873046875</c:v>
                </c:pt>
                <c:pt idx="852">
                  <c:v>119.05532836914063</c:v>
                </c:pt>
                <c:pt idx="853">
                  <c:v>120.04957580566406</c:v>
                </c:pt>
                <c:pt idx="854">
                  <c:v>118.22887420654297</c:v>
                </c:pt>
                <c:pt idx="855">
                  <c:v>116.59908294677734</c:v>
                </c:pt>
                <c:pt idx="856">
                  <c:v>114.79129028320313</c:v>
                </c:pt>
                <c:pt idx="857">
                  <c:v>110.73168182373047</c:v>
                </c:pt>
                <c:pt idx="858">
                  <c:v>107.27120971679688</c:v>
                </c:pt>
                <c:pt idx="859">
                  <c:v>105.51975250244141</c:v>
                </c:pt>
                <c:pt idx="860">
                  <c:v>105.15453338623047</c:v>
                </c:pt>
                <c:pt idx="861">
                  <c:v>105.24262237548828</c:v>
                </c:pt>
                <c:pt idx="862">
                  <c:v>102.16423797607422</c:v>
                </c:pt>
                <c:pt idx="863">
                  <c:v>97.956382751464844</c:v>
                </c:pt>
                <c:pt idx="864">
                  <c:v>95.079826354980469</c:v>
                </c:pt>
                <c:pt idx="865">
                  <c:v>93.634254455566406</c:v>
                </c:pt>
                <c:pt idx="866">
                  <c:v>93.260200500488281</c:v>
                </c:pt>
                <c:pt idx="867">
                  <c:v>92.790740966796875</c:v>
                </c:pt>
                <c:pt idx="868">
                  <c:v>92.492912292480469</c:v>
                </c:pt>
                <c:pt idx="869">
                  <c:v>89.917816162109375</c:v>
                </c:pt>
                <c:pt idx="870">
                  <c:v>86.042076110839844</c:v>
                </c:pt>
                <c:pt idx="871">
                  <c:v>83.512313842773438</c:v>
                </c:pt>
                <c:pt idx="872">
                  <c:v>84.048179626464844</c:v>
                </c:pt>
                <c:pt idx="873">
                  <c:v>87.315879821777344</c:v>
                </c:pt>
                <c:pt idx="874">
                  <c:v>88.6231689453125</c:v>
                </c:pt>
                <c:pt idx="875">
                  <c:v>91.443794250488281</c:v>
                </c:pt>
                <c:pt idx="876">
                  <c:v>95.640823364257813</c:v>
                </c:pt>
                <c:pt idx="877">
                  <c:v>97.176620483398438</c:v>
                </c:pt>
                <c:pt idx="878">
                  <c:v>95.851219177246094</c:v>
                </c:pt>
                <c:pt idx="879">
                  <c:v>96.49212646484375</c:v>
                </c:pt>
                <c:pt idx="880">
                  <c:v>99.498687744140625</c:v>
                </c:pt>
                <c:pt idx="881">
                  <c:v>100.54838562011719</c:v>
                </c:pt>
                <c:pt idx="882">
                  <c:v>99.346076965332031</c:v>
                </c:pt>
                <c:pt idx="883">
                  <c:v>98.641044616699219</c:v>
                </c:pt>
                <c:pt idx="884">
                  <c:v>98.135848999023438</c:v>
                </c:pt>
                <c:pt idx="885">
                  <c:v>98.454154968261719</c:v>
                </c:pt>
                <c:pt idx="886">
                  <c:v>105.34553527832031</c:v>
                </c:pt>
                <c:pt idx="887">
                  <c:v>112.18695831298828</c:v>
                </c:pt>
                <c:pt idx="888">
                  <c:v>117.95872497558594</c:v>
                </c:pt>
                <c:pt idx="889">
                  <c:v>121.46275329589844</c:v>
                </c:pt>
                <c:pt idx="890">
                  <c:v>121.37254333496094</c:v>
                </c:pt>
                <c:pt idx="891">
                  <c:v>120.27711486816406</c:v>
                </c:pt>
                <c:pt idx="892">
                  <c:v>119.328125</c:v>
                </c:pt>
                <c:pt idx="893">
                  <c:v>123.12938690185547</c:v>
                </c:pt>
                <c:pt idx="894">
                  <c:v>125.44258880615234</c:v>
                </c:pt>
                <c:pt idx="895">
                  <c:v>125.50818634033203</c:v>
                </c:pt>
                <c:pt idx="896">
                  <c:v>126.61144256591797</c:v>
                </c:pt>
                <c:pt idx="897">
                  <c:v>126.88442993164063</c:v>
                </c:pt>
                <c:pt idx="898">
                  <c:v>126.00584411621094</c:v>
                </c:pt>
                <c:pt idx="899">
                  <c:v>126.72226715087891</c:v>
                </c:pt>
                <c:pt idx="900">
                  <c:v>130.33929443359375</c:v>
                </c:pt>
                <c:pt idx="901">
                  <c:v>135.31706237792969</c:v>
                </c:pt>
                <c:pt idx="902">
                  <c:v>136.54240417480469</c:v>
                </c:pt>
                <c:pt idx="903">
                  <c:v>138.91206359863281</c:v>
                </c:pt>
                <c:pt idx="904">
                  <c:v>136.42399597167969</c:v>
                </c:pt>
                <c:pt idx="905">
                  <c:v>134.57377624511719</c:v>
                </c:pt>
                <c:pt idx="906">
                  <c:v>129.47462463378906</c:v>
                </c:pt>
                <c:pt idx="907">
                  <c:v>128.73538208007813</c:v>
                </c:pt>
                <c:pt idx="908">
                  <c:v>129.38516235351563</c:v>
                </c:pt>
                <c:pt idx="909">
                  <c:v>129.61015319824219</c:v>
                </c:pt>
                <c:pt idx="910">
                  <c:v>128.78253173828125</c:v>
                </c:pt>
                <c:pt idx="911">
                  <c:v>126.94454193115234</c:v>
                </c:pt>
                <c:pt idx="912">
                  <c:v>127.13820648193359</c:v>
                </c:pt>
                <c:pt idx="913">
                  <c:v>126.40406799316406</c:v>
                </c:pt>
                <c:pt idx="914">
                  <c:v>127.73000335693359</c:v>
                </c:pt>
                <c:pt idx="915">
                  <c:v>127.46626281738281</c:v>
                </c:pt>
                <c:pt idx="916">
                  <c:v>125.20930480957031</c:v>
                </c:pt>
                <c:pt idx="917">
                  <c:v>123.53910064697266</c:v>
                </c:pt>
                <c:pt idx="918">
                  <c:v>119.19797515869141</c:v>
                </c:pt>
                <c:pt idx="919">
                  <c:v>116.45548248291016</c:v>
                </c:pt>
                <c:pt idx="920">
                  <c:v>116.18521881103516</c:v>
                </c:pt>
                <c:pt idx="921">
                  <c:v>117.21738433837891</c:v>
                </c:pt>
                <c:pt idx="922">
                  <c:v>119.28351593017578</c:v>
                </c:pt>
                <c:pt idx="923">
                  <c:v>117.60423278808594</c:v>
                </c:pt>
                <c:pt idx="924">
                  <c:v>115.88217926025391</c:v>
                </c:pt>
                <c:pt idx="925">
                  <c:v>116.40579223632813</c:v>
                </c:pt>
                <c:pt idx="926">
                  <c:v>113.98612213134766</c:v>
                </c:pt>
                <c:pt idx="927">
                  <c:v>111.93450927734375</c:v>
                </c:pt>
                <c:pt idx="928">
                  <c:v>113.35523986816406</c:v>
                </c:pt>
                <c:pt idx="929">
                  <c:v>114.80364990234375</c:v>
                </c:pt>
                <c:pt idx="930">
                  <c:v>111.33769989013672</c:v>
                </c:pt>
                <c:pt idx="931">
                  <c:v>108.35659027099609</c:v>
                </c:pt>
                <c:pt idx="932">
                  <c:v>105.01866149902344</c:v>
                </c:pt>
                <c:pt idx="933">
                  <c:v>101.16686248779297</c:v>
                </c:pt>
                <c:pt idx="934">
                  <c:v>101.60085296630859</c:v>
                </c:pt>
                <c:pt idx="935">
                  <c:v>100.34711456298828</c:v>
                </c:pt>
                <c:pt idx="936">
                  <c:v>101.51738739013672</c:v>
                </c:pt>
                <c:pt idx="937">
                  <c:v>101.40775299072266</c:v>
                </c:pt>
                <c:pt idx="938">
                  <c:v>101.44463348388672</c:v>
                </c:pt>
                <c:pt idx="939">
                  <c:v>101.57239532470703</c:v>
                </c:pt>
                <c:pt idx="940">
                  <c:v>100.33556365966797</c:v>
                </c:pt>
                <c:pt idx="941">
                  <c:v>99.292953491210938</c:v>
                </c:pt>
                <c:pt idx="942">
                  <c:v>101.76856231689453</c:v>
                </c:pt>
                <c:pt idx="943">
                  <c:v>106.16343688964844</c:v>
                </c:pt>
                <c:pt idx="944">
                  <c:v>106.98729705810547</c:v>
                </c:pt>
                <c:pt idx="945">
                  <c:v>108.91618347167969</c:v>
                </c:pt>
                <c:pt idx="946">
                  <c:v>105.13798522949219</c:v>
                </c:pt>
                <c:pt idx="947">
                  <c:v>101.81895446777344</c:v>
                </c:pt>
                <c:pt idx="948">
                  <c:v>100.55961608886719</c:v>
                </c:pt>
                <c:pt idx="949">
                  <c:v>101.46849060058594</c:v>
                </c:pt>
                <c:pt idx="950">
                  <c:v>103.35277557373047</c:v>
                </c:pt>
                <c:pt idx="951">
                  <c:v>104.62911987304688</c:v>
                </c:pt>
                <c:pt idx="952">
                  <c:v>108.05626678466797</c:v>
                </c:pt>
                <c:pt idx="953">
                  <c:v>109.76729583740234</c:v>
                </c:pt>
                <c:pt idx="954">
                  <c:v>113.98485565185547</c:v>
                </c:pt>
                <c:pt idx="955">
                  <c:v>113.41390991210938</c:v>
                </c:pt>
                <c:pt idx="956">
                  <c:v>118.98899078369141</c:v>
                </c:pt>
                <c:pt idx="957">
                  <c:v>125.26521301269531</c:v>
                </c:pt>
                <c:pt idx="958">
                  <c:v>126.77762603759766</c:v>
                </c:pt>
                <c:pt idx="959">
                  <c:v>125.51696014404297</c:v>
                </c:pt>
                <c:pt idx="960">
                  <c:v>127.91298675537109</c:v>
                </c:pt>
                <c:pt idx="961">
                  <c:v>128.31625366210938</c:v>
                </c:pt>
                <c:pt idx="962">
                  <c:v>128.10440063476563</c:v>
                </c:pt>
                <c:pt idx="963">
                  <c:v>130.85655212402344</c:v>
                </c:pt>
                <c:pt idx="964">
                  <c:v>135.17910766601563</c:v>
                </c:pt>
                <c:pt idx="965">
                  <c:v>138.37889099121094</c:v>
                </c:pt>
                <c:pt idx="966">
                  <c:v>138.21499633789063</c:v>
                </c:pt>
                <c:pt idx="967">
                  <c:v>136.93270874023438</c:v>
                </c:pt>
                <c:pt idx="968">
                  <c:v>137.69258117675781</c:v>
                </c:pt>
                <c:pt idx="969">
                  <c:v>136.07096862792969</c:v>
                </c:pt>
                <c:pt idx="970">
                  <c:v>138.07534790039063</c:v>
                </c:pt>
                <c:pt idx="971">
                  <c:v>138.56062316894531</c:v>
                </c:pt>
                <c:pt idx="972">
                  <c:v>137.62380981445313</c:v>
                </c:pt>
                <c:pt idx="973">
                  <c:v>135.067626953125</c:v>
                </c:pt>
                <c:pt idx="974">
                  <c:v>134.68106079101563</c:v>
                </c:pt>
                <c:pt idx="975">
                  <c:v>132.41059875488281</c:v>
                </c:pt>
                <c:pt idx="976">
                  <c:v>131.12921142578125</c:v>
                </c:pt>
                <c:pt idx="977">
                  <c:v>136.97903442382813</c:v>
                </c:pt>
                <c:pt idx="978">
                  <c:v>140.652587890625</c:v>
                </c:pt>
                <c:pt idx="979">
                  <c:v>143.13818359375</c:v>
                </c:pt>
                <c:pt idx="980">
                  <c:v>142.56947326660156</c:v>
                </c:pt>
                <c:pt idx="981">
                  <c:v>142.44961547851563</c:v>
                </c:pt>
                <c:pt idx="982">
                  <c:v>136.7774658203125</c:v>
                </c:pt>
                <c:pt idx="983">
                  <c:v>134.92796325683594</c:v>
                </c:pt>
                <c:pt idx="984">
                  <c:v>130.98793029785156</c:v>
                </c:pt>
                <c:pt idx="985">
                  <c:v>132.62556457519531</c:v>
                </c:pt>
                <c:pt idx="986">
                  <c:v>130.49888610839844</c:v>
                </c:pt>
                <c:pt idx="987">
                  <c:v>125.58040618896484</c:v>
                </c:pt>
                <c:pt idx="988">
                  <c:v>124.27125549316406</c:v>
                </c:pt>
                <c:pt idx="989">
                  <c:v>124.33472442626953</c:v>
                </c:pt>
                <c:pt idx="990">
                  <c:v>122.66851806640625</c:v>
                </c:pt>
                <c:pt idx="991">
                  <c:v>124.198974609375</c:v>
                </c:pt>
                <c:pt idx="992">
                  <c:v>126.06375885009766</c:v>
                </c:pt>
                <c:pt idx="993">
                  <c:v>125.58599090576172</c:v>
                </c:pt>
                <c:pt idx="994">
                  <c:v>121.90547180175781</c:v>
                </c:pt>
                <c:pt idx="995">
                  <c:v>120.51123809814453</c:v>
                </c:pt>
                <c:pt idx="996">
                  <c:v>120.53139495849609</c:v>
                </c:pt>
                <c:pt idx="997">
                  <c:v>120.88478088378906</c:v>
                </c:pt>
                <c:pt idx="998">
                  <c:v>118.39794921875</c:v>
                </c:pt>
                <c:pt idx="999">
                  <c:v>120.66979217529297</c:v>
                </c:pt>
                <c:pt idx="1000">
                  <c:v>120.86073303222656</c:v>
                </c:pt>
                <c:pt idx="1001">
                  <c:v>123.00971221923828</c:v>
                </c:pt>
                <c:pt idx="1002">
                  <c:v>120.65898132324219</c:v>
                </c:pt>
                <c:pt idx="1003">
                  <c:v>118.7310791015625</c:v>
                </c:pt>
                <c:pt idx="1004">
                  <c:v>116.29610443115234</c:v>
                </c:pt>
                <c:pt idx="1005">
                  <c:v>119.00223541259766</c:v>
                </c:pt>
                <c:pt idx="1006">
                  <c:v>120.11125946044922</c:v>
                </c:pt>
                <c:pt idx="1007">
                  <c:v>115.29742431640625</c:v>
                </c:pt>
                <c:pt idx="1008">
                  <c:v>111.82288360595703</c:v>
                </c:pt>
                <c:pt idx="1009">
                  <c:v>110.12237548828125</c:v>
                </c:pt>
                <c:pt idx="1010">
                  <c:v>107.67929840087891</c:v>
                </c:pt>
                <c:pt idx="1011">
                  <c:v>106.44586944580078</c:v>
                </c:pt>
                <c:pt idx="1012">
                  <c:v>106.98557281494141</c:v>
                </c:pt>
                <c:pt idx="1013">
                  <c:v>107.18359375</c:v>
                </c:pt>
                <c:pt idx="1014">
                  <c:v>108.90204620361328</c:v>
                </c:pt>
                <c:pt idx="1015">
                  <c:v>107.59617614746094</c:v>
                </c:pt>
                <c:pt idx="1016">
                  <c:v>105.244873046875</c:v>
                </c:pt>
                <c:pt idx="1017">
                  <c:v>105.34186553955078</c:v>
                </c:pt>
                <c:pt idx="1018">
                  <c:v>104.62353515625</c:v>
                </c:pt>
                <c:pt idx="1019">
                  <c:v>104.83238983154297</c:v>
                </c:pt>
                <c:pt idx="1020">
                  <c:v>105.46874237060547</c:v>
                </c:pt>
                <c:pt idx="1021">
                  <c:v>103.64395141601563</c:v>
                </c:pt>
                <c:pt idx="1022">
                  <c:v>103.35565185546875</c:v>
                </c:pt>
                <c:pt idx="1023">
                  <c:v>100.33102416992188</c:v>
                </c:pt>
                <c:pt idx="1024">
                  <c:v>97.710945129394531</c:v>
                </c:pt>
                <c:pt idx="1025">
                  <c:v>95.341423034667969</c:v>
                </c:pt>
                <c:pt idx="1026">
                  <c:v>95.611930847167969</c:v>
                </c:pt>
                <c:pt idx="1027">
                  <c:v>96.041511535644531</c:v>
                </c:pt>
                <c:pt idx="1028">
                  <c:v>98.164825439453125</c:v>
                </c:pt>
                <c:pt idx="1029">
                  <c:v>96.510307312011719</c:v>
                </c:pt>
                <c:pt idx="1030">
                  <c:v>95.268959045410156</c:v>
                </c:pt>
                <c:pt idx="1031">
                  <c:v>92.335037231445313</c:v>
                </c:pt>
                <c:pt idx="1032">
                  <c:v>91.585113525390625</c:v>
                </c:pt>
                <c:pt idx="1033">
                  <c:v>92.703704833984375</c:v>
                </c:pt>
                <c:pt idx="1034">
                  <c:v>92.957420349121094</c:v>
                </c:pt>
                <c:pt idx="1035">
                  <c:v>90.523445129394531</c:v>
                </c:pt>
                <c:pt idx="1036">
                  <c:v>93.787696838378906</c:v>
                </c:pt>
                <c:pt idx="1037">
                  <c:v>93.105972290039063</c:v>
                </c:pt>
                <c:pt idx="1038">
                  <c:v>91.772018432617188</c:v>
                </c:pt>
                <c:pt idx="1039">
                  <c:v>90.239303588867188</c:v>
                </c:pt>
                <c:pt idx="1040">
                  <c:v>92.010704040527344</c:v>
                </c:pt>
                <c:pt idx="1041">
                  <c:v>92.605072021484375</c:v>
                </c:pt>
                <c:pt idx="1042">
                  <c:v>96.596511840820313</c:v>
                </c:pt>
                <c:pt idx="1043">
                  <c:v>97.051544189453125</c:v>
                </c:pt>
                <c:pt idx="1044">
                  <c:v>96.796348571777344</c:v>
                </c:pt>
                <c:pt idx="1045">
                  <c:v>95.66033935546875</c:v>
                </c:pt>
                <c:pt idx="1046">
                  <c:v>95.367340087890625</c:v>
                </c:pt>
                <c:pt idx="1047">
                  <c:v>95.211784362792969</c:v>
                </c:pt>
                <c:pt idx="1048">
                  <c:v>95.649002075195313</c:v>
                </c:pt>
                <c:pt idx="1049">
                  <c:v>94.346145629882813</c:v>
                </c:pt>
                <c:pt idx="1050">
                  <c:v>94.721122741699219</c:v>
                </c:pt>
                <c:pt idx="1051">
                  <c:v>92.429046630859375</c:v>
                </c:pt>
                <c:pt idx="1052">
                  <c:v>89.292778015136719</c:v>
                </c:pt>
                <c:pt idx="1053">
                  <c:v>88.910133361816406</c:v>
                </c:pt>
                <c:pt idx="1054">
                  <c:v>88.778266906738281</c:v>
                </c:pt>
                <c:pt idx="1055">
                  <c:v>92.392784118652344</c:v>
                </c:pt>
                <c:pt idx="1056">
                  <c:v>93.707275390625</c:v>
                </c:pt>
                <c:pt idx="1057">
                  <c:v>91.658073425292969</c:v>
                </c:pt>
                <c:pt idx="1058">
                  <c:v>90.159194946289063</c:v>
                </c:pt>
                <c:pt idx="1059">
                  <c:v>89.221145629882813</c:v>
                </c:pt>
                <c:pt idx="1060">
                  <c:v>86.606773376464844</c:v>
                </c:pt>
                <c:pt idx="1061">
                  <c:v>90.001655578613281</c:v>
                </c:pt>
                <c:pt idx="1062">
                  <c:v>91.729110717773438</c:v>
                </c:pt>
                <c:pt idx="1063">
                  <c:v>91.809982299804688</c:v>
                </c:pt>
                <c:pt idx="1064">
                  <c:v>93.253639221191406</c:v>
                </c:pt>
                <c:pt idx="1065">
                  <c:v>94.3929443359375</c:v>
                </c:pt>
                <c:pt idx="1066">
                  <c:v>88.828941345214844</c:v>
                </c:pt>
                <c:pt idx="1067">
                  <c:v>87.043006896972656</c:v>
                </c:pt>
                <c:pt idx="1068">
                  <c:v>87.726898193359375</c:v>
                </c:pt>
                <c:pt idx="1069">
                  <c:v>88.651626586914063</c:v>
                </c:pt>
                <c:pt idx="1070">
                  <c:v>87.868911743164063</c:v>
                </c:pt>
                <c:pt idx="1071">
                  <c:v>86.238479614257813</c:v>
                </c:pt>
                <c:pt idx="1072">
                  <c:v>83.171951293945313</c:v>
                </c:pt>
                <c:pt idx="1073">
                  <c:v>81.36517333984375</c:v>
                </c:pt>
                <c:pt idx="1074">
                  <c:v>80.989768981933594</c:v>
                </c:pt>
                <c:pt idx="1075">
                  <c:v>84.017982482910156</c:v>
                </c:pt>
                <c:pt idx="1076">
                  <c:v>85.288864135742188</c:v>
                </c:pt>
                <c:pt idx="1077">
                  <c:v>85.196052551269531</c:v>
                </c:pt>
                <c:pt idx="1078">
                  <c:v>84.943511962890625</c:v>
                </c:pt>
                <c:pt idx="1079">
                  <c:v>85.578727722167969</c:v>
                </c:pt>
                <c:pt idx="1080">
                  <c:v>82.8472900390625</c:v>
                </c:pt>
                <c:pt idx="1081">
                  <c:v>82.9810791015625</c:v>
                </c:pt>
                <c:pt idx="1082">
                  <c:v>84.328941345214844</c:v>
                </c:pt>
                <c:pt idx="1083">
                  <c:v>84.92413330078125</c:v>
                </c:pt>
                <c:pt idx="1084">
                  <c:v>86.124740600585938</c:v>
                </c:pt>
                <c:pt idx="1085">
                  <c:v>84.434585571289063</c:v>
                </c:pt>
                <c:pt idx="1086">
                  <c:v>81.986045837402344</c:v>
                </c:pt>
                <c:pt idx="1087">
                  <c:v>82.603569030761719</c:v>
                </c:pt>
                <c:pt idx="1088">
                  <c:v>83.116958618164063</c:v>
                </c:pt>
                <c:pt idx="1089">
                  <c:v>83.716873168945313</c:v>
                </c:pt>
                <c:pt idx="1090">
                  <c:v>86.433967590332031</c:v>
                </c:pt>
                <c:pt idx="1091">
                  <c:v>84.813133239746094</c:v>
                </c:pt>
                <c:pt idx="1092">
                  <c:v>85.714149475097656</c:v>
                </c:pt>
                <c:pt idx="1093">
                  <c:v>86.437736511230469</c:v>
                </c:pt>
                <c:pt idx="1094">
                  <c:v>85.845367431640625</c:v>
                </c:pt>
                <c:pt idx="1095">
                  <c:v>83.766143798828125</c:v>
                </c:pt>
                <c:pt idx="1096">
                  <c:v>86.272323608398438</c:v>
                </c:pt>
                <c:pt idx="1097">
                  <c:v>91.406997680664063</c:v>
                </c:pt>
                <c:pt idx="1098">
                  <c:v>93.860748291015625</c:v>
                </c:pt>
                <c:pt idx="1099">
                  <c:v>94.298088073730469</c:v>
                </c:pt>
                <c:pt idx="1100">
                  <c:v>92.881294250488281</c:v>
                </c:pt>
                <c:pt idx="1101">
                  <c:v>93.3590087890625</c:v>
                </c:pt>
                <c:pt idx="1102">
                  <c:v>91.404647827148438</c:v>
                </c:pt>
                <c:pt idx="1103">
                  <c:v>92.296928405761719</c:v>
                </c:pt>
                <c:pt idx="1104">
                  <c:v>91.65704345703125</c:v>
                </c:pt>
                <c:pt idx="1105">
                  <c:v>89.29119873046875</c:v>
                </c:pt>
                <c:pt idx="1106">
                  <c:v>89.219024658203125</c:v>
                </c:pt>
                <c:pt idx="1107">
                  <c:v>92.12744140625</c:v>
                </c:pt>
                <c:pt idx="1108">
                  <c:v>91.450889587402344</c:v>
                </c:pt>
                <c:pt idx="1109">
                  <c:v>90.526397705078125</c:v>
                </c:pt>
                <c:pt idx="1110">
                  <c:v>91.24761962890625</c:v>
                </c:pt>
                <c:pt idx="1111">
                  <c:v>91.429763793945313</c:v>
                </c:pt>
                <c:pt idx="1112">
                  <c:v>93.458602905273438</c:v>
                </c:pt>
                <c:pt idx="1113">
                  <c:v>93.597854614257813</c:v>
                </c:pt>
                <c:pt idx="1114">
                  <c:v>93.899986267089844</c:v>
                </c:pt>
                <c:pt idx="1115">
                  <c:v>93.060546875</c:v>
                </c:pt>
                <c:pt idx="1116">
                  <c:v>93.105194091796875</c:v>
                </c:pt>
                <c:pt idx="1117">
                  <c:v>95.199333190917969</c:v>
                </c:pt>
                <c:pt idx="1118">
                  <c:v>96.51507568359375</c:v>
                </c:pt>
                <c:pt idx="1119">
                  <c:v>98.606414794921875</c:v>
                </c:pt>
                <c:pt idx="1120">
                  <c:v>98.090957641601563</c:v>
                </c:pt>
                <c:pt idx="1121">
                  <c:v>96.433792114257813</c:v>
                </c:pt>
                <c:pt idx="1122">
                  <c:v>93.5931396484375</c:v>
                </c:pt>
                <c:pt idx="1123">
                  <c:v>90.623611450195313</c:v>
                </c:pt>
                <c:pt idx="1124">
                  <c:v>90.045333862304688</c:v>
                </c:pt>
                <c:pt idx="1125">
                  <c:v>91.652908325195313</c:v>
                </c:pt>
                <c:pt idx="1126">
                  <c:v>91.847366333007813</c:v>
                </c:pt>
                <c:pt idx="1127">
                  <c:v>87.301841735839844</c:v>
                </c:pt>
                <c:pt idx="1128">
                  <c:v>83.734214782714844</c:v>
                </c:pt>
                <c:pt idx="1129">
                  <c:v>81.256027221679688</c:v>
                </c:pt>
                <c:pt idx="1130">
                  <c:v>80.819732666015625</c:v>
                </c:pt>
                <c:pt idx="1131">
                  <c:v>81.007408142089844</c:v>
                </c:pt>
                <c:pt idx="1132">
                  <c:v>81.883293151855469</c:v>
                </c:pt>
                <c:pt idx="1133">
                  <c:v>81.692352294921875</c:v>
                </c:pt>
                <c:pt idx="1134">
                  <c:v>82.237068176269531</c:v>
                </c:pt>
                <c:pt idx="1135">
                  <c:v>82.249717712402344</c:v>
                </c:pt>
                <c:pt idx="1136">
                  <c:v>80.279342651367188</c:v>
                </c:pt>
                <c:pt idx="1137">
                  <c:v>76.184371948242188</c:v>
                </c:pt>
                <c:pt idx="1138">
                  <c:v>77.541450500488281</c:v>
                </c:pt>
                <c:pt idx="1139">
                  <c:v>77.880569458007813</c:v>
                </c:pt>
                <c:pt idx="1140">
                  <c:v>77.165206909179688</c:v>
                </c:pt>
                <c:pt idx="1141">
                  <c:v>77.530067443847656</c:v>
                </c:pt>
                <c:pt idx="1142">
                  <c:v>75.025398254394531</c:v>
                </c:pt>
                <c:pt idx="1143">
                  <c:v>73.962142944335938</c:v>
                </c:pt>
                <c:pt idx="1144">
                  <c:v>72.719192504882813</c:v>
                </c:pt>
                <c:pt idx="1145">
                  <c:v>73.472183227539063</c:v>
                </c:pt>
                <c:pt idx="1146">
                  <c:v>74.140777587890625</c:v>
                </c:pt>
                <c:pt idx="1147">
                  <c:v>72.211372375488281</c:v>
                </c:pt>
                <c:pt idx="1148">
                  <c:v>69.704330444335938</c:v>
                </c:pt>
                <c:pt idx="1149">
                  <c:v>67.656814575195313</c:v>
                </c:pt>
                <c:pt idx="1150">
                  <c:v>66.5338134765625</c:v>
                </c:pt>
                <c:pt idx="1151">
                  <c:v>65.579818725585938</c:v>
                </c:pt>
                <c:pt idx="1152">
                  <c:v>67.15057373046875</c:v>
                </c:pt>
                <c:pt idx="1153">
                  <c:v>68.254547119140625</c:v>
                </c:pt>
                <c:pt idx="1154">
                  <c:v>68.044052124023438</c:v>
                </c:pt>
                <c:pt idx="1155">
                  <c:v>67.971305847167969</c:v>
                </c:pt>
                <c:pt idx="1156">
                  <c:v>69.601470947265625</c:v>
                </c:pt>
                <c:pt idx="1157">
                  <c:v>69.427711486816406</c:v>
                </c:pt>
                <c:pt idx="1158">
                  <c:v>70.254234313964844</c:v>
                </c:pt>
                <c:pt idx="1159">
                  <c:v>71.45880126953125</c:v>
                </c:pt>
                <c:pt idx="1160">
                  <c:v>72.62628173828125</c:v>
                </c:pt>
                <c:pt idx="1161">
                  <c:v>74.279739379882813</c:v>
                </c:pt>
                <c:pt idx="1162">
                  <c:v>75.925056457519531</c:v>
                </c:pt>
                <c:pt idx="1163">
                  <c:v>76.750480651855469</c:v>
                </c:pt>
                <c:pt idx="1164">
                  <c:v>77.189315795898438</c:v>
                </c:pt>
                <c:pt idx="1165">
                  <c:v>77.207466125488281</c:v>
                </c:pt>
                <c:pt idx="1166">
                  <c:v>80.524078369140625</c:v>
                </c:pt>
                <c:pt idx="1167">
                  <c:v>83.021530151367188</c:v>
                </c:pt>
                <c:pt idx="1168">
                  <c:v>82.038185119628906</c:v>
                </c:pt>
                <c:pt idx="1169">
                  <c:v>85.904487609863281</c:v>
                </c:pt>
                <c:pt idx="1170">
                  <c:v>90.432197570800781</c:v>
                </c:pt>
                <c:pt idx="1171">
                  <c:v>91.001197814941406</c:v>
                </c:pt>
                <c:pt idx="1172">
                  <c:v>91.284934997558594</c:v>
                </c:pt>
                <c:pt idx="1173">
                  <c:v>92.76068115234375</c:v>
                </c:pt>
                <c:pt idx="1174">
                  <c:v>95.092628479003906</c:v>
                </c:pt>
                <c:pt idx="1175">
                  <c:v>97.75006103515625</c:v>
                </c:pt>
                <c:pt idx="1176">
                  <c:v>100.10637664794922</c:v>
                </c:pt>
                <c:pt idx="1177">
                  <c:v>100.50634765625</c:v>
                </c:pt>
                <c:pt idx="1178">
                  <c:v>103.66804504394531</c:v>
                </c:pt>
                <c:pt idx="1179">
                  <c:v>102.99057006835938</c:v>
                </c:pt>
                <c:pt idx="1180">
                  <c:v>104.07654571533203</c:v>
                </c:pt>
                <c:pt idx="1181">
                  <c:v>105.86324310302734</c:v>
                </c:pt>
                <c:pt idx="1182">
                  <c:v>105.90149688720703</c:v>
                </c:pt>
                <c:pt idx="1183">
                  <c:v>109.61186218261719</c:v>
                </c:pt>
                <c:pt idx="1184">
                  <c:v>108.89010620117188</c:v>
                </c:pt>
                <c:pt idx="1185">
                  <c:v>109.76358032226563</c:v>
                </c:pt>
                <c:pt idx="1186">
                  <c:v>106.21527099609375</c:v>
                </c:pt>
                <c:pt idx="1187">
                  <c:v>109.28566741943359</c:v>
                </c:pt>
                <c:pt idx="1188">
                  <c:v>110.94998931884766</c:v>
                </c:pt>
                <c:pt idx="1189">
                  <c:v>109.70062255859375</c:v>
                </c:pt>
                <c:pt idx="1190">
                  <c:v>109.05558013916016</c:v>
                </c:pt>
                <c:pt idx="1191">
                  <c:v>107.93299865722656</c:v>
                </c:pt>
                <c:pt idx="1192">
                  <c:v>107.78418731689453</c:v>
                </c:pt>
                <c:pt idx="1193">
                  <c:v>107.22385406494141</c:v>
                </c:pt>
                <c:pt idx="1194">
                  <c:v>107.07593536376953</c:v>
                </c:pt>
                <c:pt idx="1195">
                  <c:v>111.76422882080078</c:v>
                </c:pt>
                <c:pt idx="1196">
                  <c:v>110.65065002441406</c:v>
                </c:pt>
                <c:pt idx="1197">
                  <c:v>116.54845428466797</c:v>
                </c:pt>
                <c:pt idx="1198">
                  <c:v>117.30202484130859</c:v>
                </c:pt>
                <c:pt idx="1199">
                  <c:v>114.17736053466797</c:v>
                </c:pt>
                <c:pt idx="1200">
                  <c:v>111.60374450683594</c:v>
                </c:pt>
                <c:pt idx="1201">
                  <c:v>115.18775939941406</c:v>
                </c:pt>
                <c:pt idx="1202">
                  <c:v>119.07908630371094</c:v>
                </c:pt>
                <c:pt idx="1203">
                  <c:v>123.71807861328125</c:v>
                </c:pt>
                <c:pt idx="1204">
                  <c:v>126.36318969726563</c:v>
                </c:pt>
                <c:pt idx="1205">
                  <c:v>123.02339935302734</c:v>
                </c:pt>
                <c:pt idx="1206">
                  <c:v>119.22276306152344</c:v>
                </c:pt>
                <c:pt idx="1207">
                  <c:v>117.39605712890625</c:v>
                </c:pt>
                <c:pt idx="1208">
                  <c:v>115.39207458496094</c:v>
                </c:pt>
                <c:pt idx="1209">
                  <c:v>118.59102630615234</c:v>
                </c:pt>
                <c:pt idx="1210">
                  <c:v>122.31602478027344</c:v>
                </c:pt>
                <c:pt idx="1211">
                  <c:v>124.16431427001953</c:v>
                </c:pt>
                <c:pt idx="1212">
                  <c:v>124.17337036132813</c:v>
                </c:pt>
                <c:pt idx="1213">
                  <c:v>121.40251159667969</c:v>
                </c:pt>
                <c:pt idx="1214">
                  <c:v>121.539306640625</c:v>
                </c:pt>
                <c:pt idx="1215">
                  <c:v>122.02704620361328</c:v>
                </c:pt>
                <c:pt idx="1216">
                  <c:v>125.70979309082031</c:v>
                </c:pt>
                <c:pt idx="1217">
                  <c:v>127.28978729248047</c:v>
                </c:pt>
                <c:pt idx="1218">
                  <c:v>127.94378662109375</c:v>
                </c:pt>
                <c:pt idx="1219">
                  <c:v>130.22207641601563</c:v>
                </c:pt>
                <c:pt idx="1220">
                  <c:v>130.06770324707031</c:v>
                </c:pt>
                <c:pt idx="1221">
                  <c:v>127.48264312744141</c:v>
                </c:pt>
                <c:pt idx="1222">
                  <c:v>126.75160217285156</c:v>
                </c:pt>
                <c:pt idx="1223">
                  <c:v>128.11726379394531</c:v>
                </c:pt>
                <c:pt idx="1224">
                  <c:v>134.18316650390625</c:v>
                </c:pt>
                <c:pt idx="1225">
                  <c:v>134.85324096679688</c:v>
                </c:pt>
                <c:pt idx="1226">
                  <c:v>136.8912353515625</c:v>
                </c:pt>
                <c:pt idx="1227">
                  <c:v>130.33639526367188</c:v>
                </c:pt>
                <c:pt idx="1228">
                  <c:v>129.6934814453125</c:v>
                </c:pt>
                <c:pt idx="1229">
                  <c:v>130.69557189941406</c:v>
                </c:pt>
                <c:pt idx="1230">
                  <c:v>131.24624633789063</c:v>
                </c:pt>
                <c:pt idx="1231">
                  <c:v>129.78910827636719</c:v>
                </c:pt>
                <c:pt idx="1232">
                  <c:v>128.93319702148438</c:v>
                </c:pt>
                <c:pt idx="1233">
                  <c:v>124.20333099365234</c:v>
                </c:pt>
                <c:pt idx="1234">
                  <c:v>118.91664123535156</c:v>
                </c:pt>
                <c:pt idx="1235">
                  <c:v>117.72236633300781</c:v>
                </c:pt>
                <c:pt idx="1236">
                  <c:v>120.30952453613281</c:v>
                </c:pt>
                <c:pt idx="1237">
                  <c:v>122.06073760986328</c:v>
                </c:pt>
                <c:pt idx="1238">
                  <c:v>125.08236694335938</c:v>
                </c:pt>
                <c:pt idx="1239">
                  <c:v>125.18299865722656</c:v>
                </c:pt>
                <c:pt idx="1240">
                  <c:v>123.43060302734375</c:v>
                </c:pt>
                <c:pt idx="1241">
                  <c:v>122.162109375</c:v>
                </c:pt>
                <c:pt idx="1242">
                  <c:v>121.91359710693359</c:v>
                </c:pt>
                <c:pt idx="1243">
                  <c:v>122.20674896240234</c:v>
                </c:pt>
                <c:pt idx="1244">
                  <c:v>122.82866668701172</c:v>
                </c:pt>
                <c:pt idx="1245">
                  <c:v>123.07417297363281</c:v>
                </c:pt>
                <c:pt idx="1246">
                  <c:v>120.9671630859375</c:v>
                </c:pt>
                <c:pt idx="1247">
                  <c:v>120.95413970947266</c:v>
                </c:pt>
                <c:pt idx="1248">
                  <c:v>119.79987335205078</c:v>
                </c:pt>
                <c:pt idx="1249">
                  <c:v>116.98464965820313</c:v>
                </c:pt>
                <c:pt idx="1250">
                  <c:v>119.70704650878906</c:v>
                </c:pt>
                <c:pt idx="1251">
                  <c:v>124.8765869140625</c:v>
                </c:pt>
                <c:pt idx="1252">
                  <c:v>125.84018707275391</c:v>
                </c:pt>
                <c:pt idx="1253">
                  <c:v>124.61895751953125</c:v>
                </c:pt>
                <c:pt idx="1254">
                  <c:v>119.01817321777344</c:v>
                </c:pt>
                <c:pt idx="1255">
                  <c:v>113.89549255371094</c:v>
                </c:pt>
                <c:pt idx="1256">
                  <c:v>111.48871612548828</c:v>
                </c:pt>
                <c:pt idx="1257">
                  <c:v>112.65983581542969</c:v>
                </c:pt>
                <c:pt idx="1258">
                  <c:v>114.57875061035156</c:v>
                </c:pt>
                <c:pt idx="1259">
                  <c:v>115.08348846435547</c:v>
                </c:pt>
                <c:pt idx="1260">
                  <c:v>117.61160278320313</c:v>
                </c:pt>
                <c:pt idx="1261">
                  <c:v>114.92535400390625</c:v>
                </c:pt>
                <c:pt idx="1262">
                  <c:v>114.02117919921875</c:v>
                </c:pt>
                <c:pt idx="1263">
                  <c:v>111.75701904296875</c:v>
                </c:pt>
                <c:pt idx="1264">
                  <c:v>111.47507476806641</c:v>
                </c:pt>
                <c:pt idx="1265">
                  <c:v>113.61447906494141</c:v>
                </c:pt>
                <c:pt idx="1266">
                  <c:v>113.47024536132813</c:v>
                </c:pt>
                <c:pt idx="1267">
                  <c:v>113.86181640625</c:v>
                </c:pt>
                <c:pt idx="1268">
                  <c:v>109.79983520507813</c:v>
                </c:pt>
                <c:pt idx="1269">
                  <c:v>105.66957855224609</c:v>
                </c:pt>
                <c:pt idx="1270">
                  <c:v>102.58133697509766</c:v>
                </c:pt>
                <c:pt idx="1271">
                  <c:v>101.90020751953125</c:v>
                </c:pt>
                <c:pt idx="1272">
                  <c:v>103.66311645507813</c:v>
                </c:pt>
                <c:pt idx="1273">
                  <c:v>104.59738159179688</c:v>
                </c:pt>
                <c:pt idx="1274">
                  <c:v>105.17086029052734</c:v>
                </c:pt>
                <c:pt idx="1275">
                  <c:v>105.14193725585938</c:v>
                </c:pt>
                <c:pt idx="1276">
                  <c:v>103.35733795166016</c:v>
                </c:pt>
                <c:pt idx="1277">
                  <c:v>99.125755310058594</c:v>
                </c:pt>
                <c:pt idx="1278">
                  <c:v>100.20285034179688</c:v>
                </c:pt>
                <c:pt idx="1279">
                  <c:v>103.27809906005859</c:v>
                </c:pt>
                <c:pt idx="1280">
                  <c:v>100.04737091064453</c:v>
                </c:pt>
                <c:pt idx="1281">
                  <c:v>98.0985107421875</c:v>
                </c:pt>
                <c:pt idx="1282">
                  <c:v>98.755950927734375</c:v>
                </c:pt>
                <c:pt idx="1283">
                  <c:v>98.553474426269531</c:v>
                </c:pt>
                <c:pt idx="1284">
                  <c:v>96.950202941894531</c:v>
                </c:pt>
                <c:pt idx="1285">
                  <c:v>99.975257873535156</c:v>
                </c:pt>
                <c:pt idx="1286">
                  <c:v>100.99032592773438</c:v>
                </c:pt>
                <c:pt idx="1287">
                  <c:v>100.66488647460938</c:v>
                </c:pt>
                <c:pt idx="1288">
                  <c:v>101.23085784912109</c:v>
                </c:pt>
                <c:pt idx="1289">
                  <c:v>100.71756744384766</c:v>
                </c:pt>
                <c:pt idx="1290">
                  <c:v>97.866317749023438</c:v>
                </c:pt>
                <c:pt idx="1291">
                  <c:v>99.020439147949219</c:v>
                </c:pt>
                <c:pt idx="1292">
                  <c:v>100.46030426025391</c:v>
                </c:pt>
                <c:pt idx="1293">
                  <c:v>103.00229644775391</c:v>
                </c:pt>
                <c:pt idx="1294">
                  <c:v>104.38541412353516</c:v>
                </c:pt>
                <c:pt idx="1295">
                  <c:v>105.83976745605469</c:v>
                </c:pt>
                <c:pt idx="1296">
                  <c:v>103.59844207763672</c:v>
                </c:pt>
                <c:pt idx="1297">
                  <c:v>104.54037475585938</c:v>
                </c:pt>
                <c:pt idx="1298">
                  <c:v>105.05384063720703</c:v>
                </c:pt>
                <c:pt idx="1299">
                  <c:v>109.45469665527344</c:v>
                </c:pt>
                <c:pt idx="1300">
                  <c:v>113.22860717773438</c:v>
                </c:pt>
                <c:pt idx="1301">
                  <c:v>113.80794525146484</c:v>
                </c:pt>
                <c:pt idx="1302">
                  <c:v>112.82917785644531</c:v>
                </c:pt>
                <c:pt idx="1303">
                  <c:v>112.45356750488281</c:v>
                </c:pt>
                <c:pt idx="1304">
                  <c:v>110.78819274902344</c:v>
                </c:pt>
                <c:pt idx="1305">
                  <c:v>106.86991882324219</c:v>
                </c:pt>
                <c:pt idx="1306">
                  <c:v>109.54524993896484</c:v>
                </c:pt>
                <c:pt idx="1307">
                  <c:v>111.23377227783203</c:v>
                </c:pt>
                <c:pt idx="1308">
                  <c:v>111.80056762695313</c:v>
                </c:pt>
                <c:pt idx="1309">
                  <c:v>110.96937561035156</c:v>
                </c:pt>
                <c:pt idx="1310">
                  <c:v>114.25809478759766</c:v>
                </c:pt>
                <c:pt idx="1311">
                  <c:v>113.09495544433594</c:v>
                </c:pt>
                <c:pt idx="1312">
                  <c:v>110.61474609375</c:v>
                </c:pt>
                <c:pt idx="1313">
                  <c:v>113.27775573730469</c:v>
                </c:pt>
                <c:pt idx="1314">
                  <c:v>117.69080352783203</c:v>
                </c:pt>
                <c:pt idx="1315">
                  <c:v>116.31064605712891</c:v>
                </c:pt>
                <c:pt idx="1316">
                  <c:v>117.94413757324219</c:v>
                </c:pt>
                <c:pt idx="1317">
                  <c:v>117.833740234375</c:v>
                </c:pt>
                <c:pt idx="1318">
                  <c:v>117.28644561767578</c:v>
                </c:pt>
                <c:pt idx="1319">
                  <c:v>115.96180725097656</c:v>
                </c:pt>
                <c:pt idx="1320">
                  <c:v>117.27934265136719</c:v>
                </c:pt>
                <c:pt idx="1321">
                  <c:v>118.33908843994141</c:v>
                </c:pt>
                <c:pt idx="1322">
                  <c:v>116.42658996582031</c:v>
                </c:pt>
                <c:pt idx="1323">
                  <c:v>117.33883666992188</c:v>
                </c:pt>
                <c:pt idx="1324">
                  <c:v>117.95758056640625</c:v>
                </c:pt>
                <c:pt idx="1325">
                  <c:v>115.01992797851563</c:v>
                </c:pt>
                <c:pt idx="1326">
                  <c:v>115.12037658691406</c:v>
                </c:pt>
                <c:pt idx="1327">
                  <c:v>114.62040710449219</c:v>
                </c:pt>
                <c:pt idx="1328">
                  <c:v>117.26326751708984</c:v>
                </c:pt>
                <c:pt idx="1329">
                  <c:v>115.85061645507813</c:v>
                </c:pt>
                <c:pt idx="1330">
                  <c:v>114.48936462402344</c:v>
                </c:pt>
                <c:pt idx="1331">
                  <c:v>112.46613311767578</c:v>
                </c:pt>
                <c:pt idx="1332">
                  <c:v>111.30355834960938</c:v>
                </c:pt>
                <c:pt idx="1333">
                  <c:v>108.77227020263672</c:v>
                </c:pt>
                <c:pt idx="1334">
                  <c:v>111.13819885253906</c:v>
                </c:pt>
                <c:pt idx="1335">
                  <c:v>114.83637237548828</c:v>
                </c:pt>
                <c:pt idx="1336">
                  <c:v>115.53785705566406</c:v>
                </c:pt>
                <c:pt idx="1337">
                  <c:v>114.74532318115234</c:v>
                </c:pt>
                <c:pt idx="1338">
                  <c:v>112.14545440673828</c:v>
                </c:pt>
                <c:pt idx="1339">
                  <c:v>110.75760650634766</c:v>
                </c:pt>
                <c:pt idx="1340">
                  <c:v>107.46575927734375</c:v>
                </c:pt>
                <c:pt idx="1341">
                  <c:v>107.78219604492188</c:v>
                </c:pt>
                <c:pt idx="1342">
                  <c:v>106.46337127685547</c:v>
                </c:pt>
                <c:pt idx="1343">
                  <c:v>103.90948486328125</c:v>
                </c:pt>
                <c:pt idx="1344">
                  <c:v>100.48387908935547</c:v>
                </c:pt>
                <c:pt idx="1345">
                  <c:v>99.110725402832031</c:v>
                </c:pt>
                <c:pt idx="1346">
                  <c:v>95.402252197265625</c:v>
                </c:pt>
                <c:pt idx="1347">
                  <c:v>92.921630859375</c:v>
                </c:pt>
                <c:pt idx="1348">
                  <c:v>89.554191589355469</c:v>
                </c:pt>
                <c:pt idx="1349">
                  <c:v>89.424453735351563</c:v>
                </c:pt>
                <c:pt idx="1350">
                  <c:v>87.371688842773438</c:v>
                </c:pt>
                <c:pt idx="1351">
                  <c:v>85.110542297363281</c:v>
                </c:pt>
                <c:pt idx="1352">
                  <c:v>85.341156005859375</c:v>
                </c:pt>
                <c:pt idx="1353">
                  <c:v>83.182754516601563</c:v>
                </c:pt>
                <c:pt idx="1354">
                  <c:v>79.852729797363281</c:v>
                </c:pt>
                <c:pt idx="1355">
                  <c:v>81.058074951171875</c:v>
                </c:pt>
                <c:pt idx="1356">
                  <c:v>82.654609680175781</c:v>
                </c:pt>
                <c:pt idx="1357">
                  <c:v>81.047027587890625</c:v>
                </c:pt>
                <c:pt idx="1358">
                  <c:v>79.57794189453125</c:v>
                </c:pt>
                <c:pt idx="1359">
                  <c:v>79.393333435058594</c:v>
                </c:pt>
                <c:pt idx="1360">
                  <c:v>76.643974304199219</c:v>
                </c:pt>
                <c:pt idx="1361">
                  <c:v>76.093650817871094</c:v>
                </c:pt>
                <c:pt idx="1362">
                  <c:v>78.441825866699219</c:v>
                </c:pt>
                <c:pt idx="1363">
                  <c:v>80.176628112792969</c:v>
                </c:pt>
                <c:pt idx="1364">
                  <c:v>80.19989013671875</c:v>
                </c:pt>
                <c:pt idx="1365">
                  <c:v>78.17523193359375</c:v>
                </c:pt>
                <c:pt idx="1366">
                  <c:v>76.226982116699219</c:v>
                </c:pt>
                <c:pt idx="1367">
                  <c:v>74.823150634765625</c:v>
                </c:pt>
                <c:pt idx="1368">
                  <c:v>73.963462829589844</c:v>
                </c:pt>
                <c:pt idx="1369">
                  <c:v>75.314277648925781</c:v>
                </c:pt>
                <c:pt idx="1370">
                  <c:v>74.876914978027344</c:v>
                </c:pt>
                <c:pt idx="1371">
                  <c:v>74.885246276855469</c:v>
                </c:pt>
                <c:pt idx="1372">
                  <c:v>76.706947326660156</c:v>
                </c:pt>
                <c:pt idx="1373">
                  <c:v>76.449935913085938</c:v>
                </c:pt>
                <c:pt idx="1374">
                  <c:v>74.884239196777344</c:v>
                </c:pt>
                <c:pt idx="1375">
                  <c:v>73.374008178710938</c:v>
                </c:pt>
                <c:pt idx="1376">
                  <c:v>73.023208618164063</c:v>
                </c:pt>
                <c:pt idx="1377">
                  <c:v>74.635246276855469</c:v>
                </c:pt>
                <c:pt idx="1378">
                  <c:v>76.261032104492188</c:v>
                </c:pt>
                <c:pt idx="1379">
                  <c:v>77.889717102050781</c:v>
                </c:pt>
                <c:pt idx="1380">
                  <c:v>78.095573425292969</c:v>
                </c:pt>
                <c:pt idx="1381">
                  <c:v>77.413238525390625</c:v>
                </c:pt>
                <c:pt idx="1382">
                  <c:v>76.196098327636719</c:v>
                </c:pt>
                <c:pt idx="1383">
                  <c:v>78.177757263183594</c:v>
                </c:pt>
                <c:pt idx="1384">
                  <c:v>82.423942565917969</c:v>
                </c:pt>
                <c:pt idx="1385">
                  <c:v>83.315170288085938</c:v>
                </c:pt>
                <c:pt idx="1386">
                  <c:v>84.050102233886719</c:v>
                </c:pt>
                <c:pt idx="1387">
                  <c:v>85.635726928710938</c:v>
                </c:pt>
                <c:pt idx="1388">
                  <c:v>84.912574768066406</c:v>
                </c:pt>
                <c:pt idx="1389">
                  <c:v>82.289253234863281</c:v>
                </c:pt>
                <c:pt idx="1390">
                  <c:v>83.826263427734375</c:v>
                </c:pt>
                <c:pt idx="1391">
                  <c:v>86.521888732910156</c:v>
                </c:pt>
                <c:pt idx="1392">
                  <c:v>85.993278503417969</c:v>
                </c:pt>
                <c:pt idx="1393">
                  <c:v>87.513648986816406</c:v>
                </c:pt>
                <c:pt idx="1394">
                  <c:v>89.145133972167969</c:v>
                </c:pt>
                <c:pt idx="1395">
                  <c:v>89.836906433105469</c:v>
                </c:pt>
                <c:pt idx="1396">
                  <c:v>88.824180603027344</c:v>
                </c:pt>
                <c:pt idx="1397">
                  <c:v>90.501213073730469</c:v>
                </c:pt>
                <c:pt idx="1398">
                  <c:v>92.951179504394531</c:v>
                </c:pt>
                <c:pt idx="1399">
                  <c:v>91.643051147460938</c:v>
                </c:pt>
                <c:pt idx="1400">
                  <c:v>93.824516296386719</c:v>
                </c:pt>
                <c:pt idx="1401">
                  <c:v>94.123634338378906</c:v>
                </c:pt>
                <c:pt idx="1402">
                  <c:v>93.420616149902344</c:v>
                </c:pt>
                <c:pt idx="1403">
                  <c:v>92.291206359863281</c:v>
                </c:pt>
                <c:pt idx="1404">
                  <c:v>94.42333984375</c:v>
                </c:pt>
                <c:pt idx="1405">
                  <c:v>95.090873718261719</c:v>
                </c:pt>
                <c:pt idx="1406">
                  <c:v>98.135032653808594</c:v>
                </c:pt>
                <c:pt idx="1407">
                  <c:v>96.966392517089844</c:v>
                </c:pt>
                <c:pt idx="1408">
                  <c:v>97.305610656738281</c:v>
                </c:pt>
                <c:pt idx="1409">
                  <c:v>94.202423095703125</c:v>
                </c:pt>
                <c:pt idx="1410">
                  <c:v>92.052986145019531</c:v>
                </c:pt>
                <c:pt idx="1411">
                  <c:v>91.87457275390625</c:v>
                </c:pt>
                <c:pt idx="1412">
                  <c:v>93.891006469726563</c:v>
                </c:pt>
                <c:pt idx="1413">
                  <c:v>90.908111572265625</c:v>
                </c:pt>
                <c:pt idx="1414">
                  <c:v>89.982742309570313</c:v>
                </c:pt>
                <c:pt idx="1415">
                  <c:v>87.540245056152344</c:v>
                </c:pt>
                <c:pt idx="1416">
                  <c:v>84.82452392578125</c:v>
                </c:pt>
                <c:pt idx="1417">
                  <c:v>82.444450378417969</c:v>
                </c:pt>
                <c:pt idx="1418">
                  <c:v>81.425765991210938</c:v>
                </c:pt>
                <c:pt idx="1419">
                  <c:v>82.190826416015625</c:v>
                </c:pt>
                <c:pt idx="1420">
                  <c:v>82.214469909667969</c:v>
                </c:pt>
                <c:pt idx="1421">
                  <c:v>80.535606384277344</c:v>
                </c:pt>
                <c:pt idx="1422">
                  <c:v>80.792747497558594</c:v>
                </c:pt>
                <c:pt idx="1423">
                  <c:v>78.426185607910156</c:v>
                </c:pt>
                <c:pt idx="1424">
                  <c:v>75.196403503417969</c:v>
                </c:pt>
                <c:pt idx="1425">
                  <c:v>75.423255920410156</c:v>
                </c:pt>
                <c:pt idx="1426">
                  <c:v>78.050910949707031</c:v>
                </c:pt>
                <c:pt idx="1427">
                  <c:v>78.268562316894531</c:v>
                </c:pt>
                <c:pt idx="1428">
                  <c:v>77.811058044433594</c:v>
                </c:pt>
                <c:pt idx="1429">
                  <c:v>79.833053588867188</c:v>
                </c:pt>
                <c:pt idx="1430">
                  <c:v>78.223922729492188</c:v>
                </c:pt>
                <c:pt idx="1431">
                  <c:v>75.49139404296875</c:v>
                </c:pt>
                <c:pt idx="1432">
                  <c:v>75.567024230957031</c:v>
                </c:pt>
                <c:pt idx="1433">
                  <c:v>77.411201477050781</c:v>
                </c:pt>
                <c:pt idx="1434">
                  <c:v>77.03472900390625</c:v>
                </c:pt>
                <c:pt idx="1435">
                  <c:v>79.324455261230469</c:v>
                </c:pt>
                <c:pt idx="1436">
                  <c:v>81.179481506347656</c:v>
                </c:pt>
                <c:pt idx="1437">
                  <c:v>81.7105712890625</c:v>
                </c:pt>
                <c:pt idx="1438">
                  <c:v>79.085456848144531</c:v>
                </c:pt>
                <c:pt idx="1439">
                  <c:v>80.863525390625</c:v>
                </c:pt>
                <c:pt idx="1440">
                  <c:v>83.290267944335938</c:v>
                </c:pt>
                <c:pt idx="1441">
                  <c:v>84.731575012207031</c:v>
                </c:pt>
                <c:pt idx="1442">
                  <c:v>84.393760681152344</c:v>
                </c:pt>
                <c:pt idx="1443">
                  <c:v>87.283912658691406</c:v>
                </c:pt>
                <c:pt idx="1444">
                  <c:v>86.282127380371094</c:v>
                </c:pt>
                <c:pt idx="1445">
                  <c:v>86.105552673339844</c:v>
                </c:pt>
                <c:pt idx="1446">
                  <c:v>87.0128173828125</c:v>
                </c:pt>
                <c:pt idx="1447">
                  <c:v>88.260345458984375</c:v>
                </c:pt>
                <c:pt idx="1448">
                  <c:v>88.482337951660156</c:v>
                </c:pt>
                <c:pt idx="1449">
                  <c:v>91.970619201660156</c:v>
                </c:pt>
                <c:pt idx="1450">
                  <c:v>96.160423278808594</c:v>
                </c:pt>
                <c:pt idx="1451">
                  <c:v>96.346702575683594</c:v>
                </c:pt>
                <c:pt idx="1452">
                  <c:v>94.563232421875</c:v>
                </c:pt>
                <c:pt idx="1453">
                  <c:v>95.936187744140625</c:v>
                </c:pt>
                <c:pt idx="1454">
                  <c:v>96.049102783203125</c:v>
                </c:pt>
                <c:pt idx="1455">
                  <c:v>94.777069091796875</c:v>
                </c:pt>
                <c:pt idx="1456">
                  <c:v>91.454391479492188</c:v>
                </c:pt>
                <c:pt idx="1457">
                  <c:v>91.49163818359375</c:v>
                </c:pt>
                <c:pt idx="1458">
                  <c:v>90.231094360351563</c:v>
                </c:pt>
                <c:pt idx="1459">
                  <c:v>86.576736450195313</c:v>
                </c:pt>
                <c:pt idx="1460">
                  <c:v>87.693656921386719</c:v>
                </c:pt>
                <c:pt idx="1461">
                  <c:v>89.771232604980469</c:v>
                </c:pt>
                <c:pt idx="1462">
                  <c:v>94.426910400390625</c:v>
                </c:pt>
                <c:pt idx="1463">
                  <c:v>91.421234130859375</c:v>
                </c:pt>
                <c:pt idx="1464">
                  <c:v>91.275520324707031</c:v>
                </c:pt>
                <c:pt idx="1465">
                  <c:v>88.248916625976563</c:v>
                </c:pt>
                <c:pt idx="1466">
                  <c:v>83.062644958496094</c:v>
                </c:pt>
                <c:pt idx="1467">
                  <c:v>83.27630615234375</c:v>
                </c:pt>
                <c:pt idx="1468">
                  <c:v>84.351692199707031</c:v>
                </c:pt>
                <c:pt idx="1469">
                  <c:v>84.8675537109375</c:v>
                </c:pt>
                <c:pt idx="1470">
                  <c:v>84.249214172363281</c:v>
                </c:pt>
                <c:pt idx="1471">
                  <c:v>84.7578125</c:v>
                </c:pt>
                <c:pt idx="1472">
                  <c:v>82.078094482421875</c:v>
                </c:pt>
                <c:pt idx="1473">
                  <c:v>79.333030700683594</c:v>
                </c:pt>
                <c:pt idx="1474">
                  <c:v>79.748741149902344</c:v>
                </c:pt>
                <c:pt idx="1475">
                  <c:v>81.858543395996094</c:v>
                </c:pt>
                <c:pt idx="1476">
                  <c:v>82.524002075195313</c:v>
                </c:pt>
                <c:pt idx="1477">
                  <c:v>85.47113037109375</c:v>
                </c:pt>
                <c:pt idx="1478">
                  <c:v>87.154220581054688</c:v>
                </c:pt>
                <c:pt idx="1479">
                  <c:v>82.475112915039063</c:v>
                </c:pt>
                <c:pt idx="1480">
                  <c:v>77.058883666992188</c:v>
                </c:pt>
                <c:pt idx="1481">
                  <c:v>77.284133911132813</c:v>
                </c:pt>
                <c:pt idx="1482">
                  <c:v>79.383247375488281</c:v>
                </c:pt>
                <c:pt idx="1483">
                  <c:v>77.614753723144531</c:v>
                </c:pt>
                <c:pt idx="1484">
                  <c:v>78.472373962402344</c:v>
                </c:pt>
                <c:pt idx="1485">
                  <c:v>79.406997680664063</c:v>
                </c:pt>
                <c:pt idx="1486">
                  <c:v>79.737312316894531</c:v>
                </c:pt>
                <c:pt idx="1487">
                  <c:v>78.8580322265625</c:v>
                </c:pt>
                <c:pt idx="1488">
                  <c:v>80.289588928222656</c:v>
                </c:pt>
                <c:pt idx="1489">
                  <c:v>82.586067199707031</c:v>
                </c:pt>
                <c:pt idx="1490">
                  <c:v>85.486351013183594</c:v>
                </c:pt>
                <c:pt idx="1491">
                  <c:v>87.632850646972656</c:v>
                </c:pt>
                <c:pt idx="1492">
                  <c:v>85.089958190917969</c:v>
                </c:pt>
                <c:pt idx="1493">
                  <c:v>87.301475524902344</c:v>
                </c:pt>
                <c:pt idx="1494">
                  <c:v>86.742691040039063</c:v>
                </c:pt>
                <c:pt idx="1495">
                  <c:v>91.39263916015625</c:v>
                </c:pt>
                <c:pt idx="1496">
                  <c:v>93.589752197265625</c:v>
                </c:pt>
                <c:pt idx="1497">
                  <c:v>94.254318237304688</c:v>
                </c:pt>
                <c:pt idx="1498">
                  <c:v>95.074394226074219</c:v>
                </c:pt>
                <c:pt idx="1499">
                  <c:v>93.605270385742188</c:v>
                </c:pt>
                <c:pt idx="1500">
                  <c:v>92.055168151855469</c:v>
                </c:pt>
                <c:pt idx="1501">
                  <c:v>89.985694885253906</c:v>
                </c:pt>
                <c:pt idx="1502">
                  <c:v>91.478134155273438</c:v>
                </c:pt>
                <c:pt idx="1503">
                  <c:v>92.52777099609375</c:v>
                </c:pt>
                <c:pt idx="1504">
                  <c:v>92.509590148925781</c:v>
                </c:pt>
                <c:pt idx="1505">
                  <c:v>91.642913818359375</c:v>
                </c:pt>
                <c:pt idx="1506">
                  <c:v>93.387542724609375</c:v>
                </c:pt>
                <c:pt idx="1507">
                  <c:v>90.088386535644531</c:v>
                </c:pt>
                <c:pt idx="1508">
                  <c:v>89.201766967773438</c:v>
                </c:pt>
                <c:pt idx="1509">
                  <c:v>90.696067810058594</c:v>
                </c:pt>
                <c:pt idx="1510">
                  <c:v>92.987281799316406</c:v>
                </c:pt>
                <c:pt idx="1511">
                  <c:v>96.338508605957031</c:v>
                </c:pt>
                <c:pt idx="1512">
                  <c:v>95.397834777832031</c:v>
                </c:pt>
                <c:pt idx="1513">
                  <c:v>95.772804260253906</c:v>
                </c:pt>
                <c:pt idx="1514">
                  <c:v>94.292343139648438</c:v>
                </c:pt>
                <c:pt idx="1515">
                  <c:v>93.753692626953125</c:v>
                </c:pt>
                <c:pt idx="1516">
                  <c:v>97.04998779296875</c:v>
                </c:pt>
                <c:pt idx="1517">
                  <c:v>98.692848205566406</c:v>
                </c:pt>
                <c:pt idx="1518">
                  <c:v>100.6732177734375</c:v>
                </c:pt>
                <c:pt idx="1519">
                  <c:v>102.71263122558594</c:v>
                </c:pt>
                <c:pt idx="1520">
                  <c:v>103.07279205322266</c:v>
                </c:pt>
                <c:pt idx="1521">
                  <c:v>102.52645874023438</c:v>
                </c:pt>
                <c:pt idx="1522">
                  <c:v>101.33266448974609</c:v>
                </c:pt>
                <c:pt idx="1523">
                  <c:v>100.90336608886719</c:v>
                </c:pt>
                <c:pt idx="1524">
                  <c:v>101.5975341796875</c:v>
                </c:pt>
                <c:pt idx="1525">
                  <c:v>98.298728942871094</c:v>
                </c:pt>
                <c:pt idx="1526">
                  <c:v>97.788276672363281</c:v>
                </c:pt>
                <c:pt idx="1527">
                  <c:v>96.185455322265625</c:v>
                </c:pt>
                <c:pt idx="1528">
                  <c:v>95.822868347167969</c:v>
                </c:pt>
                <c:pt idx="1529">
                  <c:v>94.518356323242188</c:v>
                </c:pt>
                <c:pt idx="1530">
                  <c:v>95.003837585449219</c:v>
                </c:pt>
                <c:pt idx="1531">
                  <c:v>97.075828552246094</c:v>
                </c:pt>
                <c:pt idx="1532">
                  <c:v>97.699989318847656</c:v>
                </c:pt>
                <c:pt idx="1533">
                  <c:v>97.614997863769531</c:v>
                </c:pt>
                <c:pt idx="1534">
                  <c:v>96.694595336914063</c:v>
                </c:pt>
                <c:pt idx="1535">
                  <c:v>96.863372802734375</c:v>
                </c:pt>
                <c:pt idx="1536">
                  <c:v>93.1116943359375</c:v>
                </c:pt>
                <c:pt idx="1537">
                  <c:v>93.721038818359375</c:v>
                </c:pt>
                <c:pt idx="1538">
                  <c:v>94.427947998046875</c:v>
                </c:pt>
                <c:pt idx="1539">
                  <c:v>94.199951171875</c:v>
                </c:pt>
                <c:pt idx="1540">
                  <c:v>93.276702880859375</c:v>
                </c:pt>
                <c:pt idx="1541">
                  <c:v>91.660202026367188</c:v>
                </c:pt>
                <c:pt idx="1542">
                  <c:v>90.366424560546875</c:v>
                </c:pt>
                <c:pt idx="1543">
                  <c:v>90.291580200195313</c:v>
                </c:pt>
                <c:pt idx="1544">
                  <c:v>90.4410400390625</c:v>
                </c:pt>
                <c:pt idx="1545">
                  <c:v>90.899497985839844</c:v>
                </c:pt>
                <c:pt idx="1546">
                  <c:v>88.962028503417969</c:v>
                </c:pt>
                <c:pt idx="1547">
                  <c:v>87.509696960449219</c:v>
                </c:pt>
                <c:pt idx="1548">
                  <c:v>84.746894836425781</c:v>
                </c:pt>
                <c:pt idx="1549">
                  <c:v>81.566787719726563</c:v>
                </c:pt>
                <c:pt idx="1550">
                  <c:v>76.161270141601563</c:v>
                </c:pt>
                <c:pt idx="1551">
                  <c:v>73.951133728027344</c:v>
                </c:pt>
                <c:pt idx="1552">
                  <c:v>73.380897521972656</c:v>
                </c:pt>
                <c:pt idx="1553">
                  <c:v>74.081253051757813</c:v>
                </c:pt>
                <c:pt idx="1554">
                  <c:v>73.06427001953125</c:v>
                </c:pt>
                <c:pt idx="1555">
                  <c:v>72.736907958984375</c:v>
                </c:pt>
                <c:pt idx="1556">
                  <c:v>71.653793334960938</c:v>
                </c:pt>
                <c:pt idx="1557">
                  <c:v>70.337211608886719</c:v>
                </c:pt>
                <c:pt idx="1558">
                  <c:v>70.84466552734375</c:v>
                </c:pt>
                <c:pt idx="1559">
                  <c:v>75.655479431152344</c:v>
                </c:pt>
                <c:pt idx="1560">
                  <c:v>76.703697204589844</c:v>
                </c:pt>
                <c:pt idx="1561">
                  <c:v>76.799728393554688</c:v>
                </c:pt>
                <c:pt idx="1562">
                  <c:v>76.412277221679688</c:v>
                </c:pt>
                <c:pt idx="1563">
                  <c:v>76.893302917480469</c:v>
                </c:pt>
                <c:pt idx="1564">
                  <c:v>76.585205078125</c:v>
                </c:pt>
                <c:pt idx="1565">
                  <c:v>75.754005432128906</c:v>
                </c:pt>
                <c:pt idx="1566">
                  <c:v>78.817489624023438</c:v>
                </c:pt>
                <c:pt idx="1567">
                  <c:v>78.409523010253906</c:v>
                </c:pt>
                <c:pt idx="1568">
                  <c:v>76.648460388183594</c:v>
                </c:pt>
                <c:pt idx="1569">
                  <c:v>76.348678588867188</c:v>
                </c:pt>
                <c:pt idx="1570">
                  <c:v>74.927459716796875</c:v>
                </c:pt>
                <c:pt idx="1571">
                  <c:v>73.731468200683594</c:v>
                </c:pt>
                <c:pt idx="1572">
                  <c:v>74.338233947753906</c:v>
                </c:pt>
                <c:pt idx="1573">
                  <c:v>77.315139770507813</c:v>
                </c:pt>
                <c:pt idx="1574">
                  <c:v>78.544448852539063</c:v>
                </c:pt>
                <c:pt idx="1575">
                  <c:v>78.907669067382813</c:v>
                </c:pt>
                <c:pt idx="1576">
                  <c:v>80.529930114746094</c:v>
                </c:pt>
                <c:pt idx="1577">
                  <c:v>79.608985900878906</c:v>
                </c:pt>
                <c:pt idx="1578">
                  <c:v>78.010162353515625</c:v>
                </c:pt>
                <c:pt idx="1579">
                  <c:v>78.062751770019531</c:v>
                </c:pt>
                <c:pt idx="1580">
                  <c:v>78.964164733886719</c:v>
                </c:pt>
                <c:pt idx="1581">
                  <c:v>78.833274841308594</c:v>
                </c:pt>
                <c:pt idx="1582">
                  <c:v>83.0225830078125</c:v>
                </c:pt>
                <c:pt idx="1583">
                  <c:v>82.561912536621094</c:v>
                </c:pt>
                <c:pt idx="1584">
                  <c:v>81.869819641113281</c:v>
                </c:pt>
                <c:pt idx="1585">
                  <c:v>82.60711669921875</c:v>
                </c:pt>
                <c:pt idx="1586">
                  <c:v>85.153533935546875</c:v>
                </c:pt>
                <c:pt idx="1587">
                  <c:v>88.719894409179688</c:v>
                </c:pt>
                <c:pt idx="1588">
                  <c:v>87.383491516113281</c:v>
                </c:pt>
                <c:pt idx="1589">
                  <c:v>87.369667053222656</c:v>
                </c:pt>
                <c:pt idx="1590">
                  <c:v>89.356918334960938</c:v>
                </c:pt>
                <c:pt idx="1591">
                  <c:v>87.759193420410156</c:v>
                </c:pt>
                <c:pt idx="1592">
                  <c:v>85.343986511230469</c:v>
                </c:pt>
                <c:pt idx="1593">
                  <c:v>87.005722045898438</c:v>
                </c:pt>
                <c:pt idx="1594">
                  <c:v>93.565803527832031</c:v>
                </c:pt>
                <c:pt idx="1595">
                  <c:v>97.835655212402344</c:v>
                </c:pt>
                <c:pt idx="1596">
                  <c:v>98.971504211425781</c:v>
                </c:pt>
                <c:pt idx="1597">
                  <c:v>101.41647338867188</c:v>
                </c:pt>
                <c:pt idx="1598">
                  <c:v>102.3201904296875</c:v>
                </c:pt>
                <c:pt idx="1599">
                  <c:v>102.51763153076172</c:v>
                </c:pt>
                <c:pt idx="1600">
                  <c:v>104.40442657470703</c:v>
                </c:pt>
                <c:pt idx="1601">
                  <c:v>105.87862396240234</c:v>
                </c:pt>
                <c:pt idx="1602">
                  <c:v>105.78681945800781</c:v>
                </c:pt>
                <c:pt idx="1603">
                  <c:v>103.98825836181641</c:v>
                </c:pt>
                <c:pt idx="1604">
                  <c:v>106.00228118896484</c:v>
                </c:pt>
                <c:pt idx="1605">
                  <c:v>104.81855010986328</c:v>
                </c:pt>
                <c:pt idx="1606">
                  <c:v>101.82365417480469</c:v>
                </c:pt>
                <c:pt idx="1607">
                  <c:v>101.47781372070313</c:v>
                </c:pt>
                <c:pt idx="1608">
                  <c:v>102.80274200439453</c:v>
                </c:pt>
                <c:pt idx="1609">
                  <c:v>102.75955963134766</c:v>
                </c:pt>
                <c:pt idx="1610">
                  <c:v>105.12144470214844</c:v>
                </c:pt>
                <c:pt idx="1611">
                  <c:v>106.55625915527344</c:v>
                </c:pt>
                <c:pt idx="1612">
                  <c:v>104.68385314941406</c:v>
                </c:pt>
                <c:pt idx="1613">
                  <c:v>103.31203460693359</c:v>
                </c:pt>
                <c:pt idx="1614">
                  <c:v>105.89340972900391</c:v>
                </c:pt>
                <c:pt idx="1615">
                  <c:v>105.09626007080078</c:v>
                </c:pt>
                <c:pt idx="1616">
                  <c:v>104.67594909667969</c:v>
                </c:pt>
                <c:pt idx="1617">
                  <c:v>103.35652160644531</c:v>
                </c:pt>
                <c:pt idx="1618">
                  <c:v>103.79602813720703</c:v>
                </c:pt>
                <c:pt idx="1619">
                  <c:v>99.920768737792969</c:v>
                </c:pt>
                <c:pt idx="1620">
                  <c:v>97.186164855957031</c:v>
                </c:pt>
                <c:pt idx="1621">
                  <c:v>97.208511352539063</c:v>
                </c:pt>
                <c:pt idx="1622">
                  <c:v>98.64569091796875</c:v>
                </c:pt>
                <c:pt idx="1623">
                  <c:v>97.448417663574219</c:v>
                </c:pt>
                <c:pt idx="1624">
                  <c:v>92.981376647949219</c:v>
                </c:pt>
                <c:pt idx="1625">
                  <c:v>93.243881225585938</c:v>
                </c:pt>
                <c:pt idx="1626">
                  <c:v>91.56781005859375</c:v>
                </c:pt>
                <c:pt idx="1627">
                  <c:v>88.949478149414063</c:v>
                </c:pt>
                <c:pt idx="1628">
                  <c:v>90.437835693359375</c:v>
                </c:pt>
                <c:pt idx="1629">
                  <c:v>93.787994384765625</c:v>
                </c:pt>
                <c:pt idx="1630">
                  <c:v>94.878372192382813</c:v>
                </c:pt>
                <c:pt idx="1631">
                  <c:v>92.924324035644531</c:v>
                </c:pt>
                <c:pt idx="1632">
                  <c:v>94.018287658691406</c:v>
                </c:pt>
                <c:pt idx="1633">
                  <c:v>96.18255615234375</c:v>
                </c:pt>
                <c:pt idx="1634">
                  <c:v>94.536300659179688</c:v>
                </c:pt>
                <c:pt idx="1635">
                  <c:v>98.107406616210938</c:v>
                </c:pt>
                <c:pt idx="1636">
                  <c:v>99.517333984375</c:v>
                </c:pt>
                <c:pt idx="1637">
                  <c:v>102.19783782958984</c:v>
                </c:pt>
                <c:pt idx="1638">
                  <c:v>104.380615234375</c:v>
                </c:pt>
                <c:pt idx="1639">
                  <c:v>107.26030731201172</c:v>
                </c:pt>
                <c:pt idx="1640">
                  <c:v>106.02851104736328</c:v>
                </c:pt>
                <c:pt idx="1641">
                  <c:v>103.33177185058594</c:v>
                </c:pt>
                <c:pt idx="1642">
                  <c:v>102.74375152587891</c:v>
                </c:pt>
                <c:pt idx="1643">
                  <c:v>106.38468933105469</c:v>
                </c:pt>
                <c:pt idx="1644">
                  <c:v>104.30390930175781</c:v>
                </c:pt>
                <c:pt idx="1645">
                  <c:v>105.51842498779297</c:v>
                </c:pt>
                <c:pt idx="1646">
                  <c:v>104.71720123291016</c:v>
                </c:pt>
                <c:pt idx="1647">
                  <c:v>103.68685913085938</c:v>
                </c:pt>
                <c:pt idx="1648">
                  <c:v>103.09043884277344</c:v>
                </c:pt>
                <c:pt idx="1649">
                  <c:v>103.17832183837891</c:v>
                </c:pt>
                <c:pt idx="1650">
                  <c:v>104.60257720947266</c:v>
                </c:pt>
                <c:pt idx="1651">
                  <c:v>106.06405639648438</c:v>
                </c:pt>
                <c:pt idx="1652">
                  <c:v>107.57697296142578</c:v>
                </c:pt>
                <c:pt idx="1653">
                  <c:v>107.98822021484375</c:v>
                </c:pt>
                <c:pt idx="1654">
                  <c:v>106.75650024414063</c:v>
                </c:pt>
                <c:pt idx="1655">
                  <c:v>101.37932586669922</c:v>
                </c:pt>
                <c:pt idx="1656">
                  <c:v>98.806037902832031</c:v>
                </c:pt>
                <c:pt idx="1657">
                  <c:v>99.268348693847656</c:v>
                </c:pt>
                <c:pt idx="1658">
                  <c:v>99.96368408203125</c:v>
                </c:pt>
                <c:pt idx="1659">
                  <c:v>98.128334045410156</c:v>
                </c:pt>
                <c:pt idx="1660">
                  <c:v>95.235893249511719</c:v>
                </c:pt>
                <c:pt idx="1661">
                  <c:v>95.710968017578125</c:v>
                </c:pt>
                <c:pt idx="1662">
                  <c:v>93.545013427734375</c:v>
                </c:pt>
                <c:pt idx="1663">
                  <c:v>94.396522521972656</c:v>
                </c:pt>
                <c:pt idx="1664">
                  <c:v>95.728553771972656</c:v>
                </c:pt>
                <c:pt idx="1665">
                  <c:v>93.337615966796875</c:v>
                </c:pt>
                <c:pt idx="1666">
                  <c:v>93.085044860839844</c:v>
                </c:pt>
                <c:pt idx="1667">
                  <c:v>93.548255920410156</c:v>
                </c:pt>
                <c:pt idx="1668">
                  <c:v>91.144020080566406</c:v>
                </c:pt>
                <c:pt idx="1669">
                  <c:v>87.073112487792969</c:v>
                </c:pt>
                <c:pt idx="1670">
                  <c:v>88.884353637695313</c:v>
                </c:pt>
                <c:pt idx="1671">
                  <c:v>93.174263000488281</c:v>
                </c:pt>
                <c:pt idx="1672">
                  <c:v>92.412162780761719</c:v>
                </c:pt>
                <c:pt idx="1673">
                  <c:v>91.395614624023438</c:v>
                </c:pt>
                <c:pt idx="1674">
                  <c:v>92.867744445800781</c:v>
                </c:pt>
                <c:pt idx="1675">
                  <c:v>93.079269409179688</c:v>
                </c:pt>
                <c:pt idx="1676">
                  <c:v>93.646415710449219</c:v>
                </c:pt>
                <c:pt idx="1677">
                  <c:v>95.363243103027344</c:v>
                </c:pt>
                <c:pt idx="1678">
                  <c:v>102.66009521484375</c:v>
                </c:pt>
                <c:pt idx="1679">
                  <c:v>104.40993499755859</c:v>
                </c:pt>
                <c:pt idx="1680">
                  <c:v>106.00926971435547</c:v>
                </c:pt>
                <c:pt idx="1681">
                  <c:v>106.17866516113281</c:v>
                </c:pt>
                <c:pt idx="1682">
                  <c:v>105.21132659912109</c:v>
                </c:pt>
                <c:pt idx="1683">
                  <c:v>104.17068481445313</c:v>
                </c:pt>
                <c:pt idx="1684">
                  <c:v>106.63092041015625</c:v>
                </c:pt>
                <c:pt idx="1685">
                  <c:v>106.94252777099609</c:v>
                </c:pt>
                <c:pt idx="1686">
                  <c:v>109.43306732177734</c:v>
                </c:pt>
                <c:pt idx="1687">
                  <c:v>110.11690521240234</c:v>
                </c:pt>
                <c:pt idx="1688">
                  <c:v>108.69631195068359</c:v>
                </c:pt>
                <c:pt idx="1689">
                  <c:v>108.59616088867188</c:v>
                </c:pt>
                <c:pt idx="1690">
                  <c:v>109.92543029785156</c:v>
                </c:pt>
                <c:pt idx="1691">
                  <c:v>111.29316711425781</c:v>
                </c:pt>
                <c:pt idx="1692">
                  <c:v>111.81512451171875</c:v>
                </c:pt>
                <c:pt idx="1693">
                  <c:v>109.19429779052734</c:v>
                </c:pt>
                <c:pt idx="1694">
                  <c:v>109.48431396484375</c:v>
                </c:pt>
                <c:pt idx="1695">
                  <c:v>109.39305877685547</c:v>
                </c:pt>
                <c:pt idx="1696">
                  <c:v>109.11351013183594</c:v>
                </c:pt>
                <c:pt idx="1697">
                  <c:v>107.29244995117188</c:v>
                </c:pt>
                <c:pt idx="1698">
                  <c:v>109.23838806152344</c:v>
                </c:pt>
                <c:pt idx="1699">
                  <c:v>114.11571502685547</c:v>
                </c:pt>
                <c:pt idx="1700">
                  <c:v>112.31101989746094</c:v>
                </c:pt>
                <c:pt idx="1701">
                  <c:v>109.77809143066406</c:v>
                </c:pt>
                <c:pt idx="1702">
                  <c:v>108.3154296875</c:v>
                </c:pt>
                <c:pt idx="1703">
                  <c:v>105.95893096923828</c:v>
                </c:pt>
                <c:pt idx="1704">
                  <c:v>103.44407653808594</c:v>
                </c:pt>
                <c:pt idx="1705">
                  <c:v>103.66854858398438</c:v>
                </c:pt>
                <c:pt idx="1706">
                  <c:v>102.61411285400391</c:v>
                </c:pt>
                <c:pt idx="1707">
                  <c:v>102.15185546875</c:v>
                </c:pt>
                <c:pt idx="1708">
                  <c:v>95.821144104003906</c:v>
                </c:pt>
                <c:pt idx="1709">
                  <c:v>95.012359619140625</c:v>
                </c:pt>
                <c:pt idx="1710">
                  <c:v>90.82281494140625</c:v>
                </c:pt>
                <c:pt idx="1711">
                  <c:v>89.459190368652344</c:v>
                </c:pt>
                <c:pt idx="1712">
                  <c:v>88.865768432617188</c:v>
                </c:pt>
                <c:pt idx="1713">
                  <c:v>89.823516845703125</c:v>
                </c:pt>
                <c:pt idx="1714">
                  <c:v>88.064430236816406</c:v>
                </c:pt>
                <c:pt idx="1715">
                  <c:v>89.358726501464844</c:v>
                </c:pt>
                <c:pt idx="1716">
                  <c:v>88.185295104980469</c:v>
                </c:pt>
                <c:pt idx="1717">
                  <c:v>86.503707885742188</c:v>
                </c:pt>
                <c:pt idx="1718">
                  <c:v>85.495582580566406</c:v>
                </c:pt>
                <c:pt idx="1719">
                  <c:v>88.137031555175781</c:v>
                </c:pt>
                <c:pt idx="1720">
                  <c:v>93.626518249511719</c:v>
                </c:pt>
                <c:pt idx="1721">
                  <c:v>93.210174560546875</c:v>
                </c:pt>
                <c:pt idx="1722">
                  <c:v>95.891998291015625</c:v>
                </c:pt>
                <c:pt idx="1723">
                  <c:v>96.311058044433594</c:v>
                </c:pt>
                <c:pt idx="1724">
                  <c:v>94.064079284667969</c:v>
                </c:pt>
                <c:pt idx="1725">
                  <c:v>94.448974609375</c:v>
                </c:pt>
                <c:pt idx="1726">
                  <c:v>93.999885559082031</c:v>
                </c:pt>
                <c:pt idx="1727">
                  <c:v>94.673736572265625</c:v>
                </c:pt>
                <c:pt idx="1728">
                  <c:v>94.771163940429688</c:v>
                </c:pt>
                <c:pt idx="1729">
                  <c:v>91.190261840820313</c:v>
                </c:pt>
                <c:pt idx="1730">
                  <c:v>91.343009948730469</c:v>
                </c:pt>
                <c:pt idx="1731">
                  <c:v>90.091690063476563</c:v>
                </c:pt>
                <c:pt idx="1732">
                  <c:v>90.601173400878906</c:v>
                </c:pt>
                <c:pt idx="1733">
                  <c:v>92.551971435546875</c:v>
                </c:pt>
                <c:pt idx="1734">
                  <c:v>94.371818542480469</c:v>
                </c:pt>
                <c:pt idx="1735">
                  <c:v>92.7296142578125</c:v>
                </c:pt>
                <c:pt idx="1736">
                  <c:v>91.487861633300781</c:v>
                </c:pt>
                <c:pt idx="1737">
                  <c:v>92.208694458007813</c:v>
                </c:pt>
                <c:pt idx="1738">
                  <c:v>91.313156127929688</c:v>
                </c:pt>
                <c:pt idx="1739">
                  <c:v>89.8875732421875</c:v>
                </c:pt>
                <c:pt idx="1740">
                  <c:v>91.021430969238281</c:v>
                </c:pt>
                <c:pt idx="1741">
                  <c:v>92.815597534179688</c:v>
                </c:pt>
                <c:pt idx="1742">
                  <c:v>93.13604736328125</c:v>
                </c:pt>
                <c:pt idx="1743">
                  <c:v>95.145584106445313</c:v>
                </c:pt>
                <c:pt idx="1744">
                  <c:v>98.664581298828125</c:v>
                </c:pt>
                <c:pt idx="1745">
                  <c:v>99.450202941894531</c:v>
                </c:pt>
                <c:pt idx="1746">
                  <c:v>100.25969696044922</c:v>
                </c:pt>
                <c:pt idx="1747">
                  <c:v>102.66117858886719</c:v>
                </c:pt>
                <c:pt idx="1748">
                  <c:v>103.78470611572266</c:v>
                </c:pt>
                <c:pt idx="1749">
                  <c:v>104.27078247070313</c:v>
                </c:pt>
                <c:pt idx="1750">
                  <c:v>99.65179443359375</c:v>
                </c:pt>
                <c:pt idx="1751">
                  <c:v>99.359085083007813</c:v>
                </c:pt>
                <c:pt idx="1752">
                  <c:v>97.894378662109375</c:v>
                </c:pt>
                <c:pt idx="1753">
                  <c:v>94.87835693359375</c:v>
                </c:pt>
                <c:pt idx="1754">
                  <c:v>95.307853698730469</c:v>
                </c:pt>
                <c:pt idx="1755">
                  <c:v>93.507057189941406</c:v>
                </c:pt>
                <c:pt idx="1756">
                  <c:v>94.989578247070313</c:v>
                </c:pt>
                <c:pt idx="1757">
                  <c:v>95.425201416015625</c:v>
                </c:pt>
                <c:pt idx="1758">
                  <c:v>95.98388671875</c:v>
                </c:pt>
                <c:pt idx="1759">
                  <c:v>94.584747314453125</c:v>
                </c:pt>
                <c:pt idx="1760">
                  <c:v>91.905158996582031</c:v>
                </c:pt>
                <c:pt idx="1761">
                  <c:v>93.8873291015625</c:v>
                </c:pt>
                <c:pt idx="1762">
                  <c:v>95.019119262695313</c:v>
                </c:pt>
                <c:pt idx="1763">
                  <c:v>95.610260009765625</c:v>
                </c:pt>
                <c:pt idx="1764">
                  <c:v>95.3770751953125</c:v>
                </c:pt>
                <c:pt idx="1765">
                  <c:v>96.410789489746094</c:v>
                </c:pt>
                <c:pt idx="1766">
                  <c:v>96.888557434082031</c:v>
                </c:pt>
                <c:pt idx="1767">
                  <c:v>94.989540100097656</c:v>
                </c:pt>
                <c:pt idx="1768">
                  <c:v>95.159324645996094</c:v>
                </c:pt>
                <c:pt idx="1769">
                  <c:v>96.458366394042969</c:v>
                </c:pt>
                <c:pt idx="1770">
                  <c:v>97.552719116210938</c:v>
                </c:pt>
                <c:pt idx="1771">
                  <c:v>95.714004516601563</c:v>
                </c:pt>
                <c:pt idx="1772">
                  <c:v>96.263038635253906</c:v>
                </c:pt>
                <c:pt idx="1773">
                  <c:v>91.652679443359375</c:v>
                </c:pt>
                <c:pt idx="1774">
                  <c:v>86.69561767578125</c:v>
                </c:pt>
                <c:pt idx="1775">
                  <c:v>86.346183776855469</c:v>
                </c:pt>
                <c:pt idx="1776">
                  <c:v>85.264762878417969</c:v>
                </c:pt>
                <c:pt idx="1777">
                  <c:v>86.653671264648438</c:v>
                </c:pt>
                <c:pt idx="1778">
                  <c:v>85.911125183105469</c:v>
                </c:pt>
                <c:pt idx="1779">
                  <c:v>81.963470458984375</c:v>
                </c:pt>
                <c:pt idx="1780">
                  <c:v>80.446487426757813</c:v>
                </c:pt>
                <c:pt idx="1781">
                  <c:v>79.35845947265625</c:v>
                </c:pt>
                <c:pt idx="1782">
                  <c:v>79.221900939941406</c:v>
                </c:pt>
                <c:pt idx="1783">
                  <c:v>80.044822692871094</c:v>
                </c:pt>
                <c:pt idx="1784">
                  <c:v>80.327552795410156</c:v>
                </c:pt>
                <c:pt idx="1785">
                  <c:v>80.613967895507813</c:v>
                </c:pt>
                <c:pt idx="1786">
                  <c:v>79.521591186523438</c:v>
                </c:pt>
                <c:pt idx="1787">
                  <c:v>76.885391235351563</c:v>
                </c:pt>
                <c:pt idx="1788">
                  <c:v>73.938278198242188</c:v>
                </c:pt>
                <c:pt idx="1789">
                  <c:v>74.202873229980469</c:v>
                </c:pt>
                <c:pt idx="1790">
                  <c:v>76.296615600585938</c:v>
                </c:pt>
                <c:pt idx="1791">
                  <c:v>76.128395080566406</c:v>
                </c:pt>
                <c:pt idx="1792">
                  <c:v>74.22833251953125</c:v>
                </c:pt>
                <c:pt idx="1793">
                  <c:v>74.064605712890625</c:v>
                </c:pt>
                <c:pt idx="1794">
                  <c:v>73.708915710449219</c:v>
                </c:pt>
                <c:pt idx="1795">
                  <c:v>72.335525512695313</c:v>
                </c:pt>
                <c:pt idx="1796">
                  <c:v>72.904571533203125</c:v>
                </c:pt>
                <c:pt idx="1797">
                  <c:v>73.955886840820313</c:v>
                </c:pt>
                <c:pt idx="1798">
                  <c:v>73.5699462890625</c:v>
                </c:pt>
                <c:pt idx="1799">
                  <c:v>74.410049438476563</c:v>
                </c:pt>
                <c:pt idx="1800">
                  <c:v>74.505523681640625</c:v>
                </c:pt>
                <c:pt idx="1801">
                  <c:v>72.792823791503906</c:v>
                </c:pt>
                <c:pt idx="1802">
                  <c:v>70.743850708007813</c:v>
                </c:pt>
                <c:pt idx="1803">
                  <c:v>72.609039306640625</c:v>
                </c:pt>
                <c:pt idx="1804">
                  <c:v>73.299003601074219</c:v>
                </c:pt>
                <c:pt idx="1805">
                  <c:v>73.460380554199219</c:v>
                </c:pt>
                <c:pt idx="1806">
                  <c:v>74.636344909667969</c:v>
                </c:pt>
                <c:pt idx="1807">
                  <c:v>72.618896484375</c:v>
                </c:pt>
                <c:pt idx="1808">
                  <c:v>71.369400024414063</c:v>
                </c:pt>
                <c:pt idx="1809">
                  <c:v>70.47894287109375</c:v>
                </c:pt>
                <c:pt idx="1810">
                  <c:v>71.334526062011719</c:v>
                </c:pt>
                <c:pt idx="1811">
                  <c:v>71.614151000976563</c:v>
                </c:pt>
                <c:pt idx="1812">
                  <c:v>71.948402404785156</c:v>
                </c:pt>
                <c:pt idx="1813">
                  <c:v>72.209808349609375</c:v>
                </c:pt>
                <c:pt idx="1814">
                  <c:v>70.46258544921875</c:v>
                </c:pt>
                <c:pt idx="1815">
                  <c:v>70.124687194824219</c:v>
                </c:pt>
                <c:pt idx="1816">
                  <c:v>68.829063415527344</c:v>
                </c:pt>
                <c:pt idx="1817">
                  <c:v>68.748664855957031</c:v>
                </c:pt>
                <c:pt idx="1818">
                  <c:v>68.940528869628906</c:v>
                </c:pt>
                <c:pt idx="1819">
                  <c:v>69.2320556640625</c:v>
                </c:pt>
                <c:pt idx="1820">
                  <c:v>68.354965209960938</c:v>
                </c:pt>
                <c:pt idx="1821">
                  <c:v>68.977027893066406</c:v>
                </c:pt>
                <c:pt idx="1822">
                  <c:v>69.741287231445313</c:v>
                </c:pt>
                <c:pt idx="1823">
                  <c:v>67.338790893554688</c:v>
                </c:pt>
                <c:pt idx="1824">
                  <c:v>69.211174011230469</c:v>
                </c:pt>
                <c:pt idx="1825">
                  <c:v>72.741058349609375</c:v>
                </c:pt>
                <c:pt idx="1826">
                  <c:v>73.962677001953125</c:v>
                </c:pt>
                <c:pt idx="1827">
                  <c:v>76.540565490722656</c:v>
                </c:pt>
                <c:pt idx="1828">
                  <c:v>77.644950866699219</c:v>
                </c:pt>
                <c:pt idx="1829">
                  <c:v>81.873146057128906</c:v>
                </c:pt>
                <c:pt idx="1830">
                  <c:v>85.559638977050781</c:v>
                </c:pt>
                <c:pt idx="1831">
                  <c:v>93.551345825195313</c:v>
                </c:pt>
                <c:pt idx="1832">
                  <c:v>106.08412170410156</c:v>
                </c:pt>
                <c:pt idx="1833">
                  <c:v>109.34382629394531</c:v>
                </c:pt>
                <c:pt idx="1834">
                  <c:v>119.94896697998047</c:v>
                </c:pt>
                <c:pt idx="1835">
                  <c:v>122.27806854248047</c:v>
                </c:pt>
                <c:pt idx="1836">
                  <c:v>123.02713775634766</c:v>
                </c:pt>
                <c:pt idx="1837">
                  <c:v>125.56403350830078</c:v>
                </c:pt>
                <c:pt idx="1838">
                  <c:v>129.04461669921875</c:v>
                </c:pt>
                <c:pt idx="1839">
                  <c:v>131.82518005371094</c:v>
                </c:pt>
                <c:pt idx="1840">
                  <c:v>133.778564453125</c:v>
                </c:pt>
                <c:pt idx="1841">
                  <c:v>135.89915466308594</c:v>
                </c:pt>
                <c:pt idx="1842">
                  <c:v>136.25576782226563</c:v>
                </c:pt>
                <c:pt idx="1843">
                  <c:v>135.24934387207031</c:v>
                </c:pt>
                <c:pt idx="1844">
                  <c:v>136.70945739746094</c:v>
                </c:pt>
                <c:pt idx="1845">
                  <c:v>138.92134094238281</c:v>
                </c:pt>
                <c:pt idx="1846">
                  <c:v>142.0517578125</c:v>
                </c:pt>
                <c:pt idx="1847">
                  <c:v>143.49119567871094</c:v>
                </c:pt>
                <c:pt idx="1848">
                  <c:v>144.65306091308594</c:v>
                </c:pt>
                <c:pt idx="1849">
                  <c:v>144.87254333496094</c:v>
                </c:pt>
                <c:pt idx="1850">
                  <c:v>144.50447082519531</c:v>
                </c:pt>
                <c:pt idx="1851">
                  <c:v>141.55169677734375</c:v>
                </c:pt>
                <c:pt idx="1852">
                  <c:v>141.92076110839844</c:v>
                </c:pt>
                <c:pt idx="1853">
                  <c:v>144.03047180175781</c:v>
                </c:pt>
                <c:pt idx="1854">
                  <c:v>141.30958557128906</c:v>
                </c:pt>
                <c:pt idx="1855">
                  <c:v>142.0667724609375</c:v>
                </c:pt>
                <c:pt idx="1856">
                  <c:v>140.71502685546875</c:v>
                </c:pt>
                <c:pt idx="1857">
                  <c:v>138.24392700195313</c:v>
                </c:pt>
                <c:pt idx="1858">
                  <c:v>136.92245483398438</c:v>
                </c:pt>
                <c:pt idx="1859">
                  <c:v>132.83998107910156</c:v>
                </c:pt>
                <c:pt idx="1860">
                  <c:v>130.98518371582031</c:v>
                </c:pt>
                <c:pt idx="1861">
                  <c:v>124.8638916015625</c:v>
                </c:pt>
                <c:pt idx="1862">
                  <c:v>114.10307312011719</c:v>
                </c:pt>
                <c:pt idx="1863">
                  <c:v>110.71504974365234</c:v>
                </c:pt>
                <c:pt idx="1864">
                  <c:v>98.605392456054688</c:v>
                </c:pt>
                <c:pt idx="1865">
                  <c:v>94.077796936035156</c:v>
                </c:pt>
                <c:pt idx="1866">
                  <c:v>90.897651672363281</c:v>
                </c:pt>
                <c:pt idx="1867">
                  <c:v>88.048576354980469</c:v>
                </c:pt>
                <c:pt idx="1868">
                  <c:v>85.025489807128906</c:v>
                </c:pt>
                <c:pt idx="1869">
                  <c:v>82.5947265625</c:v>
                </c:pt>
                <c:pt idx="1870">
                  <c:v>80.449813842773438</c:v>
                </c:pt>
                <c:pt idx="1871">
                  <c:v>77.383575439453125</c:v>
                </c:pt>
                <c:pt idx="1872">
                  <c:v>75.503868103027344</c:v>
                </c:pt>
                <c:pt idx="1873">
                  <c:v>77.031501770019531</c:v>
                </c:pt>
                <c:pt idx="1874">
                  <c:v>76.702033996582031</c:v>
                </c:pt>
                <c:pt idx="1875">
                  <c:v>74.556594848632813</c:v>
                </c:pt>
                <c:pt idx="1876">
                  <c:v>74.289283752441406</c:v>
                </c:pt>
                <c:pt idx="1877">
                  <c:v>75.153701782226563</c:v>
                </c:pt>
                <c:pt idx="1878">
                  <c:v>74.629127502441406</c:v>
                </c:pt>
                <c:pt idx="1879">
                  <c:v>74.160438537597656</c:v>
                </c:pt>
                <c:pt idx="1880">
                  <c:v>75.753509521484375</c:v>
                </c:pt>
                <c:pt idx="1881">
                  <c:v>78.824287414550781</c:v>
                </c:pt>
                <c:pt idx="1882">
                  <c:v>79.84393310546875</c:v>
                </c:pt>
                <c:pt idx="1883">
                  <c:v>78.656379699707031</c:v>
                </c:pt>
                <c:pt idx="1884">
                  <c:v>78.927101135253906</c:v>
                </c:pt>
                <c:pt idx="1885">
                  <c:v>75.668693542480469</c:v>
                </c:pt>
                <c:pt idx="1886">
                  <c:v>74.991958618164063</c:v>
                </c:pt>
                <c:pt idx="1887">
                  <c:v>75.564842224121094</c:v>
                </c:pt>
                <c:pt idx="1888">
                  <c:v>78.294448852539063</c:v>
                </c:pt>
                <c:pt idx="1889">
                  <c:v>79.541358947753906</c:v>
                </c:pt>
                <c:pt idx="1890">
                  <c:v>77.393905639648438</c:v>
                </c:pt>
                <c:pt idx="1891">
                  <c:v>76.826560974121094</c:v>
                </c:pt>
                <c:pt idx="1892">
                  <c:v>75.94769287109375</c:v>
                </c:pt>
                <c:pt idx="1893">
                  <c:v>75.485343933105469</c:v>
                </c:pt>
                <c:pt idx="1894">
                  <c:v>76.873115539550781</c:v>
                </c:pt>
                <c:pt idx="1895">
                  <c:v>78.212203979492188</c:v>
                </c:pt>
                <c:pt idx="1896">
                  <c:v>80.419677734375</c:v>
                </c:pt>
                <c:pt idx="1897">
                  <c:v>79.905586242675781</c:v>
                </c:pt>
                <c:pt idx="1898">
                  <c:v>80.106697082519531</c:v>
                </c:pt>
                <c:pt idx="1899">
                  <c:v>80.376609802246094</c:v>
                </c:pt>
                <c:pt idx="1900">
                  <c:v>78.473220825195313</c:v>
                </c:pt>
                <c:pt idx="1901">
                  <c:v>77.823028564453125</c:v>
                </c:pt>
                <c:pt idx="1902">
                  <c:v>78.678451538085938</c:v>
                </c:pt>
                <c:pt idx="1903">
                  <c:v>78.777244567871094</c:v>
                </c:pt>
                <c:pt idx="1904">
                  <c:v>78.96856689453125</c:v>
                </c:pt>
                <c:pt idx="1905">
                  <c:v>79.070236206054688</c:v>
                </c:pt>
                <c:pt idx="1906">
                  <c:v>77.357978820800781</c:v>
                </c:pt>
                <c:pt idx="1907">
                  <c:v>76.554550170898438</c:v>
                </c:pt>
                <c:pt idx="1908">
                  <c:v>78.016395568847656</c:v>
                </c:pt>
                <c:pt idx="1909">
                  <c:v>83.1201171875</c:v>
                </c:pt>
                <c:pt idx="1910">
                  <c:v>82.201423645019531</c:v>
                </c:pt>
                <c:pt idx="1911">
                  <c:v>80.243240356445313</c:v>
                </c:pt>
                <c:pt idx="1912">
                  <c:v>78.560821533203125</c:v>
                </c:pt>
                <c:pt idx="1913">
                  <c:v>78.690834045410156</c:v>
                </c:pt>
                <c:pt idx="1914">
                  <c:v>82.110916137695313</c:v>
                </c:pt>
                <c:pt idx="1915">
                  <c:v>82.55096435546875</c:v>
                </c:pt>
                <c:pt idx="1916">
                  <c:v>83.737129211425781</c:v>
                </c:pt>
                <c:pt idx="1917">
                  <c:v>82.382514953613281</c:v>
                </c:pt>
                <c:pt idx="1918">
                  <c:v>79.867721557617188</c:v>
                </c:pt>
                <c:pt idx="1919">
                  <c:v>77.856094360351563</c:v>
                </c:pt>
                <c:pt idx="1920">
                  <c:v>77.766433715820313</c:v>
                </c:pt>
                <c:pt idx="1921">
                  <c:v>79.226837158203125</c:v>
                </c:pt>
                <c:pt idx="1922">
                  <c:v>80.395584106445313</c:v>
                </c:pt>
                <c:pt idx="1923">
                  <c:v>81.776771545410156</c:v>
                </c:pt>
                <c:pt idx="1924">
                  <c:v>81.95709228515625</c:v>
                </c:pt>
                <c:pt idx="1925">
                  <c:v>81.599227905273438</c:v>
                </c:pt>
                <c:pt idx="1926">
                  <c:v>81.416023254394531</c:v>
                </c:pt>
                <c:pt idx="1927">
                  <c:v>80.352333068847656</c:v>
                </c:pt>
                <c:pt idx="1928">
                  <c:v>79.506378173828125</c:v>
                </c:pt>
                <c:pt idx="1929">
                  <c:v>80.234016418457031</c:v>
                </c:pt>
                <c:pt idx="1930">
                  <c:v>82.203636169433594</c:v>
                </c:pt>
                <c:pt idx="1931">
                  <c:v>84.039443969726563</c:v>
                </c:pt>
                <c:pt idx="1932">
                  <c:v>82.351478576660156</c:v>
                </c:pt>
                <c:pt idx="1933">
                  <c:v>81.881431579589844</c:v>
                </c:pt>
                <c:pt idx="1934">
                  <c:v>80.370079040527344</c:v>
                </c:pt>
                <c:pt idx="1935">
                  <c:v>79.6923828125</c:v>
                </c:pt>
                <c:pt idx="1936">
                  <c:v>78.556976318359375</c:v>
                </c:pt>
                <c:pt idx="1937">
                  <c:v>77.69903564453125</c:v>
                </c:pt>
                <c:pt idx="1938">
                  <c:v>78.234695434570313</c:v>
                </c:pt>
                <c:pt idx="1939">
                  <c:v>75.232154846191406</c:v>
                </c:pt>
                <c:pt idx="1940">
                  <c:v>74.981407165527344</c:v>
                </c:pt>
                <c:pt idx="1941">
                  <c:v>74.711616516113281</c:v>
                </c:pt>
                <c:pt idx="1942">
                  <c:v>74.340545654296875</c:v>
                </c:pt>
                <c:pt idx="1943">
                  <c:v>73.711723327636719</c:v>
                </c:pt>
                <c:pt idx="1944">
                  <c:v>71.643218994140625</c:v>
                </c:pt>
                <c:pt idx="1945">
                  <c:v>70.841361999511719</c:v>
                </c:pt>
                <c:pt idx="1946">
                  <c:v>69.764320373535156</c:v>
                </c:pt>
                <c:pt idx="1947">
                  <c:v>69.591522216796875</c:v>
                </c:pt>
                <c:pt idx="1948">
                  <c:v>70.337020874023438</c:v>
                </c:pt>
                <c:pt idx="1949">
                  <c:v>68.389541625976563</c:v>
                </c:pt>
                <c:pt idx="1950">
                  <c:v>67.826255798339844</c:v>
                </c:pt>
                <c:pt idx="1951">
                  <c:v>66.042900085449219</c:v>
                </c:pt>
                <c:pt idx="1952">
                  <c:v>65.425132751464844</c:v>
                </c:pt>
                <c:pt idx="1953">
                  <c:v>63.745647430419922</c:v>
                </c:pt>
                <c:pt idx="1954">
                  <c:v>63.487873077392578</c:v>
                </c:pt>
                <c:pt idx="1955">
                  <c:v>62.279808044433594</c:v>
                </c:pt>
                <c:pt idx="1956">
                  <c:v>60.820953369140625</c:v>
                </c:pt>
                <c:pt idx="1957">
                  <c:v>60.653778076171875</c:v>
                </c:pt>
                <c:pt idx="1958">
                  <c:v>60.545364379882813</c:v>
                </c:pt>
                <c:pt idx="1959">
                  <c:v>59.570484161376953</c:v>
                </c:pt>
                <c:pt idx="1960">
                  <c:v>59.269088745117188</c:v>
                </c:pt>
                <c:pt idx="1961">
                  <c:v>57.812026977539063</c:v>
                </c:pt>
                <c:pt idx="1962">
                  <c:v>57.929370880126953</c:v>
                </c:pt>
                <c:pt idx="1963">
                  <c:v>57.994895935058594</c:v>
                </c:pt>
                <c:pt idx="1964">
                  <c:v>61.037223815917969</c:v>
                </c:pt>
                <c:pt idx="1965">
                  <c:v>63.104022979736328</c:v>
                </c:pt>
                <c:pt idx="1966">
                  <c:v>65.564521789550781</c:v>
                </c:pt>
                <c:pt idx="1967">
                  <c:v>66.201957702636719</c:v>
                </c:pt>
                <c:pt idx="1968">
                  <c:v>66.148368835449219</c:v>
                </c:pt>
                <c:pt idx="1969">
                  <c:v>63.994777679443359</c:v>
                </c:pt>
                <c:pt idx="1970">
                  <c:v>63.059024810791016</c:v>
                </c:pt>
                <c:pt idx="1971">
                  <c:v>65.743087768554688</c:v>
                </c:pt>
                <c:pt idx="1972">
                  <c:v>68.388580322265625</c:v>
                </c:pt>
                <c:pt idx="1973">
                  <c:v>67.536064147949219</c:v>
                </c:pt>
                <c:pt idx="1974">
                  <c:v>66.38055419921875</c:v>
                </c:pt>
                <c:pt idx="1975">
                  <c:v>68.313522338867188</c:v>
                </c:pt>
                <c:pt idx="1976">
                  <c:v>69.223411560058594</c:v>
                </c:pt>
                <c:pt idx="1977">
                  <c:v>69.804397583007813</c:v>
                </c:pt>
                <c:pt idx="1978">
                  <c:v>69.269180297851563</c:v>
                </c:pt>
                <c:pt idx="1979">
                  <c:v>71.165611267089844</c:v>
                </c:pt>
                <c:pt idx="1980">
                  <c:v>72.996742248535156</c:v>
                </c:pt>
                <c:pt idx="1981">
                  <c:v>72.813911437988281</c:v>
                </c:pt>
                <c:pt idx="1982">
                  <c:v>73.786735534667969</c:v>
                </c:pt>
                <c:pt idx="1983">
                  <c:v>73.751716613769531</c:v>
                </c:pt>
                <c:pt idx="1984">
                  <c:v>73.431076049804688</c:v>
                </c:pt>
                <c:pt idx="1985">
                  <c:v>74.796981811523438</c:v>
                </c:pt>
                <c:pt idx="1986">
                  <c:v>75.682998657226563</c:v>
                </c:pt>
                <c:pt idx="1987">
                  <c:v>77.608802795410156</c:v>
                </c:pt>
                <c:pt idx="1988">
                  <c:v>79.208122253417969</c:v>
                </c:pt>
                <c:pt idx="1989">
                  <c:v>79.677452087402344</c:v>
                </c:pt>
                <c:pt idx="1990">
                  <c:v>78.901832580566406</c:v>
                </c:pt>
                <c:pt idx="1991">
                  <c:v>78.269889831542969</c:v>
                </c:pt>
                <c:pt idx="1992">
                  <c:v>79.966529846191406</c:v>
                </c:pt>
                <c:pt idx="1993">
                  <c:v>80.090774536132813</c:v>
                </c:pt>
                <c:pt idx="1994">
                  <c:v>80.633583068847656</c:v>
                </c:pt>
                <c:pt idx="1995">
                  <c:v>80.694869995117188</c:v>
                </c:pt>
                <c:pt idx="1996">
                  <c:v>79.16583251953125</c:v>
                </c:pt>
                <c:pt idx="1997">
                  <c:v>79.463294982910156</c:v>
                </c:pt>
                <c:pt idx="1998">
                  <c:v>76.390579223632813</c:v>
                </c:pt>
                <c:pt idx="1999">
                  <c:v>79.561309814453125</c:v>
                </c:pt>
                <c:pt idx="2000">
                  <c:v>80.848724365234375</c:v>
                </c:pt>
                <c:pt idx="2001">
                  <c:v>79.218223571777344</c:v>
                </c:pt>
                <c:pt idx="2002">
                  <c:v>76.565628051757813</c:v>
                </c:pt>
                <c:pt idx="2003">
                  <c:v>77.262893676757813</c:v>
                </c:pt>
                <c:pt idx="2004">
                  <c:v>76.215843200683594</c:v>
                </c:pt>
                <c:pt idx="2005">
                  <c:v>72.844215393066406</c:v>
                </c:pt>
                <c:pt idx="2006">
                  <c:v>71.636276245117188</c:v>
                </c:pt>
                <c:pt idx="2007">
                  <c:v>71.605735778808594</c:v>
                </c:pt>
                <c:pt idx="2008">
                  <c:v>73.404006958007813</c:v>
                </c:pt>
                <c:pt idx="2009">
                  <c:v>71.415641784667969</c:v>
                </c:pt>
                <c:pt idx="2010">
                  <c:v>69.063705444335938</c:v>
                </c:pt>
                <c:pt idx="2011">
                  <c:v>68.673919677734375</c:v>
                </c:pt>
                <c:pt idx="2012">
                  <c:v>66.911720275878906</c:v>
                </c:pt>
                <c:pt idx="2013">
                  <c:v>67.47564697265625</c:v>
                </c:pt>
                <c:pt idx="2014">
                  <c:v>68.98602294921875</c:v>
                </c:pt>
                <c:pt idx="2015">
                  <c:v>69.084625244140625</c:v>
                </c:pt>
                <c:pt idx="2016">
                  <c:v>68.668937683105469</c:v>
                </c:pt>
                <c:pt idx="2017">
                  <c:v>68.727012634277344</c:v>
                </c:pt>
                <c:pt idx="2018">
                  <c:v>66.5164794921875</c:v>
                </c:pt>
                <c:pt idx="2019">
                  <c:v>64.912101745605469</c:v>
                </c:pt>
                <c:pt idx="2020">
                  <c:v>66.041114807128906</c:v>
                </c:pt>
                <c:pt idx="2021">
                  <c:v>68.272438049316406</c:v>
                </c:pt>
                <c:pt idx="2022">
                  <c:v>68.299018859863281</c:v>
                </c:pt>
                <c:pt idx="2023">
                  <c:v>66.641860961914063</c:v>
                </c:pt>
                <c:pt idx="2024">
                  <c:v>62.873172760009766</c:v>
                </c:pt>
                <c:pt idx="2025">
                  <c:v>60.523681640625</c:v>
                </c:pt>
                <c:pt idx="2026">
                  <c:v>59.844921112060547</c:v>
                </c:pt>
                <c:pt idx="2027">
                  <c:v>60.013023376464844</c:v>
                </c:pt>
                <c:pt idx="2028">
                  <c:v>62.438304901123047</c:v>
                </c:pt>
                <c:pt idx="2029">
                  <c:v>61.961090087890625</c:v>
                </c:pt>
                <c:pt idx="2030">
                  <c:v>62.683109283447266</c:v>
                </c:pt>
                <c:pt idx="2031">
                  <c:v>63.100879669189453</c:v>
                </c:pt>
                <c:pt idx="2032">
                  <c:v>62.932552337646484</c:v>
                </c:pt>
                <c:pt idx="2033">
                  <c:v>62.762668609619141</c:v>
                </c:pt>
                <c:pt idx="2034">
                  <c:v>66.348251342773438</c:v>
                </c:pt>
                <c:pt idx="2035">
                  <c:v>69.193107604980469</c:v>
                </c:pt>
                <c:pt idx="2036">
                  <c:v>70.289848327636719</c:v>
                </c:pt>
                <c:pt idx="2037">
                  <c:v>69.528450012207031</c:v>
                </c:pt>
                <c:pt idx="2038">
                  <c:v>67.220687866210938</c:v>
                </c:pt>
                <c:pt idx="2039">
                  <c:v>67.332260131835938</c:v>
                </c:pt>
                <c:pt idx="2040">
                  <c:v>66.711570739746094</c:v>
                </c:pt>
                <c:pt idx="2041">
                  <c:v>67.301856994628906</c:v>
                </c:pt>
                <c:pt idx="2042">
                  <c:v>67.021888732910156</c:v>
                </c:pt>
                <c:pt idx="2043">
                  <c:v>65.748199462890625</c:v>
                </c:pt>
                <c:pt idx="2044">
                  <c:v>65.954681396484375</c:v>
                </c:pt>
                <c:pt idx="2045">
                  <c:v>65.128471374511719</c:v>
                </c:pt>
                <c:pt idx="2046">
                  <c:v>64.174407958984375</c:v>
                </c:pt>
                <c:pt idx="2047">
                  <c:v>62.241306304931641</c:v>
                </c:pt>
                <c:pt idx="2048">
                  <c:v>62.890758514404297</c:v>
                </c:pt>
                <c:pt idx="2049">
                  <c:v>63.884258270263672</c:v>
                </c:pt>
                <c:pt idx="2050">
                  <c:v>62.854366302490234</c:v>
                </c:pt>
                <c:pt idx="2051">
                  <c:v>62.690971374511719</c:v>
                </c:pt>
                <c:pt idx="2052">
                  <c:v>60.71142578125</c:v>
                </c:pt>
                <c:pt idx="2053">
                  <c:v>62.468093872070313</c:v>
                </c:pt>
                <c:pt idx="2054">
                  <c:v>63.329620361328125</c:v>
                </c:pt>
                <c:pt idx="2055">
                  <c:v>64.486785888671875</c:v>
                </c:pt>
                <c:pt idx="2056">
                  <c:v>66.17474365234375</c:v>
                </c:pt>
                <c:pt idx="2057">
                  <c:v>64.824180603027344</c:v>
                </c:pt>
                <c:pt idx="2058">
                  <c:v>65.017105102539063</c:v>
                </c:pt>
                <c:pt idx="2059">
                  <c:v>66.656036376953125</c:v>
                </c:pt>
                <c:pt idx="2060">
                  <c:v>65.892814636230469</c:v>
                </c:pt>
                <c:pt idx="2061">
                  <c:v>63.633388519287109</c:v>
                </c:pt>
                <c:pt idx="2062">
                  <c:v>64.816848754882813</c:v>
                </c:pt>
                <c:pt idx="2063">
                  <c:v>66.3746337890625</c:v>
                </c:pt>
                <c:pt idx="2064">
                  <c:v>65.324447631835938</c:v>
                </c:pt>
                <c:pt idx="2065">
                  <c:v>66.0059814453125</c:v>
                </c:pt>
                <c:pt idx="2066">
                  <c:v>65.44610595703125</c:v>
                </c:pt>
                <c:pt idx="2067">
                  <c:v>65.14801025390625</c:v>
                </c:pt>
                <c:pt idx="2068">
                  <c:v>64.140289306640625</c:v>
                </c:pt>
                <c:pt idx="2069">
                  <c:v>66.203262329101563</c:v>
                </c:pt>
                <c:pt idx="2070">
                  <c:v>68.903785705566406</c:v>
                </c:pt>
                <c:pt idx="2071">
                  <c:v>71.138351440429688</c:v>
                </c:pt>
                <c:pt idx="2072">
                  <c:v>72.655906677246094</c:v>
                </c:pt>
                <c:pt idx="2073">
                  <c:v>74.692619323730469</c:v>
                </c:pt>
                <c:pt idx="2074">
                  <c:v>72.850837707519531</c:v>
                </c:pt>
                <c:pt idx="2075">
                  <c:v>72.340110778808594</c:v>
                </c:pt>
                <c:pt idx="2076">
                  <c:v>76.417366027832031</c:v>
                </c:pt>
                <c:pt idx="2077">
                  <c:v>77.389640808105469</c:v>
                </c:pt>
                <c:pt idx="2078">
                  <c:v>77.614295959472656</c:v>
                </c:pt>
                <c:pt idx="2079">
                  <c:v>80.612983703613281</c:v>
                </c:pt>
                <c:pt idx="2080">
                  <c:v>83.416748046875</c:v>
                </c:pt>
                <c:pt idx="2081">
                  <c:v>82.308395385742188</c:v>
                </c:pt>
                <c:pt idx="2082">
                  <c:v>83.690109252929688</c:v>
                </c:pt>
                <c:pt idx="2083">
                  <c:v>83.194114685058594</c:v>
                </c:pt>
                <c:pt idx="2084">
                  <c:v>84.919914245605469</c:v>
                </c:pt>
                <c:pt idx="2085">
                  <c:v>85.484077453613281</c:v>
                </c:pt>
                <c:pt idx="2086">
                  <c:v>86.016700744628906</c:v>
                </c:pt>
                <c:pt idx="2087">
                  <c:v>87.339363098144531</c:v>
                </c:pt>
                <c:pt idx="2088">
                  <c:v>84.777313232421875</c:v>
                </c:pt>
                <c:pt idx="2089">
                  <c:v>81.142372131347656</c:v>
                </c:pt>
                <c:pt idx="2090">
                  <c:v>81.067977905273438</c:v>
                </c:pt>
                <c:pt idx="2091">
                  <c:v>83.381935119628906</c:v>
                </c:pt>
                <c:pt idx="2092">
                  <c:v>83.079544067382813</c:v>
                </c:pt>
                <c:pt idx="2093">
                  <c:v>82.375724792480469</c:v>
                </c:pt>
                <c:pt idx="2094">
                  <c:v>80.698394775390625</c:v>
                </c:pt>
                <c:pt idx="2095">
                  <c:v>77.363731384277344</c:v>
                </c:pt>
                <c:pt idx="2096">
                  <c:v>77.295326232910156</c:v>
                </c:pt>
                <c:pt idx="2097">
                  <c:v>79.270919799804688</c:v>
                </c:pt>
                <c:pt idx="2098">
                  <c:v>82.496742248535156</c:v>
                </c:pt>
                <c:pt idx="2099">
                  <c:v>83.041084289550781</c:v>
                </c:pt>
                <c:pt idx="2100">
                  <c:v>82.028755187988281</c:v>
                </c:pt>
                <c:pt idx="2101">
                  <c:v>81.78607177734375</c:v>
                </c:pt>
                <c:pt idx="2102">
                  <c:v>80.12542724609375</c:v>
                </c:pt>
                <c:pt idx="2103">
                  <c:v>79.448905944824219</c:v>
                </c:pt>
                <c:pt idx="2104">
                  <c:v>79.775810241699219</c:v>
                </c:pt>
                <c:pt idx="2105">
                  <c:v>81.682868957519531</c:v>
                </c:pt>
                <c:pt idx="2106">
                  <c:v>79.4737548828125</c:v>
                </c:pt>
                <c:pt idx="2107">
                  <c:v>80.975173950195313</c:v>
                </c:pt>
                <c:pt idx="2108">
                  <c:v>82.116691589355469</c:v>
                </c:pt>
                <c:pt idx="2109">
                  <c:v>79.144767761230469</c:v>
                </c:pt>
                <c:pt idx="2110">
                  <c:v>75.643051147460938</c:v>
                </c:pt>
                <c:pt idx="2111">
                  <c:v>76.04547119140625</c:v>
                </c:pt>
                <c:pt idx="2112">
                  <c:v>75.790496826171875</c:v>
                </c:pt>
                <c:pt idx="2113">
                  <c:v>75.136665344238281</c:v>
                </c:pt>
                <c:pt idx="2114">
                  <c:v>74.871055603027344</c:v>
                </c:pt>
                <c:pt idx="2115">
                  <c:v>76.238853454589844</c:v>
                </c:pt>
                <c:pt idx="2116">
                  <c:v>74.443107604980469</c:v>
                </c:pt>
                <c:pt idx="2117">
                  <c:v>73.201087951660156</c:v>
                </c:pt>
                <c:pt idx="2118">
                  <c:v>74.869781494140625</c:v>
                </c:pt>
                <c:pt idx="2119">
                  <c:v>76.250381469726563</c:v>
                </c:pt>
                <c:pt idx="2120">
                  <c:v>76.886909484863281</c:v>
                </c:pt>
                <c:pt idx="2121">
                  <c:v>77.127731323242188</c:v>
                </c:pt>
                <c:pt idx="2122">
                  <c:v>77.246376037597656</c:v>
                </c:pt>
                <c:pt idx="2123">
                  <c:v>77.311599731445313</c:v>
                </c:pt>
                <c:pt idx="2124">
                  <c:v>77.03277587890625</c:v>
                </c:pt>
                <c:pt idx="2125">
                  <c:v>78.628768920898438</c:v>
                </c:pt>
                <c:pt idx="2126">
                  <c:v>80.908462524414063</c:v>
                </c:pt>
                <c:pt idx="2127">
                  <c:v>80.15460205078125</c:v>
                </c:pt>
                <c:pt idx="2128">
                  <c:v>79.637374877929688</c:v>
                </c:pt>
                <c:pt idx="2129">
                  <c:v>78.817306518554688</c:v>
                </c:pt>
                <c:pt idx="2130">
                  <c:v>76.734306335449219</c:v>
                </c:pt>
                <c:pt idx="2131">
                  <c:v>74.9990234375</c:v>
                </c:pt>
                <c:pt idx="2132">
                  <c:v>75.405815124511719</c:v>
                </c:pt>
                <c:pt idx="2133">
                  <c:v>78.339981079101563</c:v>
                </c:pt>
                <c:pt idx="2134">
                  <c:v>80.42816162109375</c:v>
                </c:pt>
                <c:pt idx="2135">
                  <c:v>79.892822265625</c:v>
                </c:pt>
                <c:pt idx="2136">
                  <c:v>79.215255737304688</c:v>
                </c:pt>
                <c:pt idx="2137">
                  <c:v>76.832977294921875</c:v>
                </c:pt>
                <c:pt idx="2138">
                  <c:v>75.60955810546875</c:v>
                </c:pt>
                <c:pt idx="2139">
                  <c:v>77.253242492675781</c:v>
                </c:pt>
                <c:pt idx="2140">
                  <c:v>77.843040466308594</c:v>
                </c:pt>
                <c:pt idx="2141">
                  <c:v>78.850059509277344</c:v>
                </c:pt>
                <c:pt idx="2142">
                  <c:v>78.009140014648438</c:v>
                </c:pt>
                <c:pt idx="2143">
                  <c:v>78.725738525390625</c:v>
                </c:pt>
                <c:pt idx="2144">
                  <c:v>76.253410339355469</c:v>
                </c:pt>
                <c:pt idx="2145">
                  <c:v>74.356071472167969</c:v>
                </c:pt>
                <c:pt idx="2146">
                  <c:v>75.169082641601563</c:v>
                </c:pt>
                <c:pt idx="2147">
                  <c:v>75.060478210449219</c:v>
                </c:pt>
                <c:pt idx="2148">
                  <c:v>75.544609069824219</c:v>
                </c:pt>
                <c:pt idx="2149">
                  <c:v>73.890274047851563</c:v>
                </c:pt>
                <c:pt idx="2150">
                  <c:v>74.628379821777344</c:v>
                </c:pt>
                <c:pt idx="2151">
                  <c:v>72.818710327148438</c:v>
                </c:pt>
                <c:pt idx="2152">
                  <c:v>72.255661010742188</c:v>
                </c:pt>
                <c:pt idx="2153">
                  <c:v>71.253364562988281</c:v>
                </c:pt>
                <c:pt idx="2154">
                  <c:v>73.163597106933594</c:v>
                </c:pt>
                <c:pt idx="2155">
                  <c:v>70.944488525390625</c:v>
                </c:pt>
                <c:pt idx="2156">
                  <c:v>68.900154113769531</c:v>
                </c:pt>
                <c:pt idx="2157">
                  <c:v>68.51953125</c:v>
                </c:pt>
                <c:pt idx="2158">
                  <c:v>68.559761047363281</c:v>
                </c:pt>
                <c:pt idx="2159">
                  <c:v>69.255043029785156</c:v>
                </c:pt>
                <c:pt idx="2160">
                  <c:v>70.364891052246094</c:v>
                </c:pt>
                <c:pt idx="2161">
                  <c:v>73.024627685546875</c:v>
                </c:pt>
                <c:pt idx="2162">
                  <c:v>74.212860107421875</c:v>
                </c:pt>
                <c:pt idx="2163">
                  <c:v>71.051368713378906</c:v>
                </c:pt>
                <c:pt idx="2164">
                  <c:v>68.021446228027344</c:v>
                </c:pt>
                <c:pt idx="2165">
                  <c:v>67.311058044433594</c:v>
                </c:pt>
                <c:pt idx="2166">
                  <c:v>67.347251892089844</c:v>
                </c:pt>
                <c:pt idx="2167">
                  <c:v>67.776084899902344</c:v>
                </c:pt>
                <c:pt idx="2168">
                  <c:v>68.913070678710938</c:v>
                </c:pt>
                <c:pt idx="2169">
                  <c:v>67.491012573242188</c:v>
                </c:pt>
                <c:pt idx="2170">
                  <c:v>68.718818664550781</c:v>
                </c:pt>
                <c:pt idx="2171">
                  <c:v>66.882949829101563</c:v>
                </c:pt>
                <c:pt idx="2172">
                  <c:v>66.819694519042969</c:v>
                </c:pt>
                <c:pt idx="2173">
                  <c:v>65.451034545898438</c:v>
                </c:pt>
                <c:pt idx="2174">
                  <c:v>65.317588806152344</c:v>
                </c:pt>
                <c:pt idx="2175">
                  <c:v>66.082405090332031</c:v>
                </c:pt>
                <c:pt idx="2176">
                  <c:v>65.479583740234375</c:v>
                </c:pt>
                <c:pt idx="2177">
                  <c:v>67.056495666503906</c:v>
                </c:pt>
                <c:pt idx="2178">
                  <c:v>66.064811706542969</c:v>
                </c:pt>
                <c:pt idx="2179">
                  <c:v>66.636131286621094</c:v>
                </c:pt>
                <c:pt idx="2180">
                  <c:v>63.792060852050781</c:v>
                </c:pt>
                <c:pt idx="2181">
                  <c:v>65.252059936523438</c:v>
                </c:pt>
                <c:pt idx="2182">
                  <c:v>65.713706970214844</c:v>
                </c:pt>
                <c:pt idx="2183">
                  <c:v>66.775314331054688</c:v>
                </c:pt>
                <c:pt idx="2184">
                  <c:v>65.132118225097656</c:v>
                </c:pt>
                <c:pt idx="2185">
                  <c:v>65.961471557617188</c:v>
                </c:pt>
                <c:pt idx="2186">
                  <c:v>65.378837585449219</c:v>
                </c:pt>
                <c:pt idx="2187">
                  <c:v>63.982219696044922</c:v>
                </c:pt>
                <c:pt idx="2188">
                  <c:v>62.334091186523438</c:v>
                </c:pt>
                <c:pt idx="2189">
                  <c:v>61.260570526123047</c:v>
                </c:pt>
                <c:pt idx="2190">
                  <c:v>61.672260284423828</c:v>
                </c:pt>
                <c:pt idx="2191">
                  <c:v>60.043449401855469</c:v>
                </c:pt>
                <c:pt idx="2192">
                  <c:v>59.143455505371094</c:v>
                </c:pt>
                <c:pt idx="2193">
                  <c:v>58.198371887207031</c:v>
                </c:pt>
                <c:pt idx="2194">
                  <c:v>57.544025421142578</c:v>
                </c:pt>
                <c:pt idx="2195">
                  <c:v>59.243766784667969</c:v>
                </c:pt>
                <c:pt idx="2196">
                  <c:v>61.171798706054688</c:v>
                </c:pt>
                <c:pt idx="2197">
                  <c:v>62.889396667480469</c:v>
                </c:pt>
                <c:pt idx="2198">
                  <c:v>62.06475830078125</c:v>
                </c:pt>
                <c:pt idx="2199">
                  <c:v>62.564807891845703</c:v>
                </c:pt>
                <c:pt idx="2200">
                  <c:v>62.203704833984375</c:v>
                </c:pt>
                <c:pt idx="2201">
                  <c:v>63.135757446289063</c:v>
                </c:pt>
                <c:pt idx="2202">
                  <c:v>64.24176025390625</c:v>
                </c:pt>
                <c:pt idx="2203">
                  <c:v>68.966529846191406</c:v>
                </c:pt>
                <c:pt idx="2204">
                  <c:v>70.189949035644531</c:v>
                </c:pt>
                <c:pt idx="2205">
                  <c:v>69.276008605957031</c:v>
                </c:pt>
                <c:pt idx="2206">
                  <c:v>69.457969665527344</c:v>
                </c:pt>
                <c:pt idx="2207">
                  <c:v>68.754234313964844</c:v>
                </c:pt>
                <c:pt idx="2208">
                  <c:v>68.465309143066406</c:v>
                </c:pt>
                <c:pt idx="2209">
                  <c:v>69.408790588378906</c:v>
                </c:pt>
                <c:pt idx="2210">
                  <c:v>71.33660888671875</c:v>
                </c:pt>
                <c:pt idx="2211">
                  <c:v>71.215415954589844</c:v>
                </c:pt>
                <c:pt idx="2212">
                  <c:v>70.7071533203125</c:v>
                </c:pt>
                <c:pt idx="2213">
                  <c:v>71.544158935546875</c:v>
                </c:pt>
                <c:pt idx="2214">
                  <c:v>71.591773986816406</c:v>
                </c:pt>
                <c:pt idx="2215">
                  <c:v>71.119148254394531</c:v>
                </c:pt>
                <c:pt idx="2216">
                  <c:v>74.079193115234375</c:v>
                </c:pt>
                <c:pt idx="2217">
                  <c:v>74.805168151855469</c:v>
                </c:pt>
                <c:pt idx="2218">
                  <c:v>75.719696044921875</c:v>
                </c:pt>
                <c:pt idx="2219">
                  <c:v>77.178840637207031</c:v>
                </c:pt>
                <c:pt idx="2220">
                  <c:v>77.314308166503906</c:v>
                </c:pt>
                <c:pt idx="2221">
                  <c:v>76.685066223144531</c:v>
                </c:pt>
                <c:pt idx="2222">
                  <c:v>75.305610656738281</c:v>
                </c:pt>
                <c:pt idx="2223">
                  <c:v>75.992652893066406</c:v>
                </c:pt>
                <c:pt idx="2224">
                  <c:v>81.769485473632813</c:v>
                </c:pt>
                <c:pt idx="2225">
                  <c:v>80.789314270019531</c:v>
                </c:pt>
                <c:pt idx="2226">
                  <c:v>79.333740234375</c:v>
                </c:pt>
                <c:pt idx="2227">
                  <c:v>79.329559326171875</c:v>
                </c:pt>
                <c:pt idx="2228">
                  <c:v>79.623855590820313</c:v>
                </c:pt>
                <c:pt idx="2229">
                  <c:v>78.648422241210938</c:v>
                </c:pt>
                <c:pt idx="2230">
                  <c:v>78.255523681640625</c:v>
                </c:pt>
                <c:pt idx="2231">
                  <c:v>77.937118530273438</c:v>
                </c:pt>
                <c:pt idx="2232">
                  <c:v>77.629936218261719</c:v>
                </c:pt>
                <c:pt idx="2233">
                  <c:v>74.082733154296875</c:v>
                </c:pt>
                <c:pt idx="2234">
                  <c:v>74.310203552246094</c:v>
                </c:pt>
                <c:pt idx="2235">
                  <c:v>73.460563659667969</c:v>
                </c:pt>
                <c:pt idx="2236">
                  <c:v>72.371124267578125</c:v>
                </c:pt>
                <c:pt idx="2237">
                  <c:v>72.012069702148438</c:v>
                </c:pt>
                <c:pt idx="2238">
                  <c:v>72.693328857421875</c:v>
                </c:pt>
                <c:pt idx="2239">
                  <c:v>73.022743225097656</c:v>
                </c:pt>
                <c:pt idx="2240">
                  <c:v>71.922904968261719</c:v>
                </c:pt>
                <c:pt idx="2241">
                  <c:v>71.84521484375</c:v>
                </c:pt>
                <c:pt idx="2242">
                  <c:v>71.055976867675781</c:v>
                </c:pt>
                <c:pt idx="2243">
                  <c:v>69.1812744140625</c:v>
                </c:pt>
                <c:pt idx="2244">
                  <c:v>69.67669677734375</c:v>
                </c:pt>
                <c:pt idx="2245">
                  <c:v>71.788894653320313</c:v>
                </c:pt>
                <c:pt idx="2246">
                  <c:v>69.702095031738281</c:v>
                </c:pt>
                <c:pt idx="2247">
                  <c:v>69.566390991210938</c:v>
                </c:pt>
                <c:pt idx="2248">
                  <c:v>71.309638977050781</c:v>
                </c:pt>
                <c:pt idx="2249">
                  <c:v>70.256454467773438</c:v>
                </c:pt>
                <c:pt idx="2250">
                  <c:v>70.363136291503906</c:v>
                </c:pt>
                <c:pt idx="2251">
                  <c:v>71.509078979492188</c:v>
                </c:pt>
                <c:pt idx="2252">
                  <c:v>75.29510498046875</c:v>
                </c:pt>
                <c:pt idx="2253">
                  <c:v>78.446434020996094</c:v>
                </c:pt>
                <c:pt idx="2254">
                  <c:v>74.98309326171875</c:v>
                </c:pt>
                <c:pt idx="2255">
                  <c:v>75.618423461914063</c:v>
                </c:pt>
                <c:pt idx="2256">
                  <c:v>74.945449829101563</c:v>
                </c:pt>
                <c:pt idx="2257">
                  <c:v>71.93988037109375</c:v>
                </c:pt>
                <c:pt idx="2258">
                  <c:v>71.850967407226563</c:v>
                </c:pt>
                <c:pt idx="2259">
                  <c:v>70.977142333984375</c:v>
                </c:pt>
                <c:pt idx="2260">
                  <c:v>70.46173095703125</c:v>
                </c:pt>
                <c:pt idx="2261">
                  <c:v>70.765853881835938</c:v>
                </c:pt>
                <c:pt idx="2262">
                  <c:v>69.914283752441406</c:v>
                </c:pt>
                <c:pt idx="2263">
                  <c:v>70.218513488769531</c:v>
                </c:pt>
                <c:pt idx="2264">
                  <c:v>69.234916687011719</c:v>
                </c:pt>
                <c:pt idx="2265">
                  <c:v>71.734291076660156</c:v>
                </c:pt>
                <c:pt idx="2266">
                  <c:v>74.519447326660156</c:v>
                </c:pt>
                <c:pt idx="2267">
                  <c:v>75.588478088378906</c:v>
                </c:pt>
                <c:pt idx="2268">
                  <c:v>77.027793884277344</c:v>
                </c:pt>
                <c:pt idx="2269">
                  <c:v>74.977287292480469</c:v>
                </c:pt>
                <c:pt idx="2270">
                  <c:v>74.837821960449219</c:v>
                </c:pt>
                <c:pt idx="2271">
                  <c:v>72.875625610351563</c:v>
                </c:pt>
                <c:pt idx="2272">
                  <c:v>76.055595397949219</c:v>
                </c:pt>
                <c:pt idx="2273">
                  <c:v>78.121963500976563</c:v>
                </c:pt>
                <c:pt idx="2274">
                  <c:v>78.293785095214844</c:v>
                </c:pt>
                <c:pt idx="2275">
                  <c:v>77.172340393066406</c:v>
                </c:pt>
                <c:pt idx="2276">
                  <c:v>76.9036865234375</c:v>
                </c:pt>
                <c:pt idx="2277">
                  <c:v>76.741844177246094</c:v>
                </c:pt>
                <c:pt idx="2278">
                  <c:v>75.224807739257813</c:v>
                </c:pt>
                <c:pt idx="2279">
                  <c:v>76.626304626464844</c:v>
                </c:pt>
                <c:pt idx="2280">
                  <c:v>77.593185424804688</c:v>
                </c:pt>
                <c:pt idx="2281">
                  <c:v>76.928199768066406</c:v>
                </c:pt>
                <c:pt idx="2282">
                  <c:v>74.602409362792969</c:v>
                </c:pt>
                <c:pt idx="2283">
                  <c:v>71.6396484375</c:v>
                </c:pt>
                <c:pt idx="2284">
                  <c:v>71.752227783203125</c:v>
                </c:pt>
                <c:pt idx="2285">
                  <c:v>69.567413330078125</c:v>
                </c:pt>
                <c:pt idx="2286">
                  <c:v>70.119544982910156</c:v>
                </c:pt>
                <c:pt idx="2287">
                  <c:v>72.669914245605469</c:v>
                </c:pt>
                <c:pt idx="2288">
                  <c:v>74.449676513671875</c:v>
                </c:pt>
                <c:pt idx="2289">
                  <c:v>74.791671752929688</c:v>
                </c:pt>
                <c:pt idx="2290">
                  <c:v>74.480567932128906</c:v>
                </c:pt>
                <c:pt idx="2291">
                  <c:v>73.215827941894531</c:v>
                </c:pt>
                <c:pt idx="2292">
                  <c:v>73.1976318359375</c:v>
                </c:pt>
                <c:pt idx="2293">
                  <c:v>74.124122619628906</c:v>
                </c:pt>
                <c:pt idx="2294">
                  <c:v>75.839988708496094</c:v>
                </c:pt>
                <c:pt idx="2295">
                  <c:v>78.33001708984375</c:v>
                </c:pt>
                <c:pt idx="2296">
                  <c:v>78.143951416015625</c:v>
                </c:pt>
                <c:pt idx="2297">
                  <c:v>78.201316833496094</c:v>
                </c:pt>
                <c:pt idx="2298">
                  <c:v>77.083480834960938</c:v>
                </c:pt>
                <c:pt idx="2299">
                  <c:v>77.482292175292969</c:v>
                </c:pt>
                <c:pt idx="2300">
                  <c:v>80.179969787597656</c:v>
                </c:pt>
                <c:pt idx="2301">
                  <c:v>83.479133605957031</c:v>
                </c:pt>
                <c:pt idx="2302">
                  <c:v>85.050651550292969</c:v>
                </c:pt>
                <c:pt idx="2303">
                  <c:v>85.527656555175781</c:v>
                </c:pt>
                <c:pt idx="2304">
                  <c:v>87.870567321777344</c:v>
                </c:pt>
                <c:pt idx="2305">
                  <c:v>89.47161865234375</c:v>
                </c:pt>
                <c:pt idx="2306">
                  <c:v>87.699050903320313</c:v>
                </c:pt>
                <c:pt idx="2307">
                  <c:v>88.13702392578125</c:v>
                </c:pt>
                <c:pt idx="2308">
                  <c:v>90.004486083984375</c:v>
                </c:pt>
                <c:pt idx="2309">
                  <c:v>87.565437316894531</c:v>
                </c:pt>
                <c:pt idx="2310">
                  <c:v>85.964111328125</c:v>
                </c:pt>
                <c:pt idx="2311">
                  <c:v>84.632637023925781</c:v>
                </c:pt>
                <c:pt idx="2312">
                  <c:v>84.245765686035156</c:v>
                </c:pt>
                <c:pt idx="2313">
                  <c:v>83.707794189453125</c:v>
                </c:pt>
                <c:pt idx="2314">
                  <c:v>83.894752502441406</c:v>
                </c:pt>
                <c:pt idx="2315">
                  <c:v>86.242767333984375</c:v>
                </c:pt>
                <c:pt idx="2316">
                  <c:v>85.770301818847656</c:v>
                </c:pt>
                <c:pt idx="2317">
                  <c:v>85.220863342285156</c:v>
                </c:pt>
                <c:pt idx="2318">
                  <c:v>83.292060852050781</c:v>
                </c:pt>
                <c:pt idx="2319">
                  <c:v>82.326858520507813</c:v>
                </c:pt>
                <c:pt idx="2320">
                  <c:v>81.004020690917969</c:v>
                </c:pt>
                <c:pt idx="2321">
                  <c:v>81.555961608886719</c:v>
                </c:pt>
                <c:pt idx="2322">
                  <c:v>83.300849914550781</c:v>
                </c:pt>
                <c:pt idx="2323">
                  <c:v>82.064735412597656</c:v>
                </c:pt>
                <c:pt idx="2324">
                  <c:v>83.569404602050781</c:v>
                </c:pt>
                <c:pt idx="2325">
                  <c:v>81.204719543457031</c:v>
                </c:pt>
                <c:pt idx="2326">
                  <c:v>80.705787658691406</c:v>
                </c:pt>
                <c:pt idx="2327">
                  <c:v>79.181983947753906</c:v>
                </c:pt>
                <c:pt idx="2328">
                  <c:v>78.873748779296875</c:v>
                </c:pt>
                <c:pt idx="2329">
                  <c:v>80.332763671875</c:v>
                </c:pt>
                <c:pt idx="2330">
                  <c:v>81.95086669921875</c:v>
                </c:pt>
                <c:pt idx="2331">
                  <c:v>81.970382690429688</c:v>
                </c:pt>
                <c:pt idx="2332">
                  <c:v>81.95538330078125</c:v>
                </c:pt>
                <c:pt idx="2333">
                  <c:v>80.434913635253906</c:v>
                </c:pt>
                <c:pt idx="2334">
                  <c:v>77.74127197265625</c:v>
                </c:pt>
                <c:pt idx="2335">
                  <c:v>78.627655029296875</c:v>
                </c:pt>
                <c:pt idx="2336">
                  <c:v>83.772224426269531</c:v>
                </c:pt>
                <c:pt idx="2337">
                  <c:v>87.843757629394531</c:v>
                </c:pt>
                <c:pt idx="2338">
                  <c:v>87.899848937988281</c:v>
                </c:pt>
                <c:pt idx="2339">
                  <c:v>90.898689270019531</c:v>
                </c:pt>
                <c:pt idx="2340">
                  <c:v>91.286605834960938</c:v>
                </c:pt>
                <c:pt idx="2341">
                  <c:v>91.110008239746094</c:v>
                </c:pt>
                <c:pt idx="2342">
                  <c:v>91.158836364746094</c:v>
                </c:pt>
                <c:pt idx="2343">
                  <c:v>91.7025146484375</c:v>
                </c:pt>
                <c:pt idx="2344">
                  <c:v>90.745750427246094</c:v>
                </c:pt>
                <c:pt idx="2345">
                  <c:v>89.618881225585938</c:v>
                </c:pt>
                <c:pt idx="2346">
                  <c:v>90.259628295898438</c:v>
                </c:pt>
                <c:pt idx="2347">
                  <c:v>89.099220275878906</c:v>
                </c:pt>
                <c:pt idx="2348">
                  <c:v>88.812423706054688</c:v>
                </c:pt>
                <c:pt idx="2349">
                  <c:v>90.503707885742188</c:v>
                </c:pt>
                <c:pt idx="2350">
                  <c:v>92.217185974121094</c:v>
                </c:pt>
                <c:pt idx="2351">
                  <c:v>93.69207763671875</c:v>
                </c:pt>
                <c:pt idx="2352">
                  <c:v>93.169876098632813</c:v>
                </c:pt>
                <c:pt idx="2353">
                  <c:v>95.442787170410156</c:v>
                </c:pt>
                <c:pt idx="2354">
                  <c:v>92.332687377929688</c:v>
                </c:pt>
                <c:pt idx="2355">
                  <c:v>90.439102172851563</c:v>
                </c:pt>
                <c:pt idx="2356">
                  <c:v>88.474647521972656</c:v>
                </c:pt>
                <c:pt idx="2357">
                  <c:v>89.281044006347656</c:v>
                </c:pt>
                <c:pt idx="2358">
                  <c:v>91.035369873046875</c:v>
                </c:pt>
                <c:pt idx="2359">
                  <c:v>92.349884033203125</c:v>
                </c:pt>
                <c:pt idx="2360">
                  <c:v>89.867950439453125</c:v>
                </c:pt>
                <c:pt idx="2361">
                  <c:v>87.081031799316406</c:v>
                </c:pt>
                <c:pt idx="2362">
                  <c:v>84.707443237304688</c:v>
                </c:pt>
                <c:pt idx="2363">
                  <c:v>85.585540771484375</c:v>
                </c:pt>
                <c:pt idx="2364">
                  <c:v>89.074958801269531</c:v>
                </c:pt>
                <c:pt idx="2365">
                  <c:v>85.845054626464844</c:v>
                </c:pt>
                <c:pt idx="2366">
                  <c:v>82.702377319335938</c:v>
                </c:pt>
                <c:pt idx="2367">
                  <c:v>78.641548156738281</c:v>
                </c:pt>
                <c:pt idx="2368">
                  <c:v>75.045455932617188</c:v>
                </c:pt>
                <c:pt idx="2369">
                  <c:v>70.66021728515625</c:v>
                </c:pt>
                <c:pt idx="2370">
                  <c:v>71.9359130859375</c:v>
                </c:pt>
                <c:pt idx="2371">
                  <c:v>74.088653564453125</c:v>
                </c:pt>
                <c:pt idx="2372">
                  <c:v>73.630752563476563</c:v>
                </c:pt>
                <c:pt idx="2373">
                  <c:v>73.572059631347656</c:v>
                </c:pt>
                <c:pt idx="2374">
                  <c:v>73.913711547851563</c:v>
                </c:pt>
                <c:pt idx="2375">
                  <c:v>73.474357604980469</c:v>
                </c:pt>
                <c:pt idx="2376">
                  <c:v>72.371589660644531</c:v>
                </c:pt>
                <c:pt idx="2377">
                  <c:v>73.188056945800781</c:v>
                </c:pt>
                <c:pt idx="2378">
                  <c:v>73.721588134765625</c:v>
                </c:pt>
                <c:pt idx="2379">
                  <c:v>73.070701599121094</c:v>
                </c:pt>
                <c:pt idx="2380">
                  <c:v>72.341720581054688</c:v>
                </c:pt>
                <c:pt idx="2381">
                  <c:v>70.311988830566406</c:v>
                </c:pt>
                <c:pt idx="2382">
                  <c:v>68.495597839355469</c:v>
                </c:pt>
                <c:pt idx="2383">
                  <c:v>65.022819519042969</c:v>
                </c:pt>
                <c:pt idx="2384">
                  <c:v>65.77642822265625</c:v>
                </c:pt>
                <c:pt idx="2385">
                  <c:v>66.399505615234375</c:v>
                </c:pt>
                <c:pt idx="2386">
                  <c:v>67.294853210449219</c:v>
                </c:pt>
                <c:pt idx="2387">
                  <c:v>68.328224182128906</c:v>
                </c:pt>
                <c:pt idx="2388">
                  <c:v>65.847976684570313</c:v>
                </c:pt>
                <c:pt idx="2389">
                  <c:v>63.799587249755859</c:v>
                </c:pt>
                <c:pt idx="2390">
                  <c:v>62.067977905273438</c:v>
                </c:pt>
                <c:pt idx="2391">
                  <c:v>62.345657348632813</c:v>
                </c:pt>
                <c:pt idx="2392">
                  <c:v>60.438503265380859</c:v>
                </c:pt>
                <c:pt idx="2393">
                  <c:v>58.952259063720703</c:v>
                </c:pt>
                <c:pt idx="2394">
                  <c:v>56.441883087158203</c:v>
                </c:pt>
                <c:pt idx="2395">
                  <c:v>58.117988586425781</c:v>
                </c:pt>
                <c:pt idx="2396">
                  <c:v>57.741184234619141</c:v>
                </c:pt>
                <c:pt idx="2397">
                  <c:v>56.788944244384766</c:v>
                </c:pt>
                <c:pt idx="2398">
                  <c:v>57.912269592285156</c:v>
                </c:pt>
                <c:pt idx="2399">
                  <c:v>60.269981384277344</c:v>
                </c:pt>
                <c:pt idx="2400">
                  <c:v>58.803451538085938</c:v>
                </c:pt>
                <c:pt idx="2401">
                  <c:v>56.644485473632813</c:v>
                </c:pt>
                <c:pt idx="2402">
                  <c:v>57.880714416503906</c:v>
                </c:pt>
                <c:pt idx="2403">
                  <c:v>56.756591796875</c:v>
                </c:pt>
                <c:pt idx="2404">
                  <c:v>55.480587005615234</c:v>
                </c:pt>
                <c:pt idx="2405">
                  <c:v>57.649044036865234</c:v>
                </c:pt>
                <c:pt idx="2406">
                  <c:v>57.792228698730469</c:v>
                </c:pt>
                <c:pt idx="2407">
                  <c:v>58.592388153076172</c:v>
                </c:pt>
                <c:pt idx="2408">
                  <c:v>59.803497314453125</c:v>
                </c:pt>
                <c:pt idx="2409">
                  <c:v>60.764965057373047</c:v>
                </c:pt>
                <c:pt idx="2410">
                  <c:v>61.200046539306641</c:v>
                </c:pt>
                <c:pt idx="2411">
                  <c:v>60.740066528320313</c:v>
                </c:pt>
                <c:pt idx="2412">
                  <c:v>61.126144409179688</c:v>
                </c:pt>
                <c:pt idx="2413">
                  <c:v>63.661796569824219</c:v>
                </c:pt>
                <c:pt idx="2414">
                  <c:v>63.734123229980469</c:v>
                </c:pt>
                <c:pt idx="2415">
                  <c:v>63.697563171386719</c:v>
                </c:pt>
                <c:pt idx="2416">
                  <c:v>65.000045776367188</c:v>
                </c:pt>
                <c:pt idx="2417">
                  <c:v>61.887271881103516</c:v>
                </c:pt>
                <c:pt idx="2418">
                  <c:v>61.407497406005859</c:v>
                </c:pt>
                <c:pt idx="2419">
                  <c:v>63.095184326171875</c:v>
                </c:pt>
                <c:pt idx="2420">
                  <c:v>67.268028259277344</c:v>
                </c:pt>
                <c:pt idx="2421">
                  <c:v>68.354270935058594</c:v>
                </c:pt>
                <c:pt idx="2422">
                  <c:v>68.761375427246094</c:v>
                </c:pt>
                <c:pt idx="2423">
                  <c:v>69.384315490722656</c:v>
                </c:pt>
                <c:pt idx="2424">
                  <c:v>69.386245727539063</c:v>
                </c:pt>
                <c:pt idx="2425">
                  <c:v>68.473480224609375</c:v>
                </c:pt>
                <c:pt idx="2426">
                  <c:v>72.625846862792969</c:v>
                </c:pt>
                <c:pt idx="2427">
                  <c:v>76.193962097167969</c:v>
                </c:pt>
                <c:pt idx="2428">
                  <c:v>75.806396484375</c:v>
                </c:pt>
                <c:pt idx="2429">
                  <c:v>76.97930908203125</c:v>
                </c:pt>
                <c:pt idx="2430">
                  <c:v>78.663192749023438</c:v>
                </c:pt>
                <c:pt idx="2431">
                  <c:v>81.509025573730469</c:v>
                </c:pt>
                <c:pt idx="2432">
                  <c:v>81.534881591796875</c:v>
                </c:pt>
                <c:pt idx="2433">
                  <c:v>84.1142578125</c:v>
                </c:pt>
                <c:pt idx="2434">
                  <c:v>89.52484130859375</c:v>
                </c:pt>
                <c:pt idx="2435">
                  <c:v>88.461166381835938</c:v>
                </c:pt>
                <c:pt idx="2436">
                  <c:v>90.309181213378906</c:v>
                </c:pt>
                <c:pt idx="2437">
                  <c:v>90.599128723144531</c:v>
                </c:pt>
                <c:pt idx="2438">
                  <c:v>89.038482666015625</c:v>
                </c:pt>
                <c:pt idx="2439">
                  <c:v>88.60784912109375</c:v>
                </c:pt>
                <c:pt idx="2440">
                  <c:v>89.6346435546875</c:v>
                </c:pt>
                <c:pt idx="2441">
                  <c:v>92.942054748535156</c:v>
                </c:pt>
                <c:pt idx="2442">
                  <c:v>94.365280151367188</c:v>
                </c:pt>
                <c:pt idx="2443">
                  <c:v>93.373336791992188</c:v>
                </c:pt>
                <c:pt idx="2444">
                  <c:v>93.1744384765625</c:v>
                </c:pt>
                <c:pt idx="2445">
                  <c:v>93.617385864257813</c:v>
                </c:pt>
                <c:pt idx="2446">
                  <c:v>92.741340637207031</c:v>
                </c:pt>
                <c:pt idx="2447">
                  <c:v>95.867828369140625</c:v>
                </c:pt>
                <c:pt idx="2448">
                  <c:v>96.327835083007813</c:v>
                </c:pt>
                <c:pt idx="2449">
                  <c:v>94.286697387695313</c:v>
                </c:pt>
                <c:pt idx="2450">
                  <c:v>92.999458312988281</c:v>
                </c:pt>
                <c:pt idx="2451">
                  <c:v>95.291023254394531</c:v>
                </c:pt>
                <c:pt idx="2452">
                  <c:v>97.086837768554688</c:v>
                </c:pt>
                <c:pt idx="2453">
                  <c:v>96.1666259765625</c:v>
                </c:pt>
                <c:pt idx="2454">
                  <c:v>94.986785888671875</c:v>
                </c:pt>
                <c:pt idx="2455">
                  <c:v>95.66339111328125</c:v>
                </c:pt>
                <c:pt idx="2456">
                  <c:v>91.140129089355469</c:v>
                </c:pt>
                <c:pt idx="2457">
                  <c:v>88.992408752441406</c:v>
                </c:pt>
                <c:pt idx="2458">
                  <c:v>90.49993896484375</c:v>
                </c:pt>
                <c:pt idx="2459">
                  <c:v>87.891876220703125</c:v>
                </c:pt>
                <c:pt idx="2460">
                  <c:v>85.538414001464844</c:v>
                </c:pt>
                <c:pt idx="2461">
                  <c:v>83.56304931640625</c:v>
                </c:pt>
                <c:pt idx="2462">
                  <c:v>84.045578002929688</c:v>
                </c:pt>
                <c:pt idx="2463">
                  <c:v>82.433113098144531</c:v>
                </c:pt>
                <c:pt idx="2464">
                  <c:v>79.088722229003906</c:v>
                </c:pt>
                <c:pt idx="2465">
                  <c:v>78.688789367675781</c:v>
                </c:pt>
                <c:pt idx="2466">
                  <c:v>77.068077087402344</c:v>
                </c:pt>
                <c:pt idx="2467">
                  <c:v>75.219894409179688</c:v>
                </c:pt>
                <c:pt idx="2468">
                  <c:v>75.652229309082031</c:v>
                </c:pt>
                <c:pt idx="2469">
                  <c:v>79.692153930664063</c:v>
                </c:pt>
                <c:pt idx="2470">
                  <c:v>78.837417602539063</c:v>
                </c:pt>
                <c:pt idx="2471">
                  <c:v>78.954925537109375</c:v>
                </c:pt>
                <c:pt idx="2472">
                  <c:v>79.258171081542969</c:v>
                </c:pt>
                <c:pt idx="2473">
                  <c:v>78.06634521484375</c:v>
                </c:pt>
                <c:pt idx="2474">
                  <c:v>76.740043640136719</c:v>
                </c:pt>
                <c:pt idx="2475">
                  <c:v>75.4522705078125</c:v>
                </c:pt>
                <c:pt idx="2476">
                  <c:v>75.870811462402344</c:v>
                </c:pt>
                <c:pt idx="2477">
                  <c:v>75.506889343261719</c:v>
                </c:pt>
                <c:pt idx="2478">
                  <c:v>75.026092529296875</c:v>
                </c:pt>
                <c:pt idx="2479">
                  <c:v>76.398635864257813</c:v>
                </c:pt>
                <c:pt idx="2480">
                  <c:v>73.332908630371094</c:v>
                </c:pt>
                <c:pt idx="2481">
                  <c:v>69.437767028808594</c:v>
                </c:pt>
                <c:pt idx="2482">
                  <c:v>70.210853576660156</c:v>
                </c:pt>
                <c:pt idx="2483">
                  <c:v>73.305656433105469</c:v>
                </c:pt>
                <c:pt idx="2484">
                  <c:v>73.854095458984375</c:v>
                </c:pt>
                <c:pt idx="2485">
                  <c:v>74.163970947265625</c:v>
                </c:pt>
                <c:pt idx="2486">
                  <c:v>75.224319458007813</c:v>
                </c:pt>
                <c:pt idx="2487">
                  <c:v>75.011215209960938</c:v>
                </c:pt>
                <c:pt idx="2488">
                  <c:v>73.567527770996094</c:v>
                </c:pt>
                <c:pt idx="2489">
                  <c:v>75.016860961914063</c:v>
                </c:pt>
                <c:pt idx="2490">
                  <c:v>78.731689453125</c:v>
                </c:pt>
                <c:pt idx="2491">
                  <c:v>80.261741638183594</c:v>
                </c:pt>
                <c:pt idx="2492">
                  <c:v>80.260963439941406</c:v>
                </c:pt>
                <c:pt idx="2493">
                  <c:v>80.140426635742188</c:v>
                </c:pt>
                <c:pt idx="2494">
                  <c:v>78.379005432128906</c:v>
                </c:pt>
                <c:pt idx="2495">
                  <c:v>78.341781616210938</c:v>
                </c:pt>
                <c:pt idx="2496">
                  <c:v>80.56488037109375</c:v>
                </c:pt>
                <c:pt idx="2497">
                  <c:v>81.218917846679688</c:v>
                </c:pt>
                <c:pt idx="2498">
                  <c:v>81.4853515625</c:v>
                </c:pt>
                <c:pt idx="2499">
                  <c:v>79.844924926757813</c:v>
                </c:pt>
                <c:pt idx="2500">
                  <c:v>80.540596008300781</c:v>
                </c:pt>
                <c:pt idx="2501">
                  <c:v>77.435829162597656</c:v>
                </c:pt>
                <c:pt idx="2502">
                  <c:v>75.83709716796875</c:v>
                </c:pt>
                <c:pt idx="2503">
                  <c:v>76.120689392089844</c:v>
                </c:pt>
                <c:pt idx="2504">
                  <c:v>78.068168640136719</c:v>
                </c:pt>
                <c:pt idx="2505">
                  <c:v>80.884696960449219</c:v>
                </c:pt>
                <c:pt idx="2506">
                  <c:v>80.933921813964844</c:v>
                </c:pt>
                <c:pt idx="2507">
                  <c:v>81.174324035644531</c:v>
                </c:pt>
                <c:pt idx="2508">
                  <c:v>81.438125610351563</c:v>
                </c:pt>
                <c:pt idx="2509">
                  <c:v>79.582984924316406</c:v>
                </c:pt>
                <c:pt idx="2510">
                  <c:v>83.383262634277344</c:v>
                </c:pt>
                <c:pt idx="2511">
                  <c:v>86.310234069824219</c:v>
                </c:pt>
                <c:pt idx="2512">
                  <c:v>86.288856506347656</c:v>
                </c:pt>
                <c:pt idx="2513">
                  <c:v>87.099868774414063</c:v>
                </c:pt>
                <c:pt idx="2514">
                  <c:v>88.178138732910156</c:v>
                </c:pt>
                <c:pt idx="2515">
                  <c:v>86.507881164550781</c:v>
                </c:pt>
                <c:pt idx="2516">
                  <c:v>84.7752685546875</c:v>
                </c:pt>
                <c:pt idx="2517">
                  <c:v>86.993759155273438</c:v>
                </c:pt>
                <c:pt idx="2518">
                  <c:v>88.042732238769531</c:v>
                </c:pt>
                <c:pt idx="2519">
                  <c:v>88.311286926269531</c:v>
                </c:pt>
                <c:pt idx="2520">
                  <c:v>87.426002502441406</c:v>
                </c:pt>
                <c:pt idx="2521">
                  <c:v>85.9608154296875</c:v>
                </c:pt>
                <c:pt idx="2522">
                  <c:v>84.660171508789063</c:v>
                </c:pt>
                <c:pt idx="2523">
                  <c:v>83.984909057617188</c:v>
                </c:pt>
                <c:pt idx="2524">
                  <c:v>84.34967041015625</c:v>
                </c:pt>
                <c:pt idx="2525">
                  <c:v>85.211952209472656</c:v>
                </c:pt>
                <c:pt idx="2526">
                  <c:v>83.965682983398438</c:v>
                </c:pt>
                <c:pt idx="2527">
                  <c:v>84.974288940429688</c:v>
                </c:pt>
                <c:pt idx="2528">
                  <c:v>86.053169250488281</c:v>
                </c:pt>
                <c:pt idx="2529">
                  <c:v>84.407455444335938</c:v>
                </c:pt>
                <c:pt idx="2530">
                  <c:v>84.734642028808594</c:v>
                </c:pt>
                <c:pt idx="2531">
                  <c:v>87.814056396484375</c:v>
                </c:pt>
                <c:pt idx="2532">
                  <c:v>93.013954162597656</c:v>
                </c:pt>
                <c:pt idx="2533">
                  <c:v>96.320396423339844</c:v>
                </c:pt>
                <c:pt idx="2534">
                  <c:v>96.986434936523438</c:v>
                </c:pt>
                <c:pt idx="2535">
                  <c:v>97.975601196289063</c:v>
                </c:pt>
                <c:pt idx="2536">
                  <c:v>98.394790649414063</c:v>
                </c:pt>
                <c:pt idx="2537">
                  <c:v>97.569007873535156</c:v>
                </c:pt>
                <c:pt idx="2538">
                  <c:v>99.140396118164063</c:v>
                </c:pt>
                <c:pt idx="2539">
                  <c:v>101.75419616699219</c:v>
                </c:pt>
                <c:pt idx="2540">
                  <c:v>99.449256896972656</c:v>
                </c:pt>
                <c:pt idx="2541">
                  <c:v>99.895484924316406</c:v>
                </c:pt>
                <c:pt idx="2542">
                  <c:v>98.874526977539063</c:v>
                </c:pt>
                <c:pt idx="2543">
                  <c:v>96.501792907714844</c:v>
                </c:pt>
                <c:pt idx="2544">
                  <c:v>94.910575866699219</c:v>
                </c:pt>
                <c:pt idx="2545">
                  <c:v>95.216865539550781</c:v>
                </c:pt>
                <c:pt idx="2546">
                  <c:v>97.461624145507813</c:v>
                </c:pt>
                <c:pt idx="2547">
                  <c:v>97.873031616210938</c:v>
                </c:pt>
                <c:pt idx="2548">
                  <c:v>99.686317443847656</c:v>
                </c:pt>
                <c:pt idx="2549">
                  <c:v>101.28746032714844</c:v>
                </c:pt>
                <c:pt idx="2550">
                  <c:v>98.813453674316406</c:v>
                </c:pt>
                <c:pt idx="2551">
                  <c:v>98.305213928222656</c:v>
                </c:pt>
                <c:pt idx="2552">
                  <c:v>99.030464172363281</c:v>
                </c:pt>
                <c:pt idx="2553">
                  <c:v>99.809349060058594</c:v>
                </c:pt>
                <c:pt idx="2554">
                  <c:v>99.046272277832031</c:v>
                </c:pt>
                <c:pt idx="2555">
                  <c:v>100.86081695556641</c:v>
                </c:pt>
                <c:pt idx="2556">
                  <c:v>100.51572418212891</c:v>
                </c:pt>
                <c:pt idx="2557">
                  <c:v>99.514793395996094</c:v>
                </c:pt>
                <c:pt idx="2558">
                  <c:v>97.237655639648438</c:v>
                </c:pt>
                <c:pt idx="2559">
                  <c:v>96.538543701171875</c:v>
                </c:pt>
                <c:pt idx="2560">
                  <c:v>96.612052917480469</c:v>
                </c:pt>
                <c:pt idx="2561">
                  <c:v>95.809982299804688</c:v>
                </c:pt>
                <c:pt idx="2562">
                  <c:v>91.395980834960938</c:v>
                </c:pt>
                <c:pt idx="2563">
                  <c:v>90.50933837890625</c:v>
                </c:pt>
                <c:pt idx="2564">
                  <c:v>88.299942016601563</c:v>
                </c:pt>
                <c:pt idx="2565">
                  <c:v>84.924148559570313</c:v>
                </c:pt>
                <c:pt idx="2566">
                  <c:v>86.070350646972656</c:v>
                </c:pt>
                <c:pt idx="2567">
                  <c:v>89.819320678710938</c:v>
                </c:pt>
                <c:pt idx="2568">
                  <c:v>88.745803833007813</c:v>
                </c:pt>
                <c:pt idx="2569">
                  <c:v>90.103897094726563</c:v>
                </c:pt>
                <c:pt idx="2570">
                  <c:v>92.155860900878906</c:v>
                </c:pt>
                <c:pt idx="2571">
                  <c:v>89.982742309570313</c:v>
                </c:pt>
                <c:pt idx="2572">
                  <c:v>88.334999084472656</c:v>
                </c:pt>
                <c:pt idx="2573">
                  <c:v>89.07763671875</c:v>
                </c:pt>
                <c:pt idx="2574">
                  <c:v>91.670989990234375</c:v>
                </c:pt>
                <c:pt idx="2575">
                  <c:v>95.020210266113281</c:v>
                </c:pt>
                <c:pt idx="2576">
                  <c:v>96.185836791992188</c:v>
                </c:pt>
                <c:pt idx="2577">
                  <c:v>97.666343688964844</c:v>
                </c:pt>
                <c:pt idx="2578">
                  <c:v>98.016471862792969</c:v>
                </c:pt>
                <c:pt idx="2579">
                  <c:v>97.054374694824219</c:v>
                </c:pt>
                <c:pt idx="2580">
                  <c:v>101.78524780273438</c:v>
                </c:pt>
                <c:pt idx="2581">
                  <c:v>110.04698181152344</c:v>
                </c:pt>
                <c:pt idx="2582">
                  <c:v>116.09587097167969</c:v>
                </c:pt>
                <c:pt idx="2583">
                  <c:v>122.96638488769531</c:v>
                </c:pt>
                <c:pt idx="2584">
                  <c:v>127.77780914306641</c:v>
                </c:pt>
                <c:pt idx="2585">
                  <c:v>130.11831665039063</c:v>
                </c:pt>
                <c:pt idx="2586">
                  <c:v>129.68289184570313</c:v>
                </c:pt>
                <c:pt idx="2587">
                  <c:v>132.34596252441406</c:v>
                </c:pt>
                <c:pt idx="2588">
                  <c:v>137.43690490722656</c:v>
                </c:pt>
                <c:pt idx="2589">
                  <c:v>144.0361328125</c:v>
                </c:pt>
                <c:pt idx="2590">
                  <c:v>146.94696044921875</c:v>
                </c:pt>
                <c:pt idx="2591">
                  <c:v>146.81669616699219</c:v>
                </c:pt>
                <c:pt idx="2592">
                  <c:v>146.06837463378906</c:v>
                </c:pt>
                <c:pt idx="2593">
                  <c:v>144.71138000488281</c:v>
                </c:pt>
                <c:pt idx="2594">
                  <c:v>149.94056701660156</c:v>
                </c:pt>
                <c:pt idx="2595">
                  <c:v>153.09672546386719</c:v>
                </c:pt>
                <c:pt idx="2596">
                  <c:v>152.66914367675781</c:v>
                </c:pt>
                <c:pt idx="2597">
                  <c:v>149.98995971679688</c:v>
                </c:pt>
                <c:pt idx="2598">
                  <c:v>153.35877990722656</c:v>
                </c:pt>
                <c:pt idx="2599">
                  <c:v>152.07012939453125</c:v>
                </c:pt>
                <c:pt idx="2600">
                  <c:v>151.55123901367188</c:v>
                </c:pt>
                <c:pt idx="2601">
                  <c:v>155.57893371582031</c:v>
                </c:pt>
                <c:pt idx="2602">
                  <c:v>161.68067932128906</c:v>
                </c:pt>
                <c:pt idx="2603">
                  <c:v>165.48728942871094</c:v>
                </c:pt>
                <c:pt idx="2604">
                  <c:v>168.47500610351563</c:v>
                </c:pt>
                <c:pt idx="2605">
                  <c:v>170.90129089355469</c:v>
                </c:pt>
                <c:pt idx="2606">
                  <c:v>171.02751159667969</c:v>
                </c:pt>
                <c:pt idx="2607">
                  <c:v>167.61167907714844</c:v>
                </c:pt>
                <c:pt idx="2608">
                  <c:v>167.83015441894531</c:v>
                </c:pt>
                <c:pt idx="2609">
                  <c:v>173.58273315429688</c:v>
                </c:pt>
                <c:pt idx="2610">
                  <c:v>181.75672912597656</c:v>
                </c:pt>
                <c:pt idx="2611">
                  <c:v>184.39410400390625</c:v>
                </c:pt>
                <c:pt idx="2612">
                  <c:v>192.91258239746094</c:v>
                </c:pt>
                <c:pt idx="2613">
                  <c:v>197.36546325683594</c:v>
                </c:pt>
                <c:pt idx="2614">
                  <c:v>198.02749633789063</c:v>
                </c:pt>
                <c:pt idx="2615">
                  <c:v>205.86676025390625</c:v>
                </c:pt>
                <c:pt idx="2616">
                  <c:v>221.77671813964844</c:v>
                </c:pt>
                <c:pt idx="2617">
                  <c:v>234.46124267578125</c:v>
                </c:pt>
                <c:pt idx="2618">
                  <c:v>242.66911315917969</c:v>
                </c:pt>
                <c:pt idx="2619">
                  <c:v>245.99423217773438</c:v>
                </c:pt>
                <c:pt idx="2620">
                  <c:v>250.86343383789063</c:v>
                </c:pt>
                <c:pt idx="2621">
                  <c:v>254.36509704589844</c:v>
                </c:pt>
                <c:pt idx="2622">
                  <c:v>264.85665893554688</c:v>
                </c:pt>
                <c:pt idx="2623">
                  <c:v>273.98519897460938</c:v>
                </c:pt>
                <c:pt idx="2624">
                  <c:v>277.32369995117188</c:v>
                </c:pt>
                <c:pt idx="2625">
                  <c:v>283.79080200195313</c:v>
                </c:pt>
                <c:pt idx="2626">
                  <c:v>293.56253051757813</c:v>
                </c:pt>
                <c:pt idx="2627">
                  <c:v>299.90145874023438</c:v>
                </c:pt>
                <c:pt idx="2628">
                  <c:v>299.95932006835938</c:v>
                </c:pt>
                <c:pt idx="2629">
                  <c:v>307.23004150390625</c:v>
                </c:pt>
                <c:pt idx="2630">
                  <c:v>313.692626953125</c:v>
                </c:pt>
                <c:pt idx="2631">
                  <c:v>323.07052612304688</c:v>
                </c:pt>
                <c:pt idx="2632">
                  <c:v>325.11270141601563</c:v>
                </c:pt>
                <c:pt idx="2633">
                  <c:v>327.17434692382813</c:v>
                </c:pt>
                <c:pt idx="2634">
                  <c:v>325.42218017578125</c:v>
                </c:pt>
                <c:pt idx="2635">
                  <c:v>322.23577880859375</c:v>
                </c:pt>
                <c:pt idx="2636">
                  <c:v>325.15509033203125</c:v>
                </c:pt>
                <c:pt idx="2637">
                  <c:v>330.54058837890625</c:v>
                </c:pt>
                <c:pt idx="2638">
                  <c:v>334.37750244140625</c:v>
                </c:pt>
                <c:pt idx="2639">
                  <c:v>335.63015747070313</c:v>
                </c:pt>
                <c:pt idx="2640">
                  <c:v>332.95419311523438</c:v>
                </c:pt>
                <c:pt idx="2641">
                  <c:v>329.76715087890625</c:v>
                </c:pt>
                <c:pt idx="2642">
                  <c:v>318.88043212890625</c:v>
                </c:pt>
                <c:pt idx="2643">
                  <c:v>314.99139404296875</c:v>
                </c:pt>
                <c:pt idx="2644">
                  <c:v>316.03359985351563</c:v>
                </c:pt>
                <c:pt idx="2645">
                  <c:v>308.72998046875</c:v>
                </c:pt>
                <c:pt idx="2646">
                  <c:v>299.19613647460938</c:v>
                </c:pt>
                <c:pt idx="2647">
                  <c:v>288.01724243164063</c:v>
                </c:pt>
                <c:pt idx="2648">
                  <c:v>279.72845458984375</c:v>
                </c:pt>
                <c:pt idx="2649">
                  <c:v>276.0521240234375</c:v>
                </c:pt>
                <c:pt idx="2650">
                  <c:v>270.74066162109375</c:v>
                </c:pt>
                <c:pt idx="2651">
                  <c:v>271.2337646484375</c:v>
                </c:pt>
                <c:pt idx="2652">
                  <c:v>265.01492309570313</c:v>
                </c:pt>
                <c:pt idx="2653">
                  <c:v>261.39193725585938</c:v>
                </c:pt>
                <c:pt idx="2654">
                  <c:v>258.86428833007813</c:v>
                </c:pt>
                <c:pt idx="2655">
                  <c:v>253.07313537597656</c:v>
                </c:pt>
                <c:pt idx="2656">
                  <c:v>244.36135864257813</c:v>
                </c:pt>
                <c:pt idx="2657">
                  <c:v>240.91209411621094</c:v>
                </c:pt>
                <c:pt idx="2658">
                  <c:v>242.42001342773438</c:v>
                </c:pt>
                <c:pt idx="2659">
                  <c:v>239.37895202636719</c:v>
                </c:pt>
                <c:pt idx="2660">
                  <c:v>237.83807373046875</c:v>
                </c:pt>
                <c:pt idx="2661">
                  <c:v>227.678466796875</c:v>
                </c:pt>
                <c:pt idx="2662">
                  <c:v>223.55661010742188</c:v>
                </c:pt>
                <c:pt idx="2663">
                  <c:v>219.09381103515625</c:v>
                </c:pt>
                <c:pt idx="2664">
                  <c:v>220.51850891113281</c:v>
                </c:pt>
                <c:pt idx="2665">
                  <c:v>223.277099609375</c:v>
                </c:pt>
                <c:pt idx="2666">
                  <c:v>222.00607299804688</c:v>
                </c:pt>
                <c:pt idx="2667">
                  <c:v>218.12016296386719</c:v>
                </c:pt>
                <c:pt idx="2668">
                  <c:v>217.43092346191406</c:v>
                </c:pt>
                <c:pt idx="2669">
                  <c:v>211.34455871582031</c:v>
                </c:pt>
                <c:pt idx="2670">
                  <c:v>201.33464050292969</c:v>
                </c:pt>
                <c:pt idx="2671">
                  <c:v>200.39488220214844</c:v>
                </c:pt>
                <c:pt idx="2672">
                  <c:v>199.43672180175781</c:v>
                </c:pt>
                <c:pt idx="2673">
                  <c:v>196.26264953613281</c:v>
                </c:pt>
                <c:pt idx="2674">
                  <c:v>194.36320495605469</c:v>
                </c:pt>
                <c:pt idx="2675">
                  <c:v>191.54414367675781</c:v>
                </c:pt>
                <c:pt idx="2676">
                  <c:v>188.66490173339844</c:v>
                </c:pt>
                <c:pt idx="2677">
                  <c:v>184.62367248535156</c:v>
                </c:pt>
                <c:pt idx="2678">
                  <c:v>181.57408142089844</c:v>
                </c:pt>
                <c:pt idx="2679">
                  <c:v>178.83041381835938</c:v>
                </c:pt>
                <c:pt idx="2680">
                  <c:v>178.84471130371094</c:v>
                </c:pt>
                <c:pt idx="2681">
                  <c:v>176.58740234375</c:v>
                </c:pt>
                <c:pt idx="2682">
                  <c:v>176.53143310546875</c:v>
                </c:pt>
                <c:pt idx="2683">
                  <c:v>171.67478942871094</c:v>
                </c:pt>
                <c:pt idx="2684">
                  <c:v>167.64161682128906</c:v>
                </c:pt>
                <c:pt idx="2685">
                  <c:v>166.71505737304688</c:v>
                </c:pt>
                <c:pt idx="2686">
                  <c:v>166.52400207519531</c:v>
                </c:pt>
                <c:pt idx="2687">
                  <c:v>165.8956298828125</c:v>
                </c:pt>
                <c:pt idx="2688">
                  <c:v>163.62925720214844</c:v>
                </c:pt>
                <c:pt idx="2689">
                  <c:v>160.40278625488281</c:v>
                </c:pt>
                <c:pt idx="2690">
                  <c:v>154.34091186523438</c:v>
                </c:pt>
                <c:pt idx="2691">
                  <c:v>151.32110595703125</c:v>
                </c:pt>
                <c:pt idx="2692">
                  <c:v>151.39054870605469</c:v>
                </c:pt>
                <c:pt idx="2693">
                  <c:v>152.16363525390625</c:v>
                </c:pt>
                <c:pt idx="2694">
                  <c:v>150.40583801269531</c:v>
                </c:pt>
                <c:pt idx="2695">
                  <c:v>148.7012939453125</c:v>
                </c:pt>
                <c:pt idx="2696">
                  <c:v>147.07969665527344</c:v>
                </c:pt>
                <c:pt idx="2697">
                  <c:v>146.94493103027344</c:v>
                </c:pt>
                <c:pt idx="2698">
                  <c:v>141.2215576171875</c:v>
                </c:pt>
                <c:pt idx="2699">
                  <c:v>141.75106811523438</c:v>
                </c:pt>
                <c:pt idx="2700">
                  <c:v>147.48150634765625</c:v>
                </c:pt>
                <c:pt idx="2701">
                  <c:v>144.421630859375</c:v>
                </c:pt>
                <c:pt idx="2702">
                  <c:v>143.55592346191406</c:v>
                </c:pt>
                <c:pt idx="2703">
                  <c:v>142.51661682128906</c:v>
                </c:pt>
                <c:pt idx="2704">
                  <c:v>140.58659362792969</c:v>
                </c:pt>
                <c:pt idx="2705">
                  <c:v>138.15715026855469</c:v>
                </c:pt>
                <c:pt idx="2706">
                  <c:v>136.40342712402344</c:v>
                </c:pt>
                <c:pt idx="2707">
                  <c:v>140.51637268066406</c:v>
                </c:pt>
                <c:pt idx="2708">
                  <c:v>142.90548706054688</c:v>
                </c:pt>
                <c:pt idx="2709">
                  <c:v>142.40950012207031</c:v>
                </c:pt>
                <c:pt idx="2710">
                  <c:v>141.72064208984375</c:v>
                </c:pt>
                <c:pt idx="2711">
                  <c:v>140.32650756835938</c:v>
                </c:pt>
                <c:pt idx="2712">
                  <c:v>136.86734008789063</c:v>
                </c:pt>
                <c:pt idx="2713">
                  <c:v>139.94766235351563</c:v>
                </c:pt>
                <c:pt idx="2714">
                  <c:v>141.29930114746094</c:v>
                </c:pt>
                <c:pt idx="2715">
                  <c:v>141.34921264648438</c:v>
                </c:pt>
                <c:pt idx="2716">
                  <c:v>140.42616271972656</c:v>
                </c:pt>
                <c:pt idx="2717">
                  <c:v>137.69180297851563</c:v>
                </c:pt>
                <c:pt idx="2718">
                  <c:v>135.88179016113281</c:v>
                </c:pt>
                <c:pt idx="2719">
                  <c:v>133.27052307128906</c:v>
                </c:pt>
                <c:pt idx="2720">
                  <c:v>135.38468933105469</c:v>
                </c:pt>
                <c:pt idx="2721">
                  <c:v>137.33554077148438</c:v>
                </c:pt>
                <c:pt idx="2722">
                  <c:v>135.37882995605469</c:v>
                </c:pt>
                <c:pt idx="2723">
                  <c:v>133.96742248535156</c:v>
                </c:pt>
                <c:pt idx="2724">
                  <c:v>132.23915100097656</c:v>
                </c:pt>
                <c:pt idx="2725">
                  <c:v>130.09698486328125</c:v>
                </c:pt>
                <c:pt idx="2726">
                  <c:v>127.28044128417969</c:v>
                </c:pt>
                <c:pt idx="2727">
                  <c:v>126.99716186523438</c:v>
                </c:pt>
                <c:pt idx="2728">
                  <c:v>128.38627624511719</c:v>
                </c:pt>
                <c:pt idx="2729">
                  <c:v>127.42000579833984</c:v>
                </c:pt>
                <c:pt idx="2730">
                  <c:v>124.79347229003906</c:v>
                </c:pt>
                <c:pt idx="2731">
                  <c:v>124.60198211669922</c:v>
                </c:pt>
                <c:pt idx="2732">
                  <c:v>124.22406005859375</c:v>
                </c:pt>
                <c:pt idx="2733">
                  <c:v>121.56875610351563</c:v>
                </c:pt>
                <c:pt idx="2734">
                  <c:v>122.01957702636719</c:v>
                </c:pt>
                <c:pt idx="2735">
                  <c:v>126.17649841308594</c:v>
                </c:pt>
                <c:pt idx="2736">
                  <c:v>128.37863159179688</c:v>
                </c:pt>
                <c:pt idx="2737">
                  <c:v>127.80854034423828</c:v>
                </c:pt>
                <c:pt idx="2738">
                  <c:v>126.16638946533203</c:v>
                </c:pt>
                <c:pt idx="2739">
                  <c:v>123.42087554931641</c:v>
                </c:pt>
                <c:pt idx="2740">
                  <c:v>119.66829681396484</c:v>
                </c:pt>
                <c:pt idx="2741">
                  <c:v>118.92039489746094</c:v>
                </c:pt>
                <c:pt idx="2742">
                  <c:v>120.23226928710938</c:v>
                </c:pt>
                <c:pt idx="2743">
                  <c:v>118.52771759033203</c:v>
                </c:pt>
                <c:pt idx="2744">
                  <c:v>116.84770202636719</c:v>
                </c:pt>
                <c:pt idx="2745">
                  <c:v>115.44944000244141</c:v>
                </c:pt>
                <c:pt idx="2746">
                  <c:v>113.94695281982422</c:v>
                </c:pt>
                <c:pt idx="2747">
                  <c:v>112.08605194091797</c:v>
                </c:pt>
                <c:pt idx="2748">
                  <c:v>112.38246154785156</c:v>
                </c:pt>
                <c:pt idx="2749">
                  <c:v>113.37892913818359</c:v>
                </c:pt>
                <c:pt idx="2750">
                  <c:v>114.56710052490234</c:v>
                </c:pt>
                <c:pt idx="2751">
                  <c:v>115.53331756591797</c:v>
                </c:pt>
                <c:pt idx="2752">
                  <c:v>118.26600646972656</c:v>
                </c:pt>
                <c:pt idx="2753">
                  <c:v>117.27665710449219</c:v>
                </c:pt>
                <c:pt idx="2754">
                  <c:v>117.05622100830078</c:v>
                </c:pt>
                <c:pt idx="2755">
                  <c:v>118.07600402832031</c:v>
                </c:pt>
                <c:pt idx="2756">
                  <c:v>121.22986602783203</c:v>
                </c:pt>
                <c:pt idx="2757">
                  <c:v>122.35790252685547</c:v>
                </c:pt>
                <c:pt idx="2758">
                  <c:v>122.38247680664063</c:v>
                </c:pt>
                <c:pt idx="2759">
                  <c:v>122.52100372314453</c:v>
                </c:pt>
                <c:pt idx="2760">
                  <c:v>121.39956665039063</c:v>
                </c:pt>
                <c:pt idx="2761">
                  <c:v>119.39630126953125</c:v>
                </c:pt>
                <c:pt idx="2762">
                  <c:v>118.94043731689453</c:v>
                </c:pt>
                <c:pt idx="2763">
                  <c:v>121.77383422851563</c:v>
                </c:pt>
                <c:pt idx="2764">
                  <c:v>122.22528076171875</c:v>
                </c:pt>
                <c:pt idx="2765">
                  <c:v>119.08939361572266</c:v>
                </c:pt>
                <c:pt idx="2766">
                  <c:v>115.30133056640625</c:v>
                </c:pt>
                <c:pt idx="2767">
                  <c:v>113.5272216796875</c:v>
                </c:pt>
                <c:pt idx="2768">
                  <c:v>113.73072052001953</c:v>
                </c:pt>
                <c:pt idx="2769">
                  <c:v>116.08748626708984</c:v>
                </c:pt>
                <c:pt idx="2770">
                  <c:v>121.8966064453125</c:v>
                </c:pt>
                <c:pt idx="2771">
                  <c:v>126.22307586669922</c:v>
                </c:pt>
                <c:pt idx="2772">
                  <c:v>129.63642883300781</c:v>
                </c:pt>
                <c:pt idx="2773">
                  <c:v>130.4678955078125</c:v>
                </c:pt>
                <c:pt idx="2774">
                  <c:v>132.12118530273438</c:v>
                </c:pt>
                <c:pt idx="2775">
                  <c:v>132.14173889160156</c:v>
                </c:pt>
                <c:pt idx="2776">
                  <c:v>134.76234436035156</c:v>
                </c:pt>
                <c:pt idx="2777">
                  <c:v>140.56410217285156</c:v>
                </c:pt>
                <c:pt idx="2778">
                  <c:v>139.49079895019531</c:v>
                </c:pt>
                <c:pt idx="2779">
                  <c:v>140.04515075683594</c:v>
                </c:pt>
                <c:pt idx="2780">
                  <c:v>140.03414916992188</c:v>
                </c:pt>
                <c:pt idx="2781">
                  <c:v>138.25636291503906</c:v>
                </c:pt>
                <c:pt idx="2782">
                  <c:v>135.85836791992188</c:v>
                </c:pt>
                <c:pt idx="2783">
                  <c:v>136.11894226074219</c:v>
                </c:pt>
                <c:pt idx="2784">
                  <c:v>135.75582885742188</c:v>
                </c:pt>
                <c:pt idx="2785">
                  <c:v>136.66850280761719</c:v>
                </c:pt>
                <c:pt idx="2786">
                  <c:v>134.99050903320313</c:v>
                </c:pt>
                <c:pt idx="2787">
                  <c:v>133.92755126953125</c:v>
                </c:pt>
                <c:pt idx="2788">
                  <c:v>132.72866821289063</c:v>
                </c:pt>
                <c:pt idx="2789">
                  <c:v>132.63572692871094</c:v>
                </c:pt>
                <c:pt idx="2790">
                  <c:v>132.36273193359375</c:v>
                </c:pt>
                <c:pt idx="2791">
                  <c:v>134.23208618164063</c:v>
                </c:pt>
                <c:pt idx="2792">
                  <c:v>133.9951171875</c:v>
                </c:pt>
                <c:pt idx="2793">
                  <c:v>133.60366821289063</c:v>
                </c:pt>
                <c:pt idx="2794">
                  <c:v>132.36068725585938</c:v>
                </c:pt>
                <c:pt idx="2795">
                  <c:v>131.53091430664063</c:v>
                </c:pt>
                <c:pt idx="2796">
                  <c:v>132.71646118164063</c:v>
                </c:pt>
                <c:pt idx="2797">
                  <c:v>132.73226928710938</c:v>
                </c:pt>
                <c:pt idx="2798">
                  <c:v>132.40187072753906</c:v>
                </c:pt>
                <c:pt idx="2799">
                  <c:v>131.29576110839844</c:v>
                </c:pt>
                <c:pt idx="2800">
                  <c:v>130.73684692382813</c:v>
                </c:pt>
                <c:pt idx="2801">
                  <c:v>126.53341674804688</c:v>
                </c:pt>
                <c:pt idx="2802">
                  <c:v>123.39108276367188</c:v>
                </c:pt>
                <c:pt idx="2803">
                  <c:v>120.12405395507813</c:v>
                </c:pt>
                <c:pt idx="2804">
                  <c:v>118.31504821777344</c:v>
                </c:pt>
                <c:pt idx="2805">
                  <c:v>118.58575439453125</c:v>
                </c:pt>
                <c:pt idx="2806">
                  <c:v>117.7587890625</c:v>
                </c:pt>
                <c:pt idx="2807">
                  <c:v>113.98739624023438</c:v>
                </c:pt>
                <c:pt idx="2808">
                  <c:v>114.44319152832031</c:v>
                </c:pt>
                <c:pt idx="2809">
                  <c:v>112.83148193359375</c:v>
                </c:pt>
                <c:pt idx="2810">
                  <c:v>108.97187042236328</c:v>
                </c:pt>
                <c:pt idx="2811">
                  <c:v>108.96974945068359</c:v>
                </c:pt>
                <c:pt idx="2812">
                  <c:v>109.37538909912109</c:v>
                </c:pt>
                <c:pt idx="2813">
                  <c:v>112.45915985107422</c:v>
                </c:pt>
                <c:pt idx="2814">
                  <c:v>112.42808532714844</c:v>
                </c:pt>
                <c:pt idx="2815">
                  <c:v>111.47198486328125</c:v>
                </c:pt>
                <c:pt idx="2816">
                  <c:v>112.08589172363281</c:v>
                </c:pt>
                <c:pt idx="2817">
                  <c:v>110.53797149658203</c:v>
                </c:pt>
                <c:pt idx="2818">
                  <c:v>111.89279174804688</c:v>
                </c:pt>
                <c:pt idx="2819">
                  <c:v>111.46231079101563</c:v>
                </c:pt>
                <c:pt idx="2820">
                  <c:v>114.39646911621094</c:v>
                </c:pt>
                <c:pt idx="2821">
                  <c:v>117.08032989501953</c:v>
                </c:pt>
                <c:pt idx="2822">
                  <c:v>119.92527770996094</c:v>
                </c:pt>
                <c:pt idx="2823">
                  <c:v>118.55526733398438</c:v>
                </c:pt>
                <c:pt idx="2824">
                  <c:v>117.31504058837891</c:v>
                </c:pt>
                <c:pt idx="2825">
                  <c:v>120.02265167236328</c:v>
                </c:pt>
                <c:pt idx="2826">
                  <c:v>121.75841522216797</c:v>
                </c:pt>
                <c:pt idx="2827">
                  <c:v>124.49607086181641</c:v>
                </c:pt>
                <c:pt idx="2828">
                  <c:v>125.885009765625</c:v>
                </c:pt>
                <c:pt idx="2829">
                  <c:v>128.05145263671875</c:v>
                </c:pt>
                <c:pt idx="2830">
                  <c:v>126.96017456054688</c:v>
                </c:pt>
                <c:pt idx="2831">
                  <c:v>128.17599487304688</c:v>
                </c:pt>
                <c:pt idx="2832">
                  <c:v>128.37982177734375</c:v>
                </c:pt>
                <c:pt idx="2833">
                  <c:v>131.65618896484375</c:v>
                </c:pt>
                <c:pt idx="2834">
                  <c:v>134.56253051757813</c:v>
                </c:pt>
                <c:pt idx="2835">
                  <c:v>137.34733581542969</c:v>
                </c:pt>
                <c:pt idx="2836">
                  <c:v>138.01240539550781</c:v>
                </c:pt>
                <c:pt idx="2837">
                  <c:v>139.12117004394531</c:v>
                </c:pt>
                <c:pt idx="2838">
                  <c:v>139.24198913574219</c:v>
                </c:pt>
                <c:pt idx="2839">
                  <c:v>142.95606994628906</c:v>
                </c:pt>
                <c:pt idx="2840">
                  <c:v>148.33937072753906</c:v>
                </c:pt>
                <c:pt idx="2841">
                  <c:v>150.67253112792969</c:v>
                </c:pt>
                <c:pt idx="2842">
                  <c:v>150.72517395019531</c:v>
                </c:pt>
                <c:pt idx="2843">
                  <c:v>148.86827087402344</c:v>
                </c:pt>
                <c:pt idx="2844">
                  <c:v>148.76200866699219</c:v>
                </c:pt>
                <c:pt idx="2845">
                  <c:v>146.65621948242188</c:v>
                </c:pt>
                <c:pt idx="2846">
                  <c:v>148.40660095214844</c:v>
                </c:pt>
                <c:pt idx="2847">
                  <c:v>150.33149719238281</c:v>
                </c:pt>
                <c:pt idx="2848">
                  <c:v>151.59844970703125</c:v>
                </c:pt>
                <c:pt idx="2849">
                  <c:v>153.26991271972656</c:v>
                </c:pt>
                <c:pt idx="2850">
                  <c:v>152.75628662109375</c:v>
                </c:pt>
                <c:pt idx="2851">
                  <c:v>148.84028625488281</c:v>
                </c:pt>
                <c:pt idx="2852">
                  <c:v>144.32377624511719</c:v>
                </c:pt>
                <c:pt idx="2853">
                  <c:v>143.84233093261719</c:v>
                </c:pt>
                <c:pt idx="2854">
                  <c:v>146.13148498535156</c:v>
                </c:pt>
                <c:pt idx="2855">
                  <c:v>145.14389038085938</c:v>
                </c:pt>
                <c:pt idx="2856">
                  <c:v>145.96412658691406</c:v>
                </c:pt>
                <c:pt idx="2857">
                  <c:v>146.000732421875</c:v>
                </c:pt>
                <c:pt idx="2858">
                  <c:v>143.47807312011719</c:v>
                </c:pt>
                <c:pt idx="2859">
                  <c:v>139.77867126464844</c:v>
                </c:pt>
                <c:pt idx="2860">
                  <c:v>138.4058837890625</c:v>
                </c:pt>
                <c:pt idx="2861">
                  <c:v>138.94854736328125</c:v>
                </c:pt>
                <c:pt idx="2862">
                  <c:v>139.84591674804688</c:v>
                </c:pt>
                <c:pt idx="2863">
                  <c:v>140.590576171875</c:v>
                </c:pt>
                <c:pt idx="2864">
                  <c:v>138.74864196777344</c:v>
                </c:pt>
                <c:pt idx="2865">
                  <c:v>135.18586730957031</c:v>
                </c:pt>
                <c:pt idx="2866">
                  <c:v>133.74940490722656</c:v>
                </c:pt>
                <c:pt idx="2867">
                  <c:v>133.98371887207031</c:v>
                </c:pt>
                <c:pt idx="2868">
                  <c:v>138.24322509765625</c:v>
                </c:pt>
                <c:pt idx="2869">
                  <c:v>136.37889099121094</c:v>
                </c:pt>
                <c:pt idx="2870">
                  <c:v>132.04219055175781</c:v>
                </c:pt>
                <c:pt idx="2871">
                  <c:v>129.68025207519531</c:v>
                </c:pt>
                <c:pt idx="2872">
                  <c:v>126.80763244628906</c:v>
                </c:pt>
                <c:pt idx="2873">
                  <c:v>123.43372344970703</c:v>
                </c:pt>
                <c:pt idx="2874">
                  <c:v>126.65068054199219</c:v>
                </c:pt>
                <c:pt idx="2875">
                  <c:v>131.05986022949219</c:v>
                </c:pt>
                <c:pt idx="2876">
                  <c:v>131.02360534667969</c:v>
                </c:pt>
                <c:pt idx="2877">
                  <c:v>131.83120727539063</c:v>
                </c:pt>
                <c:pt idx="2878">
                  <c:v>129.08189392089844</c:v>
                </c:pt>
                <c:pt idx="2879">
                  <c:v>126.48367309570313</c:v>
                </c:pt>
                <c:pt idx="2880">
                  <c:v>122.68499755859375</c:v>
                </c:pt>
                <c:pt idx="2881">
                  <c:v>122.66004943847656</c:v>
                </c:pt>
                <c:pt idx="2882">
                  <c:v>124.42488861083984</c:v>
                </c:pt>
                <c:pt idx="2883">
                  <c:v>124.82577514648438</c:v>
                </c:pt>
                <c:pt idx="2884">
                  <c:v>121.71734619140625</c:v>
                </c:pt>
                <c:pt idx="2885">
                  <c:v>119.95474243164063</c:v>
                </c:pt>
                <c:pt idx="2886">
                  <c:v>117.08258819580078</c:v>
                </c:pt>
                <c:pt idx="2887">
                  <c:v>113.14054870605469</c:v>
                </c:pt>
                <c:pt idx="2888">
                  <c:v>113.36518859863281</c:v>
                </c:pt>
                <c:pt idx="2889">
                  <c:v>114.99156951904297</c:v>
                </c:pt>
                <c:pt idx="2890">
                  <c:v>113.91822814941406</c:v>
                </c:pt>
                <c:pt idx="2891">
                  <c:v>111.55369567871094</c:v>
                </c:pt>
                <c:pt idx="2892">
                  <c:v>110.16304016113281</c:v>
                </c:pt>
                <c:pt idx="2893">
                  <c:v>107.49160003662109</c:v>
                </c:pt>
                <c:pt idx="2894">
                  <c:v>105.349365234375</c:v>
                </c:pt>
                <c:pt idx="2895">
                  <c:v>105.45441436767578</c:v>
                </c:pt>
                <c:pt idx="2896">
                  <c:v>106.71940612792969</c:v>
                </c:pt>
                <c:pt idx="2897">
                  <c:v>106.30889892578125</c:v>
                </c:pt>
                <c:pt idx="2898">
                  <c:v>103.48299407958984</c:v>
                </c:pt>
                <c:pt idx="2899">
                  <c:v>102.81293487548828</c:v>
                </c:pt>
                <c:pt idx="2900">
                  <c:v>101.09889221191406</c:v>
                </c:pt>
                <c:pt idx="2901">
                  <c:v>98.010971069335938</c:v>
                </c:pt>
                <c:pt idx="2902">
                  <c:v>101.70120239257813</c:v>
                </c:pt>
                <c:pt idx="2903">
                  <c:v>105.25516510009766</c:v>
                </c:pt>
                <c:pt idx="2904">
                  <c:v>103.40390777587891</c:v>
                </c:pt>
                <c:pt idx="2905">
                  <c:v>99.307388305664063</c:v>
                </c:pt>
                <c:pt idx="2906">
                  <c:v>96.914558410644531</c:v>
                </c:pt>
                <c:pt idx="2907">
                  <c:v>94.298118591308594</c:v>
                </c:pt>
                <c:pt idx="2908">
                  <c:v>93.365585327148438</c:v>
                </c:pt>
                <c:pt idx="2909">
                  <c:v>96.348503112792969</c:v>
                </c:pt>
                <c:pt idx="2910">
                  <c:v>98.760459899902344</c:v>
                </c:pt>
                <c:pt idx="2911">
                  <c:v>100.82420349121094</c:v>
                </c:pt>
                <c:pt idx="2912">
                  <c:v>102.61602020263672</c:v>
                </c:pt>
                <c:pt idx="2913">
                  <c:v>102.92681121826172</c:v>
                </c:pt>
                <c:pt idx="2914">
                  <c:v>104.07099914550781</c:v>
                </c:pt>
                <c:pt idx="2915">
                  <c:v>103.85926818847656</c:v>
                </c:pt>
                <c:pt idx="2916">
                  <c:v>102.87162780761719</c:v>
                </c:pt>
                <c:pt idx="2917">
                  <c:v>104.91806030273438</c:v>
                </c:pt>
                <c:pt idx="2918">
                  <c:v>107.047607421875</c:v>
                </c:pt>
                <c:pt idx="2919">
                  <c:v>107.57880401611328</c:v>
                </c:pt>
                <c:pt idx="2920">
                  <c:v>109.86678314208984</c:v>
                </c:pt>
                <c:pt idx="2921">
                  <c:v>110.15453338623047</c:v>
                </c:pt>
                <c:pt idx="2922">
                  <c:v>107.67218780517578</c:v>
                </c:pt>
                <c:pt idx="2923">
                  <c:v>108.02693939208984</c:v>
                </c:pt>
                <c:pt idx="2924">
                  <c:v>112.92108154296875</c:v>
                </c:pt>
                <c:pt idx="2925">
                  <c:v>112.76495361328125</c:v>
                </c:pt>
                <c:pt idx="2926">
                  <c:v>111.48638916015625</c:v>
                </c:pt>
                <c:pt idx="2927">
                  <c:v>110.19715881347656</c:v>
                </c:pt>
                <c:pt idx="2928">
                  <c:v>108.46053314208984</c:v>
                </c:pt>
                <c:pt idx="2929">
                  <c:v>105.5245361328125</c:v>
                </c:pt>
                <c:pt idx="2930">
                  <c:v>106.83779907226563</c:v>
                </c:pt>
                <c:pt idx="2931">
                  <c:v>110.04337310791016</c:v>
                </c:pt>
                <c:pt idx="2932">
                  <c:v>109.07915496826172</c:v>
                </c:pt>
                <c:pt idx="2933">
                  <c:v>107.80644989013672</c:v>
                </c:pt>
                <c:pt idx="2934">
                  <c:v>106.81664276123047</c:v>
                </c:pt>
                <c:pt idx="2935">
                  <c:v>107.54295349121094</c:v>
                </c:pt>
                <c:pt idx="2936">
                  <c:v>105.66993713378906</c:v>
                </c:pt>
                <c:pt idx="2937">
                  <c:v>106.74940490722656</c:v>
                </c:pt>
                <c:pt idx="2938">
                  <c:v>109.33834838867188</c:v>
                </c:pt>
                <c:pt idx="2939">
                  <c:v>106.18246459960938</c:v>
                </c:pt>
                <c:pt idx="2940">
                  <c:v>105.59305572509766</c:v>
                </c:pt>
                <c:pt idx="2941">
                  <c:v>105.02058410644531</c:v>
                </c:pt>
                <c:pt idx="2942">
                  <c:v>103.92691040039063</c:v>
                </c:pt>
                <c:pt idx="2943">
                  <c:v>101.48061370849609</c:v>
                </c:pt>
                <c:pt idx="2944">
                  <c:v>101.71098327636719</c:v>
                </c:pt>
                <c:pt idx="2945">
                  <c:v>102.23841094970703</c:v>
                </c:pt>
                <c:pt idx="2946">
                  <c:v>103.76889801025391</c:v>
                </c:pt>
                <c:pt idx="2947">
                  <c:v>101.25812530517578</c:v>
                </c:pt>
                <c:pt idx="2948">
                  <c:v>100.22093963623047</c:v>
                </c:pt>
                <c:pt idx="2949">
                  <c:v>99.102615356445313</c:v>
                </c:pt>
                <c:pt idx="2950">
                  <c:v>95.935264587402344</c:v>
                </c:pt>
                <c:pt idx="2951">
                  <c:v>98.621658325195313</c:v>
                </c:pt>
                <c:pt idx="2952">
                  <c:v>102.41158294677734</c:v>
                </c:pt>
                <c:pt idx="2953">
                  <c:v>102.13327789306641</c:v>
                </c:pt>
                <c:pt idx="2954">
                  <c:v>99.871749877929688</c:v>
                </c:pt>
                <c:pt idx="2955">
                  <c:v>100.60648345947266</c:v>
                </c:pt>
                <c:pt idx="2956">
                  <c:v>101.22158050537109</c:v>
                </c:pt>
                <c:pt idx="2957">
                  <c:v>101.05934906005859</c:v>
                </c:pt>
                <c:pt idx="2958">
                  <c:v>101.84825134277344</c:v>
                </c:pt>
                <c:pt idx="2959">
                  <c:v>105.47475433349609</c:v>
                </c:pt>
                <c:pt idx="2960">
                  <c:v>107.10310363769531</c:v>
                </c:pt>
                <c:pt idx="2961">
                  <c:v>108.93522644042969</c:v>
                </c:pt>
                <c:pt idx="2962">
                  <c:v>109.54987335205078</c:v>
                </c:pt>
                <c:pt idx="2963">
                  <c:v>109.02876281738281</c:v>
                </c:pt>
                <c:pt idx="2964">
                  <c:v>108.09809112548828</c:v>
                </c:pt>
                <c:pt idx="2965">
                  <c:v>108.59865570068359</c:v>
                </c:pt>
                <c:pt idx="2966">
                  <c:v>109.93402862548828</c:v>
                </c:pt>
                <c:pt idx="2967">
                  <c:v>110.33970642089844</c:v>
                </c:pt>
                <c:pt idx="2968">
                  <c:v>110.58444213867188</c:v>
                </c:pt>
                <c:pt idx="2969">
                  <c:v>111.56161499023438</c:v>
                </c:pt>
                <c:pt idx="2970">
                  <c:v>110.61855316162109</c:v>
                </c:pt>
                <c:pt idx="2971">
                  <c:v>109.38031768798828</c:v>
                </c:pt>
                <c:pt idx="2972">
                  <c:v>110.04153442382813</c:v>
                </c:pt>
                <c:pt idx="2973">
                  <c:v>114.48966979980469</c:v>
                </c:pt>
                <c:pt idx="2974">
                  <c:v>116.57643127441406</c:v>
                </c:pt>
                <c:pt idx="2975">
                  <c:v>117.83943176269531</c:v>
                </c:pt>
                <c:pt idx="2976">
                  <c:v>117.85146331787109</c:v>
                </c:pt>
                <c:pt idx="2977">
                  <c:v>118.26998901367188</c:v>
                </c:pt>
                <c:pt idx="2978">
                  <c:v>116.49774932861328</c:v>
                </c:pt>
                <c:pt idx="2979">
                  <c:v>117.92075347900391</c:v>
                </c:pt>
                <c:pt idx="2980">
                  <c:v>120.97887420654297</c:v>
                </c:pt>
                <c:pt idx="2981">
                  <c:v>118.89896392822266</c:v>
                </c:pt>
                <c:pt idx="2982">
                  <c:v>118.00159454345703</c:v>
                </c:pt>
                <c:pt idx="2983">
                  <c:v>119.53237915039063</c:v>
                </c:pt>
                <c:pt idx="2984">
                  <c:v>118.55419921875</c:v>
                </c:pt>
                <c:pt idx="2985">
                  <c:v>116.67816162109375</c:v>
                </c:pt>
                <c:pt idx="2986">
                  <c:v>116.2669677734375</c:v>
                </c:pt>
                <c:pt idx="2987">
                  <c:v>118.85259246826172</c:v>
                </c:pt>
                <c:pt idx="2988">
                  <c:v>119.29937744140625</c:v>
                </c:pt>
                <c:pt idx="2989">
                  <c:v>119.61449432373047</c:v>
                </c:pt>
                <c:pt idx="2990">
                  <c:v>118.89672088623047</c:v>
                </c:pt>
                <c:pt idx="2991">
                  <c:v>116.05113983154297</c:v>
                </c:pt>
                <c:pt idx="2992">
                  <c:v>113.71219635009766</c:v>
                </c:pt>
                <c:pt idx="2993">
                  <c:v>115.22836303710938</c:v>
                </c:pt>
                <c:pt idx="2994">
                  <c:v>116.61272430419922</c:v>
                </c:pt>
                <c:pt idx="2995">
                  <c:v>116.32379913330078</c:v>
                </c:pt>
                <c:pt idx="2996">
                  <c:v>117.32864379882813</c:v>
                </c:pt>
                <c:pt idx="2997">
                  <c:v>116.19380950927734</c:v>
                </c:pt>
                <c:pt idx="2998">
                  <c:v>114.6336669921875</c:v>
                </c:pt>
                <c:pt idx="2999">
                  <c:v>112.16568756103516</c:v>
                </c:pt>
                <c:pt idx="3000">
                  <c:v>112.40898895263672</c:v>
                </c:pt>
                <c:pt idx="3001">
                  <c:v>112.89848327636719</c:v>
                </c:pt>
                <c:pt idx="3002">
                  <c:v>111.84529876708984</c:v>
                </c:pt>
                <c:pt idx="3003">
                  <c:v>109.36498260498047</c:v>
                </c:pt>
                <c:pt idx="3004">
                  <c:v>106.77535247802734</c:v>
                </c:pt>
                <c:pt idx="3005">
                  <c:v>105.89994049072266</c:v>
                </c:pt>
                <c:pt idx="3006">
                  <c:v>103.25576782226563</c:v>
                </c:pt>
                <c:pt idx="3007">
                  <c:v>104.48561859130859</c:v>
                </c:pt>
                <c:pt idx="3008">
                  <c:v>104.79090118408203</c:v>
                </c:pt>
                <c:pt idx="3009">
                  <c:v>103.26863861083984</c:v>
                </c:pt>
                <c:pt idx="3010">
                  <c:v>102.68023681640625</c:v>
                </c:pt>
                <c:pt idx="3011">
                  <c:v>102.60263061523438</c:v>
                </c:pt>
                <c:pt idx="3012">
                  <c:v>100.30098724365234</c:v>
                </c:pt>
                <c:pt idx="3013">
                  <c:v>96.599662780761719</c:v>
                </c:pt>
                <c:pt idx="3014">
                  <c:v>96.044540405273438</c:v>
                </c:pt>
                <c:pt idx="3015">
                  <c:v>98.023941040039063</c:v>
                </c:pt>
                <c:pt idx="3016">
                  <c:v>98.39154052734375</c:v>
                </c:pt>
                <c:pt idx="3017">
                  <c:v>98.800254821777344</c:v>
                </c:pt>
                <c:pt idx="3018">
                  <c:v>100.23612976074219</c:v>
                </c:pt>
                <c:pt idx="3019">
                  <c:v>97.482032775878906</c:v>
                </c:pt>
                <c:pt idx="3020">
                  <c:v>95.167922973632813</c:v>
                </c:pt>
                <c:pt idx="3021">
                  <c:v>97.120101928710938</c:v>
                </c:pt>
                <c:pt idx="3022">
                  <c:v>97.621360778808594</c:v>
                </c:pt>
                <c:pt idx="3023">
                  <c:v>96.792388916015625</c:v>
                </c:pt>
                <c:pt idx="3024">
                  <c:v>97.088546752929688</c:v>
                </c:pt>
                <c:pt idx="3025">
                  <c:v>97.690292358398438</c:v>
                </c:pt>
                <c:pt idx="3026">
                  <c:v>96.840156555175781</c:v>
                </c:pt>
                <c:pt idx="3027">
                  <c:v>95.401336669921875</c:v>
                </c:pt>
                <c:pt idx="3028">
                  <c:v>95.524002075195313</c:v>
                </c:pt>
                <c:pt idx="3029">
                  <c:v>98.017333984375</c:v>
                </c:pt>
                <c:pt idx="3030">
                  <c:v>100.14939117431641</c:v>
                </c:pt>
                <c:pt idx="3031">
                  <c:v>99.008232116699219</c:v>
                </c:pt>
                <c:pt idx="3032">
                  <c:v>99.862213134765625</c:v>
                </c:pt>
                <c:pt idx="3033">
                  <c:v>98.86993408203125</c:v>
                </c:pt>
                <c:pt idx="3034">
                  <c:v>98.3314208984375</c:v>
                </c:pt>
                <c:pt idx="3035">
                  <c:v>100.25991058349609</c:v>
                </c:pt>
                <c:pt idx="3036">
                  <c:v>105.21273803710938</c:v>
                </c:pt>
                <c:pt idx="3037">
                  <c:v>104.69277191162109</c:v>
                </c:pt>
                <c:pt idx="3038">
                  <c:v>106.06353759765625</c:v>
                </c:pt>
                <c:pt idx="3039">
                  <c:v>107.3277587890625</c:v>
                </c:pt>
                <c:pt idx="3040">
                  <c:v>105.11940002441406</c:v>
                </c:pt>
                <c:pt idx="3041">
                  <c:v>104.48280334472656</c:v>
                </c:pt>
                <c:pt idx="3042">
                  <c:v>106.22458648681641</c:v>
                </c:pt>
                <c:pt idx="3043">
                  <c:v>107.33959197998047</c:v>
                </c:pt>
                <c:pt idx="3044">
                  <c:v>109.50364685058594</c:v>
                </c:pt>
                <c:pt idx="3045">
                  <c:v>109.45883178710938</c:v>
                </c:pt>
                <c:pt idx="3046">
                  <c:v>107.85394287109375</c:v>
                </c:pt>
                <c:pt idx="3047">
                  <c:v>105.11256408691406</c:v>
                </c:pt>
                <c:pt idx="3048">
                  <c:v>100.89912414550781</c:v>
                </c:pt>
                <c:pt idx="3049">
                  <c:v>100.46260070800781</c:v>
                </c:pt>
                <c:pt idx="3050">
                  <c:v>102.87359619140625</c:v>
                </c:pt>
                <c:pt idx="3051">
                  <c:v>102.06474304199219</c:v>
                </c:pt>
                <c:pt idx="3052">
                  <c:v>103.54893493652344</c:v>
                </c:pt>
                <c:pt idx="3053">
                  <c:v>104.44187927246094</c:v>
                </c:pt>
                <c:pt idx="3054">
                  <c:v>103.19620513916016</c:v>
                </c:pt>
                <c:pt idx="3055">
                  <c:v>101.67021179199219</c:v>
                </c:pt>
                <c:pt idx="3056">
                  <c:v>103.28884887695313</c:v>
                </c:pt>
                <c:pt idx="3057">
                  <c:v>106.47088623046875</c:v>
                </c:pt>
                <c:pt idx="3058">
                  <c:v>106.39600372314453</c:v>
                </c:pt>
                <c:pt idx="3059">
                  <c:v>107.00801849365234</c:v>
                </c:pt>
                <c:pt idx="3060">
                  <c:v>107.10209655761719</c:v>
                </c:pt>
                <c:pt idx="3061">
                  <c:v>107.19449615478516</c:v>
                </c:pt>
                <c:pt idx="3062">
                  <c:v>104.53366851806641</c:v>
                </c:pt>
                <c:pt idx="3063">
                  <c:v>104.78189086914063</c:v>
                </c:pt>
                <c:pt idx="3064">
                  <c:v>109.02278900146484</c:v>
                </c:pt>
                <c:pt idx="3065">
                  <c:v>107.54787445068359</c:v>
                </c:pt>
                <c:pt idx="3066">
                  <c:v>105.08294677734375</c:v>
                </c:pt>
                <c:pt idx="3067">
                  <c:v>103.61618804931641</c:v>
                </c:pt>
                <c:pt idx="3068">
                  <c:v>102.54380035400391</c:v>
                </c:pt>
                <c:pt idx="3069">
                  <c:v>99.831039428710938</c:v>
                </c:pt>
                <c:pt idx="3070">
                  <c:v>99.228256225585938</c:v>
                </c:pt>
                <c:pt idx="3071">
                  <c:v>100.55973052978516</c:v>
                </c:pt>
                <c:pt idx="3072">
                  <c:v>104.39225006103516</c:v>
                </c:pt>
                <c:pt idx="3073">
                  <c:v>107.90427398681641</c:v>
                </c:pt>
                <c:pt idx="3074">
                  <c:v>107.23919677734375</c:v>
                </c:pt>
                <c:pt idx="3075">
                  <c:v>107.27021026611328</c:v>
                </c:pt>
                <c:pt idx="3076">
                  <c:v>106.21843719482422</c:v>
                </c:pt>
                <c:pt idx="3077">
                  <c:v>106.73963928222656</c:v>
                </c:pt>
                <c:pt idx="3078">
                  <c:v>109.76857757568359</c:v>
                </c:pt>
                <c:pt idx="3079">
                  <c:v>112.78636169433594</c:v>
                </c:pt>
                <c:pt idx="3080">
                  <c:v>111.53256988525391</c:v>
                </c:pt>
                <c:pt idx="3081">
                  <c:v>110.79286956787109</c:v>
                </c:pt>
                <c:pt idx="3082">
                  <c:v>109.45504760742188</c:v>
                </c:pt>
                <c:pt idx="3083">
                  <c:v>107.29081726074219</c:v>
                </c:pt>
                <c:pt idx="3084">
                  <c:v>106.52091217041016</c:v>
                </c:pt>
                <c:pt idx="3085">
                  <c:v>106.62593078613281</c:v>
                </c:pt>
                <c:pt idx="3086">
                  <c:v>104.50146484375</c:v>
                </c:pt>
                <c:pt idx="3087">
                  <c:v>105.19465637207031</c:v>
                </c:pt>
                <c:pt idx="3088">
                  <c:v>105.92979431152344</c:v>
                </c:pt>
                <c:pt idx="3089">
                  <c:v>104.859375</c:v>
                </c:pt>
                <c:pt idx="3090">
                  <c:v>102.32081604003906</c:v>
                </c:pt>
                <c:pt idx="3091">
                  <c:v>102.63222503662109</c:v>
                </c:pt>
                <c:pt idx="3092">
                  <c:v>105.38404846191406</c:v>
                </c:pt>
                <c:pt idx="3093">
                  <c:v>107.03822326660156</c:v>
                </c:pt>
                <c:pt idx="3094">
                  <c:v>106.06531524658203</c:v>
                </c:pt>
                <c:pt idx="3095">
                  <c:v>103.77168273925781</c:v>
                </c:pt>
                <c:pt idx="3096">
                  <c:v>103.73154449462891</c:v>
                </c:pt>
                <c:pt idx="3097">
                  <c:v>105.85955810546875</c:v>
                </c:pt>
                <c:pt idx="3098">
                  <c:v>108.65287780761719</c:v>
                </c:pt>
                <c:pt idx="3099">
                  <c:v>111.37967681884766</c:v>
                </c:pt>
                <c:pt idx="3100">
                  <c:v>112.632080078125</c:v>
                </c:pt>
                <c:pt idx="3101">
                  <c:v>112.95223999023438</c:v>
                </c:pt>
                <c:pt idx="3102">
                  <c:v>109.05525207519531</c:v>
                </c:pt>
                <c:pt idx="3103">
                  <c:v>106.40983581542969</c:v>
                </c:pt>
                <c:pt idx="3104">
                  <c:v>104.40489959716797</c:v>
                </c:pt>
                <c:pt idx="3105">
                  <c:v>101.95034027099609</c:v>
                </c:pt>
                <c:pt idx="3106">
                  <c:v>104.34184265136719</c:v>
                </c:pt>
                <c:pt idx="3107">
                  <c:v>103.76735687255859</c:v>
                </c:pt>
                <c:pt idx="3108">
                  <c:v>105.07366943359375</c:v>
                </c:pt>
                <c:pt idx="3109">
                  <c:v>104.34929656982422</c:v>
                </c:pt>
                <c:pt idx="3110">
                  <c:v>103.68063354492188</c:v>
                </c:pt>
                <c:pt idx="3111">
                  <c:v>103.00083160400391</c:v>
                </c:pt>
                <c:pt idx="3112">
                  <c:v>104.3726806640625</c:v>
                </c:pt>
                <c:pt idx="3113">
                  <c:v>106.37476348876953</c:v>
                </c:pt>
                <c:pt idx="3114">
                  <c:v>110.95681762695313</c:v>
                </c:pt>
                <c:pt idx="3115">
                  <c:v>111.06813049316406</c:v>
                </c:pt>
                <c:pt idx="3116">
                  <c:v>113.70920562744141</c:v>
                </c:pt>
                <c:pt idx="3117">
                  <c:v>110.62334442138672</c:v>
                </c:pt>
                <c:pt idx="3118">
                  <c:v>107.92819976806641</c:v>
                </c:pt>
                <c:pt idx="3119">
                  <c:v>108.51982879638672</c:v>
                </c:pt>
                <c:pt idx="3120">
                  <c:v>110.74434661865234</c:v>
                </c:pt>
                <c:pt idx="3121">
                  <c:v>113.44577789306641</c:v>
                </c:pt>
                <c:pt idx="3122">
                  <c:v>112.94100952148438</c:v>
                </c:pt>
                <c:pt idx="3123">
                  <c:v>112.42487335205078</c:v>
                </c:pt>
                <c:pt idx="3124">
                  <c:v>108.49195098876953</c:v>
                </c:pt>
                <c:pt idx="3125">
                  <c:v>108.59297180175781</c:v>
                </c:pt>
                <c:pt idx="3126">
                  <c:v>109.87128448486328</c:v>
                </c:pt>
                <c:pt idx="3127">
                  <c:v>107.75597381591797</c:v>
                </c:pt>
                <c:pt idx="3128">
                  <c:v>104.90804290771484</c:v>
                </c:pt>
                <c:pt idx="3129">
                  <c:v>105.38127136230469</c:v>
                </c:pt>
                <c:pt idx="3130">
                  <c:v>106.97431945800781</c:v>
                </c:pt>
                <c:pt idx="3131">
                  <c:v>105.34083557128906</c:v>
                </c:pt>
                <c:pt idx="3132">
                  <c:v>102.25400543212891</c:v>
                </c:pt>
                <c:pt idx="3133">
                  <c:v>103.96616363525391</c:v>
                </c:pt>
                <c:pt idx="3134">
                  <c:v>105.54913330078125</c:v>
                </c:pt>
                <c:pt idx="3135">
                  <c:v>108.46173095703125</c:v>
                </c:pt>
                <c:pt idx="3136">
                  <c:v>107.75503540039063</c:v>
                </c:pt>
                <c:pt idx="3137">
                  <c:v>108.73900604248047</c:v>
                </c:pt>
                <c:pt idx="3138">
                  <c:v>106.23119354248047</c:v>
                </c:pt>
                <c:pt idx="3139">
                  <c:v>103.21857452392578</c:v>
                </c:pt>
                <c:pt idx="3140">
                  <c:v>105.1815185546875</c:v>
                </c:pt>
                <c:pt idx="3141">
                  <c:v>106.26027679443359</c:v>
                </c:pt>
                <c:pt idx="3142">
                  <c:v>105.17434692382813</c:v>
                </c:pt>
                <c:pt idx="3143">
                  <c:v>104.82944488525391</c:v>
                </c:pt>
                <c:pt idx="3144">
                  <c:v>102.80181121826172</c:v>
                </c:pt>
                <c:pt idx="3145">
                  <c:v>104.09382629394531</c:v>
                </c:pt>
                <c:pt idx="3146">
                  <c:v>101.07170104980469</c:v>
                </c:pt>
                <c:pt idx="3147">
                  <c:v>102.71250915527344</c:v>
                </c:pt>
                <c:pt idx="3148">
                  <c:v>105.51467895507813</c:v>
                </c:pt>
                <c:pt idx="3149">
                  <c:v>105.15370178222656</c:v>
                </c:pt>
                <c:pt idx="3150">
                  <c:v>103.97354125976563</c:v>
                </c:pt>
                <c:pt idx="3151">
                  <c:v>100.26004028320313</c:v>
                </c:pt>
                <c:pt idx="3152">
                  <c:v>99.806961059570313</c:v>
                </c:pt>
                <c:pt idx="3153">
                  <c:v>97.517318725585938</c:v>
                </c:pt>
                <c:pt idx="3154">
                  <c:v>99.540908813476563</c:v>
                </c:pt>
                <c:pt idx="3155">
                  <c:v>100.59615325927734</c:v>
                </c:pt>
                <c:pt idx="3156">
                  <c:v>100.03880310058594</c:v>
                </c:pt>
                <c:pt idx="3157">
                  <c:v>100.03369903564453</c:v>
                </c:pt>
                <c:pt idx="3158">
                  <c:v>98.573089599609375</c:v>
                </c:pt>
                <c:pt idx="3159">
                  <c:v>97.022163391113281</c:v>
                </c:pt>
                <c:pt idx="3160">
                  <c:v>94.075523376464844</c:v>
                </c:pt>
                <c:pt idx="3161">
                  <c:v>94.193832397460938</c:v>
                </c:pt>
                <c:pt idx="3162">
                  <c:v>97.712677001953125</c:v>
                </c:pt>
                <c:pt idx="3163">
                  <c:v>98.00921630859375</c:v>
                </c:pt>
                <c:pt idx="3164">
                  <c:v>98.02618408203125</c:v>
                </c:pt>
                <c:pt idx="3165">
                  <c:v>96.050559997558594</c:v>
                </c:pt>
                <c:pt idx="3166">
                  <c:v>95.058830261230469</c:v>
                </c:pt>
                <c:pt idx="3167">
                  <c:v>91.625045776367188</c:v>
                </c:pt>
                <c:pt idx="3168">
                  <c:v>91.731277465820313</c:v>
                </c:pt>
                <c:pt idx="3169">
                  <c:v>94.784698486328125</c:v>
                </c:pt>
                <c:pt idx="3170">
                  <c:v>93.4200439453125</c:v>
                </c:pt>
                <c:pt idx="3171">
                  <c:v>92.488265991210938</c:v>
                </c:pt>
                <c:pt idx="3172">
                  <c:v>91.63568115234375</c:v>
                </c:pt>
                <c:pt idx="3173">
                  <c:v>88.749862670898438</c:v>
                </c:pt>
                <c:pt idx="3174">
                  <c:v>84.558059692382813</c:v>
                </c:pt>
                <c:pt idx="3175">
                  <c:v>83.698921203613281</c:v>
                </c:pt>
                <c:pt idx="3176">
                  <c:v>87.174484252929688</c:v>
                </c:pt>
                <c:pt idx="3177">
                  <c:v>87.834953308105469</c:v>
                </c:pt>
                <c:pt idx="3178">
                  <c:v>88.011459350585938</c:v>
                </c:pt>
                <c:pt idx="3179">
                  <c:v>88.233482360839844</c:v>
                </c:pt>
                <c:pt idx="3180">
                  <c:v>87.0146484375</c:v>
                </c:pt>
                <c:pt idx="3181">
                  <c:v>86.577957153320313</c:v>
                </c:pt>
                <c:pt idx="3182">
                  <c:v>86.59942626953125</c:v>
                </c:pt>
                <c:pt idx="3183">
                  <c:v>92.056610107421875</c:v>
                </c:pt>
                <c:pt idx="3184">
                  <c:v>95.152885437011719</c:v>
                </c:pt>
                <c:pt idx="3185">
                  <c:v>97.880035400390625</c:v>
                </c:pt>
                <c:pt idx="3186">
                  <c:v>98.043869018554688</c:v>
                </c:pt>
                <c:pt idx="3187">
                  <c:v>98.325531005859375</c:v>
                </c:pt>
                <c:pt idx="3188">
                  <c:v>99.197547912597656</c:v>
                </c:pt>
                <c:pt idx="3189">
                  <c:v>99.9970703125</c:v>
                </c:pt>
                <c:pt idx="3190">
                  <c:v>101.30775451660156</c:v>
                </c:pt>
                <c:pt idx="3191">
                  <c:v>102.17523956298828</c:v>
                </c:pt>
                <c:pt idx="3192">
                  <c:v>100.46672821044922</c:v>
                </c:pt>
                <c:pt idx="3193">
                  <c:v>97.904037475585938</c:v>
                </c:pt>
                <c:pt idx="3194">
                  <c:v>96.741806030273438</c:v>
                </c:pt>
                <c:pt idx="3195">
                  <c:v>95.591285705566406</c:v>
                </c:pt>
                <c:pt idx="3196">
                  <c:v>95.740676879882813</c:v>
                </c:pt>
                <c:pt idx="3197">
                  <c:v>98.763687133789063</c:v>
                </c:pt>
                <c:pt idx="3198">
                  <c:v>97.451202392578125</c:v>
                </c:pt>
                <c:pt idx="3199">
                  <c:v>95.201828002929688</c:v>
                </c:pt>
                <c:pt idx="3200">
                  <c:v>98.024574279785156</c:v>
                </c:pt>
                <c:pt idx="3201">
                  <c:v>97.151275634765625</c:v>
                </c:pt>
                <c:pt idx="3202">
                  <c:v>97.002105712890625</c:v>
                </c:pt>
                <c:pt idx="3203">
                  <c:v>103.09011840820313</c:v>
                </c:pt>
                <c:pt idx="3204">
                  <c:v>111.17276000976563</c:v>
                </c:pt>
                <c:pt idx="3205">
                  <c:v>116.92044067382813</c:v>
                </c:pt>
                <c:pt idx="3206">
                  <c:v>118.68854522705078</c:v>
                </c:pt>
                <c:pt idx="3207">
                  <c:v>123.77291107177734</c:v>
                </c:pt>
                <c:pt idx="3208">
                  <c:v>126.97621917724609</c:v>
                </c:pt>
                <c:pt idx="3209">
                  <c:v>128.56912231445313</c:v>
                </c:pt>
                <c:pt idx="3210">
                  <c:v>135.59854125976563</c:v>
                </c:pt>
                <c:pt idx="3211">
                  <c:v>142.605224609375</c:v>
                </c:pt>
                <c:pt idx="3212">
                  <c:v>149.88247680664063</c:v>
                </c:pt>
                <c:pt idx="3213">
                  <c:v>154.26364135742188</c:v>
                </c:pt>
                <c:pt idx="3214">
                  <c:v>157.880859375</c:v>
                </c:pt>
                <c:pt idx="3215">
                  <c:v>160.83441162109375</c:v>
                </c:pt>
                <c:pt idx="3216">
                  <c:v>159.9522705078125</c:v>
                </c:pt>
                <c:pt idx="3217">
                  <c:v>168.04402160644531</c:v>
                </c:pt>
                <c:pt idx="3218">
                  <c:v>174.16361999511719</c:v>
                </c:pt>
                <c:pt idx="3219">
                  <c:v>177.43458557128906</c:v>
                </c:pt>
                <c:pt idx="3220">
                  <c:v>180.34072875976563</c:v>
                </c:pt>
                <c:pt idx="3221">
                  <c:v>185.35400390625</c:v>
                </c:pt>
                <c:pt idx="3222">
                  <c:v>188.99272155761719</c:v>
                </c:pt>
                <c:pt idx="3223">
                  <c:v>190.54986572265625</c:v>
                </c:pt>
                <c:pt idx="3224">
                  <c:v>194.64567565917969</c:v>
                </c:pt>
                <c:pt idx="3225">
                  <c:v>199.08267211914063</c:v>
                </c:pt>
                <c:pt idx="3226">
                  <c:v>205.35844421386719</c:v>
                </c:pt>
                <c:pt idx="3227">
                  <c:v>209.10958862304688</c:v>
                </c:pt>
                <c:pt idx="3228">
                  <c:v>212.89892578125</c:v>
                </c:pt>
                <c:pt idx="3229">
                  <c:v>216.33018493652344</c:v>
                </c:pt>
                <c:pt idx="3230">
                  <c:v>214.0517578125</c:v>
                </c:pt>
                <c:pt idx="3231">
                  <c:v>218.34373474121094</c:v>
                </c:pt>
                <c:pt idx="3232">
                  <c:v>220.49530029296875</c:v>
                </c:pt>
                <c:pt idx="3233">
                  <c:v>217.343017578125</c:v>
                </c:pt>
                <c:pt idx="3234">
                  <c:v>215.42289733886719</c:v>
                </c:pt>
                <c:pt idx="3235">
                  <c:v>212.59136962890625</c:v>
                </c:pt>
                <c:pt idx="3236">
                  <c:v>210.70637512207031</c:v>
                </c:pt>
                <c:pt idx="3237">
                  <c:v>205.40902709960938</c:v>
                </c:pt>
                <c:pt idx="3238">
                  <c:v>202.57600402832031</c:v>
                </c:pt>
                <c:pt idx="3239">
                  <c:v>202.36785888671875</c:v>
                </c:pt>
                <c:pt idx="3240">
                  <c:v>197.04315185546875</c:v>
                </c:pt>
                <c:pt idx="3241">
                  <c:v>193.587890625</c:v>
                </c:pt>
                <c:pt idx="3242">
                  <c:v>187.47038269042969</c:v>
                </c:pt>
                <c:pt idx="3243">
                  <c:v>179.89730834960938</c:v>
                </c:pt>
                <c:pt idx="3244">
                  <c:v>173.32850646972656</c:v>
                </c:pt>
                <c:pt idx="3245">
                  <c:v>171.77455139160156</c:v>
                </c:pt>
                <c:pt idx="3246">
                  <c:v>171.48527526855469</c:v>
                </c:pt>
                <c:pt idx="3247">
                  <c:v>167.44093322753906</c:v>
                </c:pt>
                <c:pt idx="3248">
                  <c:v>164.95588684082031</c:v>
                </c:pt>
                <c:pt idx="3249">
                  <c:v>163.1126708984375</c:v>
                </c:pt>
                <c:pt idx="3250">
                  <c:v>161.66831970214844</c:v>
                </c:pt>
                <c:pt idx="3251">
                  <c:v>156.20172119140625</c:v>
                </c:pt>
                <c:pt idx="3252">
                  <c:v>155.96211242675781</c:v>
                </c:pt>
                <c:pt idx="3253">
                  <c:v>157.67063903808594</c:v>
                </c:pt>
                <c:pt idx="3254">
                  <c:v>153.78225708007813</c:v>
                </c:pt>
                <c:pt idx="3255">
                  <c:v>154.00959777832031</c:v>
                </c:pt>
                <c:pt idx="3256">
                  <c:v>148.77899169921875</c:v>
                </c:pt>
                <c:pt idx="3257">
                  <c:v>145.53030395507813</c:v>
                </c:pt>
                <c:pt idx="3258">
                  <c:v>143.38969421386719</c:v>
                </c:pt>
                <c:pt idx="3259">
                  <c:v>144.64350891113281</c:v>
                </c:pt>
                <c:pt idx="3260">
                  <c:v>144.53471374511719</c:v>
                </c:pt>
                <c:pt idx="3261">
                  <c:v>142.81271362304688</c:v>
                </c:pt>
                <c:pt idx="3262">
                  <c:v>144.61105346679688</c:v>
                </c:pt>
                <c:pt idx="3263">
                  <c:v>145.31175231933594</c:v>
                </c:pt>
                <c:pt idx="3264">
                  <c:v>142.1405029296875</c:v>
                </c:pt>
                <c:pt idx="3265">
                  <c:v>140.24516296386719</c:v>
                </c:pt>
                <c:pt idx="3266">
                  <c:v>139.98893737792969</c:v>
                </c:pt>
                <c:pt idx="3267">
                  <c:v>141.28987121582031</c:v>
                </c:pt>
                <c:pt idx="3268">
                  <c:v>143.34814453125</c:v>
                </c:pt>
                <c:pt idx="3269">
                  <c:v>143.36318969726563</c:v>
                </c:pt>
                <c:pt idx="3270">
                  <c:v>144.65159606933594</c:v>
                </c:pt>
                <c:pt idx="3271">
                  <c:v>142.43386840820313</c:v>
                </c:pt>
                <c:pt idx="3272">
                  <c:v>140.48086547851563</c:v>
                </c:pt>
                <c:pt idx="3273">
                  <c:v>141.5596923828125</c:v>
                </c:pt>
                <c:pt idx="3274">
                  <c:v>144.43276977539063</c:v>
                </c:pt>
                <c:pt idx="3275">
                  <c:v>142.39521789550781</c:v>
                </c:pt>
                <c:pt idx="3276">
                  <c:v>142.97979736328125</c:v>
                </c:pt>
                <c:pt idx="3277">
                  <c:v>139.57723999023438</c:v>
                </c:pt>
                <c:pt idx="3278">
                  <c:v>138.73870849609375</c:v>
                </c:pt>
                <c:pt idx="3279">
                  <c:v>135.40946960449219</c:v>
                </c:pt>
                <c:pt idx="3280">
                  <c:v>135.78596496582031</c:v>
                </c:pt>
                <c:pt idx="3281">
                  <c:v>137.50955200195313</c:v>
                </c:pt>
                <c:pt idx="3282">
                  <c:v>137.97055053710938</c:v>
                </c:pt>
                <c:pt idx="3283">
                  <c:v>135.91398620605469</c:v>
                </c:pt>
                <c:pt idx="3284">
                  <c:v>140.33084106445313</c:v>
                </c:pt>
                <c:pt idx="3285">
                  <c:v>140.73355102539063</c:v>
                </c:pt>
                <c:pt idx="3286">
                  <c:v>141.24259948730469</c:v>
                </c:pt>
                <c:pt idx="3287">
                  <c:v>142.75852966308594</c:v>
                </c:pt>
                <c:pt idx="3288">
                  <c:v>143.43917846679688</c:v>
                </c:pt>
                <c:pt idx="3289">
                  <c:v>141.92362976074219</c:v>
                </c:pt>
                <c:pt idx="3290">
                  <c:v>144.95680236816406</c:v>
                </c:pt>
                <c:pt idx="3291">
                  <c:v>146.16500854492188</c:v>
                </c:pt>
                <c:pt idx="3292">
                  <c:v>144.06761169433594</c:v>
                </c:pt>
                <c:pt idx="3293">
                  <c:v>141.91841125488281</c:v>
                </c:pt>
                <c:pt idx="3294">
                  <c:v>141.92791748046875</c:v>
                </c:pt>
                <c:pt idx="3295">
                  <c:v>145.832763671875</c:v>
                </c:pt>
                <c:pt idx="3296">
                  <c:v>144.64344787597656</c:v>
                </c:pt>
                <c:pt idx="3297">
                  <c:v>144.57304382324219</c:v>
                </c:pt>
                <c:pt idx="3298">
                  <c:v>145.16630554199219</c:v>
                </c:pt>
                <c:pt idx="3299">
                  <c:v>145.54458618164063</c:v>
                </c:pt>
                <c:pt idx="3300">
                  <c:v>143.48390197753906</c:v>
                </c:pt>
                <c:pt idx="3301">
                  <c:v>143.55279541015625</c:v>
                </c:pt>
                <c:pt idx="3302">
                  <c:v>146.96929931640625</c:v>
                </c:pt>
                <c:pt idx="3303">
                  <c:v>148.04182434082031</c:v>
                </c:pt>
                <c:pt idx="3304">
                  <c:v>147.36624145507813</c:v>
                </c:pt>
                <c:pt idx="3305">
                  <c:v>149.48728942871094</c:v>
                </c:pt>
                <c:pt idx="3306">
                  <c:v>148.4820556640625</c:v>
                </c:pt>
                <c:pt idx="3307">
                  <c:v>147.84002685546875</c:v>
                </c:pt>
                <c:pt idx="3308">
                  <c:v>149.05088806152344</c:v>
                </c:pt>
                <c:pt idx="3309">
                  <c:v>152.92274475097656</c:v>
                </c:pt>
                <c:pt idx="3310">
                  <c:v>153.680908203125</c:v>
                </c:pt>
                <c:pt idx="3311">
                  <c:v>155.77157592773438</c:v>
                </c:pt>
                <c:pt idx="3312">
                  <c:v>154.47622680664063</c:v>
                </c:pt>
                <c:pt idx="3313">
                  <c:v>156.35061645507813</c:v>
                </c:pt>
                <c:pt idx="3314">
                  <c:v>154.06582641601563</c:v>
                </c:pt>
                <c:pt idx="3315">
                  <c:v>152.3841552734375</c:v>
                </c:pt>
                <c:pt idx="3316">
                  <c:v>155.59054565429688</c:v>
                </c:pt>
                <c:pt idx="3317">
                  <c:v>156.85746765136719</c:v>
                </c:pt>
                <c:pt idx="3318">
                  <c:v>157.40333557128906</c:v>
                </c:pt>
                <c:pt idx="3319">
                  <c:v>158.14114379882813</c:v>
                </c:pt>
                <c:pt idx="3320">
                  <c:v>155.34481811523438</c:v>
                </c:pt>
                <c:pt idx="3321">
                  <c:v>152.61749267578125</c:v>
                </c:pt>
                <c:pt idx="3322">
                  <c:v>152.43865966796875</c:v>
                </c:pt>
                <c:pt idx="3323">
                  <c:v>153.42881774902344</c:v>
                </c:pt>
                <c:pt idx="3324">
                  <c:v>153.22059631347656</c:v>
                </c:pt>
                <c:pt idx="3325">
                  <c:v>149.0526123046875</c:v>
                </c:pt>
                <c:pt idx="3326">
                  <c:v>151.60044860839844</c:v>
                </c:pt>
                <c:pt idx="3327">
                  <c:v>149.373291015625</c:v>
                </c:pt>
                <c:pt idx="3328">
                  <c:v>145.22901916503906</c:v>
                </c:pt>
                <c:pt idx="3329">
                  <c:v>145.10768127441406</c:v>
                </c:pt>
                <c:pt idx="3330">
                  <c:v>147.78846740722656</c:v>
                </c:pt>
                <c:pt idx="3331">
                  <c:v>148.76881408691406</c:v>
                </c:pt>
                <c:pt idx="3332">
                  <c:v>149.48277282714844</c:v>
                </c:pt>
                <c:pt idx="3333">
                  <c:v>148.97390747070313</c:v>
                </c:pt>
                <c:pt idx="3334">
                  <c:v>146.29191589355469</c:v>
                </c:pt>
                <c:pt idx="3335">
                  <c:v>142.071533203125</c:v>
                </c:pt>
                <c:pt idx="3336">
                  <c:v>144.87002563476563</c:v>
                </c:pt>
                <c:pt idx="3337">
                  <c:v>148.20681762695313</c:v>
                </c:pt>
                <c:pt idx="3338">
                  <c:v>148.44450378417969</c:v>
                </c:pt>
                <c:pt idx="3339">
                  <c:v>150.12818908691406</c:v>
                </c:pt>
                <c:pt idx="3340">
                  <c:v>150.39231872558594</c:v>
                </c:pt>
                <c:pt idx="3341">
                  <c:v>147.35333251953125</c:v>
                </c:pt>
                <c:pt idx="3342">
                  <c:v>145.54838562011719</c:v>
                </c:pt>
                <c:pt idx="3343">
                  <c:v>146.28346252441406</c:v>
                </c:pt>
                <c:pt idx="3344">
                  <c:v>146.75424194335938</c:v>
                </c:pt>
                <c:pt idx="3345">
                  <c:v>147.985107421875</c:v>
                </c:pt>
                <c:pt idx="3346">
                  <c:v>146.21754455566406</c:v>
                </c:pt>
                <c:pt idx="3347">
                  <c:v>144.5367431640625</c:v>
                </c:pt>
                <c:pt idx="3348">
                  <c:v>142.37654113769531</c:v>
                </c:pt>
                <c:pt idx="3349">
                  <c:v>139.40428161621094</c:v>
                </c:pt>
                <c:pt idx="3350">
                  <c:v>141.86944580078125</c:v>
                </c:pt>
                <c:pt idx="3351">
                  <c:v>141.79566955566406</c:v>
                </c:pt>
                <c:pt idx="3352">
                  <c:v>141.20036315917969</c:v>
                </c:pt>
                <c:pt idx="3353">
                  <c:v>141.31645202636719</c:v>
                </c:pt>
                <c:pt idx="3354">
                  <c:v>144.09449768066406</c:v>
                </c:pt>
                <c:pt idx="3355">
                  <c:v>143.20919799804688</c:v>
                </c:pt>
                <c:pt idx="3356">
                  <c:v>139.99873352050781</c:v>
                </c:pt>
                <c:pt idx="3357">
                  <c:v>141.90907287597656</c:v>
                </c:pt>
                <c:pt idx="3358">
                  <c:v>145.68531799316406</c:v>
                </c:pt>
                <c:pt idx="3359">
                  <c:v>145.46421813964844</c:v>
                </c:pt>
                <c:pt idx="3360">
                  <c:v>145.44064331054688</c:v>
                </c:pt>
                <c:pt idx="3361">
                  <c:v>145.51445007324219</c:v>
                </c:pt>
                <c:pt idx="3362">
                  <c:v>142.57284545898438</c:v>
                </c:pt>
                <c:pt idx="3363">
                  <c:v>139.51475524902344</c:v>
                </c:pt>
                <c:pt idx="3364">
                  <c:v>141.53553771972656</c:v>
                </c:pt>
                <c:pt idx="3365">
                  <c:v>144.95252990722656</c:v>
                </c:pt>
                <c:pt idx="3366">
                  <c:v>143.22618103027344</c:v>
                </c:pt>
                <c:pt idx="3367">
                  <c:v>141.9029541015625</c:v>
                </c:pt>
                <c:pt idx="3368">
                  <c:v>139.61123657226563</c:v>
                </c:pt>
                <c:pt idx="3369">
                  <c:v>135.85945129394531</c:v>
                </c:pt>
                <c:pt idx="3370">
                  <c:v>132.59089660644531</c:v>
                </c:pt>
                <c:pt idx="3371">
                  <c:v>135.15318298339844</c:v>
                </c:pt>
                <c:pt idx="3372">
                  <c:v>137.76837158203125</c:v>
                </c:pt>
                <c:pt idx="3373">
                  <c:v>135.29403686523438</c:v>
                </c:pt>
                <c:pt idx="3374">
                  <c:v>133.05276489257813</c:v>
                </c:pt>
                <c:pt idx="3375">
                  <c:v>131.34390258789063</c:v>
                </c:pt>
                <c:pt idx="3376">
                  <c:v>131.62184143066406</c:v>
                </c:pt>
                <c:pt idx="3377">
                  <c:v>130.447509765625</c:v>
                </c:pt>
                <c:pt idx="3378">
                  <c:v>131.798583984375</c:v>
                </c:pt>
                <c:pt idx="3379">
                  <c:v>135.652099609375</c:v>
                </c:pt>
                <c:pt idx="3380">
                  <c:v>136.02261352539063</c:v>
                </c:pt>
                <c:pt idx="3381">
                  <c:v>138.60690307617188</c:v>
                </c:pt>
                <c:pt idx="3382">
                  <c:v>139.74122619628906</c:v>
                </c:pt>
                <c:pt idx="3383">
                  <c:v>140.00997924804688</c:v>
                </c:pt>
                <c:pt idx="3384">
                  <c:v>136.21052551269531</c:v>
                </c:pt>
                <c:pt idx="3385">
                  <c:v>137.43235778808594</c:v>
                </c:pt>
                <c:pt idx="3386">
                  <c:v>139.8839111328125</c:v>
                </c:pt>
                <c:pt idx="3387">
                  <c:v>141.64122009277344</c:v>
                </c:pt>
                <c:pt idx="3388">
                  <c:v>139.10081481933594</c:v>
                </c:pt>
                <c:pt idx="3389">
                  <c:v>139.48654174804688</c:v>
                </c:pt>
                <c:pt idx="3390">
                  <c:v>137.58543395996094</c:v>
                </c:pt>
                <c:pt idx="3391">
                  <c:v>137.57269287109375</c:v>
                </c:pt>
                <c:pt idx="3392">
                  <c:v>141.04714965820313</c:v>
                </c:pt>
                <c:pt idx="3393">
                  <c:v>150.09222412109375</c:v>
                </c:pt>
                <c:pt idx="3394">
                  <c:v>152.753662109375</c:v>
                </c:pt>
                <c:pt idx="3395">
                  <c:v>151.83238220214844</c:v>
                </c:pt>
                <c:pt idx="3396">
                  <c:v>154.90213012695313</c:v>
                </c:pt>
                <c:pt idx="3397">
                  <c:v>155.03044128417969</c:v>
                </c:pt>
                <c:pt idx="3398">
                  <c:v>153.21302795410156</c:v>
                </c:pt>
                <c:pt idx="3399">
                  <c:v>155.0758056640625</c:v>
                </c:pt>
                <c:pt idx="3400">
                  <c:v>157.71954345703125</c:v>
                </c:pt>
                <c:pt idx="3401">
                  <c:v>156.09419250488281</c:v>
                </c:pt>
                <c:pt idx="3402">
                  <c:v>156.3199462890625</c:v>
                </c:pt>
                <c:pt idx="3403">
                  <c:v>157.12306213378906</c:v>
                </c:pt>
                <c:pt idx="3404">
                  <c:v>158.94650268554688</c:v>
                </c:pt>
                <c:pt idx="3405">
                  <c:v>158.28437805175781</c:v>
                </c:pt>
                <c:pt idx="3406">
                  <c:v>159.26840209960938</c:v>
                </c:pt>
                <c:pt idx="3407">
                  <c:v>160.8634033203125</c:v>
                </c:pt>
                <c:pt idx="3408">
                  <c:v>161.11456298828125</c:v>
                </c:pt>
                <c:pt idx="3409">
                  <c:v>159.10829162597656</c:v>
                </c:pt>
                <c:pt idx="3410">
                  <c:v>156.72669982910156</c:v>
                </c:pt>
                <c:pt idx="3411">
                  <c:v>154.24259948730469</c:v>
                </c:pt>
                <c:pt idx="3412">
                  <c:v>151.80207824707031</c:v>
                </c:pt>
                <c:pt idx="3413">
                  <c:v>150.57936096191406</c:v>
                </c:pt>
                <c:pt idx="3414">
                  <c:v>154.1302490234375</c:v>
                </c:pt>
                <c:pt idx="3415">
                  <c:v>155.37214660644531</c:v>
                </c:pt>
                <c:pt idx="3416">
                  <c:v>154.49336242675781</c:v>
                </c:pt>
                <c:pt idx="3417">
                  <c:v>153.71849060058594</c:v>
                </c:pt>
                <c:pt idx="3418">
                  <c:v>153.14056396484375</c:v>
                </c:pt>
                <c:pt idx="3419">
                  <c:v>149.56332397460938</c:v>
                </c:pt>
                <c:pt idx="3420">
                  <c:v>151.12966918945313</c:v>
                </c:pt>
                <c:pt idx="3421">
                  <c:v>151.69737243652344</c:v>
                </c:pt>
                <c:pt idx="3422">
                  <c:v>148.31137084960938</c:v>
                </c:pt>
                <c:pt idx="3423">
                  <c:v>141.12322998046875</c:v>
                </c:pt>
                <c:pt idx="3424">
                  <c:v>139.59526062011719</c:v>
                </c:pt>
                <c:pt idx="3425">
                  <c:v>138.10383605957031</c:v>
                </c:pt>
                <c:pt idx="3426">
                  <c:v>134.44924926757813</c:v>
                </c:pt>
                <c:pt idx="3427">
                  <c:v>134.47299194335938</c:v>
                </c:pt>
                <c:pt idx="3428">
                  <c:v>137.63311767578125</c:v>
                </c:pt>
                <c:pt idx="3429">
                  <c:v>136.87112426757813</c:v>
                </c:pt>
                <c:pt idx="3430">
                  <c:v>135.32142639160156</c:v>
                </c:pt>
                <c:pt idx="3431">
                  <c:v>134.56834411621094</c:v>
                </c:pt>
                <c:pt idx="3432">
                  <c:v>131.86891174316406</c:v>
                </c:pt>
                <c:pt idx="3433">
                  <c:v>130.88458251953125</c:v>
                </c:pt>
                <c:pt idx="3434">
                  <c:v>130.58793640136719</c:v>
                </c:pt>
                <c:pt idx="3435">
                  <c:v>131.82554626464844</c:v>
                </c:pt>
                <c:pt idx="3436">
                  <c:v>129.96980285644531</c:v>
                </c:pt>
                <c:pt idx="3437">
                  <c:v>127.49552154541016</c:v>
                </c:pt>
                <c:pt idx="3438">
                  <c:v>128.35353088378906</c:v>
                </c:pt>
                <c:pt idx="3439">
                  <c:v>127.80077362060547</c:v>
                </c:pt>
                <c:pt idx="3440">
                  <c:v>127.12065887451172</c:v>
                </c:pt>
                <c:pt idx="3441">
                  <c:v>127.94237518310547</c:v>
                </c:pt>
                <c:pt idx="3442">
                  <c:v>129.32177734375</c:v>
                </c:pt>
                <c:pt idx="3443">
                  <c:v>130.17860412597656</c:v>
                </c:pt>
                <c:pt idx="3444">
                  <c:v>128.37010192871094</c:v>
                </c:pt>
                <c:pt idx="3445">
                  <c:v>127.00689697265625</c:v>
                </c:pt>
                <c:pt idx="3446">
                  <c:v>124.38232421875</c:v>
                </c:pt>
                <c:pt idx="3447">
                  <c:v>121.30484008789063</c:v>
                </c:pt>
                <c:pt idx="3448">
                  <c:v>121.34775543212891</c:v>
                </c:pt>
                <c:pt idx="3449">
                  <c:v>123.60696411132813</c:v>
                </c:pt>
                <c:pt idx="3450">
                  <c:v>121.62590026855469</c:v>
                </c:pt>
                <c:pt idx="3451">
                  <c:v>120.91926574707031</c:v>
                </c:pt>
                <c:pt idx="3452">
                  <c:v>119.61673736572266</c:v>
                </c:pt>
                <c:pt idx="3453">
                  <c:v>119.11659240722656</c:v>
                </c:pt>
                <c:pt idx="3454">
                  <c:v>116.47317504882813</c:v>
                </c:pt>
                <c:pt idx="3455">
                  <c:v>116.80726623535156</c:v>
                </c:pt>
                <c:pt idx="3456">
                  <c:v>118.28933715820313</c:v>
                </c:pt>
                <c:pt idx="3457">
                  <c:v>117.61637115478516</c:v>
                </c:pt>
                <c:pt idx="3458">
                  <c:v>118.00714874267578</c:v>
                </c:pt>
                <c:pt idx="3459">
                  <c:v>117.61549377441406</c:v>
                </c:pt>
                <c:pt idx="3460">
                  <c:v>116.38613891601563</c:v>
                </c:pt>
                <c:pt idx="3461">
                  <c:v>115.33667755126953</c:v>
                </c:pt>
                <c:pt idx="3462">
                  <c:v>119.37633514404297</c:v>
                </c:pt>
                <c:pt idx="3463">
                  <c:v>118.99907684326172</c:v>
                </c:pt>
                <c:pt idx="3464">
                  <c:v>118.43754577636719</c:v>
                </c:pt>
                <c:pt idx="3465">
                  <c:v>117.67817687988281</c:v>
                </c:pt>
                <c:pt idx="3466">
                  <c:v>117.21229553222656</c:v>
                </c:pt>
                <c:pt idx="3467">
                  <c:v>115.51101684570313</c:v>
                </c:pt>
                <c:pt idx="3468">
                  <c:v>111.85838317871094</c:v>
                </c:pt>
                <c:pt idx="3469">
                  <c:v>110.20024871826172</c:v>
                </c:pt>
                <c:pt idx="3470">
                  <c:v>109.85305786132813</c:v>
                </c:pt>
                <c:pt idx="3471">
                  <c:v>109.74338531494141</c:v>
                </c:pt>
                <c:pt idx="3472">
                  <c:v>109.07887268066406</c:v>
                </c:pt>
                <c:pt idx="3473">
                  <c:v>107.53861236572266</c:v>
                </c:pt>
                <c:pt idx="3474">
                  <c:v>106.39275360107422</c:v>
                </c:pt>
                <c:pt idx="3475">
                  <c:v>105.46702575683594</c:v>
                </c:pt>
                <c:pt idx="3476">
                  <c:v>106.21778869628906</c:v>
                </c:pt>
                <c:pt idx="3477">
                  <c:v>106.12097930908203</c:v>
                </c:pt>
                <c:pt idx="3478">
                  <c:v>106.70021057128906</c:v>
                </c:pt>
                <c:pt idx="3479">
                  <c:v>106.90247344970703</c:v>
                </c:pt>
                <c:pt idx="3480">
                  <c:v>105.85732269287109</c:v>
                </c:pt>
                <c:pt idx="3481">
                  <c:v>102.46653747558594</c:v>
                </c:pt>
                <c:pt idx="3482">
                  <c:v>100.96219635009766</c:v>
                </c:pt>
                <c:pt idx="3483">
                  <c:v>99.561691284179688</c:v>
                </c:pt>
                <c:pt idx="3484">
                  <c:v>98.424415588378906</c:v>
                </c:pt>
                <c:pt idx="3485">
                  <c:v>97.901535034179688</c:v>
                </c:pt>
                <c:pt idx="3486">
                  <c:v>97.587409973144531</c:v>
                </c:pt>
                <c:pt idx="3487">
                  <c:v>98.550338745117188</c:v>
                </c:pt>
                <c:pt idx="3488">
                  <c:v>95.300140380859375</c:v>
                </c:pt>
                <c:pt idx="3489">
                  <c:v>93.733016967773438</c:v>
                </c:pt>
                <c:pt idx="3490">
                  <c:v>95.902572631835938</c:v>
                </c:pt>
                <c:pt idx="3491">
                  <c:v>94.279655456542969</c:v>
                </c:pt>
                <c:pt idx="3492">
                  <c:v>89.821754455566406</c:v>
                </c:pt>
                <c:pt idx="3493">
                  <c:v>89.206802368164063</c:v>
                </c:pt>
                <c:pt idx="3494">
                  <c:v>88.113052368164063</c:v>
                </c:pt>
                <c:pt idx="3495">
                  <c:v>86.812095642089844</c:v>
                </c:pt>
                <c:pt idx="3496">
                  <c:v>86.268768310546875</c:v>
                </c:pt>
                <c:pt idx="3497">
                  <c:v>88.997032165527344</c:v>
                </c:pt>
                <c:pt idx="3498">
                  <c:v>91.002120971679688</c:v>
                </c:pt>
                <c:pt idx="3499">
                  <c:v>92.382682800292969</c:v>
                </c:pt>
                <c:pt idx="3500">
                  <c:v>94.169281005859375</c:v>
                </c:pt>
                <c:pt idx="3501">
                  <c:v>96.949104309082031</c:v>
                </c:pt>
                <c:pt idx="3502">
                  <c:v>97.012306213378906</c:v>
                </c:pt>
                <c:pt idx="3503">
                  <c:v>97.116828918457031</c:v>
                </c:pt>
                <c:pt idx="3504">
                  <c:v>100.42902374267578</c:v>
                </c:pt>
                <c:pt idx="3505">
                  <c:v>101.64851379394531</c:v>
                </c:pt>
                <c:pt idx="3506">
                  <c:v>104.43310546875</c:v>
                </c:pt>
                <c:pt idx="3507">
                  <c:v>107.25389862060547</c:v>
                </c:pt>
                <c:pt idx="3508">
                  <c:v>108.14286804199219</c:v>
                </c:pt>
                <c:pt idx="3509">
                  <c:v>107.94915008544922</c:v>
                </c:pt>
                <c:pt idx="3510">
                  <c:v>107.1329345703125</c:v>
                </c:pt>
                <c:pt idx="3511">
                  <c:v>110.01814270019531</c:v>
                </c:pt>
                <c:pt idx="3512">
                  <c:v>113.57138061523438</c:v>
                </c:pt>
                <c:pt idx="3513">
                  <c:v>117.16766357421875</c:v>
                </c:pt>
                <c:pt idx="3514">
                  <c:v>119.54678344726563</c:v>
                </c:pt>
                <c:pt idx="3515">
                  <c:v>120.00292205810547</c:v>
                </c:pt>
                <c:pt idx="3516">
                  <c:v>120.11994171142578</c:v>
                </c:pt>
                <c:pt idx="3517">
                  <c:v>117.82986450195313</c:v>
                </c:pt>
                <c:pt idx="3518">
                  <c:v>119.73069763183594</c:v>
                </c:pt>
                <c:pt idx="3519">
                  <c:v>122.07000732421875</c:v>
                </c:pt>
                <c:pt idx="3520">
                  <c:v>122.42498779296875</c:v>
                </c:pt>
                <c:pt idx="3521">
                  <c:v>127.35513305664063</c:v>
                </c:pt>
                <c:pt idx="3522">
                  <c:v>129.51824951171875</c:v>
                </c:pt>
                <c:pt idx="3523">
                  <c:v>129.37750244140625</c:v>
                </c:pt>
                <c:pt idx="3524">
                  <c:v>129.87600708007813</c:v>
                </c:pt>
                <c:pt idx="3525">
                  <c:v>133.02207946777344</c:v>
                </c:pt>
                <c:pt idx="3526">
                  <c:v>135.32823181152344</c:v>
                </c:pt>
                <c:pt idx="3527">
                  <c:v>136.38847351074219</c:v>
                </c:pt>
                <c:pt idx="3528">
                  <c:v>137.23612976074219</c:v>
                </c:pt>
                <c:pt idx="3529">
                  <c:v>139.02577209472656</c:v>
                </c:pt>
                <c:pt idx="3530">
                  <c:v>138.73835754394531</c:v>
                </c:pt>
                <c:pt idx="3531">
                  <c:v>136.1533203125</c:v>
                </c:pt>
                <c:pt idx="3532">
                  <c:v>137.93122863769531</c:v>
                </c:pt>
                <c:pt idx="3533">
                  <c:v>141.09715270996094</c:v>
                </c:pt>
                <c:pt idx="3534">
                  <c:v>140.87454223632813</c:v>
                </c:pt>
                <c:pt idx="3535">
                  <c:v>141.22341918945313</c:v>
                </c:pt>
                <c:pt idx="3536">
                  <c:v>138.81204223632813</c:v>
                </c:pt>
                <c:pt idx="3537">
                  <c:v>136.00556945800781</c:v>
                </c:pt>
                <c:pt idx="3538">
                  <c:v>135.03984069824219</c:v>
                </c:pt>
                <c:pt idx="3539">
                  <c:v>135.86375427246094</c:v>
                </c:pt>
                <c:pt idx="3540">
                  <c:v>137.05619812011719</c:v>
                </c:pt>
                <c:pt idx="3541">
                  <c:v>140.20953369140625</c:v>
                </c:pt>
                <c:pt idx="3542">
                  <c:v>138.59320068359375</c:v>
                </c:pt>
                <c:pt idx="3543">
                  <c:v>138.92233276367188</c:v>
                </c:pt>
                <c:pt idx="3544">
                  <c:v>137.61470031738281</c:v>
                </c:pt>
                <c:pt idx="3545">
                  <c:v>135.51240539550781</c:v>
                </c:pt>
                <c:pt idx="3546">
                  <c:v>133.9105224609375</c:v>
                </c:pt>
                <c:pt idx="3547">
                  <c:v>134.76771545410156</c:v>
                </c:pt>
                <c:pt idx="3548">
                  <c:v>134.2838134765625</c:v>
                </c:pt>
                <c:pt idx="3549">
                  <c:v>132.35990905761719</c:v>
                </c:pt>
                <c:pt idx="3550">
                  <c:v>133.52156066894531</c:v>
                </c:pt>
                <c:pt idx="3551">
                  <c:v>130.38551330566406</c:v>
                </c:pt>
                <c:pt idx="3552">
                  <c:v>125.89179229736328</c:v>
                </c:pt>
                <c:pt idx="3553">
                  <c:v>128.25123596191406</c:v>
                </c:pt>
                <c:pt idx="3554">
                  <c:v>129.93092346191406</c:v>
                </c:pt>
                <c:pt idx="3555">
                  <c:v>129.90658569335938</c:v>
                </c:pt>
                <c:pt idx="3556">
                  <c:v>132.1109619140625</c:v>
                </c:pt>
                <c:pt idx="3557">
                  <c:v>131.39950561523438</c:v>
                </c:pt>
                <c:pt idx="3558">
                  <c:v>129.20222473144531</c:v>
                </c:pt>
                <c:pt idx="3559">
                  <c:v>127.06224822998047</c:v>
                </c:pt>
                <c:pt idx="3560">
                  <c:v>128.25949096679688</c:v>
                </c:pt>
                <c:pt idx="3561">
                  <c:v>128.99951171875</c:v>
                </c:pt>
                <c:pt idx="3562">
                  <c:v>130.10615539550781</c:v>
                </c:pt>
                <c:pt idx="3563">
                  <c:v>132.300537109375</c:v>
                </c:pt>
                <c:pt idx="3564">
                  <c:v>131.09901428222656</c:v>
                </c:pt>
                <c:pt idx="3565">
                  <c:v>128.78598022460938</c:v>
                </c:pt>
                <c:pt idx="3566">
                  <c:v>128.41619873046875</c:v>
                </c:pt>
                <c:pt idx="3567">
                  <c:v>128.087890625</c:v>
                </c:pt>
                <c:pt idx="3568">
                  <c:v>127.29536437988281</c:v>
                </c:pt>
                <c:pt idx="3569">
                  <c:v>126.97107696533203</c:v>
                </c:pt>
                <c:pt idx="3570">
                  <c:v>127.70372009277344</c:v>
                </c:pt>
                <c:pt idx="3571">
                  <c:v>125.85528564453125</c:v>
                </c:pt>
                <c:pt idx="3572">
                  <c:v>125.61866760253906</c:v>
                </c:pt>
                <c:pt idx="3573">
                  <c:v>121.16944885253906</c:v>
                </c:pt>
                <c:pt idx="3574">
                  <c:v>122.87239837646484</c:v>
                </c:pt>
                <c:pt idx="3575">
                  <c:v>125.20037841796875</c:v>
                </c:pt>
                <c:pt idx="3576">
                  <c:v>126.15599822998047</c:v>
                </c:pt>
                <c:pt idx="3577">
                  <c:v>126.2711181640625</c:v>
                </c:pt>
                <c:pt idx="3578">
                  <c:v>126.36713409423828</c:v>
                </c:pt>
                <c:pt idx="3579">
                  <c:v>125.65054321289063</c:v>
                </c:pt>
                <c:pt idx="3580">
                  <c:v>122.39398193359375</c:v>
                </c:pt>
                <c:pt idx="3581">
                  <c:v>123.35281372070313</c:v>
                </c:pt>
                <c:pt idx="3582">
                  <c:v>130.19258117675781</c:v>
                </c:pt>
                <c:pt idx="3583">
                  <c:v>132.10227966308594</c:v>
                </c:pt>
                <c:pt idx="3584">
                  <c:v>131.28080749511719</c:v>
                </c:pt>
                <c:pt idx="3585">
                  <c:v>131.10499572753906</c:v>
                </c:pt>
                <c:pt idx="3586">
                  <c:v>126.89095306396484</c:v>
                </c:pt>
                <c:pt idx="3587">
                  <c:v>125.52645111083984</c:v>
                </c:pt>
                <c:pt idx="3588">
                  <c:v>128.14605712890625</c:v>
                </c:pt>
                <c:pt idx="3589">
                  <c:v>130.09437561035156</c:v>
                </c:pt>
                <c:pt idx="3590">
                  <c:v>129.21009826660156</c:v>
                </c:pt>
                <c:pt idx="3591">
                  <c:v>129.14451599121094</c:v>
                </c:pt>
                <c:pt idx="3592">
                  <c:v>127.55652618408203</c:v>
                </c:pt>
                <c:pt idx="3593">
                  <c:v>122.31317138671875</c:v>
                </c:pt>
                <c:pt idx="3594">
                  <c:v>120.8841552734375</c:v>
                </c:pt>
                <c:pt idx="3595">
                  <c:v>122.28801727294922</c:v>
                </c:pt>
                <c:pt idx="3596">
                  <c:v>121.22654724121094</c:v>
                </c:pt>
                <c:pt idx="3597">
                  <c:v>122.54369354248047</c:v>
                </c:pt>
                <c:pt idx="3598">
                  <c:v>122.55061340332031</c:v>
                </c:pt>
                <c:pt idx="3599">
                  <c:v>121.61260986328125</c:v>
                </c:pt>
                <c:pt idx="3600">
                  <c:v>120.20625305175781</c:v>
                </c:pt>
                <c:pt idx="3601">
                  <c:v>116.75812530517578</c:v>
                </c:pt>
                <c:pt idx="3602">
                  <c:v>118.69853973388672</c:v>
                </c:pt>
                <c:pt idx="3603">
                  <c:v>120.52156066894531</c:v>
                </c:pt>
                <c:pt idx="3604">
                  <c:v>119.35769653320313</c:v>
                </c:pt>
                <c:pt idx="3605">
                  <c:v>117.12153625488281</c:v>
                </c:pt>
                <c:pt idx="3606">
                  <c:v>116.45304870605469</c:v>
                </c:pt>
                <c:pt idx="3607">
                  <c:v>116.22064971923828</c:v>
                </c:pt>
                <c:pt idx="3608">
                  <c:v>113.18724060058594</c:v>
                </c:pt>
                <c:pt idx="3609">
                  <c:v>119.21690368652344</c:v>
                </c:pt>
                <c:pt idx="3610">
                  <c:v>123.20486450195313</c:v>
                </c:pt>
                <c:pt idx="3611">
                  <c:v>125.74281311035156</c:v>
                </c:pt>
                <c:pt idx="3612">
                  <c:v>125.06422424316406</c:v>
                </c:pt>
                <c:pt idx="3613">
                  <c:v>121.287841796875</c:v>
                </c:pt>
                <c:pt idx="3614">
                  <c:v>122.85372161865234</c:v>
                </c:pt>
                <c:pt idx="3615">
                  <c:v>120.03939819335938</c:v>
                </c:pt>
                <c:pt idx="3616">
                  <c:v>120.36107635498047</c:v>
                </c:pt>
                <c:pt idx="3617">
                  <c:v>122.87248992919922</c:v>
                </c:pt>
                <c:pt idx="3618">
                  <c:v>124.68766021728516</c:v>
                </c:pt>
                <c:pt idx="3619">
                  <c:v>125.20346832275391</c:v>
                </c:pt>
                <c:pt idx="3620">
                  <c:v>128.30374145507813</c:v>
                </c:pt>
                <c:pt idx="3621">
                  <c:v>127.3604736328125</c:v>
                </c:pt>
                <c:pt idx="3622">
                  <c:v>129.14285278320313</c:v>
                </c:pt>
                <c:pt idx="3623">
                  <c:v>133.05105590820313</c:v>
                </c:pt>
                <c:pt idx="3624">
                  <c:v>135.17068481445313</c:v>
                </c:pt>
                <c:pt idx="3625">
                  <c:v>135.90097045898438</c:v>
                </c:pt>
                <c:pt idx="3626">
                  <c:v>138.24169921875</c:v>
                </c:pt>
                <c:pt idx="3627">
                  <c:v>139.26504516601563</c:v>
                </c:pt>
                <c:pt idx="3628">
                  <c:v>141.00724792480469</c:v>
                </c:pt>
                <c:pt idx="3629">
                  <c:v>139.66603088378906</c:v>
                </c:pt>
                <c:pt idx="3630">
                  <c:v>142.78518676757813</c:v>
                </c:pt>
                <c:pt idx="3631">
                  <c:v>147.46820068359375</c:v>
                </c:pt>
                <c:pt idx="3632">
                  <c:v>147.45857238769531</c:v>
                </c:pt>
                <c:pt idx="3633">
                  <c:v>151.69094848632813</c:v>
                </c:pt>
                <c:pt idx="3634">
                  <c:v>154.18463134765625</c:v>
                </c:pt>
                <c:pt idx="3635">
                  <c:v>155.62200927734375</c:v>
                </c:pt>
                <c:pt idx="3636">
                  <c:v>154.51611328125</c:v>
                </c:pt>
                <c:pt idx="3637">
                  <c:v>157.74185180664063</c:v>
                </c:pt>
                <c:pt idx="3638">
                  <c:v>161.0556640625</c:v>
                </c:pt>
                <c:pt idx="3639">
                  <c:v>158.6937255859375</c:v>
                </c:pt>
                <c:pt idx="3640">
                  <c:v>157.19754028320313</c:v>
                </c:pt>
                <c:pt idx="3641">
                  <c:v>154.97915649414063</c:v>
                </c:pt>
                <c:pt idx="3642">
                  <c:v>151.49313354492188</c:v>
                </c:pt>
                <c:pt idx="3643">
                  <c:v>149.33047485351563</c:v>
                </c:pt>
                <c:pt idx="3644">
                  <c:v>148.10128784179688</c:v>
                </c:pt>
                <c:pt idx="3645">
                  <c:v>150.02703857421875</c:v>
                </c:pt>
                <c:pt idx="3646">
                  <c:v>149.90834045410156</c:v>
                </c:pt>
                <c:pt idx="3647">
                  <c:v>148.695068359375</c:v>
                </c:pt>
                <c:pt idx="3648">
                  <c:v>147.65948486328125</c:v>
                </c:pt>
                <c:pt idx="3649">
                  <c:v>145.32402038574219</c:v>
                </c:pt>
                <c:pt idx="3650">
                  <c:v>140.40530395507813</c:v>
                </c:pt>
                <c:pt idx="3651">
                  <c:v>140.49188232421875</c:v>
                </c:pt>
                <c:pt idx="3652">
                  <c:v>136.45368957519531</c:v>
                </c:pt>
                <c:pt idx="3653">
                  <c:v>133.64732360839844</c:v>
                </c:pt>
                <c:pt idx="3654">
                  <c:v>134.7635498046875</c:v>
                </c:pt>
                <c:pt idx="3655">
                  <c:v>134.79360961914063</c:v>
                </c:pt>
                <c:pt idx="3656">
                  <c:v>132.86680603027344</c:v>
                </c:pt>
                <c:pt idx="3657">
                  <c:v>129.44355773925781</c:v>
                </c:pt>
                <c:pt idx="3658">
                  <c:v>127.68544006347656</c:v>
                </c:pt>
                <c:pt idx="3659">
                  <c:v>129.31838989257813</c:v>
                </c:pt>
                <c:pt idx="3660">
                  <c:v>125.95962524414063</c:v>
                </c:pt>
                <c:pt idx="3661">
                  <c:v>123.58110809326172</c:v>
                </c:pt>
                <c:pt idx="3662">
                  <c:v>120.63430786132813</c:v>
                </c:pt>
                <c:pt idx="3663">
                  <c:v>115.22846221923828</c:v>
                </c:pt>
                <c:pt idx="3664">
                  <c:v>111.57981872558594</c:v>
                </c:pt>
                <c:pt idx="3665">
                  <c:v>111.75000762939453</c:v>
                </c:pt>
                <c:pt idx="3666">
                  <c:v>114.51522827148438</c:v>
                </c:pt>
                <c:pt idx="3667">
                  <c:v>112.95032501220703</c:v>
                </c:pt>
                <c:pt idx="3668">
                  <c:v>111.60095977783203</c:v>
                </c:pt>
                <c:pt idx="3669">
                  <c:v>108.46927642822266</c:v>
                </c:pt>
                <c:pt idx="3670">
                  <c:v>105.95467376708984</c:v>
                </c:pt>
                <c:pt idx="3671">
                  <c:v>103.9432373046875</c:v>
                </c:pt>
                <c:pt idx="3672">
                  <c:v>106.03253173828125</c:v>
                </c:pt>
                <c:pt idx="3673">
                  <c:v>106.46172332763672</c:v>
                </c:pt>
                <c:pt idx="3674">
                  <c:v>106.82471466064453</c:v>
                </c:pt>
                <c:pt idx="3675">
                  <c:v>106.26176452636719</c:v>
                </c:pt>
                <c:pt idx="3676">
                  <c:v>107.21162414550781</c:v>
                </c:pt>
                <c:pt idx="3677">
                  <c:v>105.60527038574219</c:v>
                </c:pt>
                <c:pt idx="3678">
                  <c:v>104.25537872314453</c:v>
                </c:pt>
                <c:pt idx="3679">
                  <c:v>107.68635559082031</c:v>
                </c:pt>
                <c:pt idx="3680">
                  <c:v>110.47967529296875</c:v>
                </c:pt>
                <c:pt idx="3681">
                  <c:v>110.38166046142578</c:v>
                </c:pt>
                <c:pt idx="3682">
                  <c:v>112.29093170166016</c:v>
                </c:pt>
                <c:pt idx="3683">
                  <c:v>112.19189453125</c:v>
                </c:pt>
                <c:pt idx="3684">
                  <c:v>107.75080108642578</c:v>
                </c:pt>
                <c:pt idx="3685">
                  <c:v>105.23403930664063</c:v>
                </c:pt>
                <c:pt idx="3686">
                  <c:v>107.77351379394531</c:v>
                </c:pt>
                <c:pt idx="3687">
                  <c:v>110.88398742675781</c:v>
                </c:pt>
                <c:pt idx="3688">
                  <c:v>112.12563323974609</c:v>
                </c:pt>
                <c:pt idx="3689">
                  <c:v>113.61494445800781</c:v>
                </c:pt>
                <c:pt idx="3690">
                  <c:v>115.42277526855469</c:v>
                </c:pt>
                <c:pt idx="3691">
                  <c:v>115.71444702148438</c:v>
                </c:pt>
                <c:pt idx="3692">
                  <c:v>113.52989959716797</c:v>
                </c:pt>
                <c:pt idx="3693">
                  <c:v>115.17504119873047</c:v>
                </c:pt>
                <c:pt idx="3694">
                  <c:v>116.4383544921875</c:v>
                </c:pt>
                <c:pt idx="3695">
                  <c:v>116.05549621582031</c:v>
                </c:pt>
                <c:pt idx="3696">
                  <c:v>116.72398376464844</c:v>
                </c:pt>
                <c:pt idx="3697">
                  <c:v>115.80502319335938</c:v>
                </c:pt>
                <c:pt idx="3698">
                  <c:v>116.31719207763672</c:v>
                </c:pt>
                <c:pt idx="3699">
                  <c:v>116.25774383544922</c:v>
                </c:pt>
                <c:pt idx="3700">
                  <c:v>118.89430999755859</c:v>
                </c:pt>
                <c:pt idx="3701">
                  <c:v>123.87142944335938</c:v>
                </c:pt>
                <c:pt idx="3702">
                  <c:v>124.35002136230469</c:v>
                </c:pt>
                <c:pt idx="3703">
                  <c:v>131.52976989746094</c:v>
                </c:pt>
                <c:pt idx="3704">
                  <c:v>132.34172058105469</c:v>
                </c:pt>
                <c:pt idx="3705">
                  <c:v>132.28593444824219</c:v>
                </c:pt>
                <c:pt idx="3706">
                  <c:v>130.56158447265625</c:v>
                </c:pt>
                <c:pt idx="3707">
                  <c:v>132.54019165039063</c:v>
                </c:pt>
                <c:pt idx="3708">
                  <c:v>133.78216552734375</c:v>
                </c:pt>
                <c:pt idx="3709">
                  <c:v>132.21279907226563</c:v>
                </c:pt>
                <c:pt idx="3710">
                  <c:v>131.56494140625</c:v>
                </c:pt>
                <c:pt idx="3711">
                  <c:v>132.14588928222656</c:v>
                </c:pt>
                <c:pt idx="3712">
                  <c:v>132.1187744140625</c:v>
                </c:pt>
                <c:pt idx="3713">
                  <c:v>131.2489013671875</c:v>
                </c:pt>
                <c:pt idx="3714">
                  <c:v>134.21493530273438</c:v>
                </c:pt>
                <c:pt idx="3715">
                  <c:v>140.59669494628906</c:v>
                </c:pt>
                <c:pt idx="3716">
                  <c:v>141.74432373046875</c:v>
                </c:pt>
                <c:pt idx="3717">
                  <c:v>144.69145202636719</c:v>
                </c:pt>
                <c:pt idx="3718">
                  <c:v>146.15676879882813</c:v>
                </c:pt>
                <c:pt idx="3719">
                  <c:v>147.27079772949219</c:v>
                </c:pt>
                <c:pt idx="3720">
                  <c:v>146.64668273925781</c:v>
                </c:pt>
                <c:pt idx="3721">
                  <c:v>150.19866943359375</c:v>
                </c:pt>
                <c:pt idx="3722">
                  <c:v>157.5865478515625</c:v>
                </c:pt>
                <c:pt idx="3723">
                  <c:v>160.82719421386719</c:v>
                </c:pt>
                <c:pt idx="3724">
                  <c:v>165.3275146484375</c:v>
                </c:pt>
                <c:pt idx="3725">
                  <c:v>169.60440063476563</c:v>
                </c:pt>
                <c:pt idx="3726">
                  <c:v>168.86962890625</c:v>
                </c:pt>
                <c:pt idx="3727">
                  <c:v>167.98393249511719</c:v>
                </c:pt>
                <c:pt idx="3728">
                  <c:v>169.57635498046875</c:v>
                </c:pt>
                <c:pt idx="3729">
                  <c:v>173.39529418945313</c:v>
                </c:pt>
                <c:pt idx="3730">
                  <c:v>177.35659790039063</c:v>
                </c:pt>
                <c:pt idx="3731">
                  <c:v>178.30961608886719</c:v>
                </c:pt>
                <c:pt idx="3732">
                  <c:v>178.06219482421875</c:v>
                </c:pt>
                <c:pt idx="3733">
                  <c:v>172.37747192382813</c:v>
                </c:pt>
                <c:pt idx="3734">
                  <c:v>169.54708862304688</c:v>
                </c:pt>
                <c:pt idx="3735">
                  <c:v>170.10379028320313</c:v>
                </c:pt>
                <c:pt idx="3736">
                  <c:v>171.53083801269531</c:v>
                </c:pt>
                <c:pt idx="3737">
                  <c:v>171.91213989257813</c:v>
                </c:pt>
                <c:pt idx="3738">
                  <c:v>171.59968566894531</c:v>
                </c:pt>
                <c:pt idx="3739">
                  <c:v>171.41281127929688</c:v>
                </c:pt>
                <c:pt idx="3740">
                  <c:v>169.96635437011719</c:v>
                </c:pt>
                <c:pt idx="3741">
                  <c:v>167.71199035644531</c:v>
                </c:pt>
                <c:pt idx="3742">
                  <c:v>169.99528503417969</c:v>
                </c:pt>
                <c:pt idx="3743">
                  <c:v>170.23416137695313</c:v>
                </c:pt>
                <c:pt idx="3744">
                  <c:v>168.95143127441406</c:v>
                </c:pt>
                <c:pt idx="3745">
                  <c:v>163.76756286621094</c:v>
                </c:pt>
                <c:pt idx="3746">
                  <c:v>163.65061950683594</c:v>
                </c:pt>
                <c:pt idx="3747">
                  <c:v>160.947021484375</c:v>
                </c:pt>
                <c:pt idx="3748">
                  <c:v>158.82150268554688</c:v>
                </c:pt>
                <c:pt idx="3749">
                  <c:v>156.48722839355469</c:v>
                </c:pt>
                <c:pt idx="3750">
                  <c:v>157.23356628417969</c:v>
                </c:pt>
                <c:pt idx="3751">
                  <c:v>155.60023498535156</c:v>
                </c:pt>
                <c:pt idx="3752">
                  <c:v>153.75241088867188</c:v>
                </c:pt>
                <c:pt idx="3753">
                  <c:v>150.96980285644531</c:v>
                </c:pt>
                <c:pt idx="3754">
                  <c:v>145.59800720214844</c:v>
                </c:pt>
                <c:pt idx="3755">
                  <c:v>141.19384765625</c:v>
                </c:pt>
                <c:pt idx="3756">
                  <c:v>141.95184326171875</c:v>
                </c:pt>
                <c:pt idx="3757">
                  <c:v>143.56874084472656</c:v>
                </c:pt>
                <c:pt idx="3758">
                  <c:v>143.5804443359375</c:v>
                </c:pt>
                <c:pt idx="3759">
                  <c:v>140.95846557617188</c:v>
                </c:pt>
                <c:pt idx="3760">
                  <c:v>138.04647827148438</c:v>
                </c:pt>
                <c:pt idx="3761">
                  <c:v>133.75282287597656</c:v>
                </c:pt>
                <c:pt idx="3762">
                  <c:v>134.12892150878906</c:v>
                </c:pt>
                <c:pt idx="3763">
                  <c:v>136.24395751953125</c:v>
                </c:pt>
                <c:pt idx="3764">
                  <c:v>137.45458984375</c:v>
                </c:pt>
                <c:pt idx="3765">
                  <c:v>137.63212585449219</c:v>
                </c:pt>
                <c:pt idx="3766">
                  <c:v>138.94853210449219</c:v>
                </c:pt>
                <c:pt idx="3767">
                  <c:v>140.10350036621094</c:v>
                </c:pt>
                <c:pt idx="3768">
                  <c:v>139.02020263671875</c:v>
                </c:pt>
                <c:pt idx="3769">
                  <c:v>138.94073486328125</c:v>
                </c:pt>
                <c:pt idx="3770">
                  <c:v>139.38772583007813</c:v>
                </c:pt>
                <c:pt idx="3771">
                  <c:v>141.81500244140625</c:v>
                </c:pt>
                <c:pt idx="3772">
                  <c:v>140.21009826660156</c:v>
                </c:pt>
                <c:pt idx="3773">
                  <c:v>140.6912841796875</c:v>
                </c:pt>
                <c:pt idx="3774">
                  <c:v>142.86882019042969</c:v>
                </c:pt>
                <c:pt idx="3775">
                  <c:v>142.443603515625</c:v>
                </c:pt>
                <c:pt idx="3776">
                  <c:v>139.724365234375</c:v>
                </c:pt>
                <c:pt idx="3777">
                  <c:v>141.89620971679688</c:v>
                </c:pt>
                <c:pt idx="3778">
                  <c:v>145.19425964355469</c:v>
                </c:pt>
                <c:pt idx="3779">
                  <c:v>149.34413146972656</c:v>
                </c:pt>
                <c:pt idx="3780">
                  <c:v>153.28677368164063</c:v>
                </c:pt>
                <c:pt idx="3781">
                  <c:v>151.97444152832031</c:v>
                </c:pt>
                <c:pt idx="3782">
                  <c:v>149.97914123535156</c:v>
                </c:pt>
                <c:pt idx="3783">
                  <c:v>148.97161865234375</c:v>
                </c:pt>
                <c:pt idx="3784">
                  <c:v>152.52214050292969</c:v>
                </c:pt>
                <c:pt idx="3785">
                  <c:v>154.47122192382813</c:v>
                </c:pt>
                <c:pt idx="3786">
                  <c:v>153.703125</c:v>
                </c:pt>
                <c:pt idx="3787">
                  <c:v>156.10531616210938</c:v>
                </c:pt>
                <c:pt idx="3788">
                  <c:v>157.78512573242188</c:v>
                </c:pt>
                <c:pt idx="3789">
                  <c:v>157.80484008789063</c:v>
                </c:pt>
                <c:pt idx="3790">
                  <c:v>156.13725280761719</c:v>
                </c:pt>
                <c:pt idx="3791">
                  <c:v>159.95343017578125</c:v>
                </c:pt>
                <c:pt idx="3792">
                  <c:v>159.85781860351563</c:v>
                </c:pt>
                <c:pt idx="3793">
                  <c:v>161.99261474609375</c:v>
                </c:pt>
                <c:pt idx="3794">
                  <c:v>164.39341735839844</c:v>
                </c:pt>
                <c:pt idx="3795">
                  <c:v>162.94955444335938</c:v>
                </c:pt>
                <c:pt idx="3796">
                  <c:v>159.96481323242188</c:v>
                </c:pt>
                <c:pt idx="3797">
                  <c:v>158.36793518066406</c:v>
                </c:pt>
                <c:pt idx="3798">
                  <c:v>160.28076171875</c:v>
                </c:pt>
                <c:pt idx="3799">
                  <c:v>161.92320251464844</c:v>
                </c:pt>
                <c:pt idx="3800">
                  <c:v>165.73147583007813</c:v>
                </c:pt>
                <c:pt idx="3801">
                  <c:v>167.11651611328125</c:v>
                </c:pt>
                <c:pt idx="3802">
                  <c:v>168.61997985839844</c:v>
                </c:pt>
                <c:pt idx="3803">
                  <c:v>166.93959045410156</c:v>
                </c:pt>
                <c:pt idx="3804">
                  <c:v>166.283203125</c:v>
                </c:pt>
                <c:pt idx="3805">
                  <c:v>171.68408203125</c:v>
                </c:pt>
                <c:pt idx="3806">
                  <c:v>175.34092712402344</c:v>
                </c:pt>
                <c:pt idx="3807">
                  <c:v>174.77781677246094</c:v>
                </c:pt>
                <c:pt idx="3808">
                  <c:v>175.79318237304688</c:v>
                </c:pt>
                <c:pt idx="3809">
                  <c:v>172.04595947265625</c:v>
                </c:pt>
                <c:pt idx="3810">
                  <c:v>167.46746826171875</c:v>
                </c:pt>
                <c:pt idx="3811">
                  <c:v>165.88850402832031</c:v>
                </c:pt>
                <c:pt idx="3812">
                  <c:v>167.18846130371094</c:v>
                </c:pt>
                <c:pt idx="3813">
                  <c:v>169.98683166503906</c:v>
                </c:pt>
                <c:pt idx="3814">
                  <c:v>169.22624206542969</c:v>
                </c:pt>
                <c:pt idx="3815">
                  <c:v>169.83039855957031</c:v>
                </c:pt>
                <c:pt idx="3816">
                  <c:v>170.55381774902344</c:v>
                </c:pt>
                <c:pt idx="3817">
                  <c:v>173.677978515625</c:v>
                </c:pt>
                <c:pt idx="3818">
                  <c:v>172.424072265625</c:v>
                </c:pt>
                <c:pt idx="3819">
                  <c:v>177.453125</c:v>
                </c:pt>
                <c:pt idx="3820">
                  <c:v>182.63638305664063</c:v>
                </c:pt>
                <c:pt idx="3821">
                  <c:v>185.59939575195313</c:v>
                </c:pt>
                <c:pt idx="3822">
                  <c:v>186.88316345214844</c:v>
                </c:pt>
                <c:pt idx="3823">
                  <c:v>188.96487426757813</c:v>
                </c:pt>
                <c:pt idx="3824">
                  <c:v>188.565673828125</c:v>
                </c:pt>
                <c:pt idx="3825">
                  <c:v>193.10404968261719</c:v>
                </c:pt>
                <c:pt idx="3826">
                  <c:v>208.12043762207031</c:v>
                </c:pt>
                <c:pt idx="3827">
                  <c:v>215.104248046875</c:v>
                </c:pt>
                <c:pt idx="3828">
                  <c:v>220.02552795410156</c:v>
                </c:pt>
                <c:pt idx="3829">
                  <c:v>221.04644775390625</c:v>
                </c:pt>
                <c:pt idx="3830">
                  <c:v>221.15325927734375</c:v>
                </c:pt>
                <c:pt idx="3831">
                  <c:v>219.06159973144531</c:v>
                </c:pt>
                <c:pt idx="3832">
                  <c:v>216.06391906738281</c:v>
                </c:pt>
                <c:pt idx="3833">
                  <c:v>219.154541015625</c:v>
                </c:pt>
                <c:pt idx="3834">
                  <c:v>220.09062194824219</c:v>
                </c:pt>
                <c:pt idx="3835">
                  <c:v>215.045166015625</c:v>
                </c:pt>
                <c:pt idx="3836">
                  <c:v>211.43402099609375</c:v>
                </c:pt>
                <c:pt idx="3837">
                  <c:v>210.09193420410156</c:v>
                </c:pt>
                <c:pt idx="3838">
                  <c:v>205.11007690429688</c:v>
                </c:pt>
                <c:pt idx="3839">
                  <c:v>202.1407470703125</c:v>
                </c:pt>
                <c:pt idx="3840">
                  <c:v>202.35809326171875</c:v>
                </c:pt>
                <c:pt idx="3841">
                  <c:v>203.99160766601563</c:v>
                </c:pt>
                <c:pt idx="3842">
                  <c:v>203.69007873535156</c:v>
                </c:pt>
                <c:pt idx="3843">
                  <c:v>202.27618408203125</c:v>
                </c:pt>
                <c:pt idx="3844">
                  <c:v>200.84829711914063</c:v>
                </c:pt>
                <c:pt idx="3845">
                  <c:v>199.34553527832031</c:v>
                </c:pt>
                <c:pt idx="3846">
                  <c:v>195.20916748046875</c:v>
                </c:pt>
                <c:pt idx="3847">
                  <c:v>188.55503845214844</c:v>
                </c:pt>
                <c:pt idx="3848">
                  <c:v>188.4705810546875</c:v>
                </c:pt>
                <c:pt idx="3849">
                  <c:v>185.26969909667969</c:v>
                </c:pt>
                <c:pt idx="3850">
                  <c:v>180.66319274902344</c:v>
                </c:pt>
                <c:pt idx="3851">
                  <c:v>174.63896179199219</c:v>
                </c:pt>
                <c:pt idx="3852">
                  <c:v>169.72463989257813</c:v>
                </c:pt>
                <c:pt idx="3853">
                  <c:v>163.19070434570313</c:v>
                </c:pt>
                <c:pt idx="3854">
                  <c:v>161.55889892578125</c:v>
                </c:pt>
                <c:pt idx="3855">
                  <c:v>157.52175903320313</c:v>
                </c:pt>
                <c:pt idx="3856">
                  <c:v>144.28111267089844</c:v>
                </c:pt>
                <c:pt idx="3857">
                  <c:v>139.20640563964844</c:v>
                </c:pt>
                <c:pt idx="3858">
                  <c:v>132.3541259765625</c:v>
                </c:pt>
                <c:pt idx="3859">
                  <c:v>128.68998718261719</c:v>
                </c:pt>
                <c:pt idx="3860">
                  <c:v>126.06890106201172</c:v>
                </c:pt>
                <c:pt idx="3861">
                  <c:v>127.25495910644531</c:v>
                </c:pt>
                <c:pt idx="3862">
                  <c:v>128.30596923828125</c:v>
                </c:pt>
                <c:pt idx="3863">
                  <c:v>130.68817138671875</c:v>
                </c:pt>
                <c:pt idx="3864">
                  <c:v>130.2564697265625</c:v>
                </c:pt>
                <c:pt idx="3865">
                  <c:v>133.03030395507813</c:v>
                </c:pt>
                <c:pt idx="3866">
                  <c:v>133.60163879394531</c:v>
                </c:pt>
                <c:pt idx="3867">
                  <c:v>131.3603515625</c:v>
                </c:pt>
                <c:pt idx="3868">
                  <c:v>132.43421936035156</c:v>
                </c:pt>
                <c:pt idx="3869">
                  <c:v>136.27670288085938</c:v>
                </c:pt>
                <c:pt idx="3870">
                  <c:v>136.87554931640625</c:v>
                </c:pt>
                <c:pt idx="3871">
                  <c:v>136.79014587402344</c:v>
                </c:pt>
                <c:pt idx="3872">
                  <c:v>138.09031677246094</c:v>
                </c:pt>
                <c:pt idx="3873">
                  <c:v>137.07357788085938</c:v>
                </c:pt>
                <c:pt idx="3874">
                  <c:v>136.04997253417969</c:v>
                </c:pt>
                <c:pt idx="3875">
                  <c:v>137.84278869628906</c:v>
                </c:pt>
                <c:pt idx="3876">
                  <c:v>141.0914306640625</c:v>
                </c:pt>
                <c:pt idx="3877">
                  <c:v>142.81240844726563</c:v>
                </c:pt>
                <c:pt idx="3878">
                  <c:v>143.03836059570313</c:v>
                </c:pt>
                <c:pt idx="3879">
                  <c:v>141.74435424804688</c:v>
                </c:pt>
                <c:pt idx="3880">
                  <c:v>139.89700317382813</c:v>
                </c:pt>
                <c:pt idx="3881">
                  <c:v>140.39468383789063</c:v>
                </c:pt>
                <c:pt idx="3882">
                  <c:v>145.92826843261719</c:v>
                </c:pt>
                <c:pt idx="3883">
                  <c:v>147.48588562011719</c:v>
                </c:pt>
                <c:pt idx="3884">
                  <c:v>147.86111450195313</c:v>
                </c:pt>
                <c:pt idx="3885">
                  <c:v>147.98298645019531</c:v>
                </c:pt>
                <c:pt idx="3886">
                  <c:v>146.70280456542969</c:v>
                </c:pt>
                <c:pt idx="3887">
                  <c:v>143.72799682617188</c:v>
                </c:pt>
                <c:pt idx="3888">
                  <c:v>142.50335693359375</c:v>
                </c:pt>
                <c:pt idx="3889">
                  <c:v>142.76560974121094</c:v>
                </c:pt>
                <c:pt idx="3890">
                  <c:v>141.30281066894531</c:v>
                </c:pt>
                <c:pt idx="3891">
                  <c:v>142.79075622558594</c:v>
                </c:pt>
                <c:pt idx="3892">
                  <c:v>144.23883056640625</c:v>
                </c:pt>
                <c:pt idx="3893">
                  <c:v>142.7904052734375</c:v>
                </c:pt>
                <c:pt idx="3894">
                  <c:v>139.88587951660156</c:v>
                </c:pt>
                <c:pt idx="3895">
                  <c:v>135.40943908691406</c:v>
                </c:pt>
                <c:pt idx="3896">
                  <c:v>136.41361999511719</c:v>
                </c:pt>
                <c:pt idx="3897">
                  <c:v>137.5189208984375</c:v>
                </c:pt>
                <c:pt idx="3898">
                  <c:v>139.50489807128906</c:v>
                </c:pt>
                <c:pt idx="3899">
                  <c:v>137.86817932128906</c:v>
                </c:pt>
                <c:pt idx="3900">
                  <c:v>138.17338562011719</c:v>
                </c:pt>
                <c:pt idx="3901">
                  <c:v>136.631591796875</c:v>
                </c:pt>
                <c:pt idx="3902">
                  <c:v>133.26263427734375</c:v>
                </c:pt>
                <c:pt idx="3903">
                  <c:v>133.25146484375</c:v>
                </c:pt>
                <c:pt idx="3904">
                  <c:v>132.9700927734375</c:v>
                </c:pt>
                <c:pt idx="3905">
                  <c:v>134.96211242675781</c:v>
                </c:pt>
                <c:pt idx="3906">
                  <c:v>136.25912475585938</c:v>
                </c:pt>
                <c:pt idx="3907">
                  <c:v>134.40786743164063</c:v>
                </c:pt>
                <c:pt idx="3908">
                  <c:v>131.41932678222656</c:v>
                </c:pt>
                <c:pt idx="3909">
                  <c:v>129.93006896972656</c:v>
                </c:pt>
                <c:pt idx="3910">
                  <c:v>129.96330261230469</c:v>
                </c:pt>
                <c:pt idx="3911">
                  <c:v>128.21473693847656</c:v>
                </c:pt>
                <c:pt idx="3912">
                  <c:v>125.49099731445313</c:v>
                </c:pt>
                <c:pt idx="3913">
                  <c:v>124.18701171875</c:v>
                </c:pt>
                <c:pt idx="3914">
                  <c:v>123.69532775878906</c:v>
                </c:pt>
                <c:pt idx="3915">
                  <c:v>124.94107818603516</c:v>
                </c:pt>
                <c:pt idx="3916">
                  <c:v>125.12689208984375</c:v>
                </c:pt>
                <c:pt idx="3917">
                  <c:v>125.83408355712891</c:v>
                </c:pt>
                <c:pt idx="3918">
                  <c:v>126.80628967285156</c:v>
                </c:pt>
                <c:pt idx="3919">
                  <c:v>126.31588745117188</c:v>
                </c:pt>
                <c:pt idx="3920">
                  <c:v>127.65428924560547</c:v>
                </c:pt>
                <c:pt idx="3921">
                  <c:v>126.73106384277344</c:v>
                </c:pt>
                <c:pt idx="3922">
                  <c:v>122.88436126708984</c:v>
                </c:pt>
                <c:pt idx="3923">
                  <c:v>119.65003967285156</c:v>
                </c:pt>
                <c:pt idx="3924">
                  <c:v>120.66688537597656</c:v>
                </c:pt>
                <c:pt idx="3925">
                  <c:v>124.56629180908203</c:v>
                </c:pt>
                <c:pt idx="3926">
                  <c:v>125.40731048583984</c:v>
                </c:pt>
                <c:pt idx="3927">
                  <c:v>127.47570037841797</c:v>
                </c:pt>
                <c:pt idx="3928">
                  <c:v>130.99716186523438</c:v>
                </c:pt>
                <c:pt idx="3929">
                  <c:v>131.80287170410156</c:v>
                </c:pt>
                <c:pt idx="3930">
                  <c:v>129.18809509277344</c:v>
                </c:pt>
                <c:pt idx="3931">
                  <c:v>132.09170532226563</c:v>
                </c:pt>
                <c:pt idx="3932">
                  <c:v>135.08135986328125</c:v>
                </c:pt>
                <c:pt idx="3933">
                  <c:v>134.03338623046875</c:v>
                </c:pt>
                <c:pt idx="3934">
                  <c:v>137.33686828613281</c:v>
                </c:pt>
                <c:pt idx="3935">
                  <c:v>135.58418273925781</c:v>
                </c:pt>
                <c:pt idx="3936">
                  <c:v>134.12248229980469</c:v>
                </c:pt>
                <c:pt idx="3937">
                  <c:v>133.88435363769531</c:v>
                </c:pt>
                <c:pt idx="3938">
                  <c:v>137.69754028320313</c:v>
                </c:pt>
                <c:pt idx="3939">
                  <c:v>141.316162109375</c:v>
                </c:pt>
                <c:pt idx="3940">
                  <c:v>144.09773254394531</c:v>
                </c:pt>
                <c:pt idx="3941">
                  <c:v>145.67890930175781</c:v>
                </c:pt>
                <c:pt idx="3942">
                  <c:v>145.38839721679688</c:v>
                </c:pt>
                <c:pt idx="3943">
                  <c:v>145.99082946777344</c:v>
                </c:pt>
                <c:pt idx="3944">
                  <c:v>144.7373046875</c:v>
                </c:pt>
                <c:pt idx="3945">
                  <c:v>144.78706359863281</c:v>
                </c:pt>
                <c:pt idx="3946">
                  <c:v>147.02021789550781</c:v>
                </c:pt>
                <c:pt idx="3947">
                  <c:v>146.736083984375</c:v>
                </c:pt>
                <c:pt idx="3948">
                  <c:v>149.33639526367188</c:v>
                </c:pt>
                <c:pt idx="3949">
                  <c:v>150.71784973144531</c:v>
                </c:pt>
                <c:pt idx="3950">
                  <c:v>149.36703491210938</c:v>
                </c:pt>
                <c:pt idx="3951">
                  <c:v>148.20907592773438</c:v>
                </c:pt>
                <c:pt idx="3952">
                  <c:v>151.81529235839844</c:v>
                </c:pt>
                <c:pt idx="3953">
                  <c:v>153.50730895996094</c:v>
                </c:pt>
                <c:pt idx="3954">
                  <c:v>152.87762451171875</c:v>
                </c:pt>
                <c:pt idx="3955">
                  <c:v>151.88682556152344</c:v>
                </c:pt>
                <c:pt idx="3956">
                  <c:v>151.53779602050781</c:v>
                </c:pt>
                <c:pt idx="3957">
                  <c:v>147.53083801269531</c:v>
                </c:pt>
                <c:pt idx="3958">
                  <c:v>139.667724609375</c:v>
                </c:pt>
                <c:pt idx="3959">
                  <c:v>142.91950988769531</c:v>
                </c:pt>
                <c:pt idx="3960">
                  <c:v>144.34709167480469</c:v>
                </c:pt>
                <c:pt idx="3961">
                  <c:v>142.71199035644531</c:v>
                </c:pt>
                <c:pt idx="3962">
                  <c:v>139.9840087890625</c:v>
                </c:pt>
                <c:pt idx="3963">
                  <c:v>140.49836730957031</c:v>
                </c:pt>
                <c:pt idx="3964">
                  <c:v>136.15643310546875</c:v>
                </c:pt>
                <c:pt idx="3965">
                  <c:v>130.8460693359375</c:v>
                </c:pt>
                <c:pt idx="3966">
                  <c:v>129.84454345703125</c:v>
                </c:pt>
                <c:pt idx="3967">
                  <c:v>130.10614013671875</c:v>
                </c:pt>
                <c:pt idx="3968">
                  <c:v>126.08451080322266</c:v>
                </c:pt>
                <c:pt idx="3969">
                  <c:v>121.68689727783203</c:v>
                </c:pt>
                <c:pt idx="3970">
                  <c:v>118.27219390869141</c:v>
                </c:pt>
                <c:pt idx="3971">
                  <c:v>115.81634521484375</c:v>
                </c:pt>
                <c:pt idx="3972">
                  <c:v>114.00731658935547</c:v>
                </c:pt>
                <c:pt idx="3973">
                  <c:v>113.916015625</c:v>
                </c:pt>
                <c:pt idx="3974">
                  <c:v>113.18358612060547</c:v>
                </c:pt>
                <c:pt idx="3975">
                  <c:v>109.79676818847656</c:v>
                </c:pt>
                <c:pt idx="3976">
                  <c:v>106.7196044921875</c:v>
                </c:pt>
                <c:pt idx="3977">
                  <c:v>108.05564117431641</c:v>
                </c:pt>
                <c:pt idx="3978">
                  <c:v>102.89276885986328</c:v>
                </c:pt>
                <c:pt idx="3979">
                  <c:v>101.37490844726563</c:v>
                </c:pt>
                <c:pt idx="3980">
                  <c:v>103.53812408447266</c:v>
                </c:pt>
                <c:pt idx="3981">
                  <c:v>105.66107940673828</c:v>
                </c:pt>
                <c:pt idx="3982">
                  <c:v>104.16641998291016</c:v>
                </c:pt>
                <c:pt idx="3983">
                  <c:v>105.89993286132813</c:v>
                </c:pt>
                <c:pt idx="3984">
                  <c:v>107.57901000976563</c:v>
                </c:pt>
                <c:pt idx="3985">
                  <c:v>106.28864288330078</c:v>
                </c:pt>
                <c:pt idx="3986">
                  <c:v>103.563720703125</c:v>
                </c:pt>
                <c:pt idx="3987">
                  <c:v>106.41108703613281</c:v>
                </c:pt>
                <c:pt idx="3988">
                  <c:v>108.16966247558594</c:v>
                </c:pt>
                <c:pt idx="3989">
                  <c:v>103.83177947998047</c:v>
                </c:pt>
                <c:pt idx="3990">
                  <c:v>105.41731262207031</c:v>
                </c:pt>
                <c:pt idx="3991">
                  <c:v>105.72856140136719</c:v>
                </c:pt>
                <c:pt idx="3992">
                  <c:v>105.7392578125</c:v>
                </c:pt>
                <c:pt idx="3993">
                  <c:v>103.79540252685547</c:v>
                </c:pt>
                <c:pt idx="3994">
                  <c:v>105.34266662597656</c:v>
                </c:pt>
                <c:pt idx="3995">
                  <c:v>108.00125122070313</c:v>
                </c:pt>
                <c:pt idx="3996">
                  <c:v>107.68487548828125</c:v>
                </c:pt>
                <c:pt idx="3997">
                  <c:v>108.94477844238281</c:v>
                </c:pt>
                <c:pt idx="3998">
                  <c:v>112.20737457275391</c:v>
                </c:pt>
                <c:pt idx="3999">
                  <c:v>112.34923553466797</c:v>
                </c:pt>
                <c:pt idx="4000">
                  <c:v>115.80683898925781</c:v>
                </c:pt>
                <c:pt idx="4001">
                  <c:v>120.00566864013672</c:v>
                </c:pt>
                <c:pt idx="4002">
                  <c:v>122.18876647949219</c:v>
                </c:pt>
                <c:pt idx="4003">
                  <c:v>122.63204193115234</c:v>
                </c:pt>
                <c:pt idx="4004">
                  <c:v>126.90180206298828</c:v>
                </c:pt>
                <c:pt idx="4005">
                  <c:v>128.25949096679688</c:v>
                </c:pt>
                <c:pt idx="4006">
                  <c:v>128.95083618164063</c:v>
                </c:pt>
                <c:pt idx="4007">
                  <c:v>127.28762054443359</c:v>
                </c:pt>
                <c:pt idx="4008">
                  <c:v>129.56005859375</c:v>
                </c:pt>
                <c:pt idx="4009">
                  <c:v>129.04411315917969</c:v>
                </c:pt>
                <c:pt idx="4010">
                  <c:v>127.74550628662109</c:v>
                </c:pt>
                <c:pt idx="4011">
                  <c:v>126.38137817382813</c:v>
                </c:pt>
                <c:pt idx="4012">
                  <c:v>127.23866271972656</c:v>
                </c:pt>
                <c:pt idx="4013">
                  <c:v>128.64939880371094</c:v>
                </c:pt>
                <c:pt idx="4014">
                  <c:v>126.26459503173828</c:v>
                </c:pt>
                <c:pt idx="4015">
                  <c:v>125.25242614746094</c:v>
                </c:pt>
                <c:pt idx="4016">
                  <c:v>129.98094177246094</c:v>
                </c:pt>
                <c:pt idx="4017">
                  <c:v>130.37457275390625</c:v>
                </c:pt>
                <c:pt idx="4018">
                  <c:v>132.18017578125</c:v>
                </c:pt>
                <c:pt idx="4019">
                  <c:v>134.46708679199219</c:v>
                </c:pt>
                <c:pt idx="4020">
                  <c:v>135.91162109375</c:v>
                </c:pt>
                <c:pt idx="4021">
                  <c:v>135.42012023925781</c:v>
                </c:pt>
                <c:pt idx="4022">
                  <c:v>141.4698486328125</c:v>
                </c:pt>
                <c:pt idx="4023">
                  <c:v>148.61764526367188</c:v>
                </c:pt>
                <c:pt idx="4024">
                  <c:v>153.00389099121094</c:v>
                </c:pt>
                <c:pt idx="4025">
                  <c:v>158.43585205078125</c:v>
                </c:pt>
                <c:pt idx="4026">
                  <c:v>159.63436889648438</c:v>
                </c:pt>
                <c:pt idx="4027">
                  <c:v>161.30021667480469</c:v>
                </c:pt>
                <c:pt idx="4028">
                  <c:v>159.42063903808594</c:v>
                </c:pt>
                <c:pt idx="4029">
                  <c:v>163.12217712402344</c:v>
                </c:pt>
                <c:pt idx="4030">
                  <c:v>162.525634765625</c:v>
                </c:pt>
                <c:pt idx="4031">
                  <c:v>159.78038024902344</c:v>
                </c:pt>
                <c:pt idx="4032">
                  <c:v>160.04226684570313</c:v>
                </c:pt>
                <c:pt idx="4033">
                  <c:v>162.36698913574219</c:v>
                </c:pt>
                <c:pt idx="4034">
                  <c:v>158.31869506835938</c:v>
                </c:pt>
                <c:pt idx="4035">
                  <c:v>157.95561218261719</c:v>
                </c:pt>
                <c:pt idx="4036">
                  <c:v>160.83489990234375</c:v>
                </c:pt>
                <c:pt idx="4037">
                  <c:v>165.4454345703125</c:v>
                </c:pt>
                <c:pt idx="4038">
                  <c:v>167.90310668945313</c:v>
                </c:pt>
                <c:pt idx="4039">
                  <c:v>169.10592651367188</c:v>
                </c:pt>
                <c:pt idx="4040">
                  <c:v>171.06901550292969</c:v>
                </c:pt>
                <c:pt idx="4041">
                  <c:v>169.53593444824219</c:v>
                </c:pt>
                <c:pt idx="4042">
                  <c:v>167.57365417480469</c:v>
                </c:pt>
                <c:pt idx="4043">
                  <c:v>162.80931091308594</c:v>
                </c:pt>
                <c:pt idx="4044">
                  <c:v>167.02450561523438</c:v>
                </c:pt>
                <c:pt idx="4045">
                  <c:v>169.39747619628906</c:v>
                </c:pt>
                <c:pt idx="4046">
                  <c:v>168.02001953125</c:v>
                </c:pt>
                <c:pt idx="4047">
                  <c:v>168.01007080078125</c:v>
                </c:pt>
                <c:pt idx="4048">
                  <c:v>166.84391784667969</c:v>
                </c:pt>
                <c:pt idx="4049">
                  <c:v>164.56971740722656</c:v>
                </c:pt>
                <c:pt idx="4050">
                  <c:v>161.61116027832031</c:v>
                </c:pt>
                <c:pt idx="4051">
                  <c:v>161.80813598632813</c:v>
                </c:pt>
                <c:pt idx="4052">
                  <c:v>160.99856567382813</c:v>
                </c:pt>
                <c:pt idx="4053">
                  <c:v>157.13041687011719</c:v>
                </c:pt>
                <c:pt idx="4054">
                  <c:v>152.88365173339844</c:v>
                </c:pt>
                <c:pt idx="4055">
                  <c:v>148.37850952148438</c:v>
                </c:pt>
                <c:pt idx="4056">
                  <c:v>146.132080078125</c:v>
                </c:pt>
                <c:pt idx="4057">
                  <c:v>143.52580261230469</c:v>
                </c:pt>
                <c:pt idx="4058">
                  <c:v>141.53733825683594</c:v>
                </c:pt>
                <c:pt idx="4059">
                  <c:v>138.89456176757813</c:v>
                </c:pt>
                <c:pt idx="4060">
                  <c:v>137.50213623046875</c:v>
                </c:pt>
                <c:pt idx="4061">
                  <c:v>137.39898681640625</c:v>
                </c:pt>
                <c:pt idx="4062">
                  <c:v>134.60011291503906</c:v>
                </c:pt>
                <c:pt idx="4063">
                  <c:v>128.82188415527344</c:v>
                </c:pt>
                <c:pt idx="4064">
                  <c:v>128.32415771484375</c:v>
                </c:pt>
                <c:pt idx="4065">
                  <c:v>127.90022277832031</c:v>
                </c:pt>
                <c:pt idx="4066">
                  <c:v>125.57122039794922</c:v>
                </c:pt>
                <c:pt idx="4067">
                  <c:v>120.96528625488281</c:v>
                </c:pt>
                <c:pt idx="4068">
                  <c:v>120.07588958740234</c:v>
                </c:pt>
                <c:pt idx="4069">
                  <c:v>118.22108459472656</c:v>
                </c:pt>
                <c:pt idx="4070">
                  <c:v>113.85029602050781</c:v>
                </c:pt>
                <c:pt idx="4071">
                  <c:v>115.11870574951172</c:v>
                </c:pt>
                <c:pt idx="4072">
                  <c:v>118.86936950683594</c:v>
                </c:pt>
                <c:pt idx="4073">
                  <c:v>120.78501129150391</c:v>
                </c:pt>
                <c:pt idx="4074">
                  <c:v>119.47644805908203</c:v>
                </c:pt>
                <c:pt idx="4075">
                  <c:v>121.57564544677734</c:v>
                </c:pt>
                <c:pt idx="4076">
                  <c:v>119.34317779541016</c:v>
                </c:pt>
                <c:pt idx="4077">
                  <c:v>123.09136962890625</c:v>
                </c:pt>
                <c:pt idx="4078">
                  <c:v>138.09309387207031</c:v>
                </c:pt>
                <c:pt idx="4079">
                  <c:v>147.33642578125</c:v>
                </c:pt>
                <c:pt idx="4080">
                  <c:v>159.82484436035156</c:v>
                </c:pt>
                <c:pt idx="4081">
                  <c:v>170.39822387695313</c:v>
                </c:pt>
                <c:pt idx="4082">
                  <c:v>173.54922485351563</c:v>
                </c:pt>
                <c:pt idx="4083">
                  <c:v>178.14462280273438</c:v>
                </c:pt>
                <c:pt idx="4084">
                  <c:v>182.45877075195313</c:v>
                </c:pt>
                <c:pt idx="4085">
                  <c:v>191.82438659667969</c:v>
                </c:pt>
                <c:pt idx="4086">
                  <c:v>206.11468505859375</c:v>
                </c:pt>
                <c:pt idx="4087">
                  <c:v>215.15383911132813</c:v>
                </c:pt>
                <c:pt idx="4088">
                  <c:v>223.04734802246094</c:v>
                </c:pt>
                <c:pt idx="4089">
                  <c:v>230.6727294921875</c:v>
                </c:pt>
                <c:pt idx="4090">
                  <c:v>238.083984375</c:v>
                </c:pt>
                <c:pt idx="4091">
                  <c:v>243.43791198730469</c:v>
                </c:pt>
                <c:pt idx="4092">
                  <c:v>248.80216979980469</c:v>
                </c:pt>
                <c:pt idx="4093">
                  <c:v>261.40768432617188</c:v>
                </c:pt>
                <c:pt idx="4094">
                  <c:v>270.74310302734375</c:v>
                </c:pt>
                <c:pt idx="4095">
                  <c:v>281.14425659179688</c:v>
                </c:pt>
                <c:pt idx="4096">
                  <c:v>287.38461303710938</c:v>
                </c:pt>
                <c:pt idx="4097">
                  <c:v>294.21847534179688</c:v>
                </c:pt>
                <c:pt idx="4098">
                  <c:v>296.08108520507813</c:v>
                </c:pt>
                <c:pt idx="4099">
                  <c:v>303.99468994140625</c:v>
                </c:pt>
                <c:pt idx="4100">
                  <c:v>313.07940673828125</c:v>
                </c:pt>
                <c:pt idx="4101">
                  <c:v>319.43844604492188</c:v>
                </c:pt>
                <c:pt idx="4102">
                  <c:v>322.1387939453125</c:v>
                </c:pt>
                <c:pt idx="4103">
                  <c:v>326.11590576171875</c:v>
                </c:pt>
                <c:pt idx="4104">
                  <c:v>328.19296264648438</c:v>
                </c:pt>
                <c:pt idx="4105">
                  <c:v>330.56790161132813</c:v>
                </c:pt>
                <c:pt idx="4106">
                  <c:v>335.50064086914063</c:v>
                </c:pt>
                <c:pt idx="4107">
                  <c:v>340.26416015625</c:v>
                </c:pt>
                <c:pt idx="4108">
                  <c:v>330.33792114257813</c:v>
                </c:pt>
              </c:numCache>
            </c:numRef>
          </c:val>
          <c:smooth val="0"/>
          <c:extLst>
            <c:ext xmlns:c16="http://schemas.microsoft.com/office/drawing/2014/chart" uri="{C3380CC4-5D6E-409C-BE32-E72D297353CC}">
              <c16:uniqueId val="{00000000-E829-48B5-85FC-2D20B1F0C275}"/>
            </c:ext>
          </c:extLst>
        </c:ser>
        <c:dLbls>
          <c:showLegendKey val="0"/>
          <c:showVal val="0"/>
          <c:showCatName val="0"/>
          <c:showSerName val="0"/>
          <c:showPercent val="0"/>
          <c:showBubbleSize val="0"/>
        </c:dLbls>
        <c:smooth val="0"/>
        <c:axId val="821327472"/>
        <c:axId val="821320752"/>
      </c:lineChart>
      <c:dateAx>
        <c:axId val="821327472"/>
        <c:scaling>
          <c:orientation val="minMax"/>
        </c:scaling>
        <c:delete val="0"/>
        <c:axPos val="b"/>
        <c:numFmt formatCode="yyyy" sourceLinked="0"/>
        <c:majorTickMark val="none"/>
        <c:minorTickMark val="none"/>
        <c:tickLblPos val="nextTo"/>
        <c:spPr>
          <a:noFill/>
          <a:ln w="9525" cap="flat" cmpd="sng" algn="ctr">
            <a:solidFill>
              <a:schemeClr val="bg2">
                <a:lumMod val="2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crossAx val="821320752"/>
        <c:crosses val="autoZero"/>
        <c:auto val="1"/>
        <c:lblOffset val="100"/>
        <c:baseTimeUnit val="days"/>
      </c:dateAx>
      <c:valAx>
        <c:axId val="821320752"/>
        <c:scaling>
          <c:orientation val="minMax"/>
        </c:scaling>
        <c:delete val="0"/>
        <c:axPos val="l"/>
        <c:majorGridlines>
          <c:spPr>
            <a:ln w="3175" cap="flat" cmpd="sng" algn="ctr">
              <a:solidFill>
                <a:srgbClr val="E8E8E8">
                  <a:lumMod val="50000"/>
                  <a:alpha val="25000"/>
                </a:srgbClr>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crossAx val="8213274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Arial Narrow" panose="020B0606020202030204" pitchFamily="34" charset="0"/>
        </a:defRPr>
      </a:pPr>
      <a:endParaRPr lang="sk-SK"/>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'G 6'!$G$9</c:f>
              <c:strCache>
                <c:ptCount val="1"/>
                <c:pt idx="0">
                  <c:v>Inflačné očakávania spotrebiteľov v eurozóne</c:v>
                </c:pt>
              </c:strCache>
            </c:strRef>
          </c:tx>
          <c:spPr>
            <a:ln w="28575" cap="rnd">
              <a:solidFill>
                <a:srgbClr val="2EAAE1"/>
              </a:solidFill>
              <a:round/>
            </a:ln>
            <a:effectLst/>
          </c:spPr>
          <c:marker>
            <c:symbol val="none"/>
          </c:marker>
          <c:cat>
            <c:numRef>
              <c:f>'G 6'!$F$10:$F$144</c:f>
              <c:numCache>
                <c:formatCode>mm/yy</c:formatCode>
                <c:ptCount val="135"/>
                <c:pt idx="0">
                  <c:v>42035</c:v>
                </c:pt>
                <c:pt idx="1">
                  <c:v>42063</c:v>
                </c:pt>
                <c:pt idx="2">
                  <c:v>42094</c:v>
                </c:pt>
                <c:pt idx="3">
                  <c:v>42124</c:v>
                </c:pt>
                <c:pt idx="4">
                  <c:v>42155</c:v>
                </c:pt>
                <c:pt idx="5">
                  <c:v>42185</c:v>
                </c:pt>
                <c:pt idx="6">
                  <c:v>42216</c:v>
                </c:pt>
                <c:pt idx="7">
                  <c:v>42247</c:v>
                </c:pt>
                <c:pt idx="8">
                  <c:v>42277</c:v>
                </c:pt>
                <c:pt idx="9">
                  <c:v>42308</c:v>
                </c:pt>
                <c:pt idx="10">
                  <c:v>42338</c:v>
                </c:pt>
                <c:pt idx="11">
                  <c:v>42369</c:v>
                </c:pt>
                <c:pt idx="12">
                  <c:v>42400</c:v>
                </c:pt>
                <c:pt idx="13">
                  <c:v>42429</c:v>
                </c:pt>
                <c:pt idx="14">
                  <c:v>42460</c:v>
                </c:pt>
                <c:pt idx="15">
                  <c:v>42490</c:v>
                </c:pt>
                <c:pt idx="16">
                  <c:v>42521</c:v>
                </c:pt>
                <c:pt idx="17">
                  <c:v>42551</c:v>
                </c:pt>
                <c:pt idx="18">
                  <c:v>42582</c:v>
                </c:pt>
                <c:pt idx="19">
                  <c:v>42613</c:v>
                </c:pt>
                <c:pt idx="20">
                  <c:v>42643</c:v>
                </c:pt>
                <c:pt idx="21">
                  <c:v>42674</c:v>
                </c:pt>
                <c:pt idx="22">
                  <c:v>42704</c:v>
                </c:pt>
                <c:pt idx="23">
                  <c:v>42735</c:v>
                </c:pt>
                <c:pt idx="24">
                  <c:v>42766</c:v>
                </c:pt>
                <c:pt idx="25">
                  <c:v>42794</c:v>
                </c:pt>
                <c:pt idx="26">
                  <c:v>42825</c:v>
                </c:pt>
                <c:pt idx="27">
                  <c:v>42855</c:v>
                </c:pt>
                <c:pt idx="28">
                  <c:v>42886</c:v>
                </c:pt>
                <c:pt idx="29">
                  <c:v>42916</c:v>
                </c:pt>
                <c:pt idx="30">
                  <c:v>42947</c:v>
                </c:pt>
                <c:pt idx="31">
                  <c:v>42978</c:v>
                </c:pt>
                <c:pt idx="32">
                  <c:v>43008</c:v>
                </c:pt>
                <c:pt idx="33">
                  <c:v>43039</c:v>
                </c:pt>
                <c:pt idx="34">
                  <c:v>43069</c:v>
                </c:pt>
                <c:pt idx="35">
                  <c:v>43100</c:v>
                </c:pt>
                <c:pt idx="36">
                  <c:v>43131</c:v>
                </c:pt>
                <c:pt idx="37">
                  <c:v>43159</c:v>
                </c:pt>
                <c:pt idx="38">
                  <c:v>43190</c:v>
                </c:pt>
                <c:pt idx="39">
                  <c:v>43220</c:v>
                </c:pt>
                <c:pt idx="40">
                  <c:v>43251</c:v>
                </c:pt>
                <c:pt idx="41">
                  <c:v>43281</c:v>
                </c:pt>
                <c:pt idx="42">
                  <c:v>43312</c:v>
                </c:pt>
                <c:pt idx="43">
                  <c:v>43343</c:v>
                </c:pt>
                <c:pt idx="44">
                  <c:v>43373</c:v>
                </c:pt>
                <c:pt idx="45">
                  <c:v>43404</c:v>
                </c:pt>
                <c:pt idx="46">
                  <c:v>43434</c:v>
                </c:pt>
                <c:pt idx="47">
                  <c:v>43465</c:v>
                </c:pt>
                <c:pt idx="48">
                  <c:v>43496</c:v>
                </c:pt>
                <c:pt idx="49">
                  <c:v>43524</c:v>
                </c:pt>
                <c:pt idx="50">
                  <c:v>43555</c:v>
                </c:pt>
                <c:pt idx="51">
                  <c:v>43585</c:v>
                </c:pt>
                <c:pt idx="52">
                  <c:v>43616</c:v>
                </c:pt>
                <c:pt idx="53">
                  <c:v>43646</c:v>
                </c:pt>
                <c:pt idx="54">
                  <c:v>43677</c:v>
                </c:pt>
                <c:pt idx="55">
                  <c:v>43708</c:v>
                </c:pt>
                <c:pt idx="56">
                  <c:v>43738</c:v>
                </c:pt>
                <c:pt idx="57">
                  <c:v>43769</c:v>
                </c:pt>
                <c:pt idx="58">
                  <c:v>43799</c:v>
                </c:pt>
                <c:pt idx="59">
                  <c:v>43830</c:v>
                </c:pt>
                <c:pt idx="60">
                  <c:v>43861</c:v>
                </c:pt>
                <c:pt idx="61">
                  <c:v>43890</c:v>
                </c:pt>
                <c:pt idx="62">
                  <c:v>43921</c:v>
                </c:pt>
                <c:pt idx="63">
                  <c:v>43951</c:v>
                </c:pt>
                <c:pt idx="64">
                  <c:v>43982</c:v>
                </c:pt>
                <c:pt idx="65">
                  <c:v>44012</c:v>
                </c:pt>
                <c:pt idx="66">
                  <c:v>44043</c:v>
                </c:pt>
                <c:pt idx="67">
                  <c:v>44074</c:v>
                </c:pt>
                <c:pt idx="68">
                  <c:v>44104</c:v>
                </c:pt>
                <c:pt idx="69">
                  <c:v>44135</c:v>
                </c:pt>
                <c:pt idx="70">
                  <c:v>44165</c:v>
                </c:pt>
                <c:pt idx="71">
                  <c:v>44196</c:v>
                </c:pt>
                <c:pt idx="72">
                  <c:v>44227</c:v>
                </c:pt>
                <c:pt idx="73">
                  <c:v>44255</c:v>
                </c:pt>
                <c:pt idx="74">
                  <c:v>44286</c:v>
                </c:pt>
                <c:pt idx="75">
                  <c:v>44316</c:v>
                </c:pt>
                <c:pt idx="76">
                  <c:v>44347</c:v>
                </c:pt>
                <c:pt idx="77">
                  <c:v>44377</c:v>
                </c:pt>
                <c:pt idx="78">
                  <c:v>44408</c:v>
                </c:pt>
                <c:pt idx="79">
                  <c:v>44439</c:v>
                </c:pt>
                <c:pt idx="80">
                  <c:v>44469</c:v>
                </c:pt>
                <c:pt idx="81">
                  <c:v>44500</c:v>
                </c:pt>
                <c:pt idx="82">
                  <c:v>44530</c:v>
                </c:pt>
                <c:pt idx="83">
                  <c:v>44561</c:v>
                </c:pt>
                <c:pt idx="84">
                  <c:v>44592</c:v>
                </c:pt>
                <c:pt idx="85">
                  <c:v>44620</c:v>
                </c:pt>
                <c:pt idx="86">
                  <c:v>44651</c:v>
                </c:pt>
                <c:pt idx="87">
                  <c:v>44681</c:v>
                </c:pt>
                <c:pt idx="88">
                  <c:v>44712</c:v>
                </c:pt>
                <c:pt idx="89">
                  <c:v>44742</c:v>
                </c:pt>
                <c:pt idx="90">
                  <c:v>44773</c:v>
                </c:pt>
                <c:pt idx="91">
                  <c:v>44804</c:v>
                </c:pt>
                <c:pt idx="92">
                  <c:v>44834</c:v>
                </c:pt>
                <c:pt idx="93">
                  <c:v>44865</c:v>
                </c:pt>
                <c:pt idx="94">
                  <c:v>44895</c:v>
                </c:pt>
                <c:pt idx="95">
                  <c:v>44926</c:v>
                </c:pt>
                <c:pt idx="96">
                  <c:v>44957</c:v>
                </c:pt>
                <c:pt idx="97">
                  <c:v>44985</c:v>
                </c:pt>
                <c:pt idx="98">
                  <c:v>45016</c:v>
                </c:pt>
                <c:pt idx="99">
                  <c:v>45046</c:v>
                </c:pt>
                <c:pt idx="100">
                  <c:v>45077</c:v>
                </c:pt>
                <c:pt idx="101">
                  <c:v>45107</c:v>
                </c:pt>
                <c:pt idx="102">
                  <c:v>45138</c:v>
                </c:pt>
                <c:pt idx="103">
                  <c:v>45169</c:v>
                </c:pt>
                <c:pt idx="104">
                  <c:v>45199</c:v>
                </c:pt>
                <c:pt idx="105">
                  <c:v>45230</c:v>
                </c:pt>
                <c:pt idx="106">
                  <c:v>45260</c:v>
                </c:pt>
                <c:pt idx="107">
                  <c:v>45291</c:v>
                </c:pt>
                <c:pt idx="108">
                  <c:v>45322</c:v>
                </c:pt>
                <c:pt idx="109">
                  <c:v>45351</c:v>
                </c:pt>
                <c:pt idx="110">
                  <c:v>45382</c:v>
                </c:pt>
                <c:pt idx="111">
                  <c:v>45412</c:v>
                </c:pt>
                <c:pt idx="112">
                  <c:v>45443</c:v>
                </c:pt>
                <c:pt idx="113">
                  <c:v>45473</c:v>
                </c:pt>
                <c:pt idx="114">
                  <c:v>45504</c:v>
                </c:pt>
                <c:pt idx="115">
                  <c:v>45535</c:v>
                </c:pt>
                <c:pt idx="116">
                  <c:v>45565</c:v>
                </c:pt>
                <c:pt idx="117">
                  <c:v>45596</c:v>
                </c:pt>
                <c:pt idx="118">
                  <c:v>45626</c:v>
                </c:pt>
                <c:pt idx="119">
                  <c:v>45657</c:v>
                </c:pt>
                <c:pt idx="120">
                  <c:v>45688</c:v>
                </c:pt>
                <c:pt idx="121">
                  <c:v>45716</c:v>
                </c:pt>
                <c:pt idx="122">
                  <c:v>45747</c:v>
                </c:pt>
                <c:pt idx="123">
                  <c:v>45777</c:v>
                </c:pt>
                <c:pt idx="124">
                  <c:v>45808</c:v>
                </c:pt>
                <c:pt idx="125">
                  <c:v>45838</c:v>
                </c:pt>
                <c:pt idx="126">
                  <c:v>45869</c:v>
                </c:pt>
                <c:pt idx="127">
                  <c:v>45900</c:v>
                </c:pt>
                <c:pt idx="128">
                  <c:v>45930</c:v>
                </c:pt>
                <c:pt idx="129">
                  <c:v>45961</c:v>
                </c:pt>
                <c:pt idx="130">
                  <c:v>45991</c:v>
                </c:pt>
                <c:pt idx="131">
                  <c:v>46022</c:v>
                </c:pt>
                <c:pt idx="132">
                  <c:v>46053</c:v>
                </c:pt>
                <c:pt idx="133">
                  <c:v>46081</c:v>
                </c:pt>
                <c:pt idx="134">
                  <c:v>46112</c:v>
                </c:pt>
              </c:numCache>
            </c:numRef>
          </c:cat>
          <c:val>
            <c:numRef>
              <c:f>'G 6'!$G$10:$G$144</c:f>
              <c:numCache>
                <c:formatCode>0.0</c:formatCode>
                <c:ptCount val="135"/>
                <c:pt idx="0">
                  <c:v>2.1</c:v>
                </c:pt>
                <c:pt idx="1">
                  <c:v>2.9</c:v>
                </c:pt>
                <c:pt idx="2">
                  <c:v>4.8</c:v>
                </c:pt>
                <c:pt idx="3">
                  <c:v>6.4</c:v>
                </c:pt>
                <c:pt idx="4">
                  <c:v>8.6</c:v>
                </c:pt>
                <c:pt idx="5">
                  <c:v>9.5</c:v>
                </c:pt>
                <c:pt idx="6">
                  <c:v>9.8000000000000007</c:v>
                </c:pt>
                <c:pt idx="7">
                  <c:v>9.4</c:v>
                </c:pt>
                <c:pt idx="8">
                  <c:v>8.6</c:v>
                </c:pt>
                <c:pt idx="9">
                  <c:v>5.7</c:v>
                </c:pt>
                <c:pt idx="10">
                  <c:v>7.9</c:v>
                </c:pt>
                <c:pt idx="11">
                  <c:v>9.1999999999999993</c:v>
                </c:pt>
                <c:pt idx="12">
                  <c:v>7</c:v>
                </c:pt>
                <c:pt idx="13">
                  <c:v>8</c:v>
                </c:pt>
                <c:pt idx="14">
                  <c:v>6.6</c:v>
                </c:pt>
                <c:pt idx="15">
                  <c:v>7.1</c:v>
                </c:pt>
                <c:pt idx="16">
                  <c:v>7.5</c:v>
                </c:pt>
                <c:pt idx="17">
                  <c:v>9.6999999999999993</c:v>
                </c:pt>
                <c:pt idx="18">
                  <c:v>8.8000000000000007</c:v>
                </c:pt>
                <c:pt idx="19">
                  <c:v>9</c:v>
                </c:pt>
                <c:pt idx="20">
                  <c:v>9.5</c:v>
                </c:pt>
                <c:pt idx="21">
                  <c:v>8.8000000000000007</c:v>
                </c:pt>
                <c:pt idx="22">
                  <c:v>11.2</c:v>
                </c:pt>
                <c:pt idx="23">
                  <c:v>14.7</c:v>
                </c:pt>
                <c:pt idx="24">
                  <c:v>19.3</c:v>
                </c:pt>
                <c:pt idx="25">
                  <c:v>19.399999999999999</c:v>
                </c:pt>
                <c:pt idx="26">
                  <c:v>20.2</c:v>
                </c:pt>
                <c:pt idx="27">
                  <c:v>17.600000000000001</c:v>
                </c:pt>
                <c:pt idx="28">
                  <c:v>16.8</c:v>
                </c:pt>
                <c:pt idx="29">
                  <c:v>17.5</c:v>
                </c:pt>
                <c:pt idx="30">
                  <c:v>16.399999999999999</c:v>
                </c:pt>
                <c:pt idx="31">
                  <c:v>16.399999999999999</c:v>
                </c:pt>
                <c:pt idx="32">
                  <c:v>18.5</c:v>
                </c:pt>
                <c:pt idx="33">
                  <c:v>18.7</c:v>
                </c:pt>
                <c:pt idx="34">
                  <c:v>20.399999999999999</c:v>
                </c:pt>
                <c:pt idx="35">
                  <c:v>19.399999999999999</c:v>
                </c:pt>
                <c:pt idx="36">
                  <c:v>25.5</c:v>
                </c:pt>
                <c:pt idx="37">
                  <c:v>23.3</c:v>
                </c:pt>
                <c:pt idx="38">
                  <c:v>20.6</c:v>
                </c:pt>
                <c:pt idx="39">
                  <c:v>19.899999999999999</c:v>
                </c:pt>
                <c:pt idx="40">
                  <c:v>21.5</c:v>
                </c:pt>
                <c:pt idx="41">
                  <c:v>23</c:v>
                </c:pt>
                <c:pt idx="42">
                  <c:v>23.1</c:v>
                </c:pt>
                <c:pt idx="43">
                  <c:v>23.1</c:v>
                </c:pt>
                <c:pt idx="44">
                  <c:v>24.9</c:v>
                </c:pt>
                <c:pt idx="45">
                  <c:v>25.7</c:v>
                </c:pt>
                <c:pt idx="46">
                  <c:v>26.6</c:v>
                </c:pt>
                <c:pt idx="47">
                  <c:v>24</c:v>
                </c:pt>
                <c:pt idx="48">
                  <c:v>21.5</c:v>
                </c:pt>
                <c:pt idx="49">
                  <c:v>24.1</c:v>
                </c:pt>
                <c:pt idx="50">
                  <c:v>21.8</c:v>
                </c:pt>
                <c:pt idx="51">
                  <c:v>19.7</c:v>
                </c:pt>
                <c:pt idx="52">
                  <c:v>24.4</c:v>
                </c:pt>
                <c:pt idx="53">
                  <c:v>23.7</c:v>
                </c:pt>
                <c:pt idx="54">
                  <c:v>22</c:v>
                </c:pt>
                <c:pt idx="55">
                  <c:v>22.2</c:v>
                </c:pt>
                <c:pt idx="56">
                  <c:v>20.9</c:v>
                </c:pt>
                <c:pt idx="57">
                  <c:v>22.4</c:v>
                </c:pt>
                <c:pt idx="58">
                  <c:v>21.3</c:v>
                </c:pt>
                <c:pt idx="59">
                  <c:v>22.5</c:v>
                </c:pt>
                <c:pt idx="60">
                  <c:v>23.9</c:v>
                </c:pt>
                <c:pt idx="61">
                  <c:v>24.7</c:v>
                </c:pt>
                <c:pt idx="62">
                  <c:v>25.5</c:v>
                </c:pt>
                <c:pt idx="63">
                  <c:v>31.2</c:v>
                </c:pt>
                <c:pt idx="64">
                  <c:v>31</c:v>
                </c:pt>
                <c:pt idx="65">
                  <c:v>22.8</c:v>
                </c:pt>
                <c:pt idx="66">
                  <c:v>16.8</c:v>
                </c:pt>
                <c:pt idx="67">
                  <c:v>16.100000000000001</c:v>
                </c:pt>
                <c:pt idx="68">
                  <c:v>11.6</c:v>
                </c:pt>
                <c:pt idx="69">
                  <c:v>13.5</c:v>
                </c:pt>
                <c:pt idx="70">
                  <c:v>17.100000000000001</c:v>
                </c:pt>
                <c:pt idx="71">
                  <c:v>16.399999999999999</c:v>
                </c:pt>
                <c:pt idx="72">
                  <c:v>18.3</c:v>
                </c:pt>
                <c:pt idx="73">
                  <c:v>19.100000000000001</c:v>
                </c:pt>
                <c:pt idx="74">
                  <c:v>21.4</c:v>
                </c:pt>
                <c:pt idx="75">
                  <c:v>22.7</c:v>
                </c:pt>
                <c:pt idx="76">
                  <c:v>26.9</c:v>
                </c:pt>
                <c:pt idx="77">
                  <c:v>30.5</c:v>
                </c:pt>
                <c:pt idx="78">
                  <c:v>31.1</c:v>
                </c:pt>
                <c:pt idx="79">
                  <c:v>31.5</c:v>
                </c:pt>
                <c:pt idx="80">
                  <c:v>32.700000000000003</c:v>
                </c:pt>
                <c:pt idx="81">
                  <c:v>41.3</c:v>
                </c:pt>
                <c:pt idx="82">
                  <c:v>40.700000000000003</c:v>
                </c:pt>
                <c:pt idx="83">
                  <c:v>36.200000000000003</c:v>
                </c:pt>
                <c:pt idx="84">
                  <c:v>39.200000000000003</c:v>
                </c:pt>
                <c:pt idx="85">
                  <c:v>38.5</c:v>
                </c:pt>
                <c:pt idx="86">
                  <c:v>64.3</c:v>
                </c:pt>
                <c:pt idx="87">
                  <c:v>50.8</c:v>
                </c:pt>
                <c:pt idx="88">
                  <c:v>46.7</c:v>
                </c:pt>
                <c:pt idx="89">
                  <c:v>44</c:v>
                </c:pt>
                <c:pt idx="90">
                  <c:v>43.9</c:v>
                </c:pt>
                <c:pt idx="91">
                  <c:v>37.9</c:v>
                </c:pt>
                <c:pt idx="92">
                  <c:v>41.9</c:v>
                </c:pt>
                <c:pt idx="93">
                  <c:v>38.200000000000003</c:v>
                </c:pt>
                <c:pt idx="94">
                  <c:v>30.9</c:v>
                </c:pt>
                <c:pt idx="95">
                  <c:v>24.4</c:v>
                </c:pt>
                <c:pt idx="96">
                  <c:v>19.2</c:v>
                </c:pt>
                <c:pt idx="97">
                  <c:v>19.2</c:v>
                </c:pt>
                <c:pt idx="98">
                  <c:v>19.7</c:v>
                </c:pt>
                <c:pt idx="99">
                  <c:v>15.8</c:v>
                </c:pt>
                <c:pt idx="100">
                  <c:v>13.5</c:v>
                </c:pt>
                <c:pt idx="101">
                  <c:v>7.8</c:v>
                </c:pt>
                <c:pt idx="102">
                  <c:v>6.6</c:v>
                </c:pt>
                <c:pt idx="103">
                  <c:v>10.7</c:v>
                </c:pt>
                <c:pt idx="104">
                  <c:v>13.8</c:v>
                </c:pt>
                <c:pt idx="105">
                  <c:v>13.3</c:v>
                </c:pt>
                <c:pt idx="106">
                  <c:v>11.1</c:v>
                </c:pt>
                <c:pt idx="107">
                  <c:v>12.2</c:v>
                </c:pt>
                <c:pt idx="108">
                  <c:v>14</c:v>
                </c:pt>
                <c:pt idx="109">
                  <c:v>17.3</c:v>
                </c:pt>
                <c:pt idx="110">
                  <c:v>12.8</c:v>
                </c:pt>
                <c:pt idx="111">
                  <c:v>13.1</c:v>
                </c:pt>
                <c:pt idx="112">
                  <c:v>13.7</c:v>
                </c:pt>
                <c:pt idx="113">
                  <c:v>14.6</c:v>
                </c:pt>
                <c:pt idx="114">
                  <c:v>12.8</c:v>
                </c:pt>
                <c:pt idx="115">
                  <c:v>12.9</c:v>
                </c:pt>
                <c:pt idx="116">
                  <c:v>12.7</c:v>
                </c:pt>
                <c:pt idx="117">
                  <c:v>15</c:v>
                </c:pt>
                <c:pt idx="118">
                  <c:v>19.399999999999999</c:v>
                </c:pt>
                <c:pt idx="119">
                  <c:v>22</c:v>
                </c:pt>
                <c:pt idx="120">
                  <c:v>21.9</c:v>
                </c:pt>
                <c:pt idx="121">
                  <c:v>23.2</c:v>
                </c:pt>
                <c:pt idx="122">
                  <c:v>25.1</c:v>
                </c:pt>
                <c:pt idx="123">
                  <c:v>29.7</c:v>
                </c:pt>
                <c:pt idx="124">
                  <c:v>24.4</c:v>
                </c:pt>
                <c:pt idx="125">
                  <c:v>22.5</c:v>
                </c:pt>
                <c:pt idx="126">
                  <c:v>25.9</c:v>
                </c:pt>
                <c:pt idx="127">
                  <c:v>26.9</c:v>
                </c:pt>
                <c:pt idx="128">
                  <c:v>25</c:v>
                </c:pt>
                <c:pt idx="129">
                  <c:v>23.3</c:v>
                </c:pt>
                <c:pt idx="130">
                  <c:v>24.5</c:v>
                </c:pt>
                <c:pt idx="131">
                  <c:v>27</c:v>
                </c:pt>
                <c:pt idx="132">
                  <c:v>24.5</c:v>
                </c:pt>
                <c:pt idx="133">
                  <c:v>26.2</c:v>
                </c:pt>
                <c:pt idx="134">
                  <c:v>43.4</c:v>
                </c:pt>
              </c:numCache>
            </c:numRef>
          </c:val>
          <c:smooth val="0"/>
          <c:extLst>
            <c:ext xmlns:c16="http://schemas.microsoft.com/office/drawing/2014/chart" uri="{C3380CC4-5D6E-409C-BE32-E72D297353CC}">
              <c16:uniqueId val="{00000000-3ACF-4862-BB51-9529F760572E}"/>
            </c:ext>
          </c:extLst>
        </c:ser>
        <c:dLbls>
          <c:showLegendKey val="0"/>
          <c:showVal val="0"/>
          <c:showCatName val="0"/>
          <c:showSerName val="0"/>
          <c:showPercent val="0"/>
          <c:showBubbleSize val="0"/>
        </c:dLbls>
        <c:smooth val="0"/>
        <c:axId val="821391792"/>
        <c:axId val="821388432"/>
      </c:lineChart>
      <c:dateAx>
        <c:axId val="821391792"/>
        <c:scaling>
          <c:orientation val="minMax"/>
        </c:scaling>
        <c:delete val="0"/>
        <c:axPos val="b"/>
        <c:numFmt formatCode="yyyy"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crossAx val="821388432"/>
        <c:crosses val="autoZero"/>
        <c:auto val="1"/>
        <c:lblOffset val="100"/>
        <c:baseTimeUnit val="months"/>
      </c:dateAx>
      <c:valAx>
        <c:axId val="821388432"/>
        <c:scaling>
          <c:orientation val="minMax"/>
        </c:scaling>
        <c:delete val="0"/>
        <c:axPos val="l"/>
        <c:majorGridlines>
          <c:spPr>
            <a:ln w="3175" cap="flat" cmpd="sng" algn="ctr">
              <a:solidFill>
                <a:srgbClr val="E8E8E8">
                  <a:lumMod val="50000"/>
                  <a:alpha val="25000"/>
                </a:srgbClr>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crossAx val="8213917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Arial Narrow" panose="020B0606020202030204" pitchFamily="34" charset="0"/>
        </a:defRPr>
      </a:pPr>
      <a:endParaRPr lang="sk-SK"/>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Policy!$E$199</c:f>
              <c:strCache>
                <c:ptCount val="1"/>
                <c:pt idx="0">
                  <c:v>Februárová prognóza</c:v>
                </c:pt>
              </c:strCache>
            </c:strRef>
          </c:tx>
          <c:spPr>
            <a:ln w="28575" cap="rnd">
              <a:solidFill>
                <a:schemeClr val="bg1">
                  <a:lumMod val="65000"/>
                </a:schemeClr>
              </a:solidFill>
              <a:round/>
            </a:ln>
            <a:effectLst/>
          </c:spPr>
          <c:marker>
            <c:symbol val="circle"/>
            <c:size val="6"/>
            <c:spPr>
              <a:solidFill>
                <a:schemeClr val="bg1">
                  <a:lumMod val="65000"/>
                </a:schemeClr>
              </a:solidFill>
              <a:ln w="9525">
                <a:solidFill>
                  <a:schemeClr val="bg1">
                    <a:lumMod val="65000"/>
                  </a:schemeClr>
                </a:solidFill>
              </a:ln>
              <a:effectLst/>
            </c:spPr>
          </c:marker>
          <c:cat>
            <c:numRef>
              <c:f>Policy!$F$198:$AC$198</c:f>
              <c:numCache>
                <c:formatCode>General</c:formatCode>
                <c:ptCount val="24"/>
                <c:pt idx="0">
                  <c:v>1.26</c:v>
                </c:pt>
                <c:pt idx="1">
                  <c:v>2.2599999999999998</c:v>
                </c:pt>
                <c:pt idx="2">
                  <c:v>3.26</c:v>
                </c:pt>
                <c:pt idx="3">
                  <c:v>4.26</c:v>
                </c:pt>
                <c:pt idx="4">
                  <c:v>5.26</c:v>
                </c:pt>
                <c:pt idx="5">
                  <c:v>6.26</c:v>
                </c:pt>
                <c:pt idx="6">
                  <c:v>7.26</c:v>
                </c:pt>
                <c:pt idx="7">
                  <c:v>8.26</c:v>
                </c:pt>
                <c:pt idx="8">
                  <c:v>9.26</c:v>
                </c:pt>
                <c:pt idx="9">
                  <c:v>10.26</c:v>
                </c:pt>
                <c:pt idx="10">
                  <c:v>11.26</c:v>
                </c:pt>
                <c:pt idx="11">
                  <c:v>12.26</c:v>
                </c:pt>
                <c:pt idx="12">
                  <c:v>1.27</c:v>
                </c:pt>
                <c:pt idx="13">
                  <c:v>2.27</c:v>
                </c:pt>
                <c:pt idx="14">
                  <c:v>3.27</c:v>
                </c:pt>
                <c:pt idx="15">
                  <c:v>4.2699999999999996</c:v>
                </c:pt>
                <c:pt idx="16">
                  <c:v>5.27</c:v>
                </c:pt>
                <c:pt idx="17">
                  <c:v>6.27</c:v>
                </c:pt>
                <c:pt idx="18">
                  <c:v>7.27</c:v>
                </c:pt>
                <c:pt idx="19">
                  <c:v>8.27</c:v>
                </c:pt>
                <c:pt idx="20">
                  <c:v>9.27</c:v>
                </c:pt>
                <c:pt idx="21">
                  <c:v>10.27</c:v>
                </c:pt>
                <c:pt idx="22">
                  <c:v>11.27</c:v>
                </c:pt>
                <c:pt idx="23">
                  <c:v>12.27</c:v>
                </c:pt>
              </c:numCache>
            </c:numRef>
          </c:cat>
          <c:val>
            <c:numRef>
              <c:f>Policy!$F$199:$AC$199</c:f>
              <c:numCache>
                <c:formatCode>General</c:formatCode>
                <c:ptCount val="24"/>
                <c:pt idx="0">
                  <c:v>63</c:v>
                </c:pt>
                <c:pt idx="1">
                  <c:v>63.7</c:v>
                </c:pt>
                <c:pt idx="2">
                  <c:v>64.5</c:v>
                </c:pt>
                <c:pt idx="3">
                  <c:v>63.8</c:v>
                </c:pt>
                <c:pt idx="4">
                  <c:v>63.3</c:v>
                </c:pt>
                <c:pt idx="5">
                  <c:v>63.1</c:v>
                </c:pt>
                <c:pt idx="6">
                  <c:v>62.9</c:v>
                </c:pt>
                <c:pt idx="7">
                  <c:v>62.7</c:v>
                </c:pt>
                <c:pt idx="8">
                  <c:v>62.6</c:v>
                </c:pt>
                <c:pt idx="9">
                  <c:v>62.5</c:v>
                </c:pt>
                <c:pt idx="10">
                  <c:v>62.4</c:v>
                </c:pt>
                <c:pt idx="11">
                  <c:v>62.3</c:v>
                </c:pt>
                <c:pt idx="12">
                  <c:v>62.3</c:v>
                </c:pt>
                <c:pt idx="13">
                  <c:v>62.3</c:v>
                </c:pt>
                <c:pt idx="14">
                  <c:v>62.3</c:v>
                </c:pt>
                <c:pt idx="15">
                  <c:v>62.3</c:v>
                </c:pt>
                <c:pt idx="16">
                  <c:v>62.4</c:v>
                </c:pt>
                <c:pt idx="17">
                  <c:v>62.5</c:v>
                </c:pt>
                <c:pt idx="18">
                  <c:v>62.5</c:v>
                </c:pt>
                <c:pt idx="19">
                  <c:v>62.6</c:v>
                </c:pt>
                <c:pt idx="20">
                  <c:v>62.7</c:v>
                </c:pt>
                <c:pt idx="21">
                  <c:v>62.8</c:v>
                </c:pt>
                <c:pt idx="22">
                  <c:v>62.9</c:v>
                </c:pt>
                <c:pt idx="23">
                  <c:v>63</c:v>
                </c:pt>
              </c:numCache>
            </c:numRef>
          </c:val>
          <c:smooth val="0"/>
          <c:extLst>
            <c:ext xmlns:c16="http://schemas.microsoft.com/office/drawing/2014/chart" uri="{C3380CC4-5D6E-409C-BE32-E72D297353CC}">
              <c16:uniqueId val="{00000000-0853-4E46-805B-6647E8C605F8}"/>
            </c:ext>
          </c:extLst>
        </c:ser>
        <c:ser>
          <c:idx val="1"/>
          <c:order val="1"/>
          <c:tx>
            <c:strRef>
              <c:f>Policy!$E$200</c:f>
              <c:strCache>
                <c:ptCount val="1"/>
                <c:pt idx="0">
                  <c:v>Mierny scenár</c:v>
                </c:pt>
              </c:strCache>
            </c:strRef>
          </c:tx>
          <c:spPr>
            <a:ln w="28575" cap="rnd">
              <a:solidFill>
                <a:schemeClr val="tx1"/>
              </a:solidFill>
              <a:round/>
            </a:ln>
            <a:effectLst/>
          </c:spPr>
          <c:marker>
            <c:symbol val="circle"/>
            <c:size val="6"/>
            <c:spPr>
              <a:solidFill>
                <a:schemeClr val="tx1"/>
              </a:solidFill>
              <a:ln w="9525">
                <a:solidFill>
                  <a:schemeClr val="tx1"/>
                </a:solidFill>
              </a:ln>
              <a:effectLst/>
            </c:spPr>
          </c:marker>
          <c:cat>
            <c:numRef>
              <c:f>Policy!$F$198:$AC$198</c:f>
              <c:numCache>
                <c:formatCode>General</c:formatCode>
                <c:ptCount val="24"/>
                <c:pt idx="0">
                  <c:v>1.26</c:v>
                </c:pt>
                <c:pt idx="1">
                  <c:v>2.2599999999999998</c:v>
                </c:pt>
                <c:pt idx="2">
                  <c:v>3.26</c:v>
                </c:pt>
                <c:pt idx="3">
                  <c:v>4.26</c:v>
                </c:pt>
                <c:pt idx="4">
                  <c:v>5.26</c:v>
                </c:pt>
                <c:pt idx="5">
                  <c:v>6.26</c:v>
                </c:pt>
                <c:pt idx="6">
                  <c:v>7.26</c:v>
                </c:pt>
                <c:pt idx="7">
                  <c:v>8.26</c:v>
                </c:pt>
                <c:pt idx="8">
                  <c:v>9.26</c:v>
                </c:pt>
                <c:pt idx="9">
                  <c:v>10.26</c:v>
                </c:pt>
                <c:pt idx="10">
                  <c:v>11.26</c:v>
                </c:pt>
                <c:pt idx="11">
                  <c:v>12.26</c:v>
                </c:pt>
                <c:pt idx="12">
                  <c:v>1.27</c:v>
                </c:pt>
                <c:pt idx="13">
                  <c:v>2.27</c:v>
                </c:pt>
                <c:pt idx="14">
                  <c:v>3.27</c:v>
                </c:pt>
                <c:pt idx="15">
                  <c:v>4.2699999999999996</c:v>
                </c:pt>
                <c:pt idx="16">
                  <c:v>5.27</c:v>
                </c:pt>
                <c:pt idx="17">
                  <c:v>6.27</c:v>
                </c:pt>
                <c:pt idx="18">
                  <c:v>7.27</c:v>
                </c:pt>
                <c:pt idx="19">
                  <c:v>8.27</c:v>
                </c:pt>
                <c:pt idx="20">
                  <c:v>9.27</c:v>
                </c:pt>
                <c:pt idx="21">
                  <c:v>10.27</c:v>
                </c:pt>
                <c:pt idx="22">
                  <c:v>11.27</c:v>
                </c:pt>
                <c:pt idx="23">
                  <c:v>12.27</c:v>
                </c:pt>
              </c:numCache>
            </c:numRef>
          </c:cat>
          <c:val>
            <c:numRef>
              <c:f>Policy!$F$200:$AC$200</c:f>
              <c:numCache>
                <c:formatCode>General</c:formatCode>
                <c:ptCount val="24"/>
                <c:pt idx="0">
                  <c:v>62.964550000000003</c:v>
                </c:pt>
                <c:pt idx="1">
                  <c:v>63.727269999999997</c:v>
                </c:pt>
                <c:pt idx="2">
                  <c:v>110</c:v>
                </c:pt>
                <c:pt idx="3">
                  <c:v>100</c:v>
                </c:pt>
                <c:pt idx="4">
                  <c:v>100</c:v>
                </c:pt>
                <c:pt idx="5">
                  <c:v>100</c:v>
                </c:pt>
                <c:pt idx="6">
                  <c:v>85</c:v>
                </c:pt>
                <c:pt idx="7">
                  <c:v>85</c:v>
                </c:pt>
                <c:pt idx="8">
                  <c:v>85</c:v>
                </c:pt>
                <c:pt idx="9">
                  <c:v>70</c:v>
                </c:pt>
                <c:pt idx="10">
                  <c:v>70</c:v>
                </c:pt>
                <c:pt idx="11">
                  <c:v>70</c:v>
                </c:pt>
                <c:pt idx="12">
                  <c:v>70</c:v>
                </c:pt>
                <c:pt idx="13">
                  <c:v>70</c:v>
                </c:pt>
                <c:pt idx="14">
                  <c:v>70</c:v>
                </c:pt>
                <c:pt idx="15">
                  <c:v>70</c:v>
                </c:pt>
                <c:pt idx="16">
                  <c:v>70</c:v>
                </c:pt>
                <c:pt idx="17">
                  <c:v>70</c:v>
                </c:pt>
                <c:pt idx="18">
                  <c:v>70</c:v>
                </c:pt>
                <c:pt idx="19">
                  <c:v>70</c:v>
                </c:pt>
                <c:pt idx="20">
                  <c:v>70</c:v>
                </c:pt>
                <c:pt idx="21">
                  <c:v>70</c:v>
                </c:pt>
                <c:pt idx="22">
                  <c:v>70</c:v>
                </c:pt>
                <c:pt idx="23">
                  <c:v>70</c:v>
                </c:pt>
              </c:numCache>
            </c:numRef>
          </c:val>
          <c:smooth val="0"/>
          <c:extLst>
            <c:ext xmlns:c16="http://schemas.microsoft.com/office/drawing/2014/chart" uri="{C3380CC4-5D6E-409C-BE32-E72D297353CC}">
              <c16:uniqueId val="{00000001-0853-4E46-805B-6647E8C605F8}"/>
            </c:ext>
          </c:extLst>
        </c:ser>
        <c:ser>
          <c:idx val="2"/>
          <c:order val="2"/>
          <c:tx>
            <c:strRef>
              <c:f>Policy!$E$201</c:f>
              <c:strCache>
                <c:ptCount val="1"/>
                <c:pt idx="0">
                  <c:v>Negatívny scenár</c:v>
                </c:pt>
              </c:strCache>
            </c:strRef>
          </c:tx>
          <c:spPr>
            <a:ln w="28575" cap="rnd">
              <a:solidFill>
                <a:srgbClr val="FF7C80"/>
              </a:solidFill>
              <a:round/>
            </a:ln>
            <a:effectLst/>
          </c:spPr>
          <c:marker>
            <c:symbol val="circle"/>
            <c:size val="6"/>
            <c:spPr>
              <a:solidFill>
                <a:srgbClr val="FF7C80"/>
              </a:solidFill>
              <a:ln w="9525">
                <a:solidFill>
                  <a:srgbClr val="FF7C80"/>
                </a:solidFill>
              </a:ln>
              <a:effectLst/>
            </c:spPr>
          </c:marker>
          <c:cat>
            <c:numRef>
              <c:f>Policy!$F$198:$AC$198</c:f>
              <c:numCache>
                <c:formatCode>General</c:formatCode>
                <c:ptCount val="24"/>
                <c:pt idx="0">
                  <c:v>1.26</c:v>
                </c:pt>
                <c:pt idx="1">
                  <c:v>2.2599999999999998</c:v>
                </c:pt>
                <c:pt idx="2">
                  <c:v>3.26</c:v>
                </c:pt>
                <c:pt idx="3">
                  <c:v>4.26</c:v>
                </c:pt>
                <c:pt idx="4">
                  <c:v>5.26</c:v>
                </c:pt>
                <c:pt idx="5">
                  <c:v>6.26</c:v>
                </c:pt>
                <c:pt idx="6">
                  <c:v>7.26</c:v>
                </c:pt>
                <c:pt idx="7">
                  <c:v>8.26</c:v>
                </c:pt>
                <c:pt idx="8">
                  <c:v>9.26</c:v>
                </c:pt>
                <c:pt idx="9">
                  <c:v>10.26</c:v>
                </c:pt>
                <c:pt idx="10">
                  <c:v>11.26</c:v>
                </c:pt>
                <c:pt idx="11">
                  <c:v>12.26</c:v>
                </c:pt>
                <c:pt idx="12">
                  <c:v>1.27</c:v>
                </c:pt>
                <c:pt idx="13">
                  <c:v>2.27</c:v>
                </c:pt>
                <c:pt idx="14">
                  <c:v>3.27</c:v>
                </c:pt>
                <c:pt idx="15">
                  <c:v>4.2699999999999996</c:v>
                </c:pt>
                <c:pt idx="16">
                  <c:v>5.27</c:v>
                </c:pt>
                <c:pt idx="17">
                  <c:v>6.27</c:v>
                </c:pt>
                <c:pt idx="18">
                  <c:v>7.27</c:v>
                </c:pt>
                <c:pt idx="19">
                  <c:v>8.27</c:v>
                </c:pt>
                <c:pt idx="20">
                  <c:v>9.27</c:v>
                </c:pt>
                <c:pt idx="21">
                  <c:v>10.27</c:v>
                </c:pt>
                <c:pt idx="22">
                  <c:v>11.27</c:v>
                </c:pt>
                <c:pt idx="23">
                  <c:v>12.27</c:v>
                </c:pt>
              </c:numCache>
            </c:numRef>
          </c:cat>
          <c:val>
            <c:numRef>
              <c:f>Policy!$F$201:$AC$201</c:f>
              <c:numCache>
                <c:formatCode>General</c:formatCode>
                <c:ptCount val="24"/>
                <c:pt idx="0">
                  <c:v>63</c:v>
                </c:pt>
                <c:pt idx="1">
                  <c:v>63.7</c:v>
                </c:pt>
                <c:pt idx="2">
                  <c:v>110</c:v>
                </c:pt>
                <c:pt idx="3">
                  <c:v>145</c:v>
                </c:pt>
                <c:pt idx="4">
                  <c:v>145</c:v>
                </c:pt>
                <c:pt idx="5">
                  <c:v>145</c:v>
                </c:pt>
                <c:pt idx="6">
                  <c:v>130</c:v>
                </c:pt>
                <c:pt idx="7">
                  <c:v>130</c:v>
                </c:pt>
                <c:pt idx="8">
                  <c:v>130</c:v>
                </c:pt>
                <c:pt idx="9">
                  <c:v>125</c:v>
                </c:pt>
                <c:pt idx="10">
                  <c:v>125</c:v>
                </c:pt>
                <c:pt idx="11">
                  <c:v>125</c:v>
                </c:pt>
                <c:pt idx="12">
                  <c:v>120</c:v>
                </c:pt>
                <c:pt idx="13">
                  <c:v>120</c:v>
                </c:pt>
                <c:pt idx="14">
                  <c:v>120</c:v>
                </c:pt>
                <c:pt idx="15">
                  <c:v>115</c:v>
                </c:pt>
                <c:pt idx="16">
                  <c:v>115</c:v>
                </c:pt>
                <c:pt idx="17">
                  <c:v>115</c:v>
                </c:pt>
                <c:pt idx="18">
                  <c:v>110</c:v>
                </c:pt>
                <c:pt idx="19">
                  <c:v>110</c:v>
                </c:pt>
                <c:pt idx="20">
                  <c:v>110</c:v>
                </c:pt>
                <c:pt idx="21">
                  <c:v>108</c:v>
                </c:pt>
                <c:pt idx="22">
                  <c:v>108</c:v>
                </c:pt>
                <c:pt idx="23">
                  <c:v>108</c:v>
                </c:pt>
              </c:numCache>
            </c:numRef>
          </c:val>
          <c:smooth val="0"/>
          <c:extLst>
            <c:ext xmlns:c16="http://schemas.microsoft.com/office/drawing/2014/chart" uri="{C3380CC4-5D6E-409C-BE32-E72D297353CC}">
              <c16:uniqueId val="{00000002-0853-4E46-805B-6647E8C605F8}"/>
            </c:ext>
          </c:extLst>
        </c:ser>
        <c:dLbls>
          <c:showLegendKey val="0"/>
          <c:showVal val="0"/>
          <c:showCatName val="0"/>
          <c:showSerName val="0"/>
          <c:showPercent val="0"/>
          <c:showBubbleSize val="0"/>
        </c:dLbls>
        <c:marker val="1"/>
        <c:smooth val="0"/>
        <c:axId val="349892688"/>
        <c:axId val="349896048"/>
      </c:lineChart>
      <c:catAx>
        <c:axId val="349892688"/>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Arial Narrow" panose="020B0606020202030204" pitchFamily="34" charset="0"/>
                <a:ea typeface="+mn-ea"/>
                <a:cs typeface="+mn-cs"/>
              </a:defRPr>
            </a:pPr>
            <a:endParaRPr lang="sk-SK"/>
          </a:p>
        </c:txPr>
        <c:crossAx val="349896048"/>
        <c:crosses val="autoZero"/>
        <c:auto val="1"/>
        <c:lblAlgn val="ctr"/>
        <c:lblOffset val="100"/>
        <c:noMultiLvlLbl val="0"/>
      </c:catAx>
      <c:valAx>
        <c:axId val="349896048"/>
        <c:scaling>
          <c:orientation val="minMax"/>
        </c:scaling>
        <c:delete val="0"/>
        <c:axPos val="l"/>
        <c:majorGridlines>
          <c:spPr>
            <a:ln w="3175" cap="flat" cmpd="sng" algn="ctr">
              <a:solidFill>
                <a:schemeClr val="bg2">
                  <a:lumMod val="50000"/>
                  <a:alpha val="25000"/>
                </a:schemeClr>
              </a:solidFill>
              <a:prstDash val="sysDot"/>
              <a:round/>
            </a:ln>
            <a:effectLst/>
          </c:spPr>
        </c:majorGridlines>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Arial Narrow" panose="020B0606020202030204" pitchFamily="34" charset="0"/>
                <a:ea typeface="+mn-ea"/>
                <a:cs typeface="+mn-cs"/>
              </a:defRPr>
            </a:pPr>
            <a:endParaRPr lang="sk-SK"/>
          </a:p>
        </c:txPr>
        <c:crossAx val="349892688"/>
        <c:crosses val="autoZero"/>
        <c:crossBetween val="between"/>
      </c:valAx>
      <c:spPr>
        <a:noFill/>
        <a:ln>
          <a:noFill/>
        </a:ln>
        <a:effectLst/>
      </c:spPr>
    </c:plotArea>
    <c:legend>
      <c:legendPos val="r"/>
      <c:layout>
        <c:manualLayout>
          <c:xMode val="edge"/>
          <c:yMode val="edge"/>
          <c:x val="0.73625304136253056"/>
          <c:y val="3.3948368394249397E-3"/>
          <c:w val="0.26374695863746961"/>
          <c:h val="0.25689152661887416"/>
        </c:manualLayout>
      </c:layout>
      <c:overlay val="1"/>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Arial Narrow" panose="020B0606020202030204" pitchFamily="34" charset="0"/>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lang="en-US" sz="900" b="0" i="0" u="none" strike="noStrike" kern="1200" baseline="0">
          <a:solidFill>
            <a:sysClr val="windowText" lastClr="000000"/>
          </a:solidFill>
          <a:latin typeface="Arial Narrow" panose="020B0606020202030204" pitchFamily="34" charset="0"/>
          <a:ea typeface="+mn-ea"/>
          <a:cs typeface="+mn-cs"/>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0.28751</cdr:x>
      <cdr:y>0.02662</cdr:y>
    </cdr:from>
    <cdr:to>
      <cdr:x>0.94429</cdr:x>
      <cdr:y>0.163</cdr:y>
    </cdr:to>
    <cdr:sp macro="" textlink="">
      <cdr:nvSpPr>
        <cdr:cNvPr id="2" name="Šípka: doprava 1">
          <a:extLst xmlns:a="http://schemas.openxmlformats.org/drawingml/2006/main">
            <a:ext uri="{FF2B5EF4-FFF2-40B4-BE49-F238E27FC236}">
              <a16:creationId xmlns:a16="http://schemas.microsoft.com/office/drawing/2014/main" id="{3299D436-E723-4065-D152-B0D8CA63F748}"/>
            </a:ext>
          </a:extLst>
        </cdr:cNvPr>
        <cdr:cNvSpPr/>
      </cdr:nvSpPr>
      <cdr:spPr>
        <a:xfrm xmlns:a="http://schemas.openxmlformats.org/drawingml/2006/main">
          <a:off x="786507" y="46046"/>
          <a:ext cx="1796674" cy="235894"/>
        </a:xfrm>
        <a:prstGeom xmlns:a="http://schemas.openxmlformats.org/drawingml/2006/main" prst="rightArrow">
          <a:avLst/>
        </a:prstGeom>
        <a:ln xmlns:a="http://schemas.openxmlformats.org/drawingml/2006/main">
          <a:solidFill>
            <a:schemeClr val="bg1"/>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nSpc>
              <a:spcPct val="107000"/>
            </a:lnSpc>
            <a:spcAft>
              <a:spcPts val="800"/>
            </a:spcAft>
            <a:buNone/>
          </a:pPr>
          <a:endParaRPr lang="sk-SK" sz="1100" kern="100">
            <a:effectLst/>
            <a:ea typeface="Aptos" panose="020B0004020202020204" pitchFamily="34" charset="0"/>
            <a:cs typeface="Times New Roman" panose="02020603050405020304" pitchFamily="18" charset="0"/>
          </a:endParaRPr>
        </a:p>
      </cdr:txBody>
    </cdr:sp>
  </cdr:relSizeAnchor>
  <cdr:relSizeAnchor xmlns:cdr="http://schemas.openxmlformats.org/drawingml/2006/chartDrawing">
    <cdr:from>
      <cdr:x>0.34763</cdr:x>
      <cdr:y>0.11042</cdr:y>
    </cdr:from>
    <cdr:to>
      <cdr:x>0.76329</cdr:x>
      <cdr:y>0.28541</cdr:y>
    </cdr:to>
    <cdr:sp macro="" textlink="">
      <cdr:nvSpPr>
        <cdr:cNvPr id="3" name="Textové pole 1">
          <a:extLst xmlns:a="http://schemas.openxmlformats.org/drawingml/2006/main">
            <a:ext uri="{FF2B5EF4-FFF2-40B4-BE49-F238E27FC236}">
              <a16:creationId xmlns:a16="http://schemas.microsoft.com/office/drawing/2014/main" id="{F1347023-A51D-1DDE-F65A-864355D4E6BC}"/>
            </a:ext>
          </a:extLst>
        </cdr:cNvPr>
        <cdr:cNvSpPr txBox="1"/>
      </cdr:nvSpPr>
      <cdr:spPr>
        <a:xfrm xmlns:a="http://schemas.openxmlformats.org/drawingml/2006/main">
          <a:off x="950970" y="197519"/>
          <a:ext cx="1137071" cy="31302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sk-SK" sz="800" b="1" kern="1200"/>
            <a:t>MTP 2025-2028</a:t>
          </a:r>
        </a:p>
      </cdr:txBody>
    </cdr:sp>
  </cdr:relSizeAnchor>
</c:userShape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IFP">
    <a:dk1>
      <a:srgbClr val="131D2B"/>
    </a:dk1>
    <a:lt1>
      <a:srgbClr val="FFFFFF"/>
    </a:lt1>
    <a:dk2>
      <a:srgbClr val="FFFFFF"/>
    </a:dk2>
    <a:lt2>
      <a:srgbClr val="FFFFFF"/>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IFP">
    <a:dk1>
      <a:srgbClr val="131D2B"/>
    </a:dk1>
    <a:lt1>
      <a:srgbClr val="FFFFFF"/>
    </a:lt1>
    <a:dk2>
      <a:srgbClr val="FFFFFF"/>
    </a:dk2>
    <a:lt2>
      <a:srgbClr val="FFFFFF"/>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Vlastné 1">
    <a:dk1>
      <a:srgbClr val="000000"/>
    </a:dk1>
    <a:lt1>
      <a:sysClr val="window" lastClr="FFFFFF"/>
    </a:lt1>
    <a:dk2>
      <a:srgbClr val="0C2A38"/>
    </a:dk2>
    <a:lt2>
      <a:srgbClr val="686767"/>
    </a:lt2>
    <a:accent1>
      <a:srgbClr val="2EAAE1"/>
    </a:accent1>
    <a:accent2>
      <a:srgbClr val="F2CA6D"/>
    </a:accent2>
    <a:accent3>
      <a:srgbClr val="1AA380"/>
    </a:accent3>
    <a:accent4>
      <a:srgbClr val="E85477"/>
    </a:accent4>
    <a:accent5>
      <a:srgbClr val="864D99"/>
    </a:accent5>
    <a:accent6>
      <a:srgbClr val="996B52"/>
    </a:accent6>
    <a:hlink>
      <a:srgbClr val="686767"/>
    </a:hlink>
    <a:folHlink>
      <a:srgbClr val="0C2A3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Vlastné 1">
    <a:dk1>
      <a:srgbClr val="000000"/>
    </a:dk1>
    <a:lt1>
      <a:sysClr val="window" lastClr="FFFFFF"/>
    </a:lt1>
    <a:dk2>
      <a:srgbClr val="0C2A38"/>
    </a:dk2>
    <a:lt2>
      <a:srgbClr val="686767"/>
    </a:lt2>
    <a:accent1>
      <a:srgbClr val="2EAAE1"/>
    </a:accent1>
    <a:accent2>
      <a:srgbClr val="F2CA6D"/>
    </a:accent2>
    <a:accent3>
      <a:srgbClr val="1AA380"/>
    </a:accent3>
    <a:accent4>
      <a:srgbClr val="E85477"/>
    </a:accent4>
    <a:accent5>
      <a:srgbClr val="864D99"/>
    </a:accent5>
    <a:accent6>
      <a:srgbClr val="996B52"/>
    </a:accent6>
    <a:hlink>
      <a:srgbClr val="686767"/>
    </a:hlink>
    <a:folHlink>
      <a:srgbClr val="0C2A3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Vlastné 1">
    <a:dk1>
      <a:srgbClr val="000000"/>
    </a:dk1>
    <a:lt1>
      <a:sysClr val="window" lastClr="FFFFFF"/>
    </a:lt1>
    <a:dk2>
      <a:srgbClr val="0C2A38"/>
    </a:dk2>
    <a:lt2>
      <a:srgbClr val="686767"/>
    </a:lt2>
    <a:accent1>
      <a:srgbClr val="2EAAE1"/>
    </a:accent1>
    <a:accent2>
      <a:srgbClr val="F2CA6D"/>
    </a:accent2>
    <a:accent3>
      <a:srgbClr val="1AA380"/>
    </a:accent3>
    <a:accent4>
      <a:srgbClr val="E85477"/>
    </a:accent4>
    <a:accent5>
      <a:srgbClr val="864D99"/>
    </a:accent5>
    <a:accent6>
      <a:srgbClr val="996B52"/>
    </a:accent6>
    <a:hlink>
      <a:srgbClr val="686767"/>
    </a:hlink>
    <a:folHlink>
      <a:srgbClr val="0C2A3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Vlastné 1">
    <a:dk1>
      <a:srgbClr val="000000"/>
    </a:dk1>
    <a:lt1>
      <a:sysClr val="window" lastClr="FFFFFF"/>
    </a:lt1>
    <a:dk2>
      <a:srgbClr val="0C2A38"/>
    </a:dk2>
    <a:lt2>
      <a:srgbClr val="686767"/>
    </a:lt2>
    <a:accent1>
      <a:srgbClr val="2EAAE1"/>
    </a:accent1>
    <a:accent2>
      <a:srgbClr val="F2CA6D"/>
    </a:accent2>
    <a:accent3>
      <a:srgbClr val="1AA380"/>
    </a:accent3>
    <a:accent4>
      <a:srgbClr val="E85477"/>
    </a:accent4>
    <a:accent5>
      <a:srgbClr val="864D99"/>
    </a:accent5>
    <a:accent6>
      <a:srgbClr val="996B52"/>
    </a:accent6>
    <a:hlink>
      <a:srgbClr val="686767"/>
    </a:hlink>
    <a:folHlink>
      <a:srgbClr val="0C2A3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4BF81-67C9-4F53-83D5-0BCA58507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84</Pages>
  <Words>43784</Words>
  <Characters>249575</Characters>
  <Application>Microsoft Office Word</Application>
  <DocSecurity>0</DocSecurity>
  <Lines>2079</Lines>
  <Paragraphs>585</Paragraphs>
  <ScaleCrop>false</ScaleCrop>
  <HeadingPairs>
    <vt:vector size="2" baseType="variant">
      <vt:variant>
        <vt:lpstr>Názov</vt:lpstr>
      </vt:variant>
      <vt:variant>
        <vt:i4>1</vt:i4>
      </vt:variant>
    </vt:vector>
  </HeadingPairs>
  <TitlesOfParts>
    <vt:vector size="1" baseType="lpstr">
      <vt:lpstr/>
    </vt:vector>
  </TitlesOfParts>
  <Company>Ministerstvo financii Slovenskej republiky</Company>
  <LinksUpToDate>false</LinksUpToDate>
  <CharactersWithSpaces>292774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Suchta Juraj</dc:creator>
  <cp:keywords/>
  <dc:description/>
  <cp:lastModifiedBy>Ujlakyova Andrea</cp:lastModifiedBy>
  <cp:revision>2</cp:revision>
  <cp:lastPrinted>2026-04-28T07:35:00Z</cp:lastPrinted>
  <dcterms:created xsi:type="dcterms:W3CDTF">2026-05-07T08:07:00Z</dcterms:created>
  <dcterms:modified xsi:type="dcterms:W3CDTF">2026-05-07T08:07:00Z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7f9e183d,a8e156e,51346ef3</vt:lpwstr>
  </property>
  <property fmtid="{D5CDD505-2E9C-101B-9397-08002B2CF9AE}" pid="3" name="ClassificationContentMarkingFooterFontProps">
    <vt:lpwstr>#000000,10,Calibri</vt:lpwstr>
  </property>
  <property fmtid="{D5CDD505-2E9C-101B-9397-08002B2CF9AE}" pid="4" name="ClassificationContentMarkingFooterText">
    <vt:lpwstr>Interné</vt:lpwstr>
  </property>
  <property fmtid="{D5CDD505-2E9C-101B-9397-08002B2CF9AE}" pid="5" name="MSIP_Label_4c805978-f532-4a1a-b9e1-4e19c2c6466f_Enabled">
    <vt:lpwstr>true</vt:lpwstr>
  </property>
  <property fmtid="{D5CDD505-2E9C-101B-9397-08002B2CF9AE}" pid="6" name="MSIP_Label_4c805978-f532-4a1a-b9e1-4e19c2c6466f_SetDate">
    <vt:lpwstr>2026-03-09T16:17:20Z</vt:lpwstr>
  </property>
  <property fmtid="{D5CDD505-2E9C-101B-9397-08002B2CF9AE}" pid="7" name="MSIP_Label_4c805978-f532-4a1a-b9e1-4e19c2c6466f_Method">
    <vt:lpwstr>Standard</vt:lpwstr>
  </property>
  <property fmtid="{D5CDD505-2E9C-101B-9397-08002B2CF9AE}" pid="8" name="MSIP_Label_4c805978-f532-4a1a-b9e1-4e19c2c6466f_Name">
    <vt:lpwstr>Internal</vt:lpwstr>
  </property>
  <property fmtid="{D5CDD505-2E9C-101B-9397-08002B2CF9AE}" pid="9" name="MSIP_Label_4c805978-f532-4a1a-b9e1-4e19c2c6466f_SiteId">
    <vt:lpwstr>579df390-dbff-49fd-8f10-624670566482</vt:lpwstr>
  </property>
  <property fmtid="{D5CDD505-2E9C-101B-9397-08002B2CF9AE}" pid="10" name="MSIP_Label_4c805978-f532-4a1a-b9e1-4e19c2c6466f_ActionId">
    <vt:lpwstr>719ca7c5-f8e4-4f88-b884-0aad3e3887d6</vt:lpwstr>
  </property>
  <property fmtid="{D5CDD505-2E9C-101B-9397-08002B2CF9AE}" pid="11" name="MSIP_Label_4c805978-f532-4a1a-b9e1-4e19c2c6466f_ContentBits">
    <vt:lpwstr>2</vt:lpwstr>
  </property>
  <property fmtid="{D5CDD505-2E9C-101B-9397-08002B2CF9AE}" pid="12" name="MSIP_Label_4c805978-f532-4a1a-b9e1-4e19c2c6466f_Tag">
    <vt:lpwstr>10, 3, 0, 1</vt:lpwstr>
  </property>
</Properties>
</file>