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08552" w14:textId="77777777" w:rsidR="009E0D6E" w:rsidRPr="00610A88" w:rsidRDefault="009E0D6E" w:rsidP="009E0D6E">
      <w:pPr>
        <w:jc w:val="both"/>
        <w:rPr>
          <w:b/>
        </w:rPr>
      </w:pPr>
      <w:r w:rsidRPr="00610A88">
        <w:rPr>
          <w:b/>
        </w:rPr>
        <w:t xml:space="preserve">Osobitná časť </w:t>
      </w:r>
    </w:p>
    <w:p w14:paraId="2E775948" w14:textId="77777777" w:rsidR="009E0D6E" w:rsidRPr="00610A88" w:rsidRDefault="009E0D6E" w:rsidP="009E0D6E">
      <w:pPr>
        <w:jc w:val="both"/>
        <w:rPr>
          <w:b/>
        </w:rPr>
      </w:pPr>
    </w:p>
    <w:p w14:paraId="33A8E55D" w14:textId="77777777" w:rsidR="009E0D6E" w:rsidRDefault="009E0D6E" w:rsidP="009E0D6E">
      <w:pPr>
        <w:jc w:val="both"/>
        <w:rPr>
          <w:b/>
        </w:rPr>
      </w:pPr>
      <w:r w:rsidRPr="00A34882">
        <w:rPr>
          <w:b/>
        </w:rPr>
        <w:t>Čl. I.</w:t>
      </w:r>
    </w:p>
    <w:p w14:paraId="71740230" w14:textId="77777777" w:rsidR="009E0D6E" w:rsidRPr="00A34882" w:rsidRDefault="009E0D6E" w:rsidP="009E0D6E">
      <w:pPr>
        <w:jc w:val="both"/>
        <w:rPr>
          <w:b/>
        </w:rPr>
      </w:pPr>
    </w:p>
    <w:p w14:paraId="0A84F0BD" w14:textId="77777777" w:rsidR="009E0D6E" w:rsidRPr="002648D0" w:rsidRDefault="009E0D6E" w:rsidP="009E0D6E">
      <w:pPr>
        <w:jc w:val="both"/>
        <w:rPr>
          <w:b/>
          <w:bCs/>
        </w:rPr>
      </w:pPr>
      <w:r w:rsidRPr="002648D0">
        <w:rPr>
          <w:b/>
          <w:bCs/>
        </w:rPr>
        <w:t xml:space="preserve">K bodu 1 </w:t>
      </w:r>
    </w:p>
    <w:p w14:paraId="29143B88" w14:textId="77777777" w:rsidR="009E0D6E" w:rsidRDefault="009E0D6E" w:rsidP="009E0D6E">
      <w:pPr>
        <w:jc w:val="both"/>
      </w:pPr>
      <w:r w:rsidRPr="00A34882">
        <w:t>Ide o</w:t>
      </w:r>
      <w:r>
        <w:t> doplnenie poznámky pod čiarou k odkazu 1 o nariadenie Európskeho parlamentu a Rady (EÚ) 2024/3005 o transparentnosti a integrite činností týkajúcich sa environmentálnych ratingov, sociálnych ratingov a ratingov v oblasti správy a riadenia ratingov (ratingov ESG), ktoré vyplýva z čl. 30 bodu 1 nariadenia Európskeho parlamentu a Rady (EÚ) 2024/3005  z 27. novembra 2024 o transparentnosti a integrite činností týkajúcich sa environmentálnych ratingov, sociálnych ratingov a ratingov v oblasti správy a riadenia ratingov (ratingov ESG) a o zmene nariadení (EÚ) 2019/2088 a (EÚ) 2023/2859 (Ú. v. EÚ L, 2024/3005, 12.12.2024) pre potreby určenia orgánu na úrovni členského štátu, ktorý bude vykonávať jednotlivé úlohy a aktivity vyplývajúce z nariadenia. Podstatou tejto zmeny je určenie Národnej banky Slovenska ako príslušného orgánu v Slovenskej republike.</w:t>
      </w:r>
    </w:p>
    <w:p w14:paraId="083CA514" w14:textId="77777777" w:rsidR="009E0D6E" w:rsidRDefault="009E0D6E" w:rsidP="009E0D6E"/>
    <w:p w14:paraId="1995AD7C" w14:textId="77777777" w:rsidR="009E0D6E" w:rsidRPr="002648D0" w:rsidRDefault="009E0D6E" w:rsidP="009E0D6E">
      <w:pPr>
        <w:jc w:val="both"/>
        <w:rPr>
          <w:b/>
          <w:bCs/>
        </w:rPr>
      </w:pPr>
      <w:r w:rsidRPr="002648D0">
        <w:rPr>
          <w:b/>
          <w:bCs/>
        </w:rPr>
        <w:t xml:space="preserve">K bodu 2 a 3 </w:t>
      </w:r>
    </w:p>
    <w:p w14:paraId="1E2D30E3" w14:textId="77777777" w:rsidR="009E0D6E" w:rsidRDefault="009E0D6E" w:rsidP="009E0D6E">
      <w:pPr>
        <w:jc w:val="both"/>
      </w:pPr>
      <w:r>
        <w:t>V rámci konzultácii so zástupcami podnikateľského prostredia bolo identifikované, že povinnosť doručovať oznámenie o termíne a programe každého zasadnutia orgánov dohliadaného subjektu najmenej tri pracovné dni vopred obmedzuje flexibilitu pri operatívnom zvolávaní rokovaní týchto orgánov, pričom prínos tejto povinnosti pre výkon dohľadu nie je jednoznačne preukázaný. Navrhovaná úprava zachováva možnosť výkonu dohľadu, zároveň však znižuje administratívnu záťaž dohliadaných subjektov a zohľadňuje potrebu operatívneho zvolávania rokovaní ich orgánov.</w:t>
      </w:r>
    </w:p>
    <w:p w14:paraId="46B928D7" w14:textId="77777777" w:rsidR="009E0D6E" w:rsidRDefault="009E0D6E" w:rsidP="009E0D6E">
      <w:pPr>
        <w:jc w:val="both"/>
      </w:pPr>
    </w:p>
    <w:p w14:paraId="486098AC" w14:textId="77777777" w:rsidR="009E0D6E" w:rsidRPr="002648D0" w:rsidRDefault="009E0D6E" w:rsidP="009E0D6E">
      <w:pPr>
        <w:jc w:val="both"/>
        <w:rPr>
          <w:b/>
          <w:bCs/>
        </w:rPr>
      </w:pPr>
      <w:r w:rsidRPr="002648D0">
        <w:rPr>
          <w:b/>
          <w:bCs/>
        </w:rPr>
        <w:t>K bodu 4</w:t>
      </w:r>
    </w:p>
    <w:p w14:paraId="3CCDCCC9" w14:textId="77777777" w:rsidR="009E0D6E" w:rsidRDefault="009E0D6E" w:rsidP="009E0D6E">
      <w:pPr>
        <w:jc w:val="both"/>
      </w:pPr>
      <w:r>
        <w:t>Uvedeným návrhom dochádza k zosúladeniu § 16 ods. 5 s § 21 ods. 1 písm. a) zákona č. 747/2004 Z. z. o dohľade nad finančným trhom a o zmene a doplnení niektorých zákonov, podľa ktorého môže Národná banka Slovenska prerušiť konanie, ak bol účastník konania vyzvaný na odstránenie nedostatkov alebo doplnenie svojej žiadosti alebo na odstránenie iných nedostatkov zistených v konaní začatom na základe žiadosti účastníka konania.</w:t>
      </w:r>
    </w:p>
    <w:p w14:paraId="3E360DBE" w14:textId="77777777" w:rsidR="009E0D6E" w:rsidRDefault="009E0D6E" w:rsidP="009E0D6E">
      <w:pPr>
        <w:jc w:val="both"/>
      </w:pPr>
    </w:p>
    <w:p w14:paraId="3AB9F9E1" w14:textId="77777777" w:rsidR="009E0D6E" w:rsidRPr="002648D0" w:rsidRDefault="009E0D6E" w:rsidP="009E0D6E">
      <w:pPr>
        <w:jc w:val="both"/>
        <w:rPr>
          <w:b/>
          <w:bCs/>
        </w:rPr>
      </w:pPr>
      <w:r w:rsidRPr="002648D0">
        <w:rPr>
          <w:b/>
          <w:bCs/>
        </w:rPr>
        <w:t>K bodu 5</w:t>
      </w:r>
    </w:p>
    <w:p w14:paraId="0BB40E00" w14:textId="77777777" w:rsidR="009E0D6E" w:rsidRDefault="009E0D6E" w:rsidP="009E0D6E">
      <w:pPr>
        <w:jc w:val="both"/>
      </w:pPr>
      <w:r w:rsidRPr="00980942">
        <w:t xml:space="preserve">V § 40 zákona </w:t>
      </w:r>
      <w:r>
        <w:t xml:space="preserve">č. 747/2004 Z. z. </w:t>
      </w:r>
      <w:r w:rsidRPr="00980942">
        <w:t xml:space="preserve">o dohľade </w:t>
      </w:r>
      <w:r>
        <w:t xml:space="preserve">nad finančným trhom a o zmene a doplnení niektorých zákonov </w:t>
      </w:r>
      <w:r w:rsidRPr="00980942">
        <w:t>sa upravuje odsek 2 v záujme reflektovania skutočnosti, že sadzby pre ročné príspevky prispievateľov sú okrem § 40 ods. 3, 4 a 6 zákona ustanovené aj v § 40 ods. 5.</w:t>
      </w:r>
    </w:p>
    <w:p w14:paraId="1589C0A3" w14:textId="77777777" w:rsidR="009E0D6E" w:rsidRDefault="009E0D6E" w:rsidP="009E0D6E">
      <w:pPr>
        <w:jc w:val="both"/>
      </w:pPr>
    </w:p>
    <w:p w14:paraId="60AFEE40" w14:textId="77777777" w:rsidR="009E0D6E" w:rsidRPr="002648D0" w:rsidRDefault="009E0D6E" w:rsidP="009E0D6E">
      <w:pPr>
        <w:jc w:val="both"/>
        <w:rPr>
          <w:b/>
          <w:bCs/>
        </w:rPr>
      </w:pPr>
      <w:r w:rsidRPr="002648D0">
        <w:rPr>
          <w:b/>
          <w:bCs/>
        </w:rPr>
        <w:t>K bodu 6</w:t>
      </w:r>
    </w:p>
    <w:p w14:paraId="58540090" w14:textId="77777777" w:rsidR="009E0D6E" w:rsidRDefault="009E0D6E" w:rsidP="009E0D6E">
      <w:pPr>
        <w:jc w:val="both"/>
      </w:pPr>
      <w:r>
        <w:t xml:space="preserve">Predmetná zmena sa </w:t>
      </w:r>
      <w:r w:rsidRPr="00980942">
        <w:t>navrhuje doplniť pre účely postupu podľa § 40 ods. 9 zákona</w:t>
      </w:r>
      <w:r>
        <w:t xml:space="preserve"> č. 747/2004 Z. z. o dohľade nad finančným trhom a o zmene a doplnení niektorých zákonov</w:t>
      </w:r>
      <w:r w:rsidRPr="00980942">
        <w:t xml:space="preserve"> (</w:t>
      </w:r>
      <w:proofErr w:type="spellStart"/>
      <w:r w:rsidRPr="00980942">
        <w:t>t.j</w:t>
      </w:r>
      <w:proofErr w:type="spellEnd"/>
      <w:r w:rsidRPr="00980942">
        <w:t>. pre prípad, kedy prispievateľovi - správcovi úverov vznikne povinnosť uhrádzať ročný príspevok počas kalendárneho roka).</w:t>
      </w:r>
    </w:p>
    <w:p w14:paraId="29A6830F" w14:textId="77777777" w:rsidR="009E0D6E" w:rsidRDefault="009E0D6E" w:rsidP="009E0D6E">
      <w:pPr>
        <w:jc w:val="both"/>
      </w:pPr>
    </w:p>
    <w:p w14:paraId="73FE9BC1" w14:textId="77777777" w:rsidR="009E0D6E" w:rsidRPr="002648D0" w:rsidRDefault="009E0D6E" w:rsidP="009E0D6E">
      <w:pPr>
        <w:jc w:val="both"/>
        <w:rPr>
          <w:b/>
          <w:bCs/>
        </w:rPr>
      </w:pPr>
      <w:r w:rsidRPr="002648D0">
        <w:rPr>
          <w:b/>
          <w:bCs/>
        </w:rPr>
        <w:t>K bodu 7</w:t>
      </w:r>
    </w:p>
    <w:p w14:paraId="09AA3BFE" w14:textId="77777777" w:rsidR="009E0D6E" w:rsidRPr="00A34882" w:rsidRDefault="009E0D6E" w:rsidP="009E0D6E">
      <w:pPr>
        <w:jc w:val="both"/>
      </w:pPr>
      <w:r w:rsidRPr="00980942">
        <w:t xml:space="preserve">Novelizácia § 40 ods. 9 </w:t>
      </w:r>
      <w:r>
        <w:t>zákona č. 747/2004 Z. z. o dohľade nad finančným trhom a o zmene a doplnení niektorých zákonov v znení neskorších predpisov</w:t>
      </w:r>
      <w:r w:rsidRPr="00980942">
        <w:t xml:space="preserve"> sa navrhuje s cieľom ustanovenia spôsobu výpočtu ročného príspevku správcu úverov v prípade vzniku povinnosti uhrádzať ročný príspevok počas kalendárneho roka, a teda v prípade, kedy nebude možné postupovať podľa § 40 ods. 5 zákona. Návrh v tomto smere analogicky vychádza z právnej úpravy už ustanovenej v § 40 ods. 9 zákona ohľadom výpočtu ročného príspevku prispievateľov, pri </w:t>
      </w:r>
      <w:r w:rsidRPr="00980942">
        <w:lastRenderedPageBreak/>
        <w:t>ktorých sú základom sadzby pre ročné príspevky aktíva prispievateľa a ktorým vznikne povinnosť uhrádzať ročný príspevok počas kalendárneho roka, pričom novelizačný návrh reflektuje odlišný základ sadzby pre ročné príspevky správcov úverov.</w:t>
      </w:r>
    </w:p>
    <w:p w14:paraId="62CC42EF" w14:textId="77777777" w:rsidR="009E0D6E" w:rsidRPr="00A34882" w:rsidRDefault="009E0D6E" w:rsidP="009E0D6E">
      <w:pPr>
        <w:jc w:val="both"/>
      </w:pPr>
    </w:p>
    <w:p w14:paraId="5130A57D" w14:textId="77777777" w:rsidR="009E0D6E" w:rsidRPr="002648D0" w:rsidRDefault="009E0D6E" w:rsidP="009E0D6E">
      <w:pPr>
        <w:jc w:val="both"/>
        <w:rPr>
          <w:b/>
          <w:bCs/>
        </w:rPr>
      </w:pPr>
      <w:r w:rsidRPr="002648D0">
        <w:rPr>
          <w:b/>
          <w:bCs/>
        </w:rPr>
        <w:t>K bodu 8</w:t>
      </w:r>
    </w:p>
    <w:p w14:paraId="52497E02" w14:textId="77777777" w:rsidR="009E0D6E" w:rsidRPr="00A34882" w:rsidRDefault="009E0D6E" w:rsidP="009E0D6E">
      <w:pPr>
        <w:jc w:val="both"/>
      </w:pPr>
      <w:r>
        <w:t>Navrhuje sa doplniť do § 42 explicitná úprava solidárneho záväzku na zaplatenie administratívneho poplatku za úkony Národnej banky Slovenska v prípade žiadosti viacerých žiadateľov pre odstránenie pochybností vyplývajúcich z právno-aplikačnej praxe</w:t>
      </w:r>
      <w:r w:rsidRPr="00A34882">
        <w:t>.</w:t>
      </w:r>
      <w:r>
        <w:t xml:space="preserve"> Navrhovaná úprava je súladná s § 3 ods. 2 zákona č. 145/1995 Z. z. o správnych poplatkoch v znení neskorších predpisov.</w:t>
      </w:r>
      <w:r w:rsidRPr="00A34882">
        <w:t xml:space="preserve"> </w:t>
      </w:r>
    </w:p>
    <w:p w14:paraId="6873E525" w14:textId="77777777" w:rsidR="009E0D6E" w:rsidRPr="00A34882" w:rsidRDefault="009E0D6E" w:rsidP="009E0D6E">
      <w:pPr>
        <w:jc w:val="both"/>
      </w:pPr>
    </w:p>
    <w:p w14:paraId="412AB527" w14:textId="77777777" w:rsidR="009E0D6E" w:rsidRDefault="009E0D6E" w:rsidP="009E0D6E">
      <w:pPr>
        <w:jc w:val="both"/>
        <w:rPr>
          <w:b/>
        </w:rPr>
      </w:pPr>
      <w:r w:rsidRPr="00A34882">
        <w:rPr>
          <w:b/>
        </w:rPr>
        <w:t>Čl. II</w:t>
      </w:r>
    </w:p>
    <w:p w14:paraId="1E74648C" w14:textId="77777777" w:rsidR="009E0D6E" w:rsidRDefault="009E0D6E" w:rsidP="009E0D6E">
      <w:pPr>
        <w:jc w:val="both"/>
        <w:rPr>
          <w:b/>
        </w:rPr>
      </w:pPr>
    </w:p>
    <w:p w14:paraId="72421E5B" w14:textId="77777777" w:rsidR="009E0D6E" w:rsidRPr="002648D0" w:rsidRDefault="009E0D6E" w:rsidP="009E0D6E">
      <w:pPr>
        <w:jc w:val="both"/>
        <w:rPr>
          <w:b/>
        </w:rPr>
      </w:pPr>
      <w:r w:rsidRPr="002648D0">
        <w:rPr>
          <w:b/>
        </w:rPr>
        <w:t>K bodu 1</w:t>
      </w:r>
    </w:p>
    <w:p w14:paraId="6D937E8B" w14:textId="77777777" w:rsidR="009E0D6E" w:rsidRPr="00E02C72" w:rsidRDefault="009E0D6E" w:rsidP="009E0D6E">
      <w:pPr>
        <w:jc w:val="both"/>
        <w:rPr>
          <w:bCs/>
        </w:rPr>
      </w:pPr>
      <w:r w:rsidRPr="00E02C72">
        <w:rPr>
          <w:bCs/>
        </w:rPr>
        <w:t>Rada pre riešenie krízových situácií plní úlohy smerujúce k zabezpečeniu cieľov riešenia krízových situácií vo verejnom záujme. Členovia rady pre riešenie krízových situácií pri výkone svojej funkcie rozhodujú o opatreniach, ktoré majú zásadný dopad na stabilitu finančného trhu a ochranu verejných zdrojov. Z tohto dôvodu sú povinní uprednostniť verejný záujem pred osobným</w:t>
      </w:r>
      <w:r>
        <w:rPr>
          <w:bCs/>
        </w:rPr>
        <w:t xml:space="preserve"> </w:t>
      </w:r>
      <w:r w:rsidRPr="00E02C72">
        <w:rPr>
          <w:bCs/>
        </w:rPr>
        <w:t>záujmom.</w:t>
      </w:r>
      <w:r w:rsidRPr="00E02C72">
        <w:rPr>
          <w:bCs/>
        </w:rPr>
        <w:br/>
        <w:t xml:space="preserve">Hoci povaha ich činnosti obsahovo zodpovedá výkonu verejnej funkcie, ústavný zákon č. 357/2004 Z. z. ich medzi verejných funkcionárov výslovne nezaraďuje. </w:t>
      </w:r>
      <w:r w:rsidRPr="00E02C72">
        <w:rPr>
          <w:bCs/>
        </w:rPr>
        <w:br/>
        <w:t>Navrhuje sa preto doplniť explicitnú úpravu, podľa ktorej členovia rady pre riešenie krízových situácií sú verejnými funkcionármi. Tým sa zabezpečí ich povinnosť dodržiavať pravidlá ochrany verejného záujmu, vrátane povinnosti predchádzať konfliktu záujmov.</w:t>
      </w:r>
      <w:r>
        <w:rPr>
          <w:bCs/>
        </w:rPr>
        <w:t xml:space="preserve"> Navrhovaná právna úprava je už obdobne upravená v zákone č. 385/2000 Z. z. o sudcoch a prísediacich a o zmene a doplnení niektorých zákonov, konkrétne v § 32 ods. 6 zákona č. 385/2000 Z. z.</w:t>
      </w:r>
    </w:p>
    <w:p w14:paraId="4E6A9381" w14:textId="77777777" w:rsidR="009E0D6E" w:rsidRPr="00E02C72" w:rsidRDefault="009E0D6E" w:rsidP="009E0D6E">
      <w:pPr>
        <w:jc w:val="both"/>
        <w:rPr>
          <w:bCs/>
        </w:rPr>
      </w:pPr>
    </w:p>
    <w:p w14:paraId="69A9A330" w14:textId="77777777" w:rsidR="009E0D6E" w:rsidRDefault="009E0D6E" w:rsidP="009E0D6E">
      <w:pPr>
        <w:jc w:val="both"/>
        <w:rPr>
          <w:b/>
        </w:rPr>
      </w:pPr>
    </w:p>
    <w:p w14:paraId="2BE654C9" w14:textId="77777777" w:rsidR="009E0D6E" w:rsidRPr="002648D0" w:rsidRDefault="009E0D6E" w:rsidP="009E0D6E">
      <w:pPr>
        <w:jc w:val="both"/>
        <w:rPr>
          <w:b/>
        </w:rPr>
      </w:pPr>
      <w:r w:rsidRPr="002648D0">
        <w:rPr>
          <w:b/>
        </w:rPr>
        <w:t>K bodom 2, 3, 6 a 7</w:t>
      </w:r>
    </w:p>
    <w:p w14:paraId="3E4F6F86" w14:textId="77777777" w:rsidR="009E0D6E" w:rsidRDefault="009E0D6E" w:rsidP="009E0D6E">
      <w:pPr>
        <w:jc w:val="both"/>
        <w:rPr>
          <w:b/>
        </w:rPr>
      </w:pPr>
      <w:r>
        <w:rPr>
          <w:bCs/>
        </w:rPr>
        <w:t xml:space="preserve">Uvedeným návrhom dochádza k odstráneniu nedostatkov transpozície </w:t>
      </w:r>
      <w:r w:rsidRPr="00B07E0A">
        <w:rPr>
          <w:bCs/>
        </w:rPr>
        <w:t xml:space="preserve">čl. </w:t>
      </w:r>
      <w:r>
        <w:rPr>
          <w:bCs/>
        </w:rPr>
        <w:t>2</w:t>
      </w:r>
      <w:r w:rsidRPr="00B07E0A">
        <w:rPr>
          <w:bCs/>
        </w:rPr>
        <w:t xml:space="preserve"> Nariadenia Európskeho parlamentu a Rady (EÚ) 2022/2036 z 19. októbra 2022, ktorým sa mení nariadenie (EÚ) č. 575/2013 a smernica 2014/59/EÚ, pokiaľ ide o </w:t>
      </w:r>
      <w:proofErr w:type="spellStart"/>
      <w:r w:rsidRPr="00B07E0A">
        <w:rPr>
          <w:bCs/>
        </w:rPr>
        <w:t>prudenciálne</w:t>
      </w:r>
      <w:proofErr w:type="spellEnd"/>
      <w:r w:rsidRPr="00B07E0A">
        <w:rPr>
          <w:bCs/>
        </w:rPr>
        <w:t xml:space="preserve"> zaobchádzanie s globálnymi systémovo významnými inštitúciami so stratégiou riešenia krízových situácií vo viacerých okamihoch a metódy nepriameho upisovania nástrojov oprávnených na splnenie minimálnej požiadavky na vlastné zdroje a oprávnené záväzky</w:t>
      </w:r>
      <w:r>
        <w:rPr>
          <w:bCs/>
        </w:rPr>
        <w:t xml:space="preserve"> (Ú. v. EÚ L 275, 25.10.2022)</w:t>
      </w:r>
      <w:r w:rsidRPr="00B07E0A">
        <w:rPr>
          <w:bCs/>
        </w:rPr>
        <w:t>, ktorým sa upravuje 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w:t>
      </w:r>
      <w:r>
        <w:rPr>
          <w:bCs/>
        </w:rPr>
        <w:t xml:space="preserve"> (Ú. v. EÚ L 173, 12.6.2014) v platnom znení</w:t>
      </w:r>
      <w:r w:rsidRPr="00B07E0A">
        <w:rPr>
          <w:bCs/>
        </w:rPr>
        <w:t>.</w:t>
      </w:r>
      <w:r>
        <w:rPr>
          <w:bCs/>
        </w:rPr>
        <w:t xml:space="preserve"> Konkrétne ide o nahradenie nesprávne zavedených pojmov „pobočka vybranej inštitúcie“ a „osoba podľa § 1 ods. 3“ správnym pojmom „subjektu“ tak, aby boli plne v súlade s aktuálnym znením smernice 2014/59/EÚ pokiaľ ide o </w:t>
      </w:r>
      <w:proofErr w:type="spellStart"/>
      <w:r>
        <w:rPr>
          <w:bCs/>
        </w:rPr>
        <w:t>prudenciálne</w:t>
      </w:r>
      <w:proofErr w:type="spellEnd"/>
      <w:r>
        <w:rPr>
          <w:bCs/>
        </w:rPr>
        <w:t xml:space="preserve"> zaobchádzanie s globálnymi systémovo významnými inštitúciami so stratégiou riešenia krízových situácií vo viacerých okamihoch a metódy nepriameho upisovania nástrojov oprávnených na splnenie minimálnej požiadavky na vlastné zdroje a oprávnené záväzky (Ú. v. EÚ L 275, 25.10.2022).</w:t>
      </w:r>
    </w:p>
    <w:p w14:paraId="08762C9E" w14:textId="77777777" w:rsidR="009E0D6E" w:rsidRDefault="009E0D6E" w:rsidP="009E0D6E">
      <w:pPr>
        <w:jc w:val="both"/>
        <w:rPr>
          <w:b/>
        </w:rPr>
      </w:pPr>
    </w:p>
    <w:p w14:paraId="389A6112" w14:textId="77777777" w:rsidR="009E0D6E" w:rsidRPr="002648D0" w:rsidRDefault="009E0D6E" w:rsidP="009E0D6E">
      <w:pPr>
        <w:jc w:val="both"/>
        <w:rPr>
          <w:b/>
        </w:rPr>
      </w:pPr>
      <w:r w:rsidRPr="002648D0">
        <w:rPr>
          <w:b/>
        </w:rPr>
        <w:t xml:space="preserve">K bodom 4 a 5 </w:t>
      </w:r>
    </w:p>
    <w:p w14:paraId="158AC7CF" w14:textId="77777777" w:rsidR="009E0D6E" w:rsidRPr="00D045C4" w:rsidRDefault="009E0D6E" w:rsidP="009E0D6E">
      <w:pPr>
        <w:jc w:val="both"/>
        <w:rPr>
          <w:bCs/>
        </w:rPr>
      </w:pPr>
      <w:r>
        <w:rPr>
          <w:bCs/>
        </w:rPr>
        <w:lastRenderedPageBreak/>
        <w:t>Uvedeným návrhom dochádza k odstráneniu nedostatkov transpozície smernice Európskeho parlamentu a Rady (EÚ) 2019/879 z 20. mája 2019, ktorou sa mení smernica 2014/59/EÚ, pokiaľ ide o kapacitu úverových inštitúcií a investičných spoločností na absorpciu strát a </w:t>
      </w:r>
      <w:proofErr w:type="spellStart"/>
      <w:r>
        <w:rPr>
          <w:bCs/>
        </w:rPr>
        <w:t>rekapitalizáciu</w:t>
      </w:r>
      <w:proofErr w:type="spellEnd"/>
      <w:r>
        <w:rPr>
          <w:bCs/>
        </w:rPr>
        <w:t>, a smernica 98/26/ES (Ú. v. EÚ L 150, 7.6.2019). konkrétne ide o nahradenie nesprávne zavedeného pojmu „osoba podľa § 1 ods. 3“ správnym pojmom „subjektu“ tak, aby bol plne v súlade s aktuálnym znením smernice 2014/59/EÚ pokiaľ ide o </w:t>
      </w:r>
      <w:proofErr w:type="spellStart"/>
      <w:r>
        <w:rPr>
          <w:bCs/>
        </w:rPr>
        <w:t>prudenciálne</w:t>
      </w:r>
      <w:proofErr w:type="spellEnd"/>
      <w:r>
        <w:rPr>
          <w:bCs/>
        </w:rPr>
        <w:t xml:space="preserve"> zaobchádzanie s globálnymi systémovo významnými inštitúciami so stratégiou riešenia krízových situácií vo viacerých okamihoch a metódy nepriameho upisovania nástrojov oprávnených na splnenie minimálnej požiadavky na vlastné zdroje a oprávnené záväzky (Ú. v. EÚ L 275, 25.10.222).</w:t>
      </w:r>
    </w:p>
    <w:p w14:paraId="082002A1" w14:textId="77777777" w:rsidR="009E0D6E" w:rsidRDefault="009E0D6E" w:rsidP="009E0D6E">
      <w:pPr>
        <w:jc w:val="both"/>
        <w:rPr>
          <w:b/>
        </w:rPr>
      </w:pPr>
    </w:p>
    <w:p w14:paraId="4F119754" w14:textId="77777777" w:rsidR="009E0D6E" w:rsidRPr="00A34882" w:rsidRDefault="009E0D6E" w:rsidP="009E0D6E">
      <w:pPr>
        <w:jc w:val="both"/>
        <w:rPr>
          <w:b/>
        </w:rPr>
      </w:pPr>
      <w:r>
        <w:rPr>
          <w:b/>
        </w:rPr>
        <w:t>Čl. III</w:t>
      </w:r>
    </w:p>
    <w:p w14:paraId="70E75E3C" w14:textId="77777777" w:rsidR="009E0D6E" w:rsidRPr="00D63D0B" w:rsidRDefault="009E0D6E" w:rsidP="009E0D6E">
      <w:pPr>
        <w:jc w:val="both"/>
      </w:pPr>
      <w:r w:rsidRPr="00A34882">
        <w:t>Účinnosť zákona s</w:t>
      </w:r>
      <w:r w:rsidRPr="00B07E0A">
        <w:t xml:space="preserve">a navrhuje 1. </w:t>
      </w:r>
      <w:r>
        <w:t>novembra</w:t>
      </w:r>
      <w:r w:rsidRPr="00B07E0A">
        <w:t xml:space="preserve"> 2026.</w:t>
      </w:r>
    </w:p>
    <w:p w14:paraId="77171323" w14:textId="77777777" w:rsidR="009E0D6E" w:rsidRDefault="009E0D6E" w:rsidP="009E0D6E">
      <w:pPr>
        <w:jc w:val="both"/>
      </w:pPr>
    </w:p>
    <w:p w14:paraId="4B4622EB" w14:textId="77777777" w:rsidR="009E0D6E" w:rsidRDefault="009E0D6E" w:rsidP="009E0D6E">
      <w:pPr>
        <w:jc w:val="both"/>
      </w:pPr>
    </w:p>
    <w:p w14:paraId="5CB67F4A" w14:textId="77777777" w:rsidR="009E0D6E" w:rsidRDefault="009E0D6E" w:rsidP="009E0D6E">
      <w:pPr>
        <w:jc w:val="both"/>
      </w:pPr>
    </w:p>
    <w:p w14:paraId="603E25A1" w14:textId="77777777" w:rsidR="009E0D6E" w:rsidRDefault="009E0D6E" w:rsidP="009E0D6E">
      <w:pPr>
        <w:jc w:val="both"/>
      </w:pPr>
    </w:p>
    <w:p w14:paraId="4B3672F8" w14:textId="77777777" w:rsidR="009E0D6E" w:rsidRDefault="009E0D6E" w:rsidP="009E0D6E">
      <w:pPr>
        <w:jc w:val="both"/>
      </w:pPr>
    </w:p>
    <w:p w14:paraId="02E57A00" w14:textId="77777777" w:rsidR="009E0D6E" w:rsidRDefault="009E0D6E" w:rsidP="009E0D6E">
      <w:pPr>
        <w:jc w:val="both"/>
      </w:pPr>
      <w:r w:rsidRPr="0026670A">
        <w:t xml:space="preserve">V Bratislave dňa </w:t>
      </w:r>
      <w:r w:rsidRPr="0071450B">
        <w:t>06. mája 2026</w:t>
      </w:r>
      <w:r w:rsidRPr="0026670A">
        <w:t>.</w:t>
      </w:r>
    </w:p>
    <w:p w14:paraId="388606AD" w14:textId="77777777" w:rsidR="009E0D6E" w:rsidRDefault="009E0D6E" w:rsidP="009E0D6E">
      <w:pPr>
        <w:jc w:val="both"/>
      </w:pPr>
    </w:p>
    <w:p w14:paraId="08BAE8EE" w14:textId="77777777" w:rsidR="009E0D6E" w:rsidRDefault="009E0D6E" w:rsidP="009E0D6E">
      <w:pPr>
        <w:jc w:val="both"/>
      </w:pPr>
    </w:p>
    <w:p w14:paraId="0586A0EC" w14:textId="77777777" w:rsidR="009E0D6E" w:rsidRDefault="009E0D6E" w:rsidP="009E0D6E">
      <w:pPr>
        <w:jc w:val="both"/>
      </w:pPr>
    </w:p>
    <w:p w14:paraId="18D82287" w14:textId="77777777" w:rsidR="009E0D6E" w:rsidRDefault="009E0D6E" w:rsidP="009E0D6E">
      <w:pPr>
        <w:jc w:val="both"/>
      </w:pPr>
    </w:p>
    <w:p w14:paraId="36B14FA3" w14:textId="77777777" w:rsidR="009E0D6E" w:rsidRDefault="009E0D6E" w:rsidP="009E0D6E">
      <w:pPr>
        <w:jc w:val="both"/>
      </w:pPr>
    </w:p>
    <w:p w14:paraId="4B48FBB4" w14:textId="77777777" w:rsidR="009E0D6E" w:rsidRDefault="009E0D6E" w:rsidP="009E0D6E">
      <w:pPr>
        <w:jc w:val="both"/>
      </w:pPr>
    </w:p>
    <w:p w14:paraId="49ECF9EA" w14:textId="77777777" w:rsidR="009E0D6E" w:rsidRDefault="009E0D6E" w:rsidP="009E0D6E">
      <w:pPr>
        <w:jc w:val="both"/>
      </w:pPr>
    </w:p>
    <w:p w14:paraId="233C5176" w14:textId="77777777" w:rsidR="009E0D6E" w:rsidRDefault="009E0D6E" w:rsidP="009E0D6E">
      <w:pPr>
        <w:jc w:val="center"/>
      </w:pPr>
    </w:p>
    <w:p w14:paraId="5C0DF255" w14:textId="77777777" w:rsidR="009E0D6E" w:rsidRDefault="009E0D6E" w:rsidP="009E0D6E">
      <w:pPr>
        <w:jc w:val="center"/>
      </w:pPr>
    </w:p>
    <w:p w14:paraId="1E16983F" w14:textId="77777777" w:rsidR="009E0D6E" w:rsidRDefault="009E0D6E" w:rsidP="009E0D6E">
      <w:pPr>
        <w:jc w:val="center"/>
      </w:pPr>
    </w:p>
    <w:p w14:paraId="63DB7BE8" w14:textId="77777777" w:rsidR="009E0D6E" w:rsidRDefault="009E0D6E" w:rsidP="009E0D6E">
      <w:pPr>
        <w:jc w:val="center"/>
        <w:rPr>
          <w:b/>
        </w:rPr>
      </w:pPr>
      <w:r>
        <w:rPr>
          <w:b/>
        </w:rPr>
        <w:t xml:space="preserve">Robert  F i c o   </w:t>
      </w:r>
      <w:proofErr w:type="spellStart"/>
      <w:r>
        <w:rPr>
          <w:b/>
        </w:rPr>
        <w:t>v.r</w:t>
      </w:r>
      <w:proofErr w:type="spellEnd"/>
      <w:r>
        <w:rPr>
          <w:b/>
        </w:rPr>
        <w:t>.</w:t>
      </w:r>
    </w:p>
    <w:p w14:paraId="762D5702" w14:textId="77777777" w:rsidR="009E0D6E" w:rsidRDefault="009E0D6E" w:rsidP="009E0D6E">
      <w:pPr>
        <w:jc w:val="center"/>
      </w:pPr>
      <w:r>
        <w:t>predseda vlády Slovenskej republiky</w:t>
      </w:r>
    </w:p>
    <w:p w14:paraId="446FDEDD" w14:textId="77777777" w:rsidR="009E0D6E" w:rsidRDefault="009E0D6E" w:rsidP="009E0D6E">
      <w:pPr>
        <w:jc w:val="center"/>
      </w:pPr>
    </w:p>
    <w:p w14:paraId="12C596EF" w14:textId="77777777" w:rsidR="009E0D6E" w:rsidRDefault="009E0D6E" w:rsidP="009E0D6E">
      <w:pPr>
        <w:jc w:val="center"/>
      </w:pPr>
    </w:p>
    <w:p w14:paraId="413C0FB6" w14:textId="77777777" w:rsidR="009E0D6E" w:rsidRDefault="009E0D6E" w:rsidP="009E0D6E">
      <w:pPr>
        <w:jc w:val="center"/>
      </w:pPr>
    </w:p>
    <w:p w14:paraId="38339E7F" w14:textId="77777777" w:rsidR="009E0D6E" w:rsidRDefault="009E0D6E" w:rsidP="009E0D6E">
      <w:pPr>
        <w:jc w:val="center"/>
      </w:pPr>
    </w:p>
    <w:p w14:paraId="2F543EC3" w14:textId="77777777" w:rsidR="009E0D6E" w:rsidRDefault="009E0D6E" w:rsidP="009E0D6E">
      <w:pPr>
        <w:jc w:val="center"/>
      </w:pPr>
    </w:p>
    <w:p w14:paraId="4DF88366" w14:textId="77777777" w:rsidR="009E0D6E" w:rsidRDefault="009E0D6E" w:rsidP="009E0D6E">
      <w:pPr>
        <w:jc w:val="center"/>
      </w:pPr>
    </w:p>
    <w:p w14:paraId="51D5C19C" w14:textId="77777777" w:rsidR="009E0D6E" w:rsidRDefault="009E0D6E" w:rsidP="009E0D6E">
      <w:pPr>
        <w:jc w:val="center"/>
      </w:pPr>
    </w:p>
    <w:p w14:paraId="10716A8C" w14:textId="77777777" w:rsidR="009E0D6E" w:rsidRDefault="009E0D6E" w:rsidP="009E0D6E">
      <w:pPr>
        <w:jc w:val="center"/>
        <w:rPr>
          <w:b/>
        </w:rPr>
      </w:pPr>
      <w:r>
        <w:rPr>
          <w:b/>
        </w:rPr>
        <w:t>Ladislav</w:t>
      </w:r>
      <w:r w:rsidRPr="002314BA">
        <w:rPr>
          <w:b/>
        </w:rPr>
        <w:t xml:space="preserve">  </w:t>
      </w:r>
      <w:r>
        <w:rPr>
          <w:b/>
        </w:rPr>
        <w:t xml:space="preserve">K a m e n i c k ý   </w:t>
      </w:r>
      <w:proofErr w:type="spellStart"/>
      <w:r>
        <w:rPr>
          <w:b/>
        </w:rPr>
        <w:t>v.r</w:t>
      </w:r>
      <w:proofErr w:type="spellEnd"/>
      <w:r>
        <w:rPr>
          <w:b/>
        </w:rPr>
        <w:t>.</w:t>
      </w:r>
    </w:p>
    <w:p w14:paraId="6A112D69" w14:textId="77777777" w:rsidR="009E0D6E" w:rsidRDefault="009E0D6E" w:rsidP="009E0D6E">
      <w:pPr>
        <w:jc w:val="center"/>
      </w:pPr>
      <w:r>
        <w:t>minister financií Slovenskej republiky</w:t>
      </w:r>
    </w:p>
    <w:p w14:paraId="300809F6" w14:textId="77777777" w:rsidR="009E0D6E" w:rsidRDefault="009E0D6E" w:rsidP="009E0D6E">
      <w:pPr>
        <w:jc w:val="center"/>
      </w:pPr>
    </w:p>
    <w:p w14:paraId="3F72DCA9" w14:textId="77777777" w:rsidR="009E0D6E" w:rsidRPr="00685CF6" w:rsidRDefault="009E0D6E" w:rsidP="009E0D6E">
      <w:pPr>
        <w:jc w:val="both"/>
      </w:pPr>
    </w:p>
    <w:p w14:paraId="48C9E895" w14:textId="77777777" w:rsidR="007876F7" w:rsidRDefault="007876F7"/>
    <w:sectPr w:rsidR="007876F7" w:rsidSect="009E0D6E">
      <w:footerReference w:type="even" r:id="rId4"/>
      <w:footerReference w:type="default" r:id="rId5"/>
      <w:footerReference w:type="firs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05675" w14:textId="77777777" w:rsidR="00000000" w:rsidRDefault="00000000">
    <w:pPr>
      <w:pStyle w:val="Pta"/>
    </w:pPr>
    <w:r>
      <w:rPr>
        <w:noProof/>
      </w:rPr>
      <mc:AlternateContent>
        <mc:Choice Requires="wps">
          <w:drawing>
            <wp:anchor distT="0" distB="0" distL="0" distR="0" simplePos="0" relativeHeight="251660288" behindDoc="0" locked="0" layoutInCell="1" allowOverlap="1" wp14:anchorId="6760226B" wp14:editId="6E1550F0">
              <wp:simplePos x="635" y="635"/>
              <wp:positionH relativeFrom="page">
                <wp:align>left</wp:align>
              </wp:positionH>
              <wp:positionV relativeFrom="page">
                <wp:align>bottom</wp:align>
              </wp:positionV>
              <wp:extent cx="644525" cy="345440"/>
              <wp:effectExtent l="0" t="0" r="3175" b="0"/>
              <wp:wrapNone/>
              <wp:docPr id="1476059351"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4525" cy="345440"/>
                      </a:xfrm>
                      <a:prstGeom prst="rect">
                        <a:avLst/>
                      </a:prstGeom>
                      <a:noFill/>
                      <a:ln>
                        <a:noFill/>
                      </a:ln>
                    </wps:spPr>
                    <wps:txbx>
                      <w:txbxContent>
                        <w:p w14:paraId="3488255F" w14:textId="77777777" w:rsidR="00000000" w:rsidRPr="002648D0" w:rsidRDefault="00000000" w:rsidP="002648D0">
                          <w:pPr>
                            <w:rPr>
                              <w:rFonts w:ascii="Aptos" w:eastAsia="Aptos" w:hAnsi="Aptos" w:cs="Aptos"/>
                              <w:noProof/>
                              <w:color w:val="000000"/>
                              <w:sz w:val="20"/>
                              <w:szCs w:val="20"/>
                            </w:rPr>
                          </w:pPr>
                          <w:r w:rsidRPr="002648D0">
                            <w:rPr>
                              <w:rFonts w:ascii="Aptos" w:eastAsia="Aptos" w:hAnsi="Aptos" w:cs="Aptos"/>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60226B" id="_x0000_t202" coordsize="21600,21600" o:spt="202" path="m,l,21600r21600,l21600,xe">
              <v:stroke joinstyle="miter"/>
              <v:path gradientshapeok="t" o:connecttype="rect"/>
            </v:shapetype>
            <v:shape id="Textové pole 2" o:spid="_x0000_s1026" type="#_x0000_t202" alt="Interné" style="position:absolute;margin-left:0;margin-top:0;width:50.7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" filled="f" stroked="f">
              <v:textbox style="mso-fit-shape-to-text:t" inset="20pt,0,0,15pt">
                <w:txbxContent>
                  <w:p w14:paraId="3488255F" w14:textId="77777777" w:rsidR="00000000" w:rsidRPr="002648D0" w:rsidRDefault="00000000" w:rsidP="002648D0">
                    <w:pPr>
                      <w:rPr>
                        <w:rFonts w:ascii="Aptos" w:eastAsia="Aptos" w:hAnsi="Aptos" w:cs="Aptos"/>
                        <w:noProof/>
                        <w:color w:val="000000"/>
                        <w:sz w:val="20"/>
                        <w:szCs w:val="20"/>
                      </w:rPr>
                    </w:pPr>
                    <w:r w:rsidRPr="002648D0">
                      <w:rPr>
                        <w:rFonts w:ascii="Aptos" w:eastAsia="Aptos" w:hAnsi="Aptos" w:cs="Aptos"/>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35859"/>
      <w:docPartObj>
        <w:docPartGallery w:val="Page Numbers (Bottom of Page)"/>
        <w:docPartUnique/>
      </w:docPartObj>
    </w:sdtPr>
    <w:sdtContent>
      <w:p w14:paraId="30EBD821" w14:textId="77777777" w:rsidR="00000000" w:rsidRDefault="00000000">
        <w:pPr>
          <w:pStyle w:val="Pta"/>
          <w:jc w:val="right"/>
        </w:pPr>
        <w:r>
          <w:fldChar w:fldCharType="begin"/>
        </w:r>
        <w:r>
          <w:instrText>PAGE   \* MERGEFORMAT</w:instrText>
        </w:r>
        <w:r>
          <w:fldChar w:fldCharType="separate"/>
        </w:r>
        <w:r>
          <w:t>2</w:t>
        </w:r>
        <w:r>
          <w:fldChar w:fldCharType="end"/>
        </w:r>
      </w:p>
    </w:sdtContent>
  </w:sdt>
  <w:p w14:paraId="62CF30DE" w14:textId="77777777" w:rsidR="00000000" w:rsidRDefault="0000000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ABFE" w14:textId="77777777" w:rsidR="00000000" w:rsidRDefault="00000000">
    <w:pPr>
      <w:pStyle w:val="Pta"/>
    </w:pPr>
    <w:r>
      <w:rPr>
        <w:noProof/>
      </w:rPr>
      <mc:AlternateContent>
        <mc:Choice Requires="wps">
          <w:drawing>
            <wp:anchor distT="0" distB="0" distL="0" distR="0" simplePos="0" relativeHeight="251659264" behindDoc="0" locked="0" layoutInCell="1" allowOverlap="1" wp14:anchorId="42CF00DF" wp14:editId="1A614441">
              <wp:simplePos x="635" y="635"/>
              <wp:positionH relativeFrom="page">
                <wp:align>left</wp:align>
              </wp:positionH>
              <wp:positionV relativeFrom="page">
                <wp:align>bottom</wp:align>
              </wp:positionV>
              <wp:extent cx="644525" cy="345440"/>
              <wp:effectExtent l="0" t="0" r="3175" b="0"/>
              <wp:wrapNone/>
              <wp:docPr id="1865816099"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4525" cy="345440"/>
                      </a:xfrm>
                      <a:prstGeom prst="rect">
                        <a:avLst/>
                      </a:prstGeom>
                      <a:noFill/>
                      <a:ln>
                        <a:noFill/>
                      </a:ln>
                    </wps:spPr>
                    <wps:txbx>
                      <w:txbxContent>
                        <w:p w14:paraId="57A4AB45" w14:textId="77777777" w:rsidR="00000000" w:rsidRPr="002648D0" w:rsidRDefault="00000000" w:rsidP="002648D0">
                          <w:pPr>
                            <w:rPr>
                              <w:rFonts w:ascii="Aptos" w:eastAsia="Aptos" w:hAnsi="Aptos" w:cs="Aptos"/>
                              <w:noProof/>
                              <w:color w:val="000000"/>
                              <w:sz w:val="20"/>
                              <w:szCs w:val="20"/>
                            </w:rPr>
                          </w:pPr>
                          <w:r w:rsidRPr="002648D0">
                            <w:rPr>
                              <w:rFonts w:ascii="Aptos" w:eastAsia="Aptos" w:hAnsi="Aptos" w:cs="Aptos"/>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CF00DF" id="_x0000_t202" coordsize="21600,21600" o:spt="202" path="m,l,21600r21600,l21600,xe">
              <v:stroke joinstyle="miter"/>
              <v:path gradientshapeok="t" o:connecttype="rect"/>
            </v:shapetype>
            <v:shape id="Textové pole 1" o:spid="_x0000_s1027" type="#_x0000_t202" alt="Interné" style="position:absolute;margin-left:0;margin-top:0;width:50.7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" filled="f" stroked="f">
              <v:textbox style="mso-fit-shape-to-text:t" inset="20pt,0,0,15pt">
                <w:txbxContent>
                  <w:p w14:paraId="57A4AB45" w14:textId="77777777" w:rsidR="00000000" w:rsidRPr="002648D0" w:rsidRDefault="00000000" w:rsidP="002648D0">
                    <w:pPr>
                      <w:rPr>
                        <w:rFonts w:ascii="Aptos" w:eastAsia="Aptos" w:hAnsi="Aptos" w:cs="Aptos"/>
                        <w:noProof/>
                        <w:color w:val="000000"/>
                        <w:sz w:val="20"/>
                        <w:szCs w:val="20"/>
                      </w:rPr>
                    </w:pPr>
                    <w:r w:rsidRPr="002648D0">
                      <w:rPr>
                        <w:rFonts w:ascii="Aptos" w:eastAsia="Aptos" w:hAnsi="Aptos" w:cs="Aptos"/>
                        <w:noProof/>
                        <w:color w:val="000000"/>
                        <w:sz w:val="20"/>
                        <w:szCs w:val="20"/>
                      </w:rPr>
                      <w:t>Interné</w:t>
                    </w:r>
                  </w:p>
                </w:txbxContent>
              </v:textbox>
              <w10:wrap anchorx="page" anchory="page"/>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D6E"/>
    <w:rsid w:val="000C2722"/>
    <w:rsid w:val="007876F7"/>
    <w:rsid w:val="009E0D6E"/>
    <w:rsid w:val="00BA29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720A"/>
  <w15:chartTrackingRefBased/>
  <w15:docId w15:val="{31F577F9-BCD5-4572-A0CF-815159AE5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0D6E"/>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y"/>
    <w:next w:val="Normlny"/>
    <w:link w:val="Nadpis1Char"/>
    <w:uiPriority w:val="9"/>
    <w:qFormat/>
    <w:rsid w:val="009E0D6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9E0D6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9E0D6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9E0D6E"/>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dpis5">
    <w:name w:val="heading 5"/>
    <w:basedOn w:val="Normlny"/>
    <w:next w:val="Normlny"/>
    <w:link w:val="Nadpis5Char"/>
    <w:uiPriority w:val="9"/>
    <w:semiHidden/>
    <w:unhideWhenUsed/>
    <w:qFormat/>
    <w:rsid w:val="009E0D6E"/>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dpis6">
    <w:name w:val="heading 6"/>
    <w:basedOn w:val="Normlny"/>
    <w:next w:val="Normlny"/>
    <w:link w:val="Nadpis6Char"/>
    <w:uiPriority w:val="9"/>
    <w:semiHidden/>
    <w:unhideWhenUsed/>
    <w:qFormat/>
    <w:rsid w:val="009E0D6E"/>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dpis7">
    <w:name w:val="heading 7"/>
    <w:basedOn w:val="Normlny"/>
    <w:next w:val="Normlny"/>
    <w:link w:val="Nadpis7Char"/>
    <w:uiPriority w:val="9"/>
    <w:semiHidden/>
    <w:unhideWhenUsed/>
    <w:qFormat/>
    <w:rsid w:val="009E0D6E"/>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dpis8">
    <w:name w:val="heading 8"/>
    <w:basedOn w:val="Normlny"/>
    <w:next w:val="Normlny"/>
    <w:link w:val="Nadpis8Char"/>
    <w:uiPriority w:val="9"/>
    <w:semiHidden/>
    <w:unhideWhenUsed/>
    <w:qFormat/>
    <w:rsid w:val="009E0D6E"/>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dpis9">
    <w:name w:val="heading 9"/>
    <w:basedOn w:val="Normlny"/>
    <w:next w:val="Normlny"/>
    <w:link w:val="Nadpis9Char"/>
    <w:uiPriority w:val="9"/>
    <w:semiHidden/>
    <w:unhideWhenUsed/>
    <w:qFormat/>
    <w:rsid w:val="009E0D6E"/>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E0D6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E0D6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E0D6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E0D6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E0D6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E0D6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E0D6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E0D6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E0D6E"/>
    <w:rPr>
      <w:rFonts w:eastAsiaTheme="majorEastAsia" w:cstheme="majorBidi"/>
      <w:color w:val="272727" w:themeColor="text1" w:themeTint="D8"/>
    </w:rPr>
  </w:style>
  <w:style w:type="paragraph" w:styleId="Nzov">
    <w:name w:val="Title"/>
    <w:basedOn w:val="Normlny"/>
    <w:next w:val="Normlny"/>
    <w:link w:val="NzovChar"/>
    <w:uiPriority w:val="10"/>
    <w:qFormat/>
    <w:rsid w:val="009E0D6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9E0D6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E0D6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9E0D6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E0D6E"/>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9E0D6E"/>
    <w:rPr>
      <w:i/>
      <w:iCs/>
      <w:color w:val="404040" w:themeColor="text1" w:themeTint="BF"/>
    </w:rPr>
  </w:style>
  <w:style w:type="paragraph" w:styleId="Odsekzoznamu">
    <w:name w:val="List Paragraph"/>
    <w:basedOn w:val="Normlny"/>
    <w:uiPriority w:val="34"/>
    <w:qFormat/>
    <w:rsid w:val="009E0D6E"/>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zvnezvraznenie">
    <w:name w:val="Intense Emphasis"/>
    <w:basedOn w:val="Predvolenpsmoodseku"/>
    <w:uiPriority w:val="21"/>
    <w:qFormat/>
    <w:rsid w:val="009E0D6E"/>
    <w:rPr>
      <w:i/>
      <w:iCs/>
      <w:color w:val="0F4761" w:themeColor="accent1" w:themeShade="BF"/>
    </w:rPr>
  </w:style>
  <w:style w:type="paragraph" w:styleId="Zvraznencitcia">
    <w:name w:val="Intense Quote"/>
    <w:basedOn w:val="Normlny"/>
    <w:next w:val="Normlny"/>
    <w:link w:val="ZvraznencitciaChar"/>
    <w:uiPriority w:val="30"/>
    <w:qFormat/>
    <w:rsid w:val="009E0D6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9E0D6E"/>
    <w:rPr>
      <w:i/>
      <w:iCs/>
      <w:color w:val="0F4761" w:themeColor="accent1" w:themeShade="BF"/>
    </w:rPr>
  </w:style>
  <w:style w:type="character" w:styleId="Zvraznenodkaz">
    <w:name w:val="Intense Reference"/>
    <w:basedOn w:val="Predvolenpsmoodseku"/>
    <w:uiPriority w:val="32"/>
    <w:qFormat/>
    <w:rsid w:val="009E0D6E"/>
    <w:rPr>
      <w:b/>
      <w:bCs/>
      <w:smallCaps/>
      <w:color w:val="0F4761" w:themeColor="accent1" w:themeShade="BF"/>
      <w:spacing w:val="5"/>
    </w:rPr>
  </w:style>
  <w:style w:type="paragraph" w:styleId="Pta">
    <w:name w:val="footer"/>
    <w:basedOn w:val="Normlny"/>
    <w:link w:val="PtaChar"/>
    <w:uiPriority w:val="99"/>
    <w:unhideWhenUsed/>
    <w:rsid w:val="009E0D6E"/>
    <w:pPr>
      <w:tabs>
        <w:tab w:val="center" w:pos="4536"/>
        <w:tab w:val="right" w:pos="9072"/>
      </w:tabs>
    </w:pPr>
  </w:style>
  <w:style w:type="character" w:customStyle="1" w:styleId="PtaChar">
    <w:name w:val="Päta Char"/>
    <w:basedOn w:val="Predvolenpsmoodseku"/>
    <w:link w:val="Pta"/>
    <w:uiPriority w:val="99"/>
    <w:rsid w:val="009E0D6E"/>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1086</Words>
  <Characters>6192</Characters>
  <Application>Microsoft Office Word</Application>
  <DocSecurity>0</DocSecurity>
  <Lines>51</Lines>
  <Paragraphs>14</Paragraphs>
  <ScaleCrop>false</ScaleCrop>
  <Company>Kancelaria Narodnej rady Slovenskej republiky</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Klenovská, Petra</dc:creator>
  <cp:keywords/>
  <dc:description/>
  <cp:lastModifiedBy>Klenovská, Petra</cp:lastModifiedBy>
  <cp:revision>1</cp:revision>
  <dcterms:created xsi:type="dcterms:W3CDTF">2026-05-07T14:34:00Z</dcterms:created>
  <dcterms:modified xsi:type="dcterms:W3CDTF">2026-05-07T14:35:00Z</dcterms:modified>
</cp:coreProperties>
</file>