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9225" w14:textId="77777777" w:rsidR="00524C4C" w:rsidRPr="00685CF6" w:rsidRDefault="00524C4C" w:rsidP="00524C4C">
      <w:pPr>
        <w:spacing w:after="120"/>
        <w:jc w:val="center"/>
        <w:rPr>
          <w:b/>
          <w:caps/>
          <w:lang w:eastAsia="sk-SK"/>
        </w:rPr>
      </w:pPr>
      <w:r w:rsidRPr="00685CF6">
        <w:rPr>
          <w:b/>
          <w:caps/>
        </w:rPr>
        <w:t>Dôvodová správa</w:t>
      </w:r>
    </w:p>
    <w:p w14:paraId="093A6A7D" w14:textId="77777777" w:rsidR="00524C4C" w:rsidRDefault="00524C4C" w:rsidP="00524C4C">
      <w:pPr>
        <w:jc w:val="both"/>
        <w:rPr>
          <w:b/>
        </w:rPr>
      </w:pPr>
      <w:r>
        <w:rPr>
          <w:b/>
        </w:rPr>
        <w:t>Všeobecná časť</w:t>
      </w:r>
    </w:p>
    <w:p w14:paraId="2113F71B" w14:textId="77777777" w:rsidR="00524C4C" w:rsidRPr="00311AC1" w:rsidRDefault="00524C4C" w:rsidP="00524C4C">
      <w:pPr>
        <w:jc w:val="both"/>
        <w:rPr>
          <w:b/>
        </w:rPr>
      </w:pPr>
    </w:p>
    <w:p w14:paraId="15FB9B68" w14:textId="77777777" w:rsidR="00524C4C" w:rsidRDefault="00524C4C" w:rsidP="00524C4C">
      <w:pPr>
        <w:spacing w:after="120"/>
        <w:jc w:val="both"/>
        <w:rPr>
          <w:lang w:eastAsia="sk-SK"/>
        </w:rPr>
      </w:pPr>
      <w:r w:rsidRPr="00B14156">
        <w:rPr>
          <w:lang w:eastAsia="sk-SK"/>
        </w:rPr>
        <w:t>Základným právnym akt</w:t>
      </w:r>
      <w:r>
        <w:rPr>
          <w:lang w:eastAsia="sk-SK"/>
        </w:rPr>
        <w:t>om</w:t>
      </w:r>
      <w:r w:rsidRPr="00B14156">
        <w:rPr>
          <w:lang w:eastAsia="sk-SK"/>
        </w:rPr>
        <w:t xml:space="preserve"> Európskej únie, ktor</w:t>
      </w:r>
      <w:r>
        <w:rPr>
          <w:lang w:eastAsia="sk-SK"/>
        </w:rPr>
        <w:t>ý</w:t>
      </w:r>
      <w:r w:rsidRPr="00B14156">
        <w:rPr>
          <w:lang w:eastAsia="sk-SK"/>
        </w:rPr>
        <w:t xml:space="preserve"> upravujú </w:t>
      </w:r>
      <w:r>
        <w:rPr>
          <w:lang w:eastAsia="sk-SK"/>
        </w:rPr>
        <w:t>ratingy ESG je nariadenie Európskeho parlamentu a Rady (EÚ) 2024/3005 z 27. novembra 2024 o transparentnosti a integrite činností týkajúcich sa environmentálnych ratingov, sociálnych ratingov a ratingov v oblasti správy a riadenia ratingov (ratingov ESG) a o zmene nariadení (EÚ) 2019/2088 a (EÚ) 2023/2859 (Ú. v. EÚ L, 2024/3005, 12.12.2024) (ďalej len „nariadenie o ratingoch ESG“).</w:t>
      </w:r>
    </w:p>
    <w:p w14:paraId="70859B07" w14:textId="77777777" w:rsidR="00524C4C" w:rsidRPr="00BB6C6A" w:rsidRDefault="00524C4C" w:rsidP="00524C4C">
      <w:pPr>
        <w:spacing w:after="120"/>
        <w:ind w:firstLine="708"/>
        <w:jc w:val="both"/>
      </w:pPr>
      <w:r>
        <w:t>Nariadenie o ratingoch ESG je súčasťou obnovenej stratégie Európskej komisie v oblasti udržateľného financovania, ktorá bola prijatá v júli 2021. Nariadenie o ratingoch ESG je súčasťou balíka opatrení týkajúcich sa udržateľného financovania, ktorý obsahuje opatrenia na využitie transformačnej sily finančných služieb a na presmerovanie súkromného kapitálu na udržateľné investície. Účelom tohto nariadenia o ratingoch ESG nie je harmonizovať metodiky na výpočet ratingov ESG, ale zvýšiť ich transparentnosť. Taktiež cieľom tohto nariadenia o ratingoch ESG je zjednodušiť využívanie potenciálu vnútorného trhu a únie kapitálových trhov a prispieť k prechodu na udržateľný a inkluzívny hospodársky a finančný systém v súlade s Európskou zelenou dohodou a cieľmi OSN v oblasti udržateľného financovania.</w:t>
      </w:r>
    </w:p>
    <w:p w14:paraId="509948DD" w14:textId="77777777" w:rsidR="00524C4C" w:rsidRDefault="00524C4C" w:rsidP="00524C4C">
      <w:pPr>
        <w:spacing w:after="120"/>
        <w:jc w:val="both"/>
        <w:rPr>
          <w:color w:val="000000"/>
          <w:lang w:eastAsia="sk-SK"/>
        </w:rPr>
      </w:pPr>
      <w:r w:rsidRPr="00B14156">
        <w:rPr>
          <w:color w:val="000000"/>
          <w:lang w:eastAsia="sk-SK"/>
        </w:rPr>
        <w:tab/>
      </w:r>
      <w:r>
        <w:rPr>
          <w:color w:val="000000"/>
          <w:lang w:eastAsia="sk-SK"/>
        </w:rPr>
        <w:t>Predmetný návrh zákona, ktorým sa mení a dopĺňa zákon č. 747/2004 Z. z. o dohľade nad finančným trhom a o zmene a doplnení niektorých zákonov v znení neskorších predpisov a ktorým sa mení a dopĺňa zákon č. 371/2014 Z. z. o riešení krízových situácií na finančnom trhu a o zmene a doplnení niektorých zákonov v znení neskorších predpisov (ďalej len „návrh zákona“) vyplýva z potreby implementácie nariadenia o ratingoch ESG s cieľom určenia orgánu na úrovni členského štátu, ktorý bude vykonávať jednotlivé úlohy a aktivity vyplývajúce z nariadenia o ratingoch ESG.</w:t>
      </w:r>
    </w:p>
    <w:p w14:paraId="238D20BA" w14:textId="77777777" w:rsidR="00524C4C" w:rsidRDefault="00524C4C" w:rsidP="00524C4C">
      <w:pPr>
        <w:spacing w:after="120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  <w:t>Dohľad nad poskytovateľmi ESG ratingov podľa nariadenia o ratingoch ESG vykonáva vo všeobecnosti orgán ESMA, ktorý je však oprávnený v určitých prípadoch definovaných v nariadení o ratingoch ESG žiadať príslušné orgány na úrovni členských štátov, aby vykonávali v jeho mene konkrétne vyšetrovacie úlohy a kontroly  na mieste.</w:t>
      </w:r>
    </w:p>
    <w:p w14:paraId="782D3C42" w14:textId="77777777" w:rsidR="00524C4C" w:rsidRDefault="00524C4C" w:rsidP="00524C4C">
      <w:pPr>
        <w:spacing w:after="120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  <w:t xml:space="preserve">Súčasťou návrhu sú aj legislatívne úpravy zákona č. 371/2014 Z. z. o riešení krízových situácií na finančnom trhu a o zmene a doplnení niektorých zákonov s cieľom odstrániť nedostatky transpozície </w:t>
      </w:r>
      <w:r w:rsidRPr="00AB61D8">
        <w:rPr>
          <w:color w:val="000000"/>
          <w:lang w:eastAsia="sk-SK"/>
        </w:rPr>
        <w:t xml:space="preserve">čl. II Nariadenia Európskeho parlamentu a Rady (EÚ) 2022/2036 z 19. októbra 2022, ktorým sa mení nariadenie (EÚ) č. 575/2013 a smernica 2014/59/EÚ, pokiaľ ide o </w:t>
      </w:r>
      <w:proofErr w:type="spellStart"/>
      <w:r w:rsidRPr="00AB61D8">
        <w:rPr>
          <w:color w:val="000000"/>
          <w:lang w:eastAsia="sk-SK"/>
        </w:rPr>
        <w:t>prudenciálne</w:t>
      </w:r>
      <w:proofErr w:type="spellEnd"/>
      <w:r w:rsidRPr="00AB61D8">
        <w:rPr>
          <w:color w:val="000000"/>
          <w:lang w:eastAsia="sk-SK"/>
        </w:rPr>
        <w:t xml:space="preserve"> zaobchádzanie s globálnymi systémovo významnými inštitúciami so stratégiou riešenia krízových situácií vo viacerých okamihoch a metódy nepriameho upisovania nástrojov oprávnených na splnenie minimálnej požiadavky na vlastné zdroje a oprávnené záväzky</w:t>
      </w:r>
      <w:r>
        <w:rPr>
          <w:color w:val="000000"/>
          <w:lang w:eastAsia="sk-SK"/>
        </w:rPr>
        <w:t xml:space="preserve"> (Ú. v. EÚ L 275, 25.10.2022)</w:t>
      </w:r>
      <w:r w:rsidRPr="00AB61D8">
        <w:rPr>
          <w:color w:val="000000"/>
          <w:lang w:eastAsia="sk-SK"/>
        </w:rPr>
        <w:t>, ktorým sa upravuje smernica Európskeho parlamentu a Rady 2014/59/EÚ z  15. mája 2014, ktorou sa stanovuje rámec pre ozdravenie a riešenie krízových situácií úverových inštitúcií a investičných spoločností a ktorou sa mení smernica Rady 82/891/EHS a smernice Európskeho parlamentu a Rady 2001/24/ES, 2002/47/ES, 2004/25/ES, 2005/56/ES, 2007/36/ES, 2011/35/EÚ, 2012/30/EÚ a 2013/36/EÚ a nariadenia Európskeho parlamentu a Rady (EÚ) č. 1093/2010 a (EÚ) č. 648/2012</w:t>
      </w:r>
      <w:r>
        <w:rPr>
          <w:color w:val="000000"/>
          <w:lang w:eastAsia="sk-SK"/>
        </w:rPr>
        <w:t xml:space="preserve"> (Ú. v. EÚ L 173, 12.6.2014) v platnom znení</w:t>
      </w:r>
      <w:r w:rsidRPr="00AB61D8">
        <w:rPr>
          <w:color w:val="000000"/>
          <w:lang w:eastAsia="sk-SK"/>
        </w:rPr>
        <w:t>.</w:t>
      </w:r>
    </w:p>
    <w:p w14:paraId="7A6DB51F" w14:textId="77777777" w:rsidR="00524C4C" w:rsidRDefault="00524C4C" w:rsidP="00524C4C">
      <w:pPr>
        <w:spacing w:after="120"/>
        <w:jc w:val="both"/>
      </w:pPr>
      <w:r w:rsidRPr="00B14156">
        <w:tab/>
        <w:t>Prijatie navrhovaného zákona nebude mať vplyv na rozpočet verejnej správy,</w:t>
      </w:r>
      <w:r>
        <w:t xml:space="preserve"> ani vplyvy na podnikateľské prostredie</w:t>
      </w:r>
      <w:r w:rsidRPr="00B14156">
        <w:t>. Návrh zákona nemá sociálne vplyvy, vplyvy na životné prostredie, na služby verejnej správy pre občana, na informatizáciu a tiež nemá vplyvy na manželstvo, rodičovstvo a rodinu.</w:t>
      </w:r>
    </w:p>
    <w:p w14:paraId="5DCA5DEC" w14:textId="77777777" w:rsidR="00524C4C" w:rsidRDefault="00524C4C" w:rsidP="00524C4C">
      <w:pPr>
        <w:spacing w:after="120"/>
        <w:jc w:val="both"/>
      </w:pPr>
      <w:r w:rsidRPr="00B14156">
        <w:lastRenderedPageBreak/>
        <w:tab/>
        <w:t>Predložený návrh zákona je v súlade s Ústavou Slovenskej republiky, s ústavnými zákonmi, nálezmi ústavného súdu, inými zákonmi a ostatnými všeobecne záväznými právnymi predpismi Slovenskej republiky, s právom Európskej únie a s medzinárodnými zmluvami, ktorými je Slovenská republika viazaná.</w:t>
      </w:r>
    </w:p>
    <w:p w14:paraId="378203B9" w14:textId="77777777" w:rsidR="00524C4C" w:rsidRPr="00FC1015" w:rsidRDefault="00524C4C" w:rsidP="00524C4C">
      <w:pPr>
        <w:spacing w:after="120"/>
        <w:ind w:firstLine="708"/>
        <w:jc w:val="both"/>
      </w:pPr>
      <w:r w:rsidRPr="00FD04A0">
        <w:t xml:space="preserve">Návrh zákona je predmetom </w:t>
      </w:r>
      <w:proofErr w:type="spellStart"/>
      <w:r w:rsidRPr="00FD04A0">
        <w:t>vnútrokomunitárneho</w:t>
      </w:r>
      <w:proofErr w:type="spellEnd"/>
      <w:r w:rsidRPr="00FD04A0">
        <w:t xml:space="preserve"> pripomienkového konania. </w:t>
      </w:r>
    </w:p>
    <w:p w14:paraId="4748E6B0" w14:textId="2AD9F53D" w:rsidR="007876F7" w:rsidRDefault="007876F7" w:rsidP="00524C4C">
      <w:pPr>
        <w:spacing w:after="160" w:line="259" w:lineRule="auto"/>
      </w:pPr>
    </w:p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4C"/>
    <w:rsid w:val="000C2722"/>
    <w:rsid w:val="00524C4C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3467"/>
  <w15:chartTrackingRefBased/>
  <w15:docId w15:val="{B4F0E141-1EF3-4243-9233-6BB23069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4C4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24C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4C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4C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4C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4C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4C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4C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4C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4C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4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4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4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4C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4C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4C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4C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4C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4C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4C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24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4C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24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4C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24C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4C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24C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4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4C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4C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Company>Kancelaria Narodnej rady Slovenskej republiky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2026-05-07T14:32:00Z</dcterms:created>
  <dcterms:modified xsi:type="dcterms:W3CDTF">2026-05-07T14:32:00Z</dcterms:modified>
</cp:coreProperties>
</file>