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3302" w14:textId="77777777" w:rsidR="001D6B29" w:rsidRPr="00CA4B22" w:rsidRDefault="001D6B29" w:rsidP="001D6B29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DOLOŽKA ZLUČITEĽNOSTI</w:t>
      </w:r>
    </w:p>
    <w:p w14:paraId="5398A805" w14:textId="77777777" w:rsidR="001D6B29" w:rsidRPr="00CA4B22" w:rsidRDefault="001D6B29" w:rsidP="001D6B29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návrhu zákona s právom Európskej únie</w:t>
      </w:r>
    </w:p>
    <w:p w14:paraId="2272AEEB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4AD44D0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1. Navrhovateľ zákona: </w:t>
      </w:r>
      <w:r w:rsidRPr="00473371">
        <w:rPr>
          <w:rFonts w:ascii="Times New Roman" w:eastAsia="Times New Roman" w:hAnsi="Times New Roman"/>
          <w:bCs/>
          <w:sz w:val="24"/>
          <w:szCs w:val="24"/>
          <w:lang w:eastAsia="sk-SK"/>
        </w:rPr>
        <w:t>Ministerstvo dopravy Slovenskej republiky.</w:t>
      </w:r>
    </w:p>
    <w:p w14:paraId="2635B86E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5F117C5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2. </w:t>
      </w:r>
      <w:r w:rsidRPr="00A53B6F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Názov návrhu zákona: </w:t>
      </w:r>
      <w:r w:rsidRPr="00A53B6F">
        <w:rPr>
          <w:rFonts w:ascii="Times New Roman" w:eastAsia="Times New Roman" w:hAnsi="Times New Roman"/>
          <w:sz w:val="24"/>
          <w:szCs w:val="24"/>
          <w:lang w:eastAsia="sk-SK"/>
        </w:rPr>
        <w:t>Zákon, ktorým sa mení a dopĺňa zákon č. 555/2005 Z. z. o energetickej hospodárnosti budov a o zmene a doplnení niektorých zákonov v znení neskorších predpisov a ktorým sa mení a dopĺňa zákon č.  246/2015 Z. z. o správcoch bytových domov a o zmene a doplnení zákona Národnej rady Slovenskej republiky č. 182/1993 Z. z. o vlastníctve bytov a nebytových priestorov v znení neskorších predpisov v znení zákona č. 177/2018 Z. z.</w:t>
      </w:r>
    </w:p>
    <w:p w14:paraId="3D29C92B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7173FFB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3. Predmet návrhu zákona je upravený v práve Európskej únie:</w:t>
      </w:r>
    </w:p>
    <w:p w14:paraId="21FE2CFE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F10D794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 xml:space="preserve">a) v primárnom práve: </w:t>
      </w:r>
    </w:p>
    <w:p w14:paraId="342B114C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34363DA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 xml:space="preserve">Zmluva o fungovaní Európskej únie; </w:t>
      </w:r>
      <w:r w:rsidRPr="002F514D">
        <w:rPr>
          <w:rFonts w:ascii="Times New Roman" w:hAnsi="Times New Roman"/>
          <w:sz w:val="24"/>
          <w:szCs w:val="24"/>
        </w:rPr>
        <w:t>Zmluva o fungovaní Európskej únie (článok 194 ods. 2)</w:t>
      </w:r>
      <w:r>
        <w:rPr>
          <w:rFonts w:ascii="Times New Roman" w:hAnsi="Times New Roman"/>
          <w:sz w:val="24"/>
          <w:szCs w:val="24"/>
        </w:rPr>
        <w:t>;</w:t>
      </w:r>
    </w:p>
    <w:p w14:paraId="7B5A9AD4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DF2A1F0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b) v sekundárnom práve:</w:t>
      </w:r>
    </w:p>
    <w:p w14:paraId="403B55D2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F5826C4" w14:textId="77777777" w:rsidR="001D6B29" w:rsidRPr="004866BA" w:rsidRDefault="001D6B29" w:rsidP="001D6B2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B44ED4">
        <w:rPr>
          <w:rFonts w:ascii="Times New Roman" w:hAnsi="Times New Roman"/>
          <w:bCs/>
          <w:sz w:val="24"/>
          <w:szCs w:val="24"/>
        </w:rPr>
        <w:t xml:space="preserve">mernica </w:t>
      </w:r>
      <w:r w:rsidRPr="00B44ED4">
        <w:rPr>
          <w:rFonts w:ascii="Times New Roman" w:hAnsi="Times New Roman"/>
          <w:sz w:val="24"/>
          <w:szCs w:val="24"/>
        </w:rPr>
        <w:t>Európskeho parla</w:t>
      </w:r>
      <w:r w:rsidRPr="004866BA">
        <w:rPr>
          <w:rFonts w:ascii="Times New Roman" w:hAnsi="Times New Roman"/>
          <w:bCs/>
          <w:sz w:val="24"/>
          <w:szCs w:val="24"/>
        </w:rPr>
        <w:t xml:space="preserve">mentu a Rady (EÚ) </w:t>
      </w:r>
      <w:r>
        <w:rPr>
          <w:rFonts w:ascii="Times New Roman" w:hAnsi="Times New Roman"/>
          <w:bCs/>
          <w:sz w:val="24"/>
          <w:szCs w:val="24"/>
        </w:rPr>
        <w:t>2024</w:t>
      </w:r>
      <w:r w:rsidRPr="004866BA">
        <w:rPr>
          <w:rFonts w:ascii="Times New Roman" w:hAnsi="Times New Roman"/>
          <w:bCs/>
          <w:sz w:val="24"/>
          <w:szCs w:val="24"/>
        </w:rPr>
        <w:t>/</w:t>
      </w:r>
      <w:r>
        <w:rPr>
          <w:rFonts w:ascii="Times New Roman" w:hAnsi="Times New Roman"/>
          <w:bCs/>
          <w:sz w:val="24"/>
          <w:szCs w:val="24"/>
        </w:rPr>
        <w:t>1275</w:t>
      </w:r>
      <w:r w:rsidRPr="004866BA">
        <w:rPr>
          <w:rFonts w:ascii="Times New Roman" w:hAnsi="Times New Roman"/>
          <w:bCs/>
          <w:sz w:val="24"/>
          <w:szCs w:val="24"/>
        </w:rPr>
        <w:t xml:space="preserve"> z </w:t>
      </w:r>
      <w:r>
        <w:rPr>
          <w:rFonts w:ascii="Times New Roman" w:hAnsi="Times New Roman"/>
          <w:bCs/>
          <w:sz w:val="24"/>
          <w:szCs w:val="24"/>
        </w:rPr>
        <w:t>24</w:t>
      </w:r>
      <w:r w:rsidRPr="004866BA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apríla</w:t>
      </w:r>
      <w:r w:rsidRPr="004866BA">
        <w:rPr>
          <w:rFonts w:ascii="Times New Roman" w:hAnsi="Times New Roman"/>
          <w:bCs/>
          <w:sz w:val="24"/>
          <w:szCs w:val="24"/>
        </w:rPr>
        <w:t xml:space="preserve"> 20</w:t>
      </w:r>
      <w:r>
        <w:rPr>
          <w:rFonts w:ascii="Times New Roman" w:hAnsi="Times New Roman"/>
          <w:bCs/>
          <w:sz w:val="24"/>
          <w:szCs w:val="24"/>
        </w:rPr>
        <w:t>24</w:t>
      </w:r>
      <w:r w:rsidRPr="004866BA">
        <w:rPr>
          <w:rFonts w:ascii="Times New Roman" w:hAnsi="Times New Roman"/>
          <w:bCs/>
          <w:sz w:val="24"/>
          <w:szCs w:val="24"/>
        </w:rPr>
        <w:t xml:space="preserve"> o energetickej hospodárnosti budov </w:t>
      </w:r>
      <w:r>
        <w:rPr>
          <w:rFonts w:ascii="Times New Roman" w:hAnsi="Times New Roman"/>
          <w:bCs/>
          <w:sz w:val="24"/>
          <w:szCs w:val="24"/>
        </w:rPr>
        <w:t xml:space="preserve">(prepracované znenie) </w:t>
      </w:r>
      <w:r w:rsidRPr="00B44ED4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Ú. v. EÚ L, 2024/1275, 8.5.2024</w:t>
      </w:r>
      <w:r w:rsidRPr="004866BA">
        <w:rPr>
          <w:rFonts w:ascii="Times New Roman" w:hAnsi="Times New Roman"/>
          <w:bCs/>
          <w:sz w:val="24"/>
          <w:szCs w:val="24"/>
        </w:rPr>
        <w:t xml:space="preserve">) </w:t>
      </w:r>
    </w:p>
    <w:p w14:paraId="33D40000" w14:textId="77777777" w:rsidR="001D6B29" w:rsidRPr="004866BA" w:rsidRDefault="001D6B29" w:rsidP="001D6B2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</w:t>
      </w:r>
      <w:r w:rsidRPr="004866BA">
        <w:rPr>
          <w:rFonts w:ascii="Times New Roman" w:hAnsi="Times New Roman"/>
          <w:bCs/>
          <w:sz w:val="24"/>
          <w:szCs w:val="24"/>
        </w:rPr>
        <w:t>estor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4866BA">
        <w:rPr>
          <w:rFonts w:ascii="Times New Roman" w:hAnsi="Times New Roman"/>
          <w:bCs/>
          <w:sz w:val="24"/>
          <w:szCs w:val="24"/>
        </w:rPr>
        <w:t>Ministerstvo dopravy SR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866BA">
        <w:rPr>
          <w:rFonts w:ascii="Times New Roman" w:hAnsi="Times New Roman"/>
          <w:bCs/>
          <w:sz w:val="24"/>
          <w:szCs w:val="24"/>
        </w:rPr>
        <w:t>spolupracujúce subjekty Ministerstvo hospodárstva SR a Ministerstvo životného prostredia SR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6710CED3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ADB51CB" w14:textId="77777777" w:rsidR="001D6B29" w:rsidRDefault="001D6B29" w:rsidP="001D6B29">
      <w:pPr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Nariadenie Európskeho parlamentu a Rady (EÚ) 2021/241 z 12. februára 2021, ktorým sa zriaďuje Mechanizmus na podporu obnovy a odolnosti (Ú. v. EÚ L 057, 18.2.2021) v platnom znení</w:t>
      </w:r>
    </w:p>
    <w:p w14:paraId="1ADD83C2" w14:textId="77777777" w:rsidR="001D6B29" w:rsidRDefault="001D6B29" w:rsidP="001D6B29">
      <w:pPr>
        <w:jc w:val="both"/>
        <w:rPr>
          <w:rFonts w:ascii="Times New Roman" w:hAnsi="Times New Roman"/>
          <w:bCs/>
          <w:sz w:val="24"/>
          <w:szCs w:val="24"/>
        </w:rPr>
      </w:pPr>
      <w:r w:rsidRPr="004F5D85">
        <w:rPr>
          <w:rFonts w:ascii="Times New Roman" w:hAnsi="Times New Roman"/>
          <w:bCs/>
          <w:sz w:val="24"/>
          <w:szCs w:val="24"/>
        </w:rPr>
        <w:t>Gestor: Úrad podpredsedu vlády pre plán obnovy a znalostnú ekonomiku</w:t>
      </w:r>
    </w:p>
    <w:p w14:paraId="3F1466FE" w14:textId="77777777" w:rsidR="001D6B29" w:rsidRDefault="001D6B29" w:rsidP="001D6B29">
      <w:pPr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br/>
        <w:t xml:space="preserve">Nariadenie Európskeho parlamentu a Rady (EÚ) 2021/1058 z 24. júna 2021 o Európskom fonde regionálneho rozvoja a Kohéznom fonde (Ú. v. EÚ L 231, 30.6.2021) v platnom znení </w:t>
      </w:r>
    </w:p>
    <w:p w14:paraId="0CBFFCFC" w14:textId="77777777" w:rsidR="001D6B29" w:rsidRDefault="001D6B29" w:rsidP="001D6B29">
      <w:pPr>
        <w:jc w:val="both"/>
        <w:rPr>
          <w:rFonts w:ascii="Times New Roman" w:hAnsi="Times New Roman"/>
          <w:bCs/>
          <w:sz w:val="24"/>
          <w:szCs w:val="24"/>
        </w:rPr>
      </w:pPr>
      <w:r w:rsidRPr="004F5D85">
        <w:rPr>
          <w:rFonts w:ascii="Times New Roman" w:hAnsi="Times New Roman"/>
          <w:bCs/>
          <w:sz w:val="24"/>
          <w:szCs w:val="24"/>
        </w:rPr>
        <w:t>Gestor: Ministerstvo investícií, regionálneho rozvoja a informatizácie SR</w:t>
      </w:r>
    </w:p>
    <w:p w14:paraId="3C5919CD" w14:textId="77777777" w:rsidR="001D6B29" w:rsidRDefault="001D6B29" w:rsidP="001D6B29">
      <w:pPr>
        <w:jc w:val="both"/>
        <w:rPr>
          <w:rFonts w:ascii="Times New Roman" w:eastAsia="Times New Roman" w:hAnsi="Times New Roman"/>
          <w:color w:val="000000"/>
          <w:sz w:val="24"/>
        </w:rPr>
      </w:pPr>
    </w:p>
    <w:p w14:paraId="413FA789" w14:textId="77777777" w:rsidR="001D6B29" w:rsidRDefault="001D6B29" w:rsidP="001D6B29">
      <w:pPr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ES L 435 6.12.2021) v platnom znení</w:t>
      </w:r>
    </w:p>
    <w:p w14:paraId="420B1959" w14:textId="77777777" w:rsidR="001D6B29" w:rsidRDefault="001D6B29" w:rsidP="001D6B29">
      <w:pPr>
        <w:jc w:val="both"/>
        <w:rPr>
          <w:rFonts w:ascii="Times New Roman" w:hAnsi="Times New Roman"/>
          <w:bCs/>
          <w:sz w:val="24"/>
          <w:szCs w:val="24"/>
        </w:rPr>
      </w:pPr>
      <w:r w:rsidRPr="004F5D85">
        <w:rPr>
          <w:rFonts w:ascii="Times New Roman" w:hAnsi="Times New Roman"/>
          <w:bCs/>
          <w:sz w:val="24"/>
          <w:szCs w:val="24"/>
        </w:rPr>
        <w:t>Gestor: Ministerstvo pôdohospodárstva a rozvoja vidieka SR</w:t>
      </w:r>
      <w:r w:rsidRPr="004F5D85" w:rsidDel="00C6119B">
        <w:rPr>
          <w:rFonts w:ascii="Times New Roman" w:hAnsi="Times New Roman"/>
          <w:bCs/>
          <w:sz w:val="24"/>
          <w:szCs w:val="24"/>
        </w:rPr>
        <w:t xml:space="preserve"> </w:t>
      </w:r>
    </w:p>
    <w:p w14:paraId="3ED8385C" w14:textId="77777777" w:rsidR="001D6B29" w:rsidRDefault="001D6B29" w:rsidP="001D6B29">
      <w:pPr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br/>
        <w:t>Delegované nariadenie Komisie (EÚ) 2025/2273 z 30. júna 2025, ktorým sa dopĺňa smernica Európskeho parlamentu a Rady (EÚ) 2024/1275, pokiaľ ide o vytvorenie rámca porovnávacej metodiky na výpočet nákladovo optimálnych úrovní minimálnych požiadaviek na energetickú hospodárnosť budov a prvkov budov (Ú. v. EÚ L, 2025/2273, 6.11.2025)</w:t>
      </w:r>
    </w:p>
    <w:p w14:paraId="07F6F0C6" w14:textId="77777777" w:rsidR="001D6B29" w:rsidRDefault="001D6B29" w:rsidP="001D6B29">
      <w:pPr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4F5D85">
        <w:rPr>
          <w:rFonts w:ascii="Times New Roman" w:hAnsi="Times New Roman"/>
          <w:bCs/>
          <w:sz w:val="24"/>
          <w:szCs w:val="24"/>
        </w:rPr>
        <w:t xml:space="preserve">Gestor: </w:t>
      </w:r>
      <w:r w:rsidRPr="004F5D85">
        <w:rPr>
          <w:rFonts w:ascii="Times New Roman" w:eastAsia="Times New Roman" w:hAnsi="Times New Roman"/>
          <w:bCs/>
          <w:sz w:val="24"/>
          <w:szCs w:val="24"/>
          <w:lang w:eastAsia="sk-SK"/>
        </w:rPr>
        <w:t>Ministerstv</w:t>
      </w:r>
      <w:r w:rsidRPr="0006326A">
        <w:rPr>
          <w:rFonts w:ascii="Times New Roman" w:eastAsia="Times New Roman" w:hAnsi="Times New Roman"/>
          <w:bCs/>
          <w:sz w:val="24"/>
          <w:szCs w:val="24"/>
          <w:lang w:eastAsia="sk-SK"/>
        </w:rPr>
        <w:t>o dopravy SR</w:t>
      </w:r>
    </w:p>
    <w:p w14:paraId="277F9D1E" w14:textId="77777777" w:rsidR="001D6B29" w:rsidRDefault="001D6B29" w:rsidP="001D6B2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5BB62C9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 xml:space="preserve">c) v judikatúre Súdneho dvora Európskej únie: </w:t>
      </w:r>
    </w:p>
    <w:p w14:paraId="60C99F85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1F99DBD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 xml:space="preserve">nie je obsiahnuté. </w:t>
      </w:r>
    </w:p>
    <w:p w14:paraId="50252F21" w14:textId="77777777" w:rsidR="001D6B29" w:rsidRPr="00473371" w:rsidRDefault="001D6B29" w:rsidP="001D6B29">
      <w:pPr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D8DEC2A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7337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4. Záväzky Slovenskej republiky vo vzťahu k Európskej únii:</w:t>
      </w:r>
    </w:p>
    <w:p w14:paraId="08A9E5AC" w14:textId="77777777" w:rsidR="001D6B29" w:rsidRPr="00473371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8DCA5DD" w14:textId="77777777" w:rsidR="001D6B29" w:rsidRDefault="001D6B29" w:rsidP="001D6B29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a)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uviesť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lehotu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na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prebranie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príslušného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právneho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aktu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Európskej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únie, príp.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aj</w:t>
      </w:r>
      <w:r w:rsidRPr="00473371">
        <w:rPr>
          <w:rFonts w:ascii="Times New Roman" w:eastAsia="Times New Roman" w:hAnsi="Times New Roman"/>
          <w:spacing w:val="22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 xml:space="preserve">osobitnú lehotu účinnosti jeho ustanovení: </w:t>
      </w:r>
    </w:p>
    <w:p w14:paraId="43D3F9D5" w14:textId="77777777" w:rsidR="001D6B29" w:rsidRPr="00473371" w:rsidRDefault="001D6B29" w:rsidP="001D6B29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624459C" w14:textId="77777777" w:rsidR="001D6B29" w:rsidRPr="00BC23D9" w:rsidRDefault="001D6B29" w:rsidP="001D6B29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- </w:t>
      </w:r>
      <w:r w:rsidRPr="00BC23D9">
        <w:rPr>
          <w:rFonts w:ascii="Times New Roman" w:eastAsia="Times New Roman" w:hAnsi="Times New Roman"/>
          <w:sz w:val="24"/>
          <w:szCs w:val="24"/>
          <w:lang w:eastAsia="sk-SK"/>
        </w:rPr>
        <w:t>smernicu ako celok je potrebné transponovať do 29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BC23D9">
        <w:rPr>
          <w:rFonts w:ascii="Times New Roman" w:eastAsia="Times New Roman" w:hAnsi="Times New Roman"/>
          <w:sz w:val="24"/>
          <w:szCs w:val="24"/>
          <w:lang w:eastAsia="sk-SK"/>
        </w:rPr>
        <w:t>05.2026, avšak v súvislosti s článkom 17 ods. 15 smernice bolo potrebné dať právne predpisy do súladu do 01.01.2025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;</w:t>
      </w:r>
    </w:p>
    <w:p w14:paraId="288F345C" w14:textId="77777777" w:rsidR="001D6B29" w:rsidRPr="00473371" w:rsidRDefault="001D6B29" w:rsidP="001D6B29">
      <w:pPr>
        <w:pStyle w:val="Odsekzoznamu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8D87A3A" w14:textId="77777777" w:rsidR="001D6B29" w:rsidRDefault="001D6B29" w:rsidP="001D6B29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b)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uviesť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informáciu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o začatí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postupu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Európskej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komisie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alebo o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konaní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Súdneho</w:t>
      </w:r>
      <w:r w:rsidRPr="00473371">
        <w:rPr>
          <w:rFonts w:ascii="Times New Roman" w:eastAsia="Times New Roman" w:hAnsi="Times New Roman"/>
          <w:spacing w:val="40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dvora Európskej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únie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proti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Slovenskej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republike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podľa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čl.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258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260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73371">
        <w:rPr>
          <w:rFonts w:ascii="Times New Roman" w:eastAsia="Times New Roman" w:hAnsi="Times New Roman"/>
          <w:spacing w:val="49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o fungovaní Európskej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únie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jej platnom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znení,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spolu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s uvedením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konkrétnych</w:t>
      </w:r>
      <w:r w:rsidRPr="00473371">
        <w:rPr>
          <w:rFonts w:ascii="Times New Roman" w:eastAsia="Times New Roman" w:hAnsi="Times New Roman"/>
          <w:spacing w:val="118"/>
          <w:sz w:val="24"/>
          <w:szCs w:val="24"/>
          <w:lang w:eastAsia="sk-SK"/>
        </w:rPr>
        <w:t xml:space="preserve">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vytýkaných nedostatkov a požiadaviek na zabezpečenie nápravy</w:t>
      </w:r>
    </w:p>
    <w:p w14:paraId="43D5BD84" w14:textId="77777777" w:rsidR="001D6B29" w:rsidRPr="00473371" w:rsidRDefault="001D6B29" w:rsidP="001D6B29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9D43E80" w14:textId="77777777" w:rsidR="001D6B29" w:rsidRPr="0006326A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 xml:space="preserve">Formálne oznámenie Európskej komisie C(2026)1132 </w:t>
      </w:r>
      <w:proofErr w:type="spellStart"/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final</w:t>
      </w:r>
      <w:proofErr w:type="spellEnd"/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 xml:space="preserve"> - Konanie je vedené voči Slovenskej republike pre nepredloženie národného plánu obnovy budov, ako sa vyžaduje 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článku 3 ods. 3 smernice EP a Rady (EÚ) 2024/1275 z 24. apríla 2024 o energetickej hospodárnosti budov, ktorý mala Slovenská republika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predložiť Európskej komisii do 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31.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decembra 2025. V súlade s článkom 258 Zmluvy o fungovaní Európskej únie Komisia vyzýva vládu Slovenskej republiky, aby jej predložila pripomienky k uvedenej veci do dvoch mesiacov odo dňa doručenia tohto listu.;</w:t>
      </w:r>
    </w:p>
    <w:p w14:paraId="5E6EB4A0" w14:textId="77777777" w:rsidR="001D6B29" w:rsidRPr="0006326A" w:rsidRDefault="001D6B29" w:rsidP="001D6B29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144F57" w14:textId="77777777" w:rsidR="001D6B29" w:rsidRDefault="001D6B29" w:rsidP="001D6B29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c) uviesť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informáciu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o právnych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predpisoch,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v ktorých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sú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uvádzané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právne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akty</w:t>
      </w:r>
      <w:r w:rsidRPr="0006326A">
        <w:rPr>
          <w:rFonts w:ascii="Times New Roman" w:eastAsia="Times New Roman" w:hAnsi="Times New Roman"/>
          <w:spacing w:val="8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Európskej únie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už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prebrané,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spolu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s uvedením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ich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prebrania príp.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potreby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prijatia</w:t>
      </w:r>
      <w:r w:rsidRPr="0006326A">
        <w:rPr>
          <w:rFonts w:ascii="Times New Roman" w:eastAsia="Times New Roman" w:hAnsi="Times New Roman"/>
          <w:spacing w:val="19"/>
          <w:sz w:val="24"/>
          <w:szCs w:val="24"/>
          <w:lang w:eastAsia="sk-SK"/>
        </w:rPr>
        <w:t xml:space="preserve"> </w:t>
      </w: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>ďalších úprav</w:t>
      </w:r>
    </w:p>
    <w:p w14:paraId="1E34A80E" w14:textId="77777777" w:rsidR="001D6B29" w:rsidRPr="0006326A" w:rsidRDefault="001D6B29" w:rsidP="001D6B29">
      <w:pPr>
        <w:pStyle w:val="Odsekzoznamu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51FE6B1" w14:textId="77777777" w:rsidR="001D6B29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6326A">
        <w:rPr>
          <w:rFonts w:ascii="Times New Roman" w:eastAsia="Times New Roman" w:hAnsi="Times New Roman"/>
          <w:sz w:val="24"/>
          <w:szCs w:val="24"/>
          <w:lang w:eastAsia="sk-SK"/>
        </w:rPr>
        <w:t xml:space="preserve">Zákon č. 555/2005 Z. z. o energetickej hospodárnosti budov </w:t>
      </w:r>
      <w:r w:rsidRPr="004A4C7A">
        <w:rPr>
          <w:rFonts w:ascii="Times New Roman" w:eastAsia="Times New Roman" w:hAnsi="Times New Roman"/>
          <w:sz w:val="24"/>
          <w:szCs w:val="24"/>
          <w:lang w:eastAsia="sk-SK"/>
        </w:rPr>
        <w:t xml:space="preserve">a o zmene a doplnení niektorých zákonov v znení neskorších </w:t>
      </w:r>
      <w:r w:rsidRPr="00473371">
        <w:rPr>
          <w:rFonts w:ascii="Times New Roman" w:eastAsia="Times New Roman" w:hAnsi="Times New Roman"/>
          <w:sz w:val="24"/>
          <w:szCs w:val="24"/>
          <w:lang w:eastAsia="sk-SK"/>
        </w:rPr>
        <w:t>predpis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ov - rozsah prebratia čiastočný,</w:t>
      </w:r>
    </w:p>
    <w:p w14:paraId="13E20AB1" w14:textId="77777777" w:rsidR="001D6B29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57109">
        <w:rPr>
          <w:rFonts w:ascii="Times New Roman" w:eastAsia="Times New Roman" w:hAnsi="Times New Roman"/>
          <w:sz w:val="24"/>
          <w:szCs w:val="24"/>
          <w:lang w:eastAsia="sk-SK"/>
        </w:rPr>
        <w:t>Vyhláška č. 364/2012 Z. z. ktorou sa vykonáva zákon č. 555/2005 Z. z. o energetickej hospodárnosti budov a o zmene a doplnení niektorých zákonov v znení neskorších predpisov</w:t>
      </w:r>
      <w:r w:rsidRPr="00957109">
        <w:t xml:space="preserve"> </w:t>
      </w:r>
      <w:r w:rsidRPr="00957109">
        <w:rPr>
          <w:rFonts w:ascii="Times New Roman" w:eastAsia="Times New Roman" w:hAnsi="Times New Roman"/>
          <w:sz w:val="24"/>
          <w:szCs w:val="24"/>
          <w:lang w:eastAsia="sk-SK"/>
        </w:rPr>
        <w:t>– rozsah prebratia čiastočný,</w:t>
      </w:r>
    </w:p>
    <w:p w14:paraId="61C0DB7A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Zákon č. 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314/2012 Z. z. o pravidelnej kontrole vykurovacích systémov a klimatizačných systémov a o zmene zákona č. 455/1991 Zb. o živnostenskom podnikaní (živnostenský zákon) v znení neskorších predpisov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- rozsah prebratia čiastočný,</w:t>
      </w:r>
    </w:p>
    <w:p w14:paraId="3EB0B37C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321/2014 Z. z. o energetickej efektívnosti a o zmene a doplnení niektorých zákonov v znení neskorších predpisov (MH SR)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- rozsah prebratia čiastočný,</w:t>
      </w:r>
    </w:p>
    <w:p w14:paraId="1BE25F8F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Zákon č. 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250/2012 Z. z. o regulácii v sieťových odvetviach (MH SR) - rozsah prebratia čiastočný,</w:t>
      </w:r>
    </w:p>
    <w:p w14:paraId="5678BDAD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Zákon č. 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309/2009 Z. z. o obnoviteľných zdrojoch energie a vysoko účinnej kombinovanej výroby efektívnosti a o zmene a doplnení niektorých zákonov v znení neskorších predpisov (MH SR) - rozsah prebratia čiastočný,</w:t>
      </w:r>
    </w:p>
    <w:p w14:paraId="71116FAF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251/2012 Z. z. o energetike a o zmene a doplnení niektorých zákonov v znení neskorších predpisov (MH SR) - rozsah prebratia čiastočný,</w:t>
      </w:r>
    </w:p>
    <w:p w14:paraId="44F6849C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657/2004 Z. z. o tepelnej energetike v znení neskorších predpisov (MH SR) - rozsah prebratia čiastočný,</w:t>
      </w:r>
    </w:p>
    <w:p w14:paraId="404A2E36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Zákon č. 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17/2007 Z. z. o pravidelnej kontrole kotlov, vykurovacích sústav a klimatizačných systémov a o zmene a doplnení niektorých zákonov v znení neskorších predpisov (MH SR) - rozsah prebratia čiastočný,</w:t>
      </w:r>
    </w:p>
    <w:p w14:paraId="78DBA9C7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Vyhláška Ministerstva hospodárstva Slovenskej republiky č. 308/2016 Z. z., ktorou sa ustanovuje postup pri výpočte faktora primárnej energie systému centralizovaného zásobovania teplom (MH SR) - rozsah prebratia čiastočný,</w:t>
      </w:r>
    </w:p>
    <w:p w14:paraId="1E0D212B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69/2018 Z. z. o kybernetickej bezpečnosti a o zmene a doplnení niektorých zákonov v znení neskorších predpisov (NBÚ) - rozsah prebratia čiastočný,</w:t>
      </w:r>
    </w:p>
    <w:p w14:paraId="78BE3B6B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60/2018 Z. z. o technickej normalizácii v znení neskorších predpisov (ÚNMS SR) - rozsah prebratia čiastočný,</w:t>
      </w:r>
    </w:p>
    <w:p w14:paraId="34FA7F0B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Zákon č. 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182/1993 Z. z. o vlastníctve bytov a nebytových priestorov v znení neskorších predpisov (MV SR) - rozsah prebratia čiastočný,</w:t>
      </w:r>
    </w:p>
    <w:p w14:paraId="08E8968D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25/2025 Z. z. Stavebný zákon a o zmene a doplnení niektorých zákonov (Stavebný zákon) (MD SR) - rozsah prebratia čiastočný,</w:t>
      </w:r>
    </w:p>
    <w:p w14:paraId="5DE4529F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Zákon č. 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150/2013 Z. z. o Štátnom fonde rozvoja bývania v znení neskorších predpisov (MD SR) - rozsah prebratia čiastočný,</w:t>
      </w:r>
    </w:p>
    <w:p w14:paraId="1B428ED5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Zákon č. 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138/1992 Zb. o autorizovaných architektoch a autorizovaných stavebných inžinieroch v znení neskorších predpisov (MD SR) - rozsah prebratia čiastočný,</w:t>
      </w:r>
    </w:p>
    <w:p w14:paraId="636E3886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133/2013 Z. z. o stavebných výrobkoch a o zmene a doplnení niektorých zákonov v znení neskorších predpisov (MD SR) - rozsah prebratia čiastočný,</w:t>
      </w:r>
    </w:p>
    <w:p w14:paraId="167B60E5" w14:textId="77777777" w:rsidR="001D6B29" w:rsidRPr="0031021F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Zákon č. 414/2012 Z. z. o obchodovaní s emisnými kvótami a o zmene a doplnení niektorých zákonov v znení neskorších predpisov (MŽP SR) - rozsah prebratia čiastočný,</w:t>
      </w:r>
    </w:p>
    <w:p w14:paraId="16410078" w14:textId="77777777" w:rsidR="001D6B29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Zákon č. 483/2001 Z. z. o bankách a o zmene a doplnení niektorých zákonov v znení neskorších predpisov (MF SR) - rozsah prebratia čiastočn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ý,</w:t>
      </w:r>
    </w:p>
    <w:p w14:paraId="56BBB5D0" w14:textId="77777777" w:rsidR="001D6B29" w:rsidRPr="004F5D85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F5D85">
        <w:rPr>
          <w:rFonts w:ascii="Times New Roman" w:eastAsia="Times New Roman" w:hAnsi="Times New Roman"/>
          <w:sz w:val="24"/>
          <w:szCs w:val="24"/>
          <w:lang w:eastAsia="sk-SK"/>
        </w:rPr>
        <w:t>Zákon č. 417/2013 Z. z. o pomoci v hmotnej núdzi a o zmene a doplnení niektorých zákonov v znení neskorších predpisov (MPSVR SR)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- rozsah prebratia čiastočný,</w:t>
      </w:r>
    </w:p>
    <w:p w14:paraId="7A3ACB91" w14:textId="77777777" w:rsidR="001D6B29" w:rsidRPr="004F5D85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F5D85">
        <w:rPr>
          <w:rFonts w:ascii="Times New Roman" w:eastAsia="Times New Roman" w:hAnsi="Times New Roman"/>
          <w:sz w:val="24"/>
          <w:szCs w:val="24"/>
          <w:lang w:eastAsia="sk-SK"/>
        </w:rPr>
        <w:t>Zákon č. 483/2001 Z. z. o bankách a o zmene a doplnení niektorých zákonov v znení neskorších predpisov (MF SR)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- rozsah prebratia čiastočný,</w:t>
      </w:r>
    </w:p>
    <w:p w14:paraId="3CA0862B" w14:textId="77777777" w:rsidR="001D6B29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F5D85">
        <w:rPr>
          <w:rFonts w:ascii="Times New Roman" w:eastAsia="Times New Roman" w:hAnsi="Times New Roman"/>
          <w:sz w:val="24"/>
          <w:szCs w:val="24"/>
          <w:lang w:eastAsia="sk-SK"/>
        </w:rPr>
        <w:t>Zákon č. 443/2010 Z. z. o dotáciách na rozvoj bývania a o sociálnom bývaní v znení neskorších predpisov (MD SR)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- rozsah prebratia čiastočný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7547E946" w14:textId="77777777" w:rsidR="001D6B29" w:rsidRPr="004F5D85" w:rsidRDefault="001D6B29" w:rsidP="001D6B29">
      <w:pPr>
        <w:numPr>
          <w:ilvl w:val="0"/>
          <w:numId w:val="24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4A6">
        <w:rPr>
          <w:rFonts w:ascii="Times New Roman" w:eastAsia="Times New Roman" w:hAnsi="Times New Roman"/>
          <w:sz w:val="24"/>
          <w:szCs w:val="24"/>
          <w:lang w:eastAsia="sk-SK"/>
        </w:rPr>
        <w:t xml:space="preserve">Zákon č. 575/2001 Z. z. o organizácii činnosti vlády a organizácii ústrednej štátnej správy v znení neskorších predpisov (Úrad vlády SR) </w:t>
      </w:r>
      <w:r w:rsidRPr="0031021F">
        <w:rPr>
          <w:rFonts w:ascii="Times New Roman" w:eastAsia="Times New Roman" w:hAnsi="Times New Roman"/>
          <w:sz w:val="24"/>
          <w:szCs w:val="24"/>
          <w:lang w:eastAsia="sk-SK"/>
        </w:rPr>
        <w:t>- rozsah prebratia čiastočný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2CD1179" w14:textId="77777777" w:rsidR="001D6B29" w:rsidRDefault="001D6B29" w:rsidP="001D6B2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0243049" w14:textId="77777777" w:rsidR="001D6B29" w:rsidRPr="00E66FF7" w:rsidRDefault="001D6B29" w:rsidP="001D6B2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A4B2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5.</w:t>
      </w:r>
      <w:r w:rsidRPr="00E66FF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Pr="00CA4B2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Návrh zákona je zlučiteľný s právom Európskej únie:</w:t>
      </w:r>
    </w:p>
    <w:p w14:paraId="375D5ED9" w14:textId="77777777" w:rsidR="001D6B29" w:rsidRPr="00992B5B" w:rsidRDefault="001D6B29" w:rsidP="001D6B29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92B5B">
        <w:rPr>
          <w:rFonts w:ascii="Times New Roman" w:eastAsia="Times New Roman" w:hAnsi="Times New Roman"/>
          <w:sz w:val="24"/>
          <w:szCs w:val="24"/>
          <w:lang w:eastAsia="sk-SK"/>
        </w:rPr>
        <w:t>úplne</w:t>
      </w:r>
    </w:p>
    <w:p w14:paraId="140C8E44" w14:textId="77777777" w:rsidR="001D6B29" w:rsidRDefault="001D6B29" w:rsidP="001D6B29"/>
    <w:p w14:paraId="40BA7B9A" w14:textId="24A977D6" w:rsidR="001D6B29" w:rsidRDefault="001D6B29" w:rsidP="001D6B29">
      <w:pPr>
        <w:rPr>
          <w:rFonts w:ascii="Times New Roman" w:hAnsi="Times New Roman" w:cs="Times New Roman"/>
          <w:sz w:val="24"/>
          <w:szCs w:val="24"/>
        </w:rPr>
      </w:pPr>
    </w:p>
    <w:sectPr w:rsidR="001D6B29" w:rsidSect="001D6B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2351" w14:textId="77777777" w:rsidR="00492E44" w:rsidRDefault="00492E44">
      <w:pPr>
        <w:spacing w:after="0" w:line="240" w:lineRule="auto"/>
      </w:pPr>
      <w:r>
        <w:separator/>
      </w:r>
    </w:p>
  </w:endnote>
  <w:endnote w:type="continuationSeparator" w:id="0">
    <w:p w14:paraId="00E33CE2" w14:textId="77777777" w:rsidR="00492E44" w:rsidRDefault="0049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82E7" w14:textId="77777777" w:rsidR="001D6B29" w:rsidRDefault="001D6B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427D" w14:textId="77777777" w:rsidR="00492E44" w:rsidRDefault="00492E44">
      <w:pPr>
        <w:spacing w:after="0" w:line="240" w:lineRule="auto"/>
      </w:pPr>
      <w:r>
        <w:separator/>
      </w:r>
    </w:p>
  </w:footnote>
  <w:footnote w:type="continuationSeparator" w:id="0">
    <w:p w14:paraId="13CCC7A3" w14:textId="77777777" w:rsidR="00492E44" w:rsidRDefault="0049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BC0"/>
    <w:multiLevelType w:val="hybridMultilevel"/>
    <w:tmpl w:val="8030398A"/>
    <w:lvl w:ilvl="0" w:tplc="3E8023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9A649CE"/>
    <w:multiLevelType w:val="multilevel"/>
    <w:tmpl w:val="3698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735B3"/>
    <w:multiLevelType w:val="hybridMultilevel"/>
    <w:tmpl w:val="9ADEBFA8"/>
    <w:lvl w:ilvl="0" w:tplc="14EAC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B4C7A"/>
    <w:multiLevelType w:val="hybridMultilevel"/>
    <w:tmpl w:val="D7C2D1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34108"/>
    <w:multiLevelType w:val="multilevel"/>
    <w:tmpl w:val="1F40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84FCD"/>
    <w:multiLevelType w:val="hybridMultilevel"/>
    <w:tmpl w:val="0A5490DC"/>
    <w:lvl w:ilvl="0" w:tplc="6FDCEA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E20A2"/>
    <w:multiLevelType w:val="multilevel"/>
    <w:tmpl w:val="3B98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22472F"/>
    <w:multiLevelType w:val="hybridMultilevel"/>
    <w:tmpl w:val="30847F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97C1E"/>
    <w:multiLevelType w:val="hybridMultilevel"/>
    <w:tmpl w:val="1FE605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E7FBE"/>
    <w:multiLevelType w:val="hybridMultilevel"/>
    <w:tmpl w:val="FC24BAA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558FA"/>
    <w:multiLevelType w:val="hybridMultilevel"/>
    <w:tmpl w:val="869A6C88"/>
    <w:lvl w:ilvl="0" w:tplc="14EAC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B07A16"/>
    <w:multiLevelType w:val="hybridMultilevel"/>
    <w:tmpl w:val="53D46188"/>
    <w:lvl w:ilvl="0" w:tplc="BF00EC86">
      <w:start w:val="3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11B92"/>
    <w:multiLevelType w:val="hybridMultilevel"/>
    <w:tmpl w:val="AD148D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B32DB"/>
    <w:multiLevelType w:val="hybridMultilevel"/>
    <w:tmpl w:val="0944DE84"/>
    <w:lvl w:ilvl="0" w:tplc="1B54C2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CE77CB"/>
    <w:multiLevelType w:val="multilevel"/>
    <w:tmpl w:val="0A6E9B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BA219D"/>
    <w:multiLevelType w:val="hybridMultilevel"/>
    <w:tmpl w:val="4F90A34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F0627"/>
    <w:multiLevelType w:val="hybridMultilevel"/>
    <w:tmpl w:val="6DA01E10"/>
    <w:lvl w:ilvl="0" w:tplc="C10EEAF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C1E52"/>
    <w:multiLevelType w:val="hybridMultilevel"/>
    <w:tmpl w:val="BCE2C47E"/>
    <w:lvl w:ilvl="0" w:tplc="14EAC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61E6B"/>
    <w:multiLevelType w:val="hybridMultilevel"/>
    <w:tmpl w:val="3BDCD77C"/>
    <w:lvl w:ilvl="0" w:tplc="3E802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CA46CA4"/>
    <w:multiLevelType w:val="hybridMultilevel"/>
    <w:tmpl w:val="D6ECBC7A"/>
    <w:lvl w:ilvl="0" w:tplc="936AC1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5071831">
    <w:abstractNumId w:val="4"/>
  </w:num>
  <w:num w:numId="2" w16cid:durableId="1385835481">
    <w:abstractNumId w:val="1"/>
  </w:num>
  <w:num w:numId="3" w16cid:durableId="188876194">
    <w:abstractNumId w:val="22"/>
  </w:num>
  <w:num w:numId="4" w16cid:durableId="21713923">
    <w:abstractNumId w:val="2"/>
  </w:num>
  <w:num w:numId="5" w16cid:durableId="907225621">
    <w:abstractNumId w:val="13"/>
  </w:num>
  <w:num w:numId="6" w16cid:durableId="1852186009">
    <w:abstractNumId w:val="20"/>
  </w:num>
  <w:num w:numId="7" w16cid:durableId="1279801835">
    <w:abstractNumId w:val="0"/>
  </w:num>
  <w:num w:numId="8" w16cid:durableId="1597596394">
    <w:abstractNumId w:val="7"/>
  </w:num>
  <w:num w:numId="9" w16cid:durableId="982586131">
    <w:abstractNumId w:val="10"/>
  </w:num>
  <w:num w:numId="10" w16cid:durableId="1884756115">
    <w:abstractNumId w:val="3"/>
  </w:num>
  <w:num w:numId="11" w16cid:durableId="1775322826">
    <w:abstractNumId w:val="9"/>
  </w:num>
  <w:num w:numId="12" w16cid:durableId="1076897858">
    <w:abstractNumId w:val="18"/>
  </w:num>
  <w:num w:numId="13" w16cid:durableId="1773469804">
    <w:abstractNumId w:val="21"/>
  </w:num>
  <w:num w:numId="14" w16cid:durableId="1725449509">
    <w:abstractNumId w:val="12"/>
  </w:num>
  <w:num w:numId="15" w16cid:durableId="566960408">
    <w:abstractNumId w:val="23"/>
  </w:num>
  <w:num w:numId="16" w16cid:durableId="1456481306">
    <w:abstractNumId w:val="16"/>
  </w:num>
  <w:num w:numId="17" w16cid:durableId="1551071124">
    <w:abstractNumId w:val="6"/>
  </w:num>
  <w:num w:numId="18" w16cid:durableId="1283195423">
    <w:abstractNumId w:val="14"/>
  </w:num>
  <w:num w:numId="19" w16cid:durableId="1865941969">
    <w:abstractNumId w:val="15"/>
  </w:num>
  <w:num w:numId="20" w16cid:durableId="1280992143">
    <w:abstractNumId w:val="5"/>
  </w:num>
  <w:num w:numId="21" w16cid:durableId="1053777177">
    <w:abstractNumId w:val="17"/>
  </w:num>
  <w:num w:numId="22" w16cid:durableId="1469664217">
    <w:abstractNumId w:val="8"/>
  </w:num>
  <w:num w:numId="23" w16cid:durableId="590705672">
    <w:abstractNumId w:val="11"/>
  </w:num>
  <w:num w:numId="24" w16cid:durableId="19034431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29"/>
    <w:rsid w:val="001D6B29"/>
    <w:rsid w:val="00492E44"/>
    <w:rsid w:val="0070148A"/>
    <w:rsid w:val="007876F7"/>
    <w:rsid w:val="00BA293F"/>
    <w:rsid w:val="00DD4710"/>
    <w:rsid w:val="00F9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3822"/>
  <w15:chartTrackingRefBased/>
  <w15:docId w15:val="{E1170D81-F7E0-4E15-9198-C141173A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B29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6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6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D6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D6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6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6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6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6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6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6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D6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1D6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D6B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6B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6B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6B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6B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6B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D6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6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6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D6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D6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D6B29"/>
    <w:rPr>
      <w:i/>
      <w:iCs/>
      <w:color w:val="404040" w:themeColor="text1" w:themeTint="BF"/>
    </w:rPr>
  </w:style>
  <w:style w:type="paragraph" w:styleId="Odsekzoznamu">
    <w:name w:val="List Paragraph"/>
    <w:aliases w:val="body,Odsek zoznamu2,Normal bullet 2,Bullet list,1st level - Bullet List Paragraph,Lettre d'introduction,Paragrafo elenco,List Paragraph à moi,Paragraph,Bullet EY,List Paragraph11,Normal bullet 21,List Paragraph111,Bullet list1,lp,Dot pt,3"/>
    <w:basedOn w:val="Normlny"/>
    <w:link w:val="OdsekzoznamuChar"/>
    <w:uiPriority w:val="34"/>
    <w:qFormat/>
    <w:rsid w:val="001D6B2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D6B2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6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6B2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D6B29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1D6B2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D6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B29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D6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B29"/>
    <w:rPr>
      <w:kern w:val="0"/>
      <w:sz w:val="22"/>
      <w:szCs w:val="22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D6B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6B2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6B29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6B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6B29"/>
    <w:rPr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6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B29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Default">
    <w:name w:val="Default"/>
    <w:rsid w:val="001D6B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Zstupntext">
    <w:name w:val="Placeholder Text"/>
    <w:basedOn w:val="Predvolenpsmoodseku"/>
    <w:uiPriority w:val="99"/>
    <w:semiHidden/>
    <w:rsid w:val="001D6B29"/>
    <w:rPr>
      <w:rFonts w:ascii="Times New Roman" w:hAnsi="Times New Roman" w:cs="Times New Roman"/>
      <w:color w:val="808080"/>
    </w:rPr>
  </w:style>
  <w:style w:type="character" w:styleId="Vrazn">
    <w:name w:val="Strong"/>
    <w:basedOn w:val="Predvolenpsmoodseku"/>
    <w:uiPriority w:val="22"/>
    <w:qFormat/>
    <w:rsid w:val="001D6B29"/>
    <w:rPr>
      <w:b/>
      <w:bCs/>
    </w:rPr>
  </w:style>
  <w:style w:type="paragraph" w:customStyle="1" w:styleId="norm00e1lny">
    <w:name w:val="norm_00e1lny"/>
    <w:basedOn w:val="Normlny"/>
    <w:rsid w:val="001D6B29"/>
    <w:pPr>
      <w:spacing w:after="0" w:line="200" w:lineRule="atLeas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1D6B29"/>
    <w:rPr>
      <w:color w:val="0563C1"/>
      <w:u w:val="single"/>
    </w:rPr>
  </w:style>
  <w:style w:type="paragraph" w:customStyle="1" w:styleId="gmail-m-1648484718305530482msolistparagraph">
    <w:name w:val="gmail-m_-1648484718305530482msolistparagraph"/>
    <w:basedOn w:val="Normlny"/>
    <w:rsid w:val="001D6B29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B2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D6B2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uiPriority w:val="99"/>
    <w:semiHidden/>
    <w:unhideWhenUsed/>
    <w:rsid w:val="001D6B29"/>
    <w:rPr>
      <w:vertAlign w:val="superscript"/>
    </w:rPr>
  </w:style>
  <w:style w:type="character" w:styleId="slostrany">
    <w:name w:val="page number"/>
    <w:basedOn w:val="Predvolenpsmoodseku"/>
    <w:uiPriority w:val="99"/>
    <w:rsid w:val="001D6B29"/>
    <w:rPr>
      <w:rFonts w:cs="Times New Roman"/>
    </w:rPr>
  </w:style>
  <w:style w:type="table" w:styleId="Mriekatabuky">
    <w:name w:val="Table Grid"/>
    <w:basedOn w:val="Normlnatabuka"/>
    <w:uiPriority w:val="59"/>
    <w:rsid w:val="001D6B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1D6B29"/>
    <w:rPr>
      <w:color w:val="96607D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1D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Normal bullet 2 Char,Bullet list Char,1st level - Bullet List Paragraph Char,Lettre d'introduction Char,Paragrafo elenco Char,List Paragraph à moi Char,Paragraph Char,Bullet EY Char,List Paragraph11 Char"/>
    <w:link w:val="Odsekzoznamu"/>
    <w:uiPriority w:val="34"/>
    <w:qFormat/>
    <w:locked/>
    <w:rsid w:val="001D6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1141</Words>
  <Characters>6507</Characters>
  <Application>Microsoft Office Word</Application>
  <DocSecurity>0</DocSecurity>
  <Lines>54</Lines>
  <Paragraphs>15</Paragraphs>
  <ScaleCrop>false</ScaleCrop>
  <Company>Kancelaria Narodnej rady Slovenskej republiky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3</cp:revision>
  <dcterms:created xsi:type="dcterms:W3CDTF">2026-05-07T09:41:00Z</dcterms:created>
  <dcterms:modified xsi:type="dcterms:W3CDTF">2026-05-07T12:58:00Z</dcterms:modified>
</cp:coreProperties>
</file>