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A9805" w14:textId="77777777" w:rsidR="00592E79" w:rsidRDefault="00592E79" w:rsidP="00592E79">
      <w:pPr>
        <w:jc w:val="center"/>
        <w:rPr>
          <w:rFonts w:ascii="Times New Roman" w:hAnsi="Times New Roman"/>
          <w:b/>
          <w:spacing w:val="3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14:paraId="1E26F04E" w14:textId="77777777" w:rsidR="00592E79" w:rsidRDefault="00592E79" w:rsidP="00592E79">
      <w:pPr>
        <w:pBdr>
          <w:bottom w:val="single" w:sz="12" w:space="3" w:color="auto"/>
        </w:pBdr>
        <w:jc w:val="center"/>
        <w:rPr>
          <w:rFonts w:ascii="Times New Roman" w:hAnsi="Times New Roman"/>
          <w:spacing w:val="30"/>
          <w:sz w:val="24"/>
          <w:szCs w:val="24"/>
        </w:rPr>
      </w:pPr>
      <w:r>
        <w:rPr>
          <w:rFonts w:ascii="Times New Roman" w:hAnsi="Times New Roman"/>
          <w:spacing w:val="30"/>
          <w:sz w:val="24"/>
          <w:szCs w:val="24"/>
        </w:rPr>
        <w:t>IX. volebné obdobie</w:t>
      </w:r>
    </w:p>
    <w:p w14:paraId="56DD96CF" w14:textId="77777777" w:rsidR="00592E79" w:rsidRDefault="00592E79" w:rsidP="00592E79">
      <w:pPr>
        <w:jc w:val="center"/>
        <w:rPr>
          <w:rFonts w:asciiTheme="minorHAnsi" w:hAnsiTheme="minorHAnsi" w:cstheme="minorBidi"/>
          <w:spacing w:val="30"/>
          <w:szCs w:val="24"/>
          <w:highlight w:val="yellow"/>
        </w:rPr>
      </w:pPr>
    </w:p>
    <w:p w14:paraId="0DEF5F11" w14:textId="77777777" w:rsidR="00592E79" w:rsidRDefault="00592E79" w:rsidP="00592E79">
      <w:pPr>
        <w:jc w:val="center"/>
        <w:rPr>
          <w:rFonts w:ascii="Times New Roman" w:eastAsiaTheme="minorHAnsi" w:hAnsi="Times New Roman"/>
          <w:spacing w:val="30"/>
          <w:sz w:val="24"/>
        </w:rPr>
      </w:pPr>
    </w:p>
    <w:p w14:paraId="3C5826C6" w14:textId="77777777" w:rsidR="00592E79" w:rsidRDefault="00592E79" w:rsidP="00592E79">
      <w:pPr>
        <w:jc w:val="center"/>
        <w:rPr>
          <w:rFonts w:ascii="Times New Roman" w:hAnsi="Times New Roman"/>
          <w:b/>
          <w:caps/>
          <w:spacing w:val="30"/>
          <w:sz w:val="24"/>
        </w:rPr>
      </w:pPr>
    </w:p>
    <w:p w14:paraId="1CD45246" w14:textId="6957CF65" w:rsidR="00592E79" w:rsidRDefault="00F63075" w:rsidP="00592E79">
      <w:pPr>
        <w:jc w:val="center"/>
        <w:rPr>
          <w:rFonts w:ascii="Times New Roman" w:hAnsi="Times New Roman"/>
          <w:b/>
          <w:caps/>
          <w:spacing w:val="30"/>
          <w:sz w:val="24"/>
        </w:rPr>
      </w:pPr>
      <w:r>
        <w:rPr>
          <w:rFonts w:ascii="Times New Roman" w:hAnsi="Times New Roman"/>
          <w:b/>
          <w:caps/>
          <w:spacing w:val="30"/>
          <w:sz w:val="24"/>
        </w:rPr>
        <w:t>1313</w:t>
      </w:r>
    </w:p>
    <w:p w14:paraId="76F2D398" w14:textId="77777777" w:rsid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2F8015A" w14:textId="77777777" w:rsidR="00592E79" w:rsidRPr="00F53264" w:rsidRDefault="00592E79" w:rsidP="00592E79">
      <w:pPr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F53264">
        <w:rPr>
          <w:rFonts w:ascii="Times New Roman" w:hAnsi="Times New Roman"/>
          <w:b/>
          <w:spacing w:val="30"/>
          <w:sz w:val="24"/>
          <w:szCs w:val="24"/>
        </w:rPr>
        <w:t xml:space="preserve">VLÁDNY NÁVRH </w:t>
      </w:r>
    </w:p>
    <w:p w14:paraId="430683D2" w14:textId="77777777" w:rsidR="0042288B" w:rsidRPr="0042288B" w:rsidRDefault="0042288B" w:rsidP="0042288B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lang w:eastAsia="sk-SK"/>
        </w:rPr>
      </w:pPr>
    </w:p>
    <w:p w14:paraId="3B0E7E72" w14:textId="51079FE9" w:rsidR="0042288B" w:rsidRPr="0042288B" w:rsidRDefault="0042288B" w:rsidP="0042288B">
      <w:pPr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eastAsia="sk-SK"/>
        </w:rPr>
      </w:pPr>
      <w:r w:rsidRPr="0042288B">
        <w:rPr>
          <w:rFonts w:ascii="Times New Roman" w:hAnsi="Times New Roman"/>
          <w:b/>
          <w:bCs/>
          <w:caps/>
          <w:spacing w:val="30"/>
          <w:sz w:val="24"/>
          <w:szCs w:val="24"/>
          <w:lang w:eastAsia="sk-SK"/>
        </w:rPr>
        <w:t>Zákon</w:t>
      </w:r>
    </w:p>
    <w:p w14:paraId="72B13490" w14:textId="77777777" w:rsidR="0042288B" w:rsidRDefault="0042288B" w:rsidP="004228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173DCA3" w14:textId="5AA80A07" w:rsidR="0042288B" w:rsidRDefault="0042288B" w:rsidP="004228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 ... 2026,</w:t>
      </w:r>
    </w:p>
    <w:p w14:paraId="39A784BE" w14:textId="77777777" w:rsidR="0042288B" w:rsidRDefault="0042288B" w:rsidP="004228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5F9E8B4D" w14:textId="77777777" w:rsidR="0042288B" w:rsidRDefault="0042288B" w:rsidP="004228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2288B">
        <w:rPr>
          <w:rFonts w:ascii="Times New Roman" w:hAnsi="Times New Roman"/>
          <w:b/>
          <w:bCs/>
          <w:sz w:val="24"/>
          <w:szCs w:val="24"/>
          <w:lang w:eastAsia="sk-SK"/>
        </w:rPr>
        <w:t xml:space="preserve">ktorým sa dopĺňa zákon č. 385/2000 Z. z. o sudcoch a prísediacich </w:t>
      </w:r>
    </w:p>
    <w:p w14:paraId="16085A6D" w14:textId="433B93B6" w:rsidR="0042288B" w:rsidRPr="0042288B" w:rsidRDefault="0042288B" w:rsidP="004228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2288B">
        <w:rPr>
          <w:rFonts w:ascii="Times New Roman" w:hAnsi="Times New Roman"/>
          <w:b/>
          <w:bCs/>
          <w:sz w:val="24"/>
          <w:szCs w:val="24"/>
          <w:lang w:eastAsia="sk-SK"/>
        </w:rPr>
        <w:t>a o zmene a doplnení niektorých zákonov v znení neskorších predpisov</w:t>
      </w:r>
    </w:p>
    <w:p w14:paraId="2536B27E" w14:textId="77777777" w:rsid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2B2085F" w14:textId="77777777" w:rsid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D488915" w14:textId="1EE46456" w:rsidR="0042288B" w:rsidRDefault="0042288B" w:rsidP="004228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Národná rada Slovenskej republiky sa uzniesla na tomto zákone:</w:t>
      </w:r>
    </w:p>
    <w:p w14:paraId="79F95C4F" w14:textId="77777777" w:rsid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D3736FD" w14:textId="314FBA3A" w:rsidR="0042288B" w:rsidRPr="0042288B" w:rsidRDefault="0042288B" w:rsidP="004228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2288B">
        <w:rPr>
          <w:rFonts w:ascii="Times New Roman" w:hAnsi="Times New Roman"/>
          <w:b/>
          <w:bCs/>
          <w:sz w:val="24"/>
          <w:szCs w:val="24"/>
          <w:lang w:eastAsia="sk-SK"/>
        </w:rPr>
        <w:t>Čl. I</w:t>
      </w:r>
    </w:p>
    <w:p w14:paraId="224DF9BA" w14:textId="77777777" w:rsid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72C6B69" w14:textId="06903687" w:rsidR="0042288B" w:rsidRDefault="0042288B" w:rsidP="004228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42288B">
        <w:rPr>
          <w:rFonts w:ascii="Times New Roman" w:hAnsi="Times New Roman"/>
          <w:sz w:val="24"/>
          <w:szCs w:val="24"/>
          <w:lang w:eastAsia="sk-SK"/>
        </w:rPr>
        <w:t>Zákon č. 385/2000 Z. z. o sudcoch a prísediacich a o zmene a doplnení niektorých zákonov v znení zákona č. 185/2002 Z. z., zákona č. 670/2002 Z. z., zákona č. 426/2003 Z. z., zákona č. 458/2003 Z. z., zákona č. 462/2003 Z. z., zákona č. 505/2003 Z. z., zákona č. 514/2003 Z. z., zákona č. 548/2003 Z. z., zákona č. 267/2004 Z. z., zákona č. 403/2004 Z. z., zákona č. 530/2004 Z. z., zákona č. 586/2004 Z. z., zákona č. 609/2004 Z. z., zákona č. 757/2004 Z. z., zákona č. 122/2005 Z. z., zákona č. 622/2005 Z. z., nálezu Ústavného súdu Slovenskej republiky č. 15/2008 Z. z., zákona č. 517/2008 Z. z., zákona č. 520/2008 Z. z., zákona č. 59/2009 Z. z., nálezu Ústavného súdu Slovenskej republiky č. 290/2009 Z. z., zákona č. 291/2009 Z. z., zákona č. 500/2010 Z. z., zákona č. 543/2010 Z. z., zákona č. 33/2011 Z. z., zákona č. 100/2011 Z. z., zákona č. 467/2011 Z. z., zákona č. 503/2011 Z. z., zákona č. 79/2012 Z. z., zákona č. 335/2012 Z. z., zákona č. 392/2012 Z. z., zákona č. 462/2013 Z. z., zákona č. 195/2014 Z. z., nálezu Ústavného súdu Slovenskej republiky č. 216/2014 Z. z., uznesenia Ústavného súdu Slovenskej republiky č. 261/2014 Z. z., zákona č. 307/2014 Z. z., zákona č. 322/2014 Z. z., zákona č. 362/2014 Z. z., zákona č. 401/2015 Z. z., nálezu Ústavného súdu Slovenskej republiky č. 443/2015 Z. z., zákona č. 125/2016 Z. z., zákona č. 152/2017 Z. z., zákona č. 177/2018 Z. z., zákona č. 314/2018 Z. z., nálezu Ústavného súdu Slovenskej republiky č. 40/2019 Z. z., zákona č. 282/2019 Z. z., zákona č. 397/2019 Z. z., zákona č. 459/2019 Z. z., zákona č. 241/2020 Z. z., zákona č. 423/2020 Z. z., zákona č. 71/2021 Z. z., zákona č. 432/2021 Z. z., zákona č. 150/2022 Z. z., zákona č. 151/2022 Z. z., zákona č. 398/2022 Z. z., nálezu Ústavného súdu Slovenskej republiky č. 14/2024 Z. z.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Pr="0042288B">
        <w:rPr>
          <w:rFonts w:ascii="Times New Roman" w:hAnsi="Times New Roman"/>
          <w:sz w:val="24"/>
          <w:szCs w:val="24"/>
          <w:lang w:eastAsia="sk-SK"/>
        </w:rPr>
        <w:t xml:space="preserve"> zákona č. 40/2024 Z. z. </w:t>
      </w:r>
      <w:r>
        <w:rPr>
          <w:rFonts w:ascii="Times New Roman" w:hAnsi="Times New Roman"/>
          <w:sz w:val="24"/>
          <w:szCs w:val="24"/>
          <w:lang w:eastAsia="sk-SK"/>
        </w:rPr>
        <w:t xml:space="preserve">a zákona č. 270/2025 Z. z. </w:t>
      </w:r>
      <w:r w:rsidRPr="0042288B">
        <w:rPr>
          <w:rFonts w:ascii="Times New Roman" w:hAnsi="Times New Roman"/>
          <w:sz w:val="24"/>
          <w:szCs w:val="24"/>
          <w:lang w:eastAsia="sk-SK"/>
        </w:rPr>
        <w:t>sa dopĺňa takto:</w:t>
      </w:r>
    </w:p>
    <w:p w14:paraId="2A8486CE" w14:textId="77777777" w:rsid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3ABD2E2" w14:textId="794BB8C1" w:rsidR="0042288B" w:rsidRP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2288B">
        <w:rPr>
          <w:rFonts w:ascii="Times New Roman" w:hAnsi="Times New Roman"/>
          <w:sz w:val="24"/>
          <w:szCs w:val="24"/>
          <w:lang w:eastAsia="sk-SK"/>
        </w:rPr>
        <w:t>Za § 151z</w:t>
      </w:r>
      <w:r>
        <w:rPr>
          <w:rFonts w:ascii="Times New Roman" w:hAnsi="Times New Roman"/>
          <w:sz w:val="24"/>
          <w:szCs w:val="24"/>
          <w:lang w:eastAsia="sk-SK"/>
        </w:rPr>
        <w:t>h</w:t>
      </w:r>
      <w:r w:rsidRPr="0042288B">
        <w:rPr>
          <w:rFonts w:ascii="Times New Roman" w:hAnsi="Times New Roman"/>
          <w:sz w:val="24"/>
          <w:szCs w:val="24"/>
          <w:lang w:eastAsia="sk-SK"/>
        </w:rPr>
        <w:t xml:space="preserve"> sa vklad</w:t>
      </w:r>
      <w:r>
        <w:rPr>
          <w:rFonts w:ascii="Times New Roman" w:hAnsi="Times New Roman"/>
          <w:sz w:val="24"/>
          <w:szCs w:val="24"/>
          <w:lang w:eastAsia="sk-SK"/>
        </w:rPr>
        <w:t>á § 151zi</w:t>
      </w:r>
      <w:r w:rsidRPr="0042288B">
        <w:rPr>
          <w:rFonts w:ascii="Times New Roman" w:hAnsi="Times New Roman"/>
          <w:sz w:val="24"/>
          <w:szCs w:val="24"/>
          <w:lang w:eastAsia="sk-SK"/>
        </w:rPr>
        <w:t>, ktor</w:t>
      </w:r>
      <w:r>
        <w:rPr>
          <w:rFonts w:ascii="Times New Roman" w:hAnsi="Times New Roman"/>
          <w:sz w:val="24"/>
          <w:szCs w:val="24"/>
          <w:lang w:eastAsia="sk-SK"/>
        </w:rPr>
        <w:t>ý</w:t>
      </w:r>
      <w:r w:rsidRPr="0042288B">
        <w:rPr>
          <w:rFonts w:ascii="Times New Roman" w:hAnsi="Times New Roman"/>
          <w:sz w:val="24"/>
          <w:szCs w:val="24"/>
          <w:lang w:eastAsia="sk-SK"/>
        </w:rPr>
        <w:t xml:space="preserve"> vrátane nadpis</w:t>
      </w:r>
      <w:r>
        <w:rPr>
          <w:rFonts w:ascii="Times New Roman" w:hAnsi="Times New Roman"/>
          <w:sz w:val="24"/>
          <w:szCs w:val="24"/>
          <w:lang w:eastAsia="sk-SK"/>
        </w:rPr>
        <w:t>u</w:t>
      </w:r>
      <w:r w:rsidRPr="0042288B">
        <w:rPr>
          <w:rFonts w:ascii="Times New Roman" w:hAnsi="Times New Roman"/>
          <w:sz w:val="24"/>
          <w:szCs w:val="24"/>
          <w:lang w:eastAsia="sk-SK"/>
        </w:rPr>
        <w:t xml:space="preserve"> zn</w:t>
      </w:r>
      <w:r>
        <w:rPr>
          <w:rFonts w:ascii="Times New Roman" w:hAnsi="Times New Roman"/>
          <w:sz w:val="24"/>
          <w:szCs w:val="24"/>
          <w:lang w:eastAsia="sk-SK"/>
        </w:rPr>
        <w:t>ie</w:t>
      </w:r>
      <w:r w:rsidRPr="0042288B">
        <w:rPr>
          <w:rFonts w:ascii="Times New Roman" w:hAnsi="Times New Roman"/>
          <w:sz w:val="24"/>
          <w:szCs w:val="24"/>
          <w:lang w:eastAsia="sk-SK"/>
        </w:rPr>
        <w:t>:</w:t>
      </w:r>
    </w:p>
    <w:p w14:paraId="71C5C7B8" w14:textId="77777777" w:rsidR="0042288B" w:rsidRP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B8BD0B5" w14:textId="49624738" w:rsidR="0042288B" w:rsidRPr="0042288B" w:rsidRDefault="0042288B" w:rsidP="004228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42288B">
        <w:rPr>
          <w:rFonts w:ascii="Times New Roman" w:hAnsi="Times New Roman"/>
          <w:sz w:val="24"/>
          <w:szCs w:val="24"/>
          <w:lang w:eastAsia="sk-SK"/>
        </w:rPr>
        <w:t>„§ 151z</w:t>
      </w:r>
      <w:r w:rsidR="00B47D28">
        <w:rPr>
          <w:rFonts w:ascii="Times New Roman" w:hAnsi="Times New Roman"/>
          <w:sz w:val="24"/>
          <w:szCs w:val="24"/>
          <w:lang w:eastAsia="sk-SK"/>
        </w:rPr>
        <w:t>i</w:t>
      </w:r>
    </w:p>
    <w:p w14:paraId="120E11DB" w14:textId="30ABFA6F" w:rsidR="00816E37" w:rsidRDefault="00816E37" w:rsidP="00816E3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42288B">
        <w:rPr>
          <w:rFonts w:ascii="Times New Roman" w:hAnsi="Times New Roman"/>
          <w:sz w:val="24"/>
          <w:szCs w:val="24"/>
          <w:lang w:eastAsia="sk-SK"/>
        </w:rPr>
        <w:t xml:space="preserve">Prechodné ustanovenia účinné od 1. novembra </w:t>
      </w:r>
      <w:r>
        <w:rPr>
          <w:rFonts w:ascii="Times New Roman" w:hAnsi="Times New Roman"/>
          <w:sz w:val="24"/>
          <w:szCs w:val="24"/>
          <w:lang w:eastAsia="sk-SK"/>
        </w:rPr>
        <w:t>2026</w:t>
      </w:r>
    </w:p>
    <w:p w14:paraId="50B34CF7" w14:textId="77777777" w:rsidR="00816E37" w:rsidRPr="0042288B" w:rsidRDefault="00816E37" w:rsidP="00816E3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C7C97A2" w14:textId="38AD8B70" w:rsidR="0042288B" w:rsidRPr="0042288B" w:rsidRDefault="00816E37" w:rsidP="004228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Del="00816E3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2288B" w:rsidRPr="0042288B">
        <w:rPr>
          <w:rFonts w:ascii="Times New Roman" w:hAnsi="Times New Roman"/>
          <w:sz w:val="24"/>
          <w:szCs w:val="24"/>
          <w:lang w:eastAsia="sk-SK"/>
        </w:rPr>
        <w:t xml:space="preserve">(1) Ak sudca najvyššieho súdu, ktorý bol k 31. júlu 2021 členom správneho kolégia najvyššieho súdu, požiada do 30. novembra </w:t>
      </w:r>
      <w:r w:rsidR="0042288B">
        <w:rPr>
          <w:rFonts w:ascii="Times New Roman" w:hAnsi="Times New Roman"/>
          <w:sz w:val="24"/>
          <w:szCs w:val="24"/>
          <w:lang w:eastAsia="sk-SK"/>
        </w:rPr>
        <w:t>2026</w:t>
      </w:r>
      <w:r w:rsidR="0042288B" w:rsidRPr="0042288B">
        <w:rPr>
          <w:rFonts w:ascii="Times New Roman" w:hAnsi="Times New Roman"/>
          <w:sz w:val="24"/>
          <w:szCs w:val="24"/>
          <w:lang w:eastAsia="sk-SK"/>
        </w:rPr>
        <w:t xml:space="preserve"> o preloženie na najvyšší správny súd, súdna rada </w:t>
      </w:r>
      <w:r w:rsidR="00337DF1">
        <w:rPr>
          <w:rFonts w:ascii="Times New Roman" w:hAnsi="Times New Roman"/>
          <w:sz w:val="24"/>
          <w:szCs w:val="24"/>
          <w:lang w:eastAsia="sk-SK"/>
        </w:rPr>
        <w:t>môže rozhodnúť</w:t>
      </w:r>
      <w:r w:rsidR="00337DF1" w:rsidRPr="0042288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2288B" w:rsidRPr="0042288B">
        <w:rPr>
          <w:rFonts w:ascii="Times New Roman" w:hAnsi="Times New Roman"/>
          <w:sz w:val="24"/>
          <w:szCs w:val="24"/>
          <w:lang w:eastAsia="sk-SK"/>
        </w:rPr>
        <w:t xml:space="preserve">o jeho preložení </w:t>
      </w:r>
      <w:r w:rsidR="00337DF1">
        <w:rPr>
          <w:rFonts w:ascii="Times New Roman" w:hAnsi="Times New Roman"/>
          <w:sz w:val="24"/>
          <w:szCs w:val="24"/>
          <w:lang w:eastAsia="sk-SK"/>
        </w:rPr>
        <w:t xml:space="preserve">na najvyšší </w:t>
      </w:r>
      <w:r w:rsidR="006C75CF">
        <w:rPr>
          <w:rFonts w:ascii="Times New Roman" w:hAnsi="Times New Roman"/>
          <w:sz w:val="24"/>
          <w:szCs w:val="24"/>
          <w:lang w:eastAsia="sk-SK"/>
        </w:rPr>
        <w:t xml:space="preserve">správny </w:t>
      </w:r>
      <w:r w:rsidR="00337DF1">
        <w:rPr>
          <w:rFonts w:ascii="Times New Roman" w:hAnsi="Times New Roman"/>
          <w:sz w:val="24"/>
          <w:szCs w:val="24"/>
          <w:lang w:eastAsia="sk-SK"/>
        </w:rPr>
        <w:t xml:space="preserve">súd </w:t>
      </w:r>
      <w:r w:rsidR="0042288B" w:rsidRPr="0042288B">
        <w:rPr>
          <w:rFonts w:ascii="Times New Roman" w:hAnsi="Times New Roman"/>
          <w:sz w:val="24"/>
          <w:szCs w:val="24"/>
          <w:lang w:eastAsia="sk-SK"/>
        </w:rPr>
        <w:t xml:space="preserve">bez vykonania dohľadu nad spĺňaním predpokladov sudcovskej spôsobilosti. </w:t>
      </w:r>
    </w:p>
    <w:p w14:paraId="62D1FB04" w14:textId="77777777" w:rsidR="0042288B" w:rsidRPr="0042288B" w:rsidRDefault="0042288B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5E96AC5" w14:textId="758FF3CE" w:rsidR="00D4123F" w:rsidRDefault="0042288B" w:rsidP="004228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42288B">
        <w:rPr>
          <w:rFonts w:ascii="Times New Roman" w:hAnsi="Times New Roman"/>
          <w:sz w:val="24"/>
          <w:szCs w:val="24"/>
          <w:lang w:eastAsia="sk-SK"/>
        </w:rPr>
        <w:t xml:space="preserve">(2) Súdna rada rozhodne podľa odseku 1 do 31. januára </w:t>
      </w:r>
      <w:r>
        <w:rPr>
          <w:rFonts w:ascii="Times New Roman" w:hAnsi="Times New Roman"/>
          <w:sz w:val="24"/>
          <w:szCs w:val="24"/>
          <w:lang w:eastAsia="sk-SK"/>
        </w:rPr>
        <w:t>2027</w:t>
      </w:r>
      <w:r w:rsidRPr="0042288B">
        <w:rPr>
          <w:rFonts w:ascii="Times New Roman" w:hAnsi="Times New Roman"/>
          <w:sz w:val="24"/>
          <w:szCs w:val="24"/>
          <w:lang w:eastAsia="sk-SK"/>
        </w:rPr>
        <w:t>; pri určení termínu preloženia súdna rada zohľadní vyjadrenie predsedu najvyššieho súdu a</w:t>
      </w:r>
      <w:r w:rsidR="006B30DC">
        <w:rPr>
          <w:rFonts w:ascii="Times New Roman" w:hAnsi="Times New Roman"/>
          <w:sz w:val="24"/>
          <w:szCs w:val="24"/>
          <w:lang w:eastAsia="sk-SK"/>
        </w:rPr>
        <w:t xml:space="preserve"> vyjadrenie </w:t>
      </w:r>
      <w:r w:rsidRPr="0042288B">
        <w:rPr>
          <w:rFonts w:ascii="Times New Roman" w:hAnsi="Times New Roman"/>
          <w:sz w:val="24"/>
          <w:szCs w:val="24"/>
          <w:lang w:eastAsia="sk-SK"/>
        </w:rPr>
        <w:t xml:space="preserve">predsedu najvyššieho správneho súdu. Ak </w:t>
      </w:r>
      <w:r w:rsidR="0038019B">
        <w:rPr>
          <w:rFonts w:ascii="Times New Roman" w:hAnsi="Times New Roman"/>
          <w:sz w:val="24"/>
          <w:szCs w:val="24"/>
          <w:lang w:eastAsia="sk-SK"/>
        </w:rPr>
        <w:t>je</w:t>
      </w:r>
      <w:r w:rsidR="0038019B" w:rsidRPr="0042288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42288B">
        <w:rPr>
          <w:rFonts w:ascii="Times New Roman" w:hAnsi="Times New Roman"/>
          <w:sz w:val="24"/>
          <w:szCs w:val="24"/>
          <w:lang w:eastAsia="sk-SK"/>
        </w:rPr>
        <w:t>sudca v čase preloženia ustanovený do funkcie predsedu senátu, funkcia predsedu senátu mu zostáva zachovaná aj na najvyššom správnom súde.</w:t>
      </w:r>
    </w:p>
    <w:p w14:paraId="1C1D8F98" w14:textId="77777777" w:rsidR="00D4123F" w:rsidRDefault="00D4123F" w:rsidP="004228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C97A823" w14:textId="6B32E2F6" w:rsidR="0042288B" w:rsidRDefault="00D4123F" w:rsidP="004228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(3) Ak počet </w:t>
      </w:r>
      <w:r w:rsidR="00A37137">
        <w:rPr>
          <w:rFonts w:ascii="Times New Roman" w:hAnsi="Times New Roman"/>
          <w:sz w:val="24"/>
          <w:szCs w:val="24"/>
          <w:lang w:eastAsia="sk-SK"/>
        </w:rPr>
        <w:t xml:space="preserve">žiadostí podľa odseku 1 prevyšuje počet </w:t>
      </w:r>
      <w:r>
        <w:rPr>
          <w:rFonts w:ascii="Times New Roman" w:hAnsi="Times New Roman"/>
          <w:sz w:val="24"/>
          <w:szCs w:val="24"/>
          <w:lang w:eastAsia="sk-SK"/>
        </w:rPr>
        <w:t xml:space="preserve">voľných miest sudcov najvyššieho </w:t>
      </w:r>
      <w:r w:rsidR="00900CB6">
        <w:rPr>
          <w:rFonts w:ascii="Times New Roman" w:hAnsi="Times New Roman"/>
          <w:sz w:val="24"/>
          <w:szCs w:val="24"/>
          <w:lang w:eastAsia="sk-SK"/>
        </w:rPr>
        <w:t xml:space="preserve">správneho </w:t>
      </w:r>
      <w:r>
        <w:rPr>
          <w:rFonts w:ascii="Times New Roman" w:hAnsi="Times New Roman"/>
          <w:sz w:val="24"/>
          <w:szCs w:val="24"/>
          <w:lang w:eastAsia="sk-SK"/>
        </w:rPr>
        <w:t xml:space="preserve">súdu </w:t>
      </w:r>
      <w:r w:rsidR="00A37137">
        <w:rPr>
          <w:rFonts w:ascii="Times New Roman" w:hAnsi="Times New Roman"/>
          <w:sz w:val="24"/>
          <w:szCs w:val="24"/>
          <w:lang w:eastAsia="sk-SK"/>
        </w:rPr>
        <w:t xml:space="preserve">ku dňu </w:t>
      </w:r>
      <w:r w:rsidR="003D419C">
        <w:rPr>
          <w:rFonts w:ascii="Times New Roman" w:hAnsi="Times New Roman"/>
          <w:sz w:val="24"/>
          <w:szCs w:val="24"/>
          <w:lang w:eastAsia="sk-SK"/>
        </w:rPr>
        <w:t>zasadnutia súdnej rady, na ktorom rozhoduje o</w:t>
      </w:r>
      <w:r w:rsidR="00C06B7A">
        <w:rPr>
          <w:rFonts w:ascii="Times New Roman" w:hAnsi="Times New Roman"/>
          <w:sz w:val="24"/>
          <w:szCs w:val="24"/>
          <w:lang w:eastAsia="sk-SK"/>
        </w:rPr>
        <w:t xml:space="preserve"> preložení na základe týchto </w:t>
      </w:r>
      <w:r w:rsidR="003D419C">
        <w:rPr>
          <w:rFonts w:ascii="Times New Roman" w:hAnsi="Times New Roman"/>
          <w:sz w:val="24"/>
          <w:szCs w:val="24"/>
          <w:lang w:eastAsia="sk-SK"/>
        </w:rPr>
        <w:t>žiadost</w:t>
      </w:r>
      <w:r w:rsidR="00C06B7A">
        <w:rPr>
          <w:rFonts w:ascii="Times New Roman" w:hAnsi="Times New Roman"/>
          <w:sz w:val="24"/>
          <w:szCs w:val="24"/>
          <w:lang w:eastAsia="sk-SK"/>
        </w:rPr>
        <w:t>í</w:t>
      </w:r>
      <w:r w:rsidR="003D419C">
        <w:rPr>
          <w:rFonts w:ascii="Times New Roman" w:hAnsi="Times New Roman"/>
          <w:sz w:val="24"/>
          <w:szCs w:val="24"/>
          <w:lang w:eastAsia="sk-SK"/>
        </w:rPr>
        <w:t xml:space="preserve">, súdna rada zohľadní </w:t>
      </w:r>
      <w:r w:rsidR="00C06B7A">
        <w:rPr>
          <w:rFonts w:ascii="Times New Roman" w:hAnsi="Times New Roman"/>
          <w:sz w:val="24"/>
          <w:szCs w:val="24"/>
          <w:lang w:eastAsia="sk-SK"/>
        </w:rPr>
        <w:t>pri rozhodovaní o</w:t>
      </w:r>
      <w:r w:rsidR="00731716">
        <w:rPr>
          <w:rFonts w:ascii="Times New Roman" w:hAnsi="Times New Roman"/>
          <w:sz w:val="24"/>
          <w:szCs w:val="24"/>
          <w:lang w:eastAsia="sk-SK"/>
        </w:rPr>
        <w:t> </w:t>
      </w:r>
      <w:r w:rsidR="00C06B7A">
        <w:rPr>
          <w:rFonts w:ascii="Times New Roman" w:hAnsi="Times New Roman"/>
          <w:sz w:val="24"/>
          <w:szCs w:val="24"/>
          <w:lang w:eastAsia="sk-SK"/>
        </w:rPr>
        <w:t>preložení</w:t>
      </w:r>
      <w:r w:rsidR="0073171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5D369C">
        <w:rPr>
          <w:rFonts w:ascii="Times New Roman" w:hAnsi="Times New Roman"/>
          <w:sz w:val="24"/>
          <w:szCs w:val="24"/>
          <w:lang w:eastAsia="sk-SK"/>
        </w:rPr>
        <w:t xml:space="preserve">dĺžku </w:t>
      </w:r>
      <w:r w:rsidR="00731716">
        <w:rPr>
          <w:rFonts w:ascii="Times New Roman" w:hAnsi="Times New Roman"/>
          <w:sz w:val="24"/>
          <w:szCs w:val="24"/>
          <w:lang w:eastAsia="sk-SK"/>
        </w:rPr>
        <w:t>trvani</w:t>
      </w:r>
      <w:r w:rsidR="005D369C">
        <w:rPr>
          <w:rFonts w:ascii="Times New Roman" w:hAnsi="Times New Roman"/>
          <w:sz w:val="24"/>
          <w:szCs w:val="24"/>
          <w:lang w:eastAsia="sk-SK"/>
        </w:rPr>
        <w:t>a</w:t>
      </w:r>
      <w:r w:rsidR="00731716">
        <w:rPr>
          <w:rFonts w:ascii="Times New Roman" w:hAnsi="Times New Roman"/>
          <w:sz w:val="24"/>
          <w:szCs w:val="24"/>
          <w:lang w:eastAsia="sk-SK"/>
        </w:rPr>
        <w:t xml:space="preserve"> výkon</w:t>
      </w:r>
      <w:r w:rsidR="006C75CF">
        <w:rPr>
          <w:rFonts w:ascii="Times New Roman" w:hAnsi="Times New Roman"/>
          <w:sz w:val="24"/>
          <w:szCs w:val="24"/>
          <w:lang w:eastAsia="sk-SK"/>
        </w:rPr>
        <w:t>u</w:t>
      </w:r>
      <w:r w:rsidR="00731716">
        <w:rPr>
          <w:rFonts w:ascii="Times New Roman" w:hAnsi="Times New Roman"/>
          <w:sz w:val="24"/>
          <w:szCs w:val="24"/>
          <w:lang w:eastAsia="sk-SK"/>
        </w:rPr>
        <w:t xml:space="preserve"> funkcie sudcu</w:t>
      </w:r>
      <w:r w:rsidR="00D546A6">
        <w:rPr>
          <w:rFonts w:ascii="Times New Roman" w:hAnsi="Times New Roman"/>
          <w:sz w:val="24"/>
          <w:szCs w:val="24"/>
          <w:lang w:eastAsia="sk-SK"/>
        </w:rPr>
        <w:t xml:space="preserve"> v správnom kolégiu najvyššieho súdu </w:t>
      </w:r>
      <w:r w:rsidR="00D546A6" w:rsidRPr="00D546A6">
        <w:rPr>
          <w:rFonts w:ascii="Times New Roman" w:hAnsi="Times New Roman"/>
          <w:sz w:val="24"/>
          <w:szCs w:val="24"/>
          <w:lang w:eastAsia="sk-SK"/>
        </w:rPr>
        <w:t>k 31. júlu 2021</w:t>
      </w:r>
      <w:r w:rsidR="00FD03C2">
        <w:rPr>
          <w:rFonts w:ascii="Times New Roman" w:hAnsi="Times New Roman"/>
          <w:sz w:val="24"/>
          <w:szCs w:val="24"/>
          <w:lang w:eastAsia="sk-SK"/>
        </w:rPr>
        <w:t xml:space="preserve"> a poradie žiadostí.</w:t>
      </w:r>
      <w:r w:rsidR="0042288B">
        <w:rPr>
          <w:rFonts w:ascii="Times New Roman" w:hAnsi="Times New Roman"/>
          <w:sz w:val="24"/>
          <w:szCs w:val="24"/>
          <w:lang w:eastAsia="sk-SK"/>
        </w:rPr>
        <w:t>“.</w:t>
      </w:r>
    </w:p>
    <w:p w14:paraId="068A7805" w14:textId="1E454E6B" w:rsidR="00F441F3" w:rsidRDefault="00F441F3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38CA3AC" w14:textId="77777777" w:rsidR="00F441F3" w:rsidRPr="00773214" w:rsidRDefault="00F441F3" w:rsidP="00F441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 w:bidi="sa-IN"/>
        </w:rPr>
      </w:pPr>
      <w:r w:rsidRPr="00773214">
        <w:rPr>
          <w:rFonts w:ascii="Times New Roman" w:hAnsi="Times New Roman"/>
          <w:b/>
          <w:sz w:val="24"/>
          <w:szCs w:val="24"/>
          <w:lang w:eastAsia="sk-SK" w:bidi="sa-IN"/>
        </w:rPr>
        <w:t>Čl. II</w:t>
      </w:r>
    </w:p>
    <w:p w14:paraId="756FFF55" w14:textId="77777777" w:rsidR="00F441F3" w:rsidRPr="00773214" w:rsidRDefault="00F441F3" w:rsidP="00F441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 w:bidi="sa-IN"/>
        </w:rPr>
      </w:pPr>
    </w:p>
    <w:p w14:paraId="64A357D6" w14:textId="51E34A22" w:rsidR="00F441F3" w:rsidRPr="00773214" w:rsidRDefault="00F441F3" w:rsidP="00F441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 w:bidi="sa-IN"/>
        </w:rPr>
      </w:pPr>
      <w:r w:rsidRPr="00773214">
        <w:rPr>
          <w:rFonts w:ascii="Times New Roman" w:hAnsi="Times New Roman"/>
          <w:sz w:val="24"/>
          <w:szCs w:val="24"/>
          <w:lang w:eastAsia="sk-SK" w:bidi="sa-IN"/>
        </w:rPr>
        <w:t xml:space="preserve">Tento zákon nadobúda účinnosť 1. </w:t>
      </w:r>
      <w:r>
        <w:rPr>
          <w:rFonts w:ascii="Times New Roman" w:hAnsi="Times New Roman"/>
          <w:sz w:val="24"/>
          <w:szCs w:val="24"/>
          <w:lang w:eastAsia="sk-SK" w:bidi="sa-IN"/>
        </w:rPr>
        <w:t xml:space="preserve">novembra </w:t>
      </w:r>
      <w:r w:rsidRPr="00773214">
        <w:rPr>
          <w:rFonts w:ascii="Times New Roman" w:hAnsi="Times New Roman"/>
          <w:sz w:val="24"/>
          <w:szCs w:val="24"/>
          <w:lang w:eastAsia="sk-SK" w:bidi="sa-IN"/>
        </w:rPr>
        <w:t>202</w:t>
      </w:r>
      <w:r>
        <w:rPr>
          <w:rFonts w:ascii="Times New Roman" w:hAnsi="Times New Roman"/>
          <w:sz w:val="24"/>
          <w:szCs w:val="24"/>
          <w:lang w:eastAsia="sk-SK" w:bidi="sa-IN"/>
        </w:rPr>
        <w:t>6</w:t>
      </w:r>
      <w:r w:rsidRPr="00773214">
        <w:rPr>
          <w:rFonts w:ascii="Times New Roman" w:hAnsi="Times New Roman"/>
          <w:sz w:val="24"/>
          <w:szCs w:val="24"/>
          <w:lang w:eastAsia="sk-SK" w:bidi="sa-IN"/>
        </w:rPr>
        <w:t>.</w:t>
      </w:r>
    </w:p>
    <w:p w14:paraId="63DE2AD9" w14:textId="77777777" w:rsidR="00F441F3" w:rsidRDefault="00F441F3" w:rsidP="004228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sectPr w:rsidR="00F441F3" w:rsidSect="006A57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BC591" w14:textId="77777777" w:rsidR="001062A2" w:rsidRDefault="001062A2" w:rsidP="006A5738">
      <w:pPr>
        <w:spacing w:after="0" w:line="240" w:lineRule="auto"/>
      </w:pPr>
      <w:r>
        <w:separator/>
      </w:r>
    </w:p>
  </w:endnote>
  <w:endnote w:type="continuationSeparator" w:id="0">
    <w:p w14:paraId="414632FA" w14:textId="77777777" w:rsidR="001062A2" w:rsidRDefault="001062A2" w:rsidP="006A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075D0" w14:textId="77777777" w:rsidR="00C575AC" w:rsidRDefault="00C575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-380786818"/>
      <w:docPartObj>
        <w:docPartGallery w:val="Page Numbers (Bottom of Page)"/>
        <w:docPartUnique/>
      </w:docPartObj>
    </w:sdtPr>
    <w:sdtEndPr/>
    <w:sdtContent>
      <w:p w14:paraId="718C5129" w14:textId="4C031C69" w:rsidR="006A5738" w:rsidRPr="006A5738" w:rsidRDefault="006A5738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6A5738">
          <w:rPr>
            <w:rFonts w:ascii="Times New Roman" w:hAnsi="Times New Roman"/>
            <w:sz w:val="24"/>
            <w:szCs w:val="24"/>
          </w:rPr>
          <w:fldChar w:fldCharType="begin"/>
        </w:r>
        <w:r w:rsidRPr="006A573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A5738">
          <w:rPr>
            <w:rFonts w:ascii="Times New Roman" w:hAnsi="Times New Roman"/>
            <w:sz w:val="24"/>
            <w:szCs w:val="24"/>
          </w:rPr>
          <w:fldChar w:fldCharType="separate"/>
        </w:r>
        <w:r w:rsidR="003737BD">
          <w:rPr>
            <w:rFonts w:ascii="Times New Roman" w:hAnsi="Times New Roman"/>
            <w:noProof/>
            <w:sz w:val="24"/>
            <w:szCs w:val="24"/>
          </w:rPr>
          <w:t>2</w:t>
        </w:r>
        <w:r w:rsidRPr="006A573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D79520C" w14:textId="77777777" w:rsidR="006A5738" w:rsidRPr="006A5738" w:rsidRDefault="006A5738">
    <w:pPr>
      <w:pStyle w:val="Pta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23DA" w14:textId="77777777" w:rsidR="00C575AC" w:rsidRDefault="00C57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F1B13" w14:textId="77777777" w:rsidR="001062A2" w:rsidRDefault="001062A2" w:rsidP="006A5738">
      <w:pPr>
        <w:spacing w:after="0" w:line="240" w:lineRule="auto"/>
      </w:pPr>
      <w:r>
        <w:separator/>
      </w:r>
    </w:p>
  </w:footnote>
  <w:footnote w:type="continuationSeparator" w:id="0">
    <w:p w14:paraId="5BF21B39" w14:textId="77777777" w:rsidR="001062A2" w:rsidRDefault="001062A2" w:rsidP="006A5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CA255" w14:textId="77777777" w:rsidR="00C575AC" w:rsidRDefault="00C575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5FA97" w14:textId="77777777" w:rsidR="00C575AC" w:rsidRDefault="00C575A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DFA88" w14:textId="77777777" w:rsidR="00C575AC" w:rsidRDefault="00C575A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8B"/>
    <w:rsid w:val="00063C8A"/>
    <w:rsid w:val="000B0E37"/>
    <w:rsid w:val="000C5066"/>
    <w:rsid w:val="001062A2"/>
    <w:rsid w:val="00133453"/>
    <w:rsid w:val="001748D2"/>
    <w:rsid w:val="0026793C"/>
    <w:rsid w:val="002F7335"/>
    <w:rsid w:val="00304FCB"/>
    <w:rsid w:val="00337DF1"/>
    <w:rsid w:val="003737BD"/>
    <w:rsid w:val="0038019B"/>
    <w:rsid w:val="00395A30"/>
    <w:rsid w:val="003D419C"/>
    <w:rsid w:val="00405514"/>
    <w:rsid w:val="0042288B"/>
    <w:rsid w:val="00435042"/>
    <w:rsid w:val="00442870"/>
    <w:rsid w:val="004A4621"/>
    <w:rsid w:val="004B46D2"/>
    <w:rsid w:val="00592E79"/>
    <w:rsid w:val="005D369C"/>
    <w:rsid w:val="006A5738"/>
    <w:rsid w:val="006B30DC"/>
    <w:rsid w:val="006C75CF"/>
    <w:rsid w:val="006D7261"/>
    <w:rsid w:val="00731716"/>
    <w:rsid w:val="00804B36"/>
    <w:rsid w:val="008122C8"/>
    <w:rsid w:val="00816E37"/>
    <w:rsid w:val="008F3989"/>
    <w:rsid w:val="00900CB6"/>
    <w:rsid w:val="00956B55"/>
    <w:rsid w:val="00957918"/>
    <w:rsid w:val="009C5D1C"/>
    <w:rsid w:val="00A37137"/>
    <w:rsid w:val="00A43A0A"/>
    <w:rsid w:val="00A66510"/>
    <w:rsid w:val="00A95FB5"/>
    <w:rsid w:val="00B47D28"/>
    <w:rsid w:val="00C06B7A"/>
    <w:rsid w:val="00C1722C"/>
    <w:rsid w:val="00C36A39"/>
    <w:rsid w:val="00C575AC"/>
    <w:rsid w:val="00C71E48"/>
    <w:rsid w:val="00CB7AF5"/>
    <w:rsid w:val="00D4123F"/>
    <w:rsid w:val="00D416B5"/>
    <w:rsid w:val="00D546A6"/>
    <w:rsid w:val="00D70E4A"/>
    <w:rsid w:val="00E35EC2"/>
    <w:rsid w:val="00ED019C"/>
    <w:rsid w:val="00EF17E3"/>
    <w:rsid w:val="00F04E89"/>
    <w:rsid w:val="00F441F3"/>
    <w:rsid w:val="00F52ADB"/>
    <w:rsid w:val="00F63075"/>
    <w:rsid w:val="00FD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40D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288B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2288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2288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288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2288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2288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2288B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288B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2288B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2288B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22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22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22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228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228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228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228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228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228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22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22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2288B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22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2288B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2288B"/>
    <w:rPr>
      <w:rFonts w:ascii="Times New Roman" w:hAnsi="Times New Roman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2288B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228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22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2288B"/>
    <w:rPr>
      <w:rFonts w:ascii="Times New Roman" w:hAnsi="Times New Roman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2288B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A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5738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A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5738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Revzia">
    <w:name w:val="Revision"/>
    <w:hidden/>
    <w:uiPriority w:val="99"/>
    <w:semiHidden/>
    <w:rsid w:val="00A66510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2026-05-06T12:45:00Z</dcterms:created>
  <dcterms:modified xsi:type="dcterms:W3CDTF">2026-05-06T12:45:00Z</dcterms:modified>
</cp:coreProperties>
</file>