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3748A" w14:textId="77777777" w:rsidR="00B87DED" w:rsidRPr="00EC22AB" w:rsidRDefault="00B87DED" w:rsidP="00B87DED">
      <w:pPr>
        <w:pStyle w:val="Standard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EC22AB">
        <w:rPr>
          <w:rFonts w:ascii="Times New Roman" w:hAnsi="Times New Roman" w:cs="Times New Roman"/>
          <w:b/>
          <w:sz w:val="24"/>
          <w:szCs w:val="24"/>
          <w:lang w:eastAsia="en-US"/>
        </w:rPr>
        <w:t>DOLOŽKA ZLUČITEĽNOSTI</w:t>
      </w:r>
    </w:p>
    <w:p w14:paraId="306A8875" w14:textId="77777777" w:rsidR="00B87DED" w:rsidRPr="00EC22AB" w:rsidRDefault="00B87DED" w:rsidP="00B87DED">
      <w:pPr>
        <w:pStyle w:val="Standard"/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EC22AB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návrhu zákona s právom Európskej únie</w:t>
      </w:r>
      <w:r w:rsidRPr="00EC22AB">
        <w:rPr>
          <w:rFonts w:ascii="Times New Roman" w:hAnsi="Times New Roman" w:cs="Times New Roman"/>
          <w:b/>
          <w:sz w:val="24"/>
          <w:szCs w:val="24"/>
          <w:lang w:eastAsia="en-US"/>
        </w:rPr>
        <w:cr/>
      </w:r>
    </w:p>
    <w:p w14:paraId="0201BE6F" w14:textId="77777777" w:rsidR="00B87DED" w:rsidRPr="00EC22AB" w:rsidRDefault="00B87DED" w:rsidP="00B87DED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7F35835" w14:textId="77777777" w:rsidR="00B87DED" w:rsidRPr="00EC22AB" w:rsidRDefault="00B87DED" w:rsidP="00B87DED">
      <w:pPr>
        <w:numPr>
          <w:ilvl w:val="0"/>
          <w:numId w:val="1"/>
        </w:numPr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22A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Navrhovateľ zákona</w:t>
      </w:r>
      <w:r w:rsidRPr="00EC22AB">
        <w:rPr>
          <w:rFonts w:ascii="Times New Roman" w:eastAsia="Times New Roman" w:hAnsi="Times New Roman" w:cs="Times New Roman"/>
          <w:sz w:val="24"/>
          <w:szCs w:val="24"/>
          <w:lang w:eastAsia="sk-SK"/>
        </w:rPr>
        <w:t>: Vláda Slovenskej republiky</w:t>
      </w:r>
    </w:p>
    <w:p w14:paraId="6D8B9F5A" w14:textId="77777777" w:rsidR="00B87DED" w:rsidRPr="00EC22AB" w:rsidRDefault="00B87DED" w:rsidP="00B87DED">
      <w:pPr>
        <w:numPr>
          <w:ilvl w:val="0"/>
          <w:numId w:val="1"/>
        </w:numPr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22A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Názov návrhu zákona</w:t>
      </w:r>
      <w:r w:rsidRPr="00EC22AB">
        <w:rPr>
          <w:rFonts w:ascii="Times New Roman" w:eastAsia="Times New Roman" w:hAnsi="Times New Roman" w:cs="Times New Roman"/>
          <w:sz w:val="24"/>
          <w:szCs w:val="24"/>
          <w:lang w:eastAsia="sk-SK"/>
        </w:rPr>
        <w:t>: Vládny návrh</w:t>
      </w:r>
      <w:r w:rsidRPr="00EC22AB">
        <w:rPr>
          <w:rFonts w:ascii="Times New Roman" w:hAnsi="Times New Roman" w:cs="Times New Roman"/>
          <w:sz w:val="24"/>
          <w:szCs w:val="24"/>
        </w:rPr>
        <w:t xml:space="preserve"> zákona, ktorým sa mení a dopĺňa zákon č. 583/2008 Z. z. o prevencii kriminality a inej protispoločenskej činnosti a o zmene a doplnení niektorých zákonov v znení neskorších </w:t>
      </w:r>
      <w:r w:rsidRPr="00EC22AB">
        <w:rPr>
          <w:rFonts w:ascii="Times New Roman" w:eastAsia="Times New Roman" w:hAnsi="Times New Roman" w:cs="Times New Roman"/>
          <w:sz w:val="24"/>
          <w:szCs w:val="24"/>
          <w:lang w:eastAsia="sk-SK"/>
        </w:rPr>
        <w:t>predpisov.</w:t>
      </w:r>
    </w:p>
    <w:p w14:paraId="206D3616" w14:textId="77777777" w:rsidR="00B87DED" w:rsidRPr="00EC22AB" w:rsidRDefault="00B87DED" w:rsidP="00B87DED">
      <w:pPr>
        <w:numPr>
          <w:ilvl w:val="0"/>
          <w:numId w:val="1"/>
        </w:numPr>
        <w:spacing w:after="24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C22A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Predmet návrhu zákona je upravený v práve Európskej únie:</w:t>
      </w:r>
    </w:p>
    <w:p w14:paraId="18C09D2C" w14:textId="77777777" w:rsidR="00B87DED" w:rsidRPr="00EC22AB" w:rsidRDefault="00B87DED" w:rsidP="00B87DED">
      <w:pPr>
        <w:ind w:left="709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22AB">
        <w:rPr>
          <w:rFonts w:ascii="Times New Roman" w:hAnsi="Times New Roman" w:cs="Times New Roman"/>
          <w:color w:val="000000" w:themeColor="text1"/>
          <w:sz w:val="24"/>
          <w:szCs w:val="24"/>
        </w:rPr>
        <w:t>a)</w:t>
      </w:r>
      <w:r w:rsidRPr="00EC22A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v primárnom práve </w:t>
      </w:r>
    </w:p>
    <w:p w14:paraId="305A56C9" w14:textId="77777777" w:rsidR="00B87DED" w:rsidRPr="00EC22AB" w:rsidRDefault="00B87DED" w:rsidP="00B87DED">
      <w:pPr>
        <w:tabs>
          <w:tab w:val="left" w:pos="709"/>
          <w:tab w:val="left" w:pos="1068"/>
        </w:tabs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C22AB">
        <w:rPr>
          <w:rFonts w:ascii="Times New Roman" w:hAnsi="Times New Roman" w:cs="Times New Roman"/>
          <w:sz w:val="24"/>
          <w:szCs w:val="24"/>
        </w:rPr>
        <w:tab/>
        <w:t>Čl. 3 Zmluvy o Európskej únii</w:t>
      </w:r>
    </w:p>
    <w:p w14:paraId="14C02088" w14:textId="77777777" w:rsidR="00B87DED" w:rsidRPr="00EC22AB" w:rsidRDefault="00B87DED" w:rsidP="00B87DED">
      <w:pPr>
        <w:tabs>
          <w:tab w:val="left" w:pos="709"/>
          <w:tab w:val="left" w:pos="1068"/>
        </w:tabs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C22AB">
        <w:rPr>
          <w:rFonts w:ascii="Times New Roman" w:hAnsi="Times New Roman" w:cs="Times New Roman"/>
          <w:sz w:val="24"/>
          <w:szCs w:val="24"/>
        </w:rPr>
        <w:tab/>
        <w:t>Čl. 82, čl. 83 a čl. 87 Zmluvy o fungovaní Európskej únie</w:t>
      </w:r>
    </w:p>
    <w:p w14:paraId="29ACCE22" w14:textId="77777777" w:rsidR="00B87DED" w:rsidRPr="00EC22AB" w:rsidRDefault="00B87DED" w:rsidP="00B87DED">
      <w:pPr>
        <w:ind w:left="709" w:hanging="283"/>
        <w:jc w:val="both"/>
        <w:rPr>
          <w:rStyle w:val="placeholdertext0"/>
          <w:rFonts w:ascii="Times New Roman" w:hAnsi="Times New Roman"/>
          <w:color w:val="000000" w:themeColor="text1"/>
          <w:sz w:val="24"/>
          <w:szCs w:val="24"/>
        </w:rPr>
      </w:pPr>
      <w:r w:rsidRPr="00EC22AB">
        <w:rPr>
          <w:rFonts w:ascii="Times New Roman" w:hAnsi="Times New Roman" w:cs="Times New Roman"/>
          <w:color w:val="000000" w:themeColor="text1"/>
          <w:sz w:val="24"/>
          <w:szCs w:val="24"/>
        </w:rPr>
        <w:t>b)</w:t>
      </w:r>
      <w:r w:rsidRPr="00EC22A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v sekundárnom práve </w:t>
      </w:r>
    </w:p>
    <w:p w14:paraId="656CC830" w14:textId="77777777" w:rsidR="00B87DED" w:rsidRPr="00EC22AB" w:rsidRDefault="00B87DED" w:rsidP="00B87DED">
      <w:pPr>
        <w:pStyle w:val="Odsekzoznamu"/>
        <w:numPr>
          <w:ilvl w:val="0"/>
          <w:numId w:val="2"/>
        </w:numPr>
        <w:spacing w:after="240" w:line="240" w:lineRule="auto"/>
        <w:ind w:left="1134" w:right="-142" w:hanging="425"/>
        <w:contextualSpacing w:val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EC22AB">
        <w:rPr>
          <w:rFonts w:ascii="Times New Roman" w:hAnsi="Times New Roman"/>
          <w:sz w:val="24"/>
          <w:szCs w:val="24"/>
          <w:lang w:eastAsia="sk-SK"/>
        </w:rPr>
        <w:t xml:space="preserve">Smernica Európskeho parlamentu a Rady 2012/29/EÚ z 25. októbra 2012, ktorou sa stanovujú minimálne normy v oblasti práv, podpory a ochrany obetí trestných činov a ktorou sa nahrádza rámcové rozhodnutie Rady 2001/220/SVV (Ú. v. EÚ L 315, 14. 11. 2012), gestor: Ministerstvo spravodlivosti Slovenskej republiky, </w:t>
      </w:r>
      <w:proofErr w:type="spellStart"/>
      <w:r w:rsidRPr="00EC22AB">
        <w:rPr>
          <w:rFonts w:ascii="Times New Roman" w:hAnsi="Times New Roman"/>
          <w:sz w:val="24"/>
          <w:szCs w:val="24"/>
          <w:lang w:eastAsia="sk-SK"/>
        </w:rPr>
        <w:t>spolugestori</w:t>
      </w:r>
      <w:proofErr w:type="spellEnd"/>
      <w:r w:rsidRPr="00EC22AB">
        <w:rPr>
          <w:rFonts w:ascii="Times New Roman" w:hAnsi="Times New Roman"/>
          <w:sz w:val="24"/>
          <w:szCs w:val="24"/>
          <w:lang w:eastAsia="sk-SK"/>
        </w:rPr>
        <w:t>: Ministerstvo vnútra Slovenskej republiky, Generálna prokuratúra Slovenskej republiky;</w:t>
      </w:r>
    </w:p>
    <w:p w14:paraId="1948D17A" w14:textId="77777777" w:rsidR="00B87DED" w:rsidRPr="00EC22AB" w:rsidRDefault="00B87DED" w:rsidP="00B87DED">
      <w:pPr>
        <w:ind w:left="709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22AB">
        <w:rPr>
          <w:rFonts w:ascii="Times New Roman" w:hAnsi="Times New Roman" w:cs="Times New Roman"/>
          <w:color w:val="000000" w:themeColor="text1"/>
          <w:sz w:val="24"/>
          <w:szCs w:val="24"/>
        </w:rPr>
        <w:t>c)</w:t>
      </w:r>
      <w:r w:rsidRPr="00EC22A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EC22A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v judikatúre Súdneho dvora Európskej únie</w:t>
      </w:r>
    </w:p>
    <w:p w14:paraId="1998E859" w14:textId="77777777" w:rsidR="00B87DED" w:rsidRPr="00EC22AB" w:rsidRDefault="00B87DED" w:rsidP="00B87DED">
      <w:pPr>
        <w:tabs>
          <w:tab w:val="left" w:pos="709"/>
          <w:tab w:val="left" w:pos="1068"/>
        </w:tabs>
        <w:spacing w:after="24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C22AB">
        <w:rPr>
          <w:rFonts w:ascii="Times New Roman" w:hAnsi="Times New Roman" w:cs="Times New Roman"/>
          <w:sz w:val="24"/>
          <w:szCs w:val="24"/>
        </w:rPr>
        <w:tab/>
        <w:t>Rozsudok Súdneho dvora Európskej únie vo veci C-603/19, ktorý okrem  iného rozhodol, že článok 2 ods. 1 smernice Európskeho parlamentu a Rady 2012/29/EÚ z 25. októbra 2012, ktorou sa stanovujú minimálne normy v oblasti práv, podpory a ochrany obetí trestných činov a ktorou sa nahrádza rámcové rozhodnutie Rady 2001/220/SVV, sa má vykladať v tom zmysle, že táto smernica sa neuplatňuje na právnické osoby ani na štát, aj keď im vnútroštátne právo priznáva postavenie poškodeného v rámci trestného konania.</w:t>
      </w:r>
    </w:p>
    <w:p w14:paraId="1A166C8F" w14:textId="77777777" w:rsidR="00B87DED" w:rsidRPr="00EC22AB" w:rsidRDefault="00B87DED" w:rsidP="00B87DED">
      <w:pPr>
        <w:tabs>
          <w:tab w:val="left" w:pos="0"/>
        </w:tabs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22AB">
        <w:rPr>
          <w:rFonts w:ascii="Times New Roman" w:eastAsia="Times New Roman" w:hAnsi="Times New Roman" w:cs="Times New Roman"/>
          <w:sz w:val="24"/>
          <w:szCs w:val="24"/>
          <w:lang w:eastAsia="sk-SK"/>
        </w:rPr>
        <w:t>4.</w:t>
      </w:r>
      <w:r w:rsidRPr="00EC22A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Záväzky Slovenskej republiky vo vzťahu k Európskej únii: </w:t>
      </w:r>
    </w:p>
    <w:p w14:paraId="694F75B3" w14:textId="77777777" w:rsidR="00B87DED" w:rsidRPr="00EC22AB" w:rsidRDefault="00B87DED" w:rsidP="00B87DED">
      <w:pPr>
        <w:ind w:left="709" w:hanging="283"/>
        <w:jc w:val="both"/>
        <w:rPr>
          <w:rStyle w:val="placeholdertext0"/>
          <w:rFonts w:ascii="Times New Roman" w:hAnsi="Times New Roman"/>
          <w:color w:val="000000" w:themeColor="text1"/>
          <w:sz w:val="24"/>
          <w:szCs w:val="24"/>
        </w:rPr>
      </w:pPr>
      <w:r w:rsidRPr="00EC22AB">
        <w:rPr>
          <w:rFonts w:ascii="Times New Roman" w:hAnsi="Times New Roman" w:cs="Times New Roman"/>
          <w:color w:val="000000" w:themeColor="text1"/>
          <w:sz w:val="24"/>
          <w:szCs w:val="24"/>
        </w:rPr>
        <w:t>a)</w:t>
      </w:r>
      <w:r w:rsidRPr="00EC22A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uviesť lehotu na prebranie smernice alebo lehotu na implementáciu nariadenia alebo rozhodnutia </w:t>
      </w:r>
    </w:p>
    <w:p w14:paraId="2863465F" w14:textId="77777777" w:rsidR="00B87DED" w:rsidRPr="00EC22AB" w:rsidRDefault="00B87DED" w:rsidP="00B87DED">
      <w:pPr>
        <w:pStyle w:val="Odsekzoznamu"/>
        <w:numPr>
          <w:ilvl w:val="0"/>
          <w:numId w:val="2"/>
        </w:numPr>
        <w:spacing w:before="120" w:after="0" w:line="240" w:lineRule="auto"/>
        <w:ind w:left="1134"/>
        <w:contextualSpacing w:val="0"/>
        <w:jc w:val="both"/>
        <w:rPr>
          <w:rStyle w:val="placeholdertext0"/>
          <w:rFonts w:ascii="Times New Roman" w:hAnsi="Times New Roman"/>
          <w:i/>
          <w:iCs/>
          <w:sz w:val="24"/>
          <w:szCs w:val="24"/>
          <w:shd w:val="clear" w:color="auto" w:fill="FFFFFF"/>
        </w:rPr>
      </w:pPr>
      <w:r w:rsidRPr="00EC22AB">
        <w:rPr>
          <w:rStyle w:val="placeholdertext0"/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Smernica </w:t>
      </w:r>
      <w:r w:rsidRPr="00EC22AB">
        <w:rPr>
          <w:rFonts w:ascii="Times New Roman" w:hAnsi="Times New Roman"/>
          <w:sz w:val="24"/>
          <w:szCs w:val="24"/>
          <w:lang w:eastAsia="sk-SK"/>
        </w:rPr>
        <w:t>2012/29/</w:t>
      </w:r>
      <w:r w:rsidRPr="00EC22AB">
        <w:rPr>
          <w:rFonts w:ascii="Times New Roman" w:hAnsi="Times New Roman"/>
          <w:i/>
          <w:iCs/>
          <w:sz w:val="24"/>
          <w:szCs w:val="24"/>
          <w:lang w:eastAsia="sk-SK"/>
        </w:rPr>
        <w:t xml:space="preserve">EÚ </w:t>
      </w:r>
      <w:r w:rsidRPr="00EC22AB">
        <w:rPr>
          <w:rStyle w:val="placeholdertext0"/>
          <w:rFonts w:ascii="Times New Roman" w:hAnsi="Times New Roman"/>
          <w:i/>
          <w:iCs/>
          <w:sz w:val="24"/>
          <w:szCs w:val="24"/>
          <w:shd w:val="clear" w:color="auto" w:fill="FFFFFF"/>
        </w:rPr>
        <w:t>–</w:t>
      </w:r>
      <w:r w:rsidRPr="00EC22AB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16. november 2015</w:t>
      </w:r>
    </w:p>
    <w:p w14:paraId="038F6509" w14:textId="77777777" w:rsidR="00B87DED" w:rsidRPr="00EC22AB" w:rsidRDefault="00B87DED" w:rsidP="00B87DED">
      <w:pPr>
        <w:ind w:left="709" w:hanging="283"/>
        <w:jc w:val="both"/>
        <w:rPr>
          <w:rStyle w:val="placeholdertext0"/>
          <w:rFonts w:ascii="Times New Roman" w:hAnsi="Times New Roman"/>
          <w:color w:val="000000" w:themeColor="text1"/>
          <w:sz w:val="24"/>
          <w:szCs w:val="24"/>
        </w:rPr>
      </w:pPr>
    </w:p>
    <w:p w14:paraId="2F23B86D" w14:textId="77777777" w:rsidR="00B87DED" w:rsidRPr="00EC22AB" w:rsidRDefault="00B87DED" w:rsidP="00B87DED">
      <w:pPr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22AB">
        <w:rPr>
          <w:rFonts w:ascii="Times New Roman" w:hAnsi="Times New Roman" w:cs="Times New Roman"/>
          <w:color w:val="000000" w:themeColor="text1"/>
          <w:sz w:val="24"/>
          <w:szCs w:val="24"/>
        </w:rPr>
        <w:t>b)</w:t>
      </w:r>
      <w:r w:rsidRPr="00EC22A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uviesť informáciu o začatí konania v rámci „EÚ Pilot“ alebo o začatí postupu Európskej komisie, alebo o konaní Súdneho dvora Európskej únie proti Slovenskej republike podľa čl. 258 a 260 Zmluvy o fungovaní Európskej únie v jej platnom znení, spolu s uvedením konkrétnych vytýkaných nedostatkov a požiadaviek na zabezpečenie nápravy so zreteľom na nariadenie Európskeho parlamentu a Rady (ES) č. 1049/2001 z 30. mája 2001 o prístupe verejnosti k dokumentom Európskeho parlamentu, Rady a Komisie,  </w:t>
      </w:r>
    </w:p>
    <w:p w14:paraId="0867033F" w14:textId="77777777" w:rsidR="00B87DED" w:rsidRPr="00EC22AB" w:rsidRDefault="00B87DED" w:rsidP="00B87DED">
      <w:pPr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F42C99" w14:textId="77777777" w:rsidR="00B87DED" w:rsidRPr="00EC22AB" w:rsidRDefault="00B87DED" w:rsidP="00B87DED">
      <w:pPr>
        <w:ind w:left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C22A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konanie nebolo začaté</w:t>
      </w:r>
    </w:p>
    <w:p w14:paraId="1C5FE9F0" w14:textId="77777777" w:rsidR="00B87DED" w:rsidRPr="00EC22AB" w:rsidRDefault="00B87DED" w:rsidP="00B87DED">
      <w:pPr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22AB">
        <w:rPr>
          <w:rFonts w:ascii="Times New Roman" w:hAnsi="Times New Roman" w:cs="Times New Roman"/>
          <w:color w:val="000000" w:themeColor="text1"/>
          <w:sz w:val="24"/>
          <w:szCs w:val="24"/>
        </w:rPr>
        <w:t>c)</w:t>
      </w:r>
      <w:r w:rsidRPr="00EC22A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uviesť informáciu o právnych predpisoch, v ktorých sú uvádzané právne akty Európskej únie už prebrané, spolu s uvedením rozsahu ich prebrania, príp. potreby prijatia ďalších úprav.  </w:t>
      </w:r>
    </w:p>
    <w:p w14:paraId="269E5582" w14:textId="77777777" w:rsidR="00B87DED" w:rsidRPr="00EC22AB" w:rsidRDefault="00B87DED" w:rsidP="00B87DED">
      <w:pPr>
        <w:pStyle w:val="Odsekzoznamu"/>
        <w:numPr>
          <w:ilvl w:val="0"/>
          <w:numId w:val="2"/>
        </w:numPr>
        <w:spacing w:after="240" w:line="240" w:lineRule="auto"/>
        <w:ind w:left="1134" w:right="50"/>
        <w:contextualSpacing w:val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EC22AB">
        <w:rPr>
          <w:rFonts w:ascii="Times New Roman" w:hAnsi="Times New Roman"/>
          <w:i/>
          <w:iCs/>
          <w:sz w:val="24"/>
          <w:szCs w:val="24"/>
          <w:lang w:eastAsia="sk-SK"/>
        </w:rPr>
        <w:t>Smernica 2012/29/EÚ</w:t>
      </w:r>
      <w:r w:rsidRPr="00EC22AB">
        <w:rPr>
          <w:rFonts w:ascii="Times New Roman" w:hAnsi="Times New Roman"/>
          <w:sz w:val="24"/>
          <w:szCs w:val="24"/>
          <w:lang w:eastAsia="sk-SK"/>
        </w:rPr>
        <w:t xml:space="preserve"> bola úplne prebratá napr. do zákona č. 301/2005 Z. z. Trestný poriadok v znení neskorších predpisov, zákona č. 300/2005 Z. z. Trestný zákon v znení neskorších predpisov, zákona č. 274/2017 Z. z. o obetiach trestných činov a o zmene a doplnení niektorých zákonov v znení neskorších predpisov, zákona č. 215/2006 Z. z. o odškodňovaní osôb poškodených násilnými trestnými činmi v znení neskorších predpisov, zákona Národnej rady Slovenskej republiky č. 171/1993 o Policajnom zbore v znení neskorších predpisov, atď.</w:t>
      </w:r>
    </w:p>
    <w:p w14:paraId="23433458" w14:textId="77777777" w:rsidR="00B87DED" w:rsidRPr="00EC22AB" w:rsidRDefault="00B87DED" w:rsidP="00B87DED">
      <w:pPr>
        <w:autoSpaceDE w:val="0"/>
        <w:autoSpaceDN w:val="0"/>
        <w:adjustRightInd w:val="0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22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5. </w:t>
      </w:r>
      <w:r w:rsidRPr="00EC22A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Návrh zákona je zlučiteľný s právom Európskej únie: </w:t>
      </w:r>
    </w:p>
    <w:p w14:paraId="643BDED2" w14:textId="77777777" w:rsidR="00B87DED" w:rsidRPr="00F50C91" w:rsidRDefault="00B87DED" w:rsidP="00B87DED">
      <w:pPr>
        <w:tabs>
          <w:tab w:val="left" w:pos="709"/>
          <w:tab w:val="left" w:pos="1068"/>
        </w:tabs>
        <w:spacing w:after="24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EC22A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22A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a) úplne</w:t>
      </w:r>
    </w:p>
    <w:p w14:paraId="67E009BC" w14:textId="77777777" w:rsidR="00B87DED" w:rsidRDefault="00B87DED" w:rsidP="00B87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8E25D45" w14:textId="77777777" w:rsidR="00B87DED" w:rsidRDefault="00B87DED" w:rsidP="00B87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F20F017" w14:textId="77777777" w:rsidR="00B87DED" w:rsidRDefault="00B87DED" w:rsidP="00B87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DA77BE4" w14:textId="77777777" w:rsidR="00B87DED" w:rsidRDefault="00B87DED" w:rsidP="00B87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4D48DC5A" w14:textId="77777777" w:rsidR="00B87DED" w:rsidRDefault="00B87DED" w:rsidP="00B87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4A88CC3" w14:textId="30AC86D4" w:rsidR="007876F7" w:rsidRPr="00B87DED" w:rsidRDefault="007876F7" w:rsidP="00B87DED">
      <w:pPr>
        <w:spacing w:line="259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sectPr w:rsidR="007876F7" w:rsidRPr="00B87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B23419"/>
    <w:multiLevelType w:val="hybridMultilevel"/>
    <w:tmpl w:val="7BA4C1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5867E1"/>
    <w:multiLevelType w:val="hybridMultilevel"/>
    <w:tmpl w:val="5E4286FA"/>
    <w:lvl w:ilvl="0" w:tplc="862E00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91194">
    <w:abstractNumId w:val="1"/>
  </w:num>
  <w:num w:numId="2" w16cid:durableId="1747455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DED"/>
    <w:rsid w:val="00786880"/>
    <w:rsid w:val="007876F7"/>
    <w:rsid w:val="00B87DED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1AEE6"/>
  <w15:chartTrackingRefBased/>
  <w15:docId w15:val="{CE692D45-76CF-4F15-9A2D-DE66A73E6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7DED"/>
    <w:pPr>
      <w:spacing w:line="25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87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7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87D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87D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87D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87D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87D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87D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87D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87D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87D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87D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87DE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87DE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87D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87D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87D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87DE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87D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87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87D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87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87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87DE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87DE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87DE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87D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87DE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87DED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B87DED"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  <w:sz w:val="22"/>
      <w:szCs w:val="22"/>
      <w:lang w:eastAsia="ar-SA"/>
      <w14:ligatures w14:val="none"/>
    </w:rPr>
  </w:style>
  <w:style w:type="character" w:customStyle="1" w:styleId="placeholdertext0">
    <w:name w:val="placeholdertext0"/>
    <w:basedOn w:val="Predvolenpsmoodseku"/>
    <w:uiPriority w:val="99"/>
    <w:rsid w:val="00B87DE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2553</Characters>
  <DocSecurity>0</DocSecurity>
  <Lines>21</Lines>
  <Paragraphs>5</Paragraphs>
  <ScaleCrop>false</ScaleCrop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2026-05-07T07:55:00Z</dcterms:created>
  <dcterms:modified xsi:type="dcterms:W3CDTF">2026-05-07T07:56:00Z</dcterms:modified>
</cp:coreProperties>
</file>