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BF53" w14:textId="77777777" w:rsidR="003F0D0B" w:rsidRDefault="003F0D0B" w:rsidP="003F0D0B">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DOLOŽKA VYBRANÝCH VPLYVOV</w:t>
      </w:r>
    </w:p>
    <w:p w14:paraId="7D3DABB7" w14:textId="77777777" w:rsidR="003F0D0B" w:rsidRDefault="003F0D0B" w:rsidP="003F0D0B">
      <w:pPr>
        <w:spacing w:line="240" w:lineRule="auto"/>
        <w:jc w:val="center"/>
        <w:rPr>
          <w:rFonts w:ascii="Times New Roman" w:eastAsia="Times New Roman" w:hAnsi="Times New Roman" w:cs="Times New Roman"/>
          <w:b/>
          <w:bCs/>
          <w:sz w:val="24"/>
          <w:szCs w:val="24"/>
        </w:rPr>
      </w:pPr>
    </w:p>
    <w:p w14:paraId="41F18025"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CDDE3C"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A.1. Názov materiálu: </w:t>
      </w:r>
    </w:p>
    <w:p w14:paraId="3CD398FC" w14:textId="77777777" w:rsidR="003F0D0B" w:rsidRDefault="003F0D0B" w:rsidP="003F0D0B">
      <w:pPr>
        <w:spacing w:line="240" w:lineRule="auto"/>
        <w:jc w:val="both"/>
        <w:rPr>
          <w:rFonts w:ascii="Times New Roman" w:eastAsia="Times New Roman" w:hAnsi="Times New Roman" w:cs="Times New Roman"/>
          <w:b/>
          <w:bCs/>
          <w:sz w:val="24"/>
          <w:szCs w:val="24"/>
        </w:rPr>
      </w:pPr>
    </w:p>
    <w:p w14:paraId="1CA0D8AF" w14:textId="77777777" w:rsidR="003F0D0B" w:rsidRDefault="003F0D0B" w:rsidP="003F0D0B">
      <w:pPr>
        <w:tabs>
          <w:tab w:val="left" w:pos="109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Návrh zákona, ktorým sa mení a dopĺňa zákon č. 279/2024 Z. z. o dani z finančných transakcií a o zmene a doplnení niektorých zákonov v znení neskorších predpisov a ktorým sa menia niektoré zákony.</w:t>
      </w:r>
    </w:p>
    <w:p w14:paraId="61A582F2" w14:textId="77777777" w:rsidR="003F0D0B" w:rsidRDefault="003F0D0B" w:rsidP="003F0D0B">
      <w:pPr>
        <w:spacing w:line="240" w:lineRule="auto"/>
        <w:jc w:val="both"/>
        <w:rPr>
          <w:rFonts w:ascii="Times New Roman" w:eastAsia="Times New Roman" w:hAnsi="Times New Roman" w:cs="Times New Roman"/>
          <w:sz w:val="24"/>
          <w:szCs w:val="24"/>
        </w:rPr>
      </w:pPr>
    </w:p>
    <w:p w14:paraId="259D61CC"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A.2. Vplyvy:</w:t>
      </w:r>
    </w:p>
    <w:p w14:paraId="21BD8775"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3F0D0B" w14:paraId="5C2BD292" w14:textId="77777777" w:rsidTr="00AA642E">
        <w:trPr>
          <w:trHeight w:val="285"/>
        </w:trPr>
        <w:tc>
          <w:tcPr>
            <w:tcW w:w="54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F025DC1"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8D3B58B"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E855DD"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32B3E2"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Negatívne</w:t>
            </w:r>
          </w:p>
        </w:tc>
      </w:tr>
      <w:tr w:rsidR="003F0D0B" w14:paraId="638B2F9B"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3A1358"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704C474"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5CF1536E"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11A9321"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3F0D0B" w14:paraId="52054A13" w14:textId="77777777" w:rsidTr="00AA642E">
        <w:trPr>
          <w:trHeight w:val="570"/>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AE263F"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CFE3007"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4E85612C"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DEDACA6"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12FA9DBE"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F798CA"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8AD47B6"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AA4F226"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4EA7E42"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6B59E71E"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824DDA"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8F17725"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52747CD7"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9E618FF"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0893C4C8"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046D18"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sociálnu </w:t>
            </w:r>
            <w:proofErr w:type="spellStart"/>
            <w:r>
              <w:rPr>
                <w:rFonts w:ascii="Times New Roman" w:eastAsia="Times New Roman" w:hAnsi="Times New Roman" w:cs="Times New Roman"/>
                <w:sz w:val="24"/>
                <w:szCs w:val="24"/>
              </w:rPr>
              <w:t>exklúziu</w:t>
            </w:r>
            <w:proofErr w:type="spellEnd"/>
            <w:r>
              <w:rPr>
                <w:rFonts w:ascii="Times New Roman" w:eastAsia="Times New Roman" w:hAnsi="Times New Roman" w:cs="Times New Roman"/>
                <w:sz w:val="24"/>
                <w:szCs w:val="24"/>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BDA3406"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4D0A78DC"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5CB6FFB"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60A8191B"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F0E2E8"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F3DA53D"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5AF8EF86"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B09C3C5"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2F8A82DE"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D81805"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C1E5149"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52210C59"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8E3A053"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61DFCBFB"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CB5C02"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7959F00"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7201C0F4"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8543771"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F0D0B" w14:paraId="617C0FFB"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A14588"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2F55B16"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9B404F4"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A2ED3B2" w14:textId="77777777" w:rsidR="003F0D0B" w:rsidRDefault="003F0D0B" w:rsidP="00AA642E">
            <w:pPr>
              <w:spacing w:line="240" w:lineRule="auto"/>
              <w:jc w:val="center"/>
              <w:rPr>
                <w:rFonts w:ascii="Times New Roman" w:eastAsia="Times New Roman" w:hAnsi="Times New Roman" w:cs="Times New Roman"/>
                <w:sz w:val="24"/>
                <w:szCs w:val="24"/>
              </w:rPr>
            </w:pPr>
          </w:p>
        </w:tc>
      </w:tr>
      <w:tr w:rsidR="003F0D0B" w14:paraId="7E4E422E" w14:textId="77777777" w:rsidTr="00AA642E">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7DF27D" w14:textId="77777777" w:rsidR="003F0D0B" w:rsidRDefault="003F0D0B" w:rsidP="00AA64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DCC8B3D" w14:textId="77777777" w:rsidR="003F0D0B" w:rsidRDefault="003F0D0B" w:rsidP="00AA642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B06774E" w14:textId="77777777" w:rsidR="003F0D0B" w:rsidRDefault="003F0D0B" w:rsidP="00AA642E">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21BC481" w14:textId="77777777" w:rsidR="003F0D0B" w:rsidRDefault="003F0D0B" w:rsidP="00AA642E">
            <w:pPr>
              <w:spacing w:line="240" w:lineRule="auto"/>
              <w:jc w:val="center"/>
              <w:rPr>
                <w:rFonts w:ascii="Times New Roman" w:eastAsia="Times New Roman" w:hAnsi="Times New Roman" w:cs="Times New Roman"/>
                <w:sz w:val="24"/>
                <w:szCs w:val="24"/>
              </w:rPr>
            </w:pPr>
          </w:p>
        </w:tc>
      </w:tr>
    </w:tbl>
    <w:p w14:paraId="1B4DDD32"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2B82BC"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A.3. Poznámky</w:t>
      </w:r>
    </w:p>
    <w:p w14:paraId="41432948" w14:textId="77777777" w:rsidR="003F0D0B" w:rsidRDefault="003F0D0B" w:rsidP="003F0D0B">
      <w:pPr>
        <w:spacing w:line="240" w:lineRule="auto"/>
        <w:jc w:val="both"/>
        <w:rPr>
          <w:rFonts w:ascii="Times New Roman" w:eastAsia="Times New Roman" w:hAnsi="Times New Roman" w:cs="Times New Roman"/>
          <w:b/>
          <w:bCs/>
          <w:sz w:val="24"/>
          <w:szCs w:val="24"/>
        </w:rPr>
      </w:pPr>
    </w:p>
    <w:p w14:paraId="489397D5"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A.3.1. Vplyvy na rozpočet verejnej správy</w:t>
      </w:r>
    </w:p>
    <w:p w14:paraId="613496B3" w14:textId="77777777" w:rsidR="003F0D0B" w:rsidRDefault="003F0D0B" w:rsidP="003F0D0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Pôvodné odhady Ministerstva financií Slovenskej republiky predpokladali výber dane z finančných transakcií na úrovni približne 574 mil. eur v roku 2025, 726 mil. eur v roku 2026 a takmer 760 mil. eur v roku 2027. Tieto odhady boli v priebehu legislatívneho procesu aj následne po prijatí zákona upravované, a to aj v súvislosti so zmenami rozsahu daňovej povinnosti, vrátane vyňatia niektorých subjektov, konkrétne živnostníkov, z pôsobnosti dane.</w:t>
      </w:r>
    </w:p>
    <w:p w14:paraId="39864671" w14:textId="77777777" w:rsidR="003F0D0B" w:rsidRDefault="003F0D0B" w:rsidP="003F0D0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základe dostupných údajov z aplikačnej praxe možno konštatovať, že pôvodné predpoklady sa nenaplnili. Podľa údajov finančnej správy dosiahol výnos dane za obdobie od apríla do decembra 2025 sumu 338,9 mil. eur. Za prvé štyri mesiace roka 2026 predstavoval výber dane 165,1 mil. eur, pričom aktuálne prognózy výnosu na rok 2026 boli upravené približne na úroveň 527,8 mil. eur. Skutočný výnos dane je tak nižší než pôvodné očakávania, a to aj napriek tomu, že ide o novozavedenú daň s relatívne širokým základom.</w:t>
      </w:r>
    </w:p>
    <w:p w14:paraId="6F4928BA" w14:textId="77777777" w:rsidR="003F0D0B" w:rsidRDefault="003F0D0B" w:rsidP="003F0D0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Zároveň sa v aplikačnej praxi potvrdili negatívne sekundárne efekty, ktoré majú potenciál znižovať čistý fiškálny prínos tejto dane. Ide najmä o zmeny v správaní ekonomických subjektov, ako je optimalizácia počtu transakcií, presun časti operácií do hotovostnej formy alebo využívanie zahraničných účtov, čo vedie k zníženiu transparentnosti ekonomiky a môže negatívne ovplyvňovať výber iných druhov daní.</w:t>
      </w:r>
    </w:p>
    <w:p w14:paraId="64AC52F1" w14:textId="77777777" w:rsidR="003F0D0B" w:rsidRDefault="003F0D0B" w:rsidP="003F0D0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prípade prijatia návrhu zákona dôjde k výpadku príjmov štátneho rozpočtu z titulu zrušenia dane z finančných transakcií, ktorý však môže byť čiastočne kompenzovaný pozitívnymi </w:t>
      </w:r>
      <w:r>
        <w:rPr>
          <w:rFonts w:ascii="Times New Roman" w:eastAsia="Times New Roman" w:hAnsi="Times New Roman" w:cs="Times New Roman"/>
          <w:sz w:val="24"/>
          <w:szCs w:val="24"/>
        </w:rPr>
        <w:lastRenderedPageBreak/>
        <w:t>efektmi na ekonomickú aktivitu, vyšším výberom iných daní a znížením administratívnych nákladov na strane verejného aj súkromného sektora.</w:t>
      </w:r>
    </w:p>
    <w:p w14:paraId="41F6CCA1" w14:textId="77777777" w:rsidR="003F0D0B" w:rsidRDefault="003F0D0B" w:rsidP="003F0D0B">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prípade, ak už daňovník podľa doterajšej právnej úpravy daň z finančných transakcií odviedol, táto daň sa mu započíta voči najbližšej daňovej povinnosti alebo sa na základe jeho žiadosti vráti. Ak má daňovník voči štátu neuhradené daňové pohľadávky, odvedená daň sa v súlade s daňovým poriadkom použije na ich úhradu.</w:t>
      </w:r>
    </w:p>
    <w:p w14:paraId="3415179A"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A.3.2. Vplyvy na podnikateľské prostredie – dochádza k zvýšeniu regulačného zaťaženia?</w:t>
      </w:r>
    </w:p>
    <w:p w14:paraId="283743FE" w14:textId="77777777" w:rsidR="003F0D0B" w:rsidRDefault="003F0D0B" w:rsidP="003F0D0B">
      <w:pPr>
        <w:spacing w:line="240" w:lineRule="auto"/>
        <w:jc w:val="both"/>
        <w:rPr>
          <w:rFonts w:ascii="Times New Roman" w:eastAsia="Times New Roman" w:hAnsi="Times New Roman" w:cs="Times New Roman"/>
          <w:b/>
          <w:bCs/>
          <w:sz w:val="24"/>
          <w:szCs w:val="24"/>
        </w:rPr>
      </w:pPr>
    </w:p>
    <w:p w14:paraId="6B3820F7"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novela zákona má pozitívne vplyvy na podnikateľské prostredie. Skúsenosti z aplikačnej praxe potvrdili, že daň z finančných transakcií predstavuje dodatočné finančné a administratívne zaťaženie podnikateľských subjektov, keďže zdaňuje každú bezhotovostnú operáciu bez ohľadu na ekonomický výsledok. Jej zrušením dôjde k zníženiu nákladov podnikateľov, odstráneniu deformácií v rozhodovaní o finančných tokoch a zjednodušeniu administratívnych procesov. Zároveň sa zlepší predvídateľnosť podnikateľského prostredia a konkurencieschopnosť slovenských podnikov, keďže nedochádza k dodatočnému zdaneniu ekonomickej aktivity.</w:t>
      </w:r>
    </w:p>
    <w:p w14:paraId="63559EB0" w14:textId="77777777" w:rsidR="003F0D0B" w:rsidRDefault="003F0D0B" w:rsidP="003F0D0B">
      <w:pPr>
        <w:spacing w:line="240" w:lineRule="auto"/>
        <w:jc w:val="both"/>
        <w:rPr>
          <w:rFonts w:ascii="Times New Roman" w:eastAsia="Times New Roman" w:hAnsi="Times New Roman" w:cs="Times New Roman"/>
          <w:b/>
          <w:bCs/>
          <w:sz w:val="24"/>
          <w:szCs w:val="24"/>
        </w:rPr>
      </w:pPr>
    </w:p>
    <w:p w14:paraId="66B5A29F"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A.3.3. Sociálne vplyvy</w:t>
      </w:r>
    </w:p>
    <w:p w14:paraId="612CA20C"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novela zákona má pozitívne sociálne vplyvy. Zavedenie dane z finančných transakcií sa nepriamo premietlo do zvýšenia cien tovarov a služieb, keďže podnikateľské subjekty prenášajú zvýšené náklady na konečných spotrebiteľov. Analytické odhady naznačujú, že táto daň prispela k zvýšeniu inflácie približne o 0,2 až 0,5 percentuálneho bodu. Jej zrušením možno očakávať zmiernenie cenových tlakov, stabilizáciu kúpnej sily obyvateľstva a pozitívny vplyv na zamestnanosť, keďže sa zníži tlak na obmedzovanie nákladov zo strany zamestnávateľov, nebude tak výrazne dochádzať k rušeniu pracovných miest, zániku spoločností, či odlivu zahraničných investícií.</w:t>
      </w:r>
    </w:p>
    <w:p w14:paraId="0851A2F8"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A.3.4. Vplyvy na životné prostredie</w:t>
      </w:r>
    </w:p>
    <w:p w14:paraId="3EE5BA31"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novela zákona nemá vplyvy na životné prostredie.</w:t>
      </w:r>
    </w:p>
    <w:p w14:paraId="0E24C930"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A.3.5. Vplyvy na informatizáciu spoločnosti</w:t>
      </w:r>
    </w:p>
    <w:p w14:paraId="3446F2AE"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novela zákona má pozitívne vplyvy na informatizáciu spoločnosti. Zrušením dane z finančných transakcií odpadá potreba ďalších investícií do úprav a rozvoja informačných systémov na strane bánk, podnikateľských subjektov aj verejnej správy, ktoré sú nevyhnutné na evidenciu, výpočet a odvádzanie tejto dane. Zároveň dôjde k zníženiu prevádzkových nákladov spojených so správou a údržbou týchto systémov.</w:t>
      </w:r>
    </w:p>
    <w:p w14:paraId="20D8D88D"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A.3.6. Vplyvy na manželstvo, rodičovstvo a rodinu</w:t>
      </w:r>
    </w:p>
    <w:p w14:paraId="39F85CCF"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novela zákona nemá priame vplyvy na manželstvo, rodičovstvo a rodinu.</w:t>
      </w:r>
    </w:p>
    <w:p w14:paraId="080D44E6"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A.3.7. Vplyvy na služby verejnej správy pre občana</w:t>
      </w:r>
    </w:p>
    <w:p w14:paraId="0018DAEA" w14:textId="77777777" w:rsidR="003F0D0B" w:rsidRDefault="003F0D0B" w:rsidP="003F0D0B">
      <w:pPr>
        <w:spacing w:before="240" w:after="240"/>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Navrhovaná novela zákona má pozitívne vplyvy na služby verejnej správy pre občana, keďže znižuje administratívnu záťaž spojenú s výkonom správy dane a zjednodušuje interakciu daňovníkov so štátom.</w:t>
      </w:r>
    </w:p>
    <w:p w14:paraId="5492EEB1"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 Alternatívne riešenia</w:t>
      </w:r>
    </w:p>
    <w:p w14:paraId="23DBD22C"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Konsolidáciu verejných financií je možné dosiahnuť aj inými, ekonomicky menej škodlivými nástrojmi než je zavádzanie daní zaťažujúcich ekonomickú aktivitu. Alternatívou je najmä zvyšovanie efektívnosti verejných výdavkov, obmedzenie nehospodárnej prevádzky štátu a podpora ekonomického rastu.</w:t>
      </w:r>
    </w:p>
    <w:p w14:paraId="431AA93E" w14:textId="77777777" w:rsidR="003F0D0B" w:rsidRDefault="003F0D0B" w:rsidP="003F0D0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Priestor na konsolidáciu predstavuje racionalizácia verejných výdavkov, najmä v oblasti nákupu tovarov a služieb, vrátane informačných technológií, kde existuje potenciál úspor v rozsahu desiatok až stoviek miliónov eur ročne. V prípade potreby zvýšenia príjmov verejných financií je vhodnejšie zamerať sa na zdanenie negatívnych </w:t>
      </w:r>
      <w:proofErr w:type="spellStart"/>
      <w:r>
        <w:rPr>
          <w:rFonts w:ascii="Times New Roman" w:eastAsia="Times New Roman" w:hAnsi="Times New Roman" w:cs="Times New Roman"/>
          <w:sz w:val="24"/>
          <w:szCs w:val="24"/>
        </w:rPr>
        <w:t>externalít</w:t>
      </w:r>
      <w:proofErr w:type="spellEnd"/>
      <w:r>
        <w:rPr>
          <w:rFonts w:ascii="Times New Roman" w:eastAsia="Times New Roman" w:hAnsi="Times New Roman" w:cs="Times New Roman"/>
          <w:sz w:val="24"/>
          <w:szCs w:val="24"/>
        </w:rPr>
        <w:t>, ktoré majú menší dopad na ekonomický rast a konkurencieschopnosť.</w:t>
      </w:r>
    </w:p>
    <w:p w14:paraId="70DB7F65" w14:textId="77777777" w:rsidR="003F0D0B" w:rsidRDefault="003F0D0B" w:rsidP="003F0D0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A.5. Stanovisko gestorov</w:t>
      </w:r>
    </w:p>
    <w:p w14:paraId="2FB337A9" w14:textId="77777777" w:rsidR="003F0D0B" w:rsidRDefault="003F0D0B" w:rsidP="003F0D0B">
      <w:pPr>
        <w:spacing w:line="240" w:lineRule="auto"/>
        <w:jc w:val="both"/>
        <w:rPr>
          <w:rFonts w:ascii="Times New Roman" w:eastAsia="Times New Roman" w:hAnsi="Times New Roman" w:cs="Times New Roman"/>
          <w:b/>
          <w:bCs/>
          <w:sz w:val="24"/>
          <w:szCs w:val="24"/>
        </w:rPr>
      </w:pPr>
    </w:p>
    <w:p w14:paraId="096B0C84" w14:textId="77777777" w:rsidR="003F0D0B" w:rsidRDefault="003F0D0B" w:rsidP="003F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bol zaslaný na vyjadrenie Ministerstvu financií Slovenskej republiky a Ministerstvu hospodárstva Slovenskej republiky a ich stanoviská tvoria súčasť predkladaného materiálu.</w:t>
      </w:r>
    </w:p>
    <w:p w14:paraId="6ACBC751" w14:textId="77777777" w:rsidR="003F0D0B" w:rsidRDefault="003F0D0B" w:rsidP="003F0D0B">
      <w:pPr>
        <w:rPr>
          <w:rFonts w:ascii="Times New Roman" w:eastAsia="Times New Roman" w:hAnsi="Times New Roman" w:cs="Times New Roman"/>
        </w:rPr>
      </w:pPr>
    </w:p>
    <w:p w14:paraId="23475EF7" w14:textId="77777777" w:rsidR="007876F7" w:rsidRDefault="007876F7"/>
    <w:sectPr w:rsidR="007876F7" w:rsidSect="003F0D0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D0B"/>
    <w:rsid w:val="00212A51"/>
    <w:rsid w:val="003F0D0B"/>
    <w:rsid w:val="007876F7"/>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2E60"/>
  <w15:chartTrackingRefBased/>
  <w15:docId w15:val="{82D50243-D74E-4914-8573-E8B30E95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D0B"/>
    <w:pPr>
      <w:spacing w:after="0" w:line="276" w:lineRule="auto"/>
    </w:pPr>
    <w:rPr>
      <w:rFonts w:ascii="Arial" w:eastAsia="Arial" w:hAnsi="Arial" w:cs="Arial"/>
      <w:kern w:val="0"/>
      <w:sz w:val="22"/>
      <w:szCs w:val="22"/>
      <w:lang w:val="sk" w:eastAsia="sk-SK"/>
      <w14:ligatures w14:val="none"/>
    </w:rPr>
  </w:style>
  <w:style w:type="paragraph" w:styleId="Nadpis1">
    <w:name w:val="heading 1"/>
    <w:basedOn w:val="Normlny"/>
    <w:next w:val="Normlny"/>
    <w:link w:val="Nadpis1Char"/>
    <w:uiPriority w:val="9"/>
    <w:qFormat/>
    <w:rsid w:val="003F0D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eastAsia="en-US"/>
      <w14:ligatures w14:val="standardContextual"/>
    </w:rPr>
  </w:style>
  <w:style w:type="paragraph" w:styleId="Nadpis2">
    <w:name w:val="heading 2"/>
    <w:basedOn w:val="Normlny"/>
    <w:next w:val="Normlny"/>
    <w:link w:val="Nadpis2Char"/>
    <w:uiPriority w:val="9"/>
    <w:semiHidden/>
    <w:unhideWhenUsed/>
    <w:qFormat/>
    <w:rsid w:val="003F0D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eastAsia="en-US"/>
      <w14:ligatures w14:val="standardContextual"/>
    </w:rPr>
  </w:style>
  <w:style w:type="paragraph" w:styleId="Nadpis3">
    <w:name w:val="heading 3"/>
    <w:basedOn w:val="Normlny"/>
    <w:next w:val="Normlny"/>
    <w:link w:val="Nadpis3Char"/>
    <w:uiPriority w:val="9"/>
    <w:semiHidden/>
    <w:unhideWhenUsed/>
    <w:qFormat/>
    <w:rsid w:val="003F0D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3F0D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sk-SK" w:eastAsia="en-US"/>
      <w14:ligatures w14:val="standardContextual"/>
    </w:rPr>
  </w:style>
  <w:style w:type="paragraph" w:styleId="Nadpis5">
    <w:name w:val="heading 5"/>
    <w:basedOn w:val="Normlny"/>
    <w:next w:val="Normlny"/>
    <w:link w:val="Nadpis5Char"/>
    <w:uiPriority w:val="9"/>
    <w:semiHidden/>
    <w:unhideWhenUsed/>
    <w:qFormat/>
    <w:rsid w:val="003F0D0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sk-SK" w:eastAsia="en-US"/>
      <w14:ligatures w14:val="standardContextual"/>
    </w:rPr>
  </w:style>
  <w:style w:type="paragraph" w:styleId="Nadpis6">
    <w:name w:val="heading 6"/>
    <w:basedOn w:val="Normlny"/>
    <w:next w:val="Normlny"/>
    <w:link w:val="Nadpis6Char"/>
    <w:uiPriority w:val="9"/>
    <w:semiHidden/>
    <w:unhideWhenUsed/>
    <w:qFormat/>
    <w:rsid w:val="003F0D0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sk-SK" w:eastAsia="en-US"/>
      <w14:ligatures w14:val="standardContextual"/>
    </w:rPr>
  </w:style>
  <w:style w:type="paragraph" w:styleId="Nadpis7">
    <w:name w:val="heading 7"/>
    <w:basedOn w:val="Normlny"/>
    <w:next w:val="Normlny"/>
    <w:link w:val="Nadpis7Char"/>
    <w:uiPriority w:val="9"/>
    <w:semiHidden/>
    <w:unhideWhenUsed/>
    <w:qFormat/>
    <w:rsid w:val="003F0D0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sk-SK" w:eastAsia="en-US"/>
      <w14:ligatures w14:val="standardContextual"/>
    </w:rPr>
  </w:style>
  <w:style w:type="paragraph" w:styleId="Nadpis8">
    <w:name w:val="heading 8"/>
    <w:basedOn w:val="Normlny"/>
    <w:next w:val="Normlny"/>
    <w:link w:val="Nadpis8Char"/>
    <w:uiPriority w:val="9"/>
    <w:semiHidden/>
    <w:unhideWhenUsed/>
    <w:qFormat/>
    <w:rsid w:val="003F0D0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sk-SK" w:eastAsia="en-US"/>
      <w14:ligatures w14:val="standardContextual"/>
    </w:rPr>
  </w:style>
  <w:style w:type="paragraph" w:styleId="Nadpis9">
    <w:name w:val="heading 9"/>
    <w:basedOn w:val="Normlny"/>
    <w:next w:val="Normlny"/>
    <w:link w:val="Nadpis9Char"/>
    <w:uiPriority w:val="9"/>
    <w:semiHidden/>
    <w:unhideWhenUsed/>
    <w:qFormat/>
    <w:rsid w:val="003F0D0B"/>
    <w:pPr>
      <w:keepNext/>
      <w:keepLines/>
      <w:spacing w:line="278" w:lineRule="auto"/>
      <w:outlineLvl w:val="8"/>
    </w:pPr>
    <w:rPr>
      <w:rFonts w:asciiTheme="minorHAnsi" w:eastAsiaTheme="majorEastAsia" w:hAnsiTheme="minorHAnsi" w:cstheme="majorBidi"/>
      <w:color w:val="272727" w:themeColor="text1" w:themeTint="D8"/>
      <w:kern w:val="2"/>
      <w:sz w:val="24"/>
      <w:szCs w:val="24"/>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F0D0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F0D0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F0D0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F0D0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F0D0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F0D0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F0D0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F0D0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F0D0B"/>
    <w:rPr>
      <w:rFonts w:eastAsiaTheme="majorEastAsia" w:cstheme="majorBidi"/>
      <w:color w:val="272727" w:themeColor="text1" w:themeTint="D8"/>
    </w:rPr>
  </w:style>
  <w:style w:type="paragraph" w:styleId="Nzov">
    <w:name w:val="Title"/>
    <w:basedOn w:val="Normlny"/>
    <w:next w:val="Normlny"/>
    <w:link w:val="NzovChar"/>
    <w:uiPriority w:val="10"/>
    <w:qFormat/>
    <w:rsid w:val="003F0D0B"/>
    <w:pPr>
      <w:spacing w:after="80" w:line="240" w:lineRule="auto"/>
      <w:contextualSpacing/>
    </w:pPr>
    <w:rPr>
      <w:rFonts w:asciiTheme="majorHAnsi" w:eastAsiaTheme="majorEastAsia" w:hAnsiTheme="majorHAnsi" w:cstheme="majorBidi"/>
      <w:spacing w:val="-10"/>
      <w:kern w:val="28"/>
      <w:sz w:val="56"/>
      <w:szCs w:val="56"/>
      <w:lang w:val="sk-SK" w:eastAsia="en-US"/>
      <w14:ligatures w14:val="standardContextual"/>
    </w:rPr>
  </w:style>
  <w:style w:type="character" w:customStyle="1" w:styleId="NzovChar">
    <w:name w:val="Názov Char"/>
    <w:basedOn w:val="Predvolenpsmoodseku"/>
    <w:link w:val="Nzov"/>
    <w:uiPriority w:val="10"/>
    <w:rsid w:val="003F0D0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F0D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character" w:customStyle="1" w:styleId="PodtitulChar">
    <w:name w:val="Podtitul Char"/>
    <w:basedOn w:val="Predvolenpsmoodseku"/>
    <w:link w:val="Podtitul"/>
    <w:uiPriority w:val="11"/>
    <w:rsid w:val="003F0D0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F0D0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sk-SK" w:eastAsia="en-US"/>
      <w14:ligatures w14:val="standardContextual"/>
    </w:rPr>
  </w:style>
  <w:style w:type="character" w:customStyle="1" w:styleId="CitciaChar">
    <w:name w:val="Citácia Char"/>
    <w:basedOn w:val="Predvolenpsmoodseku"/>
    <w:link w:val="Citcia"/>
    <w:uiPriority w:val="29"/>
    <w:rsid w:val="003F0D0B"/>
    <w:rPr>
      <w:i/>
      <w:iCs/>
      <w:color w:val="404040" w:themeColor="text1" w:themeTint="BF"/>
    </w:rPr>
  </w:style>
  <w:style w:type="paragraph" w:styleId="Odsekzoznamu">
    <w:name w:val="List Paragraph"/>
    <w:basedOn w:val="Normlny"/>
    <w:uiPriority w:val="34"/>
    <w:qFormat/>
    <w:rsid w:val="003F0D0B"/>
    <w:pPr>
      <w:spacing w:after="160" w:line="278" w:lineRule="auto"/>
      <w:ind w:left="720"/>
      <w:contextualSpacing/>
    </w:pPr>
    <w:rPr>
      <w:rFonts w:asciiTheme="minorHAnsi" w:eastAsiaTheme="minorHAnsi" w:hAnsiTheme="minorHAnsi" w:cstheme="minorBidi"/>
      <w:kern w:val="2"/>
      <w:sz w:val="24"/>
      <w:szCs w:val="24"/>
      <w:lang w:val="sk-SK" w:eastAsia="en-US"/>
      <w14:ligatures w14:val="standardContextual"/>
    </w:rPr>
  </w:style>
  <w:style w:type="character" w:styleId="Intenzvnezvraznenie">
    <w:name w:val="Intense Emphasis"/>
    <w:basedOn w:val="Predvolenpsmoodseku"/>
    <w:uiPriority w:val="21"/>
    <w:qFormat/>
    <w:rsid w:val="003F0D0B"/>
    <w:rPr>
      <w:i/>
      <w:iCs/>
      <w:color w:val="0F4761" w:themeColor="accent1" w:themeShade="BF"/>
    </w:rPr>
  </w:style>
  <w:style w:type="paragraph" w:styleId="Zvraznencitcia">
    <w:name w:val="Intense Quote"/>
    <w:basedOn w:val="Normlny"/>
    <w:next w:val="Normlny"/>
    <w:link w:val="ZvraznencitciaChar"/>
    <w:uiPriority w:val="30"/>
    <w:qFormat/>
    <w:rsid w:val="003F0D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sk-SK" w:eastAsia="en-US"/>
      <w14:ligatures w14:val="standardContextual"/>
    </w:rPr>
  </w:style>
  <w:style w:type="character" w:customStyle="1" w:styleId="ZvraznencitciaChar">
    <w:name w:val="Zvýraznená citácia Char"/>
    <w:basedOn w:val="Predvolenpsmoodseku"/>
    <w:link w:val="Zvraznencitcia"/>
    <w:uiPriority w:val="30"/>
    <w:rsid w:val="003F0D0B"/>
    <w:rPr>
      <w:i/>
      <w:iCs/>
      <w:color w:val="0F4761" w:themeColor="accent1" w:themeShade="BF"/>
    </w:rPr>
  </w:style>
  <w:style w:type="character" w:styleId="Zvraznenodkaz">
    <w:name w:val="Intense Reference"/>
    <w:basedOn w:val="Predvolenpsmoodseku"/>
    <w:uiPriority w:val="32"/>
    <w:qFormat/>
    <w:rsid w:val="003F0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5217</Characters>
  <DocSecurity>0</DocSecurity>
  <Lines>43</Lines>
  <Paragraphs>12</Paragraphs>
  <ScaleCrop>false</ScaleCrop>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2026-05-06T09:02:00Z</dcterms:created>
  <dcterms:modified xsi:type="dcterms:W3CDTF">2026-05-06T09:03:00Z</dcterms:modified>
</cp:coreProperties>
</file>