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NÁRODNÁ RADA SLOVENSKEJ REPUBLIKY </w:t>
      </w:r>
    </w:p>
    <w:p w:rsidR="00000000" w:rsidDel="00000000" w:rsidP="00000000" w:rsidRDefault="00000000" w:rsidRPr="00000000" w14:paraId="00000002">
      <w:pPr>
        <w:pBdr>
          <w:bottom w:color="000000" w:space="3" w:sz="12" w:val="single"/>
        </w:pBdr>
        <w:jc w:val="center"/>
        <w:rPr/>
      </w:pPr>
      <w:r w:rsidDel="00000000" w:rsidR="00000000" w:rsidRPr="00000000">
        <w:rPr>
          <w:rtl w:val="0"/>
        </w:rPr>
        <w:t xml:space="preserve">IX. volebné obdobie</w:t>
      </w:r>
    </w:p>
    <w:p w:rsidR="00000000" w:rsidDel="00000000" w:rsidP="00000000" w:rsidRDefault="00000000" w:rsidRPr="00000000" w14:paraId="00000003">
      <w:pPr>
        <w:jc w:val="center"/>
        <w:rPr>
          <w:highlight w:val="yellow"/>
        </w:rPr>
      </w:pPr>
      <w:r w:rsidDel="00000000" w:rsidR="00000000" w:rsidRPr="00000000">
        <w:rPr>
          <w:rtl w:val="0"/>
        </w:rPr>
      </w:r>
    </w:p>
    <w:p w:rsidR="00000000" w:rsidDel="00000000" w:rsidP="00000000" w:rsidRDefault="00000000" w:rsidRPr="00000000" w14:paraId="00000004">
      <w:pPr>
        <w:spacing w:before="120" w:lineRule="auto"/>
        <w:jc w:val="center"/>
        <w:rPr>
          <w:b w:val="1"/>
          <w:bCs w:val="1"/>
        </w:rPr>
      </w:pPr>
      <w:r w:rsidDel="00000000" w:rsidR="00000000" w:rsidRPr="00000000">
        <w:rPr>
          <w:rtl w:val="0"/>
        </w:rPr>
      </w:r>
    </w:p>
    <w:p w:rsidR="00000000" w:rsidDel="00000000" w:rsidP="00000000" w:rsidRDefault="00000000" w:rsidRPr="00000000" w14:paraId="00000005">
      <w:pPr>
        <w:spacing w:before="120" w:lineRule="auto"/>
        <w:jc w:val="center"/>
        <w:rPr/>
      </w:pPr>
      <w:r w:rsidDel="00000000" w:rsidR="00000000" w:rsidRPr="00000000">
        <w:rPr>
          <w:rtl w:val="0"/>
        </w:rPr>
        <w:t xml:space="preserve">Návrh </w:t>
      </w:r>
    </w:p>
    <w:p w:rsidR="00000000" w:rsidDel="00000000" w:rsidP="00000000" w:rsidRDefault="00000000" w:rsidRPr="00000000" w14:paraId="00000006">
      <w:pPr>
        <w:spacing w:before="120" w:lineRule="auto"/>
        <w:jc w:val="center"/>
        <w:rPr>
          <w:b w:val="1"/>
          <w:bCs w:val="1"/>
        </w:rPr>
      </w:pPr>
      <w:r w:rsidDel="00000000" w:rsidR="00000000" w:rsidRPr="00000000">
        <w:rPr>
          <w:rtl w:val="0"/>
        </w:rPr>
      </w:r>
    </w:p>
    <w:p w:rsidR="00000000" w:rsidDel="00000000" w:rsidP="00000000" w:rsidRDefault="00000000" w:rsidRPr="00000000" w14:paraId="00000007">
      <w:pPr>
        <w:spacing w:before="120" w:lineRule="auto"/>
        <w:jc w:val="center"/>
        <w:rPr/>
      </w:pPr>
      <w:r w:rsidDel="00000000" w:rsidR="00000000" w:rsidRPr="00000000">
        <w:rPr>
          <w:b w:val="1"/>
          <w:bCs w:val="1"/>
          <w:smallCaps w:val="1"/>
          <w:rtl w:val="0"/>
        </w:rPr>
        <w:t xml:space="preserve">ZÁKON</w:t>
      </w:r>
      <w:r w:rsidDel="00000000" w:rsidR="00000000" w:rsidRPr="00000000">
        <w:rPr>
          <w:rtl w:val="0"/>
        </w:rPr>
      </w:r>
    </w:p>
    <w:p w:rsidR="00000000" w:rsidDel="00000000" w:rsidP="00000000" w:rsidRDefault="00000000" w:rsidRPr="00000000" w14:paraId="00000008">
      <w:pPr>
        <w:spacing w:before="120" w:lineRule="auto"/>
        <w:jc w:val="center"/>
        <w:rPr/>
      </w:pPr>
      <w:r w:rsidDel="00000000" w:rsidR="00000000" w:rsidRPr="00000000">
        <w:rPr>
          <w:rtl w:val="0"/>
        </w:rPr>
      </w:r>
    </w:p>
    <w:p w:rsidR="00000000" w:rsidDel="00000000" w:rsidP="00000000" w:rsidRDefault="00000000" w:rsidRPr="00000000" w14:paraId="00000009">
      <w:pPr>
        <w:spacing w:before="120" w:lineRule="auto"/>
        <w:jc w:val="center"/>
        <w:rPr/>
      </w:pPr>
      <w:r w:rsidDel="00000000" w:rsidR="00000000" w:rsidRPr="00000000">
        <w:rPr>
          <w:rtl w:val="0"/>
        </w:rPr>
        <w:t xml:space="preserve">z ... 2026,</w:t>
      </w:r>
    </w:p>
    <w:p w:rsidR="00000000" w:rsidDel="00000000" w:rsidP="00000000" w:rsidRDefault="00000000" w:rsidRPr="00000000" w14:paraId="0000000A">
      <w:pPr>
        <w:spacing w:before="120" w:lineRule="auto"/>
        <w:jc w:val="center"/>
        <w:rPr/>
      </w:pPr>
      <w:r w:rsidDel="00000000" w:rsidR="00000000" w:rsidRPr="00000000">
        <w:rPr>
          <w:rtl w:val="0"/>
        </w:rPr>
      </w:r>
    </w:p>
    <w:p w:rsidR="00000000" w:rsidDel="00000000" w:rsidP="00000000" w:rsidRDefault="00000000" w:rsidRPr="00000000" w14:paraId="0000000B">
      <w:pPr>
        <w:jc w:val="center"/>
        <w:rPr>
          <w:b w:val="1"/>
          <w:bCs w:val="1"/>
        </w:rPr>
      </w:pPr>
      <w:r w:rsidDel="00000000" w:rsidR="00000000" w:rsidRPr="00000000">
        <w:rPr>
          <w:b w:val="1"/>
          <w:bCs w:val="1"/>
          <w:rtl w:val="0"/>
        </w:rPr>
        <w:t xml:space="preserve">ktorým sa mení a dopĺňa zákon č. 279/2024 Z. z. o dani z finančných transakcií a o zmene a doplnení niektorých zákonov v znení neskorších predpisov a ktorým sa menia niektoré zákony</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jc w:val="both"/>
        <w:rPr>
          <w:b w:val="1"/>
          <w:bCs w:val="1"/>
        </w:rPr>
      </w:pP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Národná rada Slovenskej republiky sa uzniesla na tomto zákone:</w:t>
      </w:r>
    </w:p>
    <w:p w:rsidR="00000000" w:rsidDel="00000000" w:rsidP="00000000" w:rsidRDefault="00000000" w:rsidRPr="00000000" w14:paraId="0000000F">
      <w:pPr>
        <w:jc w:val="center"/>
        <w:rPr>
          <w:b w:val="1"/>
          <w:bCs w:val="1"/>
        </w:rPr>
      </w:pPr>
      <w:r w:rsidDel="00000000" w:rsidR="00000000" w:rsidRPr="00000000">
        <w:rPr>
          <w:rtl w:val="0"/>
        </w:rPr>
      </w:r>
    </w:p>
    <w:p w:rsidR="00000000" w:rsidDel="00000000" w:rsidP="00000000" w:rsidRDefault="00000000" w:rsidRPr="00000000" w14:paraId="00000010">
      <w:pPr>
        <w:jc w:val="center"/>
        <w:rPr>
          <w:b w:val="1"/>
          <w:bCs w:val="1"/>
        </w:rPr>
      </w:pPr>
      <w:r w:rsidDel="00000000" w:rsidR="00000000" w:rsidRPr="00000000">
        <w:rPr>
          <w:b w:val="1"/>
          <w:bCs w:val="1"/>
          <w:rtl w:val="0"/>
        </w:rPr>
        <w:t xml:space="preserve">Čl. I</w:t>
      </w:r>
    </w:p>
    <w:p w:rsidR="00000000" w:rsidDel="00000000" w:rsidP="00000000" w:rsidRDefault="00000000" w:rsidRPr="00000000" w14:paraId="00000011">
      <w:pPr>
        <w:jc w:val="center"/>
        <w:rPr>
          <w:b w:val="1"/>
          <w:bCs w:val="1"/>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t xml:space="preserve">Zákon č. 279/2024 Z. z. o dani z finančných transakcií a o zmene a doplnení niektorých zákonov v znení zákona č. 354/2024 Z. z., zákona č. 26/2025 Z. z., zákona č. 176/2025 Z. z. a zákona č. 272/2025 Z. z. sa mení a dopĺňa takto:</w:t>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numPr>
          <w:ilvl w:val="0"/>
          <w:numId w:val="1"/>
        </w:numPr>
        <w:ind w:left="720" w:hanging="360"/>
        <w:jc w:val="both"/>
        <w:rPr>
          <w:u w:val="none"/>
        </w:rPr>
      </w:pPr>
      <w:r w:rsidDel="00000000" w:rsidR="00000000" w:rsidRPr="00000000">
        <w:rPr>
          <w:rtl w:val="0"/>
        </w:rPr>
        <w:t xml:space="preserve">§ 1 až 14 sa vypúšťajú.</w:t>
      </w:r>
      <w:r w:rsidDel="00000000" w:rsidR="00000000" w:rsidRPr="00000000">
        <w:rPr>
          <w:rtl w:val="0"/>
        </w:rPr>
      </w:r>
    </w:p>
    <w:p w:rsidR="00000000" w:rsidDel="00000000" w:rsidP="00000000" w:rsidRDefault="00000000" w:rsidRPr="00000000" w14:paraId="00000015">
      <w:pPr>
        <w:ind w:left="720" w:firstLine="0"/>
        <w:jc w:val="both"/>
        <w:rPr/>
      </w:pPr>
      <w:r w:rsidDel="00000000" w:rsidR="00000000" w:rsidRPr="00000000">
        <w:rPr>
          <w:rtl w:val="0"/>
        </w:rPr>
      </w:r>
    </w:p>
    <w:p w:rsidR="00000000" w:rsidDel="00000000" w:rsidP="00000000" w:rsidRDefault="00000000" w:rsidRPr="00000000" w14:paraId="00000016">
      <w:pPr>
        <w:ind w:left="720" w:firstLine="0"/>
        <w:jc w:val="both"/>
        <w:rPr/>
      </w:pPr>
      <w:r w:rsidDel="00000000" w:rsidR="00000000" w:rsidRPr="00000000">
        <w:rPr>
          <w:rtl w:val="0"/>
        </w:rPr>
        <w:t xml:space="preserve">Poznámky pod čiarou k odkazom 1 až 31 sa vypúšťajú.</w:t>
      </w:r>
    </w:p>
    <w:p w:rsidR="00000000" w:rsidDel="00000000" w:rsidP="00000000" w:rsidRDefault="00000000" w:rsidRPr="00000000" w14:paraId="00000017">
      <w:pPr>
        <w:ind w:left="720" w:firstLine="0"/>
        <w:jc w:val="both"/>
        <w:rPr/>
      </w:pPr>
      <w:r w:rsidDel="00000000" w:rsidR="00000000" w:rsidRPr="00000000">
        <w:rPr>
          <w:rtl w:val="0"/>
        </w:rPr>
      </w:r>
    </w:p>
    <w:p w:rsidR="00000000" w:rsidDel="00000000" w:rsidP="00000000" w:rsidRDefault="00000000" w:rsidRPr="00000000" w14:paraId="00000018">
      <w:pPr>
        <w:numPr>
          <w:ilvl w:val="0"/>
          <w:numId w:val="1"/>
        </w:numPr>
        <w:ind w:left="720" w:hanging="360"/>
        <w:jc w:val="both"/>
        <w:rPr>
          <w:u w:val="none"/>
        </w:rPr>
      </w:pPr>
      <w:r w:rsidDel="00000000" w:rsidR="00000000" w:rsidRPr="00000000">
        <w:rPr>
          <w:rtl w:val="0"/>
        </w:rPr>
        <w:t xml:space="preserve">Za § 14 sa vkladá § 15, ktorý vrátane nadpisu znie:</w:t>
      </w:r>
      <w:r w:rsidDel="00000000" w:rsidR="00000000" w:rsidRPr="00000000">
        <w:rPr>
          <w:rtl w:val="0"/>
        </w:rPr>
      </w:r>
    </w:p>
    <w:p w:rsidR="00000000" w:rsidDel="00000000" w:rsidP="00000000" w:rsidRDefault="00000000" w:rsidRPr="00000000" w14:paraId="00000019">
      <w:pPr>
        <w:ind w:left="720" w:firstLine="0"/>
        <w:jc w:val="both"/>
        <w:rPr/>
      </w:pPr>
      <w:r w:rsidDel="00000000" w:rsidR="00000000" w:rsidRPr="00000000">
        <w:rPr>
          <w:rtl w:val="0"/>
        </w:rPr>
      </w:r>
    </w:p>
    <w:p w:rsidR="00000000" w:rsidDel="00000000" w:rsidP="00000000" w:rsidRDefault="00000000" w:rsidRPr="00000000" w14:paraId="0000001A">
      <w:pPr>
        <w:ind w:left="720" w:firstLine="0"/>
        <w:jc w:val="center"/>
        <w:rPr>
          <w:highlight w:val="white"/>
        </w:rPr>
      </w:pPr>
      <w:r w:rsidDel="00000000" w:rsidR="00000000" w:rsidRPr="00000000">
        <w:rPr>
          <w:highlight w:val="white"/>
          <w:rtl w:val="0"/>
        </w:rPr>
        <w:t xml:space="preserve">„§ 15</w:t>
      </w:r>
    </w:p>
    <w:p w:rsidR="00000000" w:rsidDel="00000000" w:rsidP="00000000" w:rsidRDefault="00000000" w:rsidRPr="00000000" w14:paraId="0000001B">
      <w:pPr>
        <w:ind w:left="720" w:firstLine="0"/>
        <w:jc w:val="center"/>
        <w:rPr>
          <w:highlight w:val="white"/>
        </w:rPr>
      </w:pPr>
      <w:r w:rsidDel="00000000" w:rsidR="00000000" w:rsidRPr="00000000">
        <w:rPr>
          <w:highlight w:val="white"/>
          <w:rtl w:val="0"/>
        </w:rPr>
        <w:t xml:space="preserve">Prechodné ustanovenie k úprave účinnej od 1. novembra 2026</w:t>
      </w:r>
    </w:p>
    <w:p w:rsidR="00000000" w:rsidDel="00000000" w:rsidP="00000000" w:rsidRDefault="00000000" w:rsidRPr="00000000" w14:paraId="0000001C">
      <w:pPr>
        <w:ind w:left="720" w:firstLine="0"/>
        <w:jc w:val="center"/>
        <w:rPr>
          <w:highlight w:val="white"/>
        </w:rPr>
      </w:pPr>
      <w:r w:rsidDel="00000000" w:rsidR="00000000" w:rsidRPr="00000000">
        <w:rPr>
          <w:rtl w:val="0"/>
        </w:rPr>
      </w:r>
    </w:p>
    <w:p w:rsidR="00000000" w:rsidDel="00000000" w:rsidP="00000000" w:rsidRDefault="00000000" w:rsidRPr="00000000" w14:paraId="0000001D">
      <w:pPr>
        <w:ind w:left="720" w:firstLine="0"/>
        <w:jc w:val="both"/>
        <w:rPr/>
      </w:pPr>
      <w:r w:rsidDel="00000000" w:rsidR="00000000" w:rsidRPr="00000000">
        <w:rPr>
          <w:highlight w:val="white"/>
          <w:rtl w:val="0"/>
        </w:rPr>
        <w:t xml:space="preserve">Daň odvedenú podľa zákona účinného do 31. októbra 2026 je správca dane povinný započítať na úhradu najbližšej daňovej povinnosti daňovníka alebo na základe žiadosti daňovníka vrátiť. Na postup správcu dane pri vrátení dane odvedenej podľa zákona účinného do 31. októbra 2026 na základe žiadosti daňovníka sa použijú ustanovenia osobitného predpisu.</w:t>
      </w:r>
      <w:r w:rsidDel="00000000" w:rsidR="00000000" w:rsidRPr="00000000">
        <w:rPr>
          <w:vertAlign w:val="superscript"/>
          <w:rtl w:val="0"/>
        </w:rPr>
        <w:t xml:space="preserve">1</w:t>
      </w:r>
      <w:r w:rsidDel="00000000" w:rsidR="00000000" w:rsidRPr="00000000">
        <w:rPr>
          <w:rtl w:val="0"/>
        </w:rPr>
        <w:t xml:space="preserve">) Prvá veta sa nepoužije, ak bola suma dane odvedenej podľa zákona účinného do 31. októbra 2026 použitá na úhradu iných pohľadávok daňovníka podľa osobitného predpisu.</w:t>
      </w:r>
      <w:r w:rsidDel="00000000" w:rsidR="00000000" w:rsidRPr="00000000">
        <w:rPr>
          <w:vertAlign w:val="superscript"/>
          <w:rtl w:val="0"/>
        </w:rPr>
        <w:t xml:space="preserve">2</w:t>
      </w:r>
      <w:r w:rsidDel="00000000" w:rsidR="00000000" w:rsidRPr="00000000">
        <w:rPr>
          <w:rtl w:val="0"/>
        </w:rPr>
        <w:t xml:space="preserve">)</w:t>
      </w:r>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01E">
      <w:pPr>
        <w:ind w:left="720" w:firstLine="0"/>
        <w:jc w:val="both"/>
        <w:rPr/>
      </w:pPr>
      <w:r w:rsidDel="00000000" w:rsidR="00000000" w:rsidRPr="00000000">
        <w:rPr>
          <w:rtl w:val="0"/>
        </w:rPr>
      </w:r>
    </w:p>
    <w:p w:rsidR="00000000" w:rsidDel="00000000" w:rsidP="00000000" w:rsidRDefault="00000000" w:rsidRPr="00000000" w14:paraId="0000001F">
      <w:pPr>
        <w:ind w:left="720" w:firstLine="0"/>
        <w:jc w:val="both"/>
        <w:rPr/>
      </w:pPr>
      <w:r w:rsidDel="00000000" w:rsidR="00000000" w:rsidRPr="00000000">
        <w:rPr>
          <w:rtl w:val="0"/>
        </w:rPr>
        <w:t xml:space="preserve">Poznámky pod čiarou k odkazom 1 a 2 znejú:</w:t>
      </w:r>
    </w:p>
    <w:p w:rsidR="00000000" w:rsidDel="00000000" w:rsidP="00000000" w:rsidRDefault="00000000" w:rsidRPr="00000000" w14:paraId="00000020">
      <w:pPr>
        <w:ind w:left="720" w:firstLine="0"/>
        <w:jc w:val="both"/>
        <w:rPr/>
      </w:pPr>
      <w:r w:rsidDel="00000000" w:rsidR="00000000" w:rsidRPr="00000000">
        <w:rPr>
          <w:highlight w:val="white"/>
          <w:rtl w:val="0"/>
        </w:rPr>
        <w:t xml:space="preserve">„</w:t>
      </w:r>
      <w:r w:rsidDel="00000000" w:rsidR="00000000" w:rsidRPr="00000000">
        <w:rPr>
          <w:vertAlign w:val="superscript"/>
          <w:rtl w:val="0"/>
        </w:rPr>
        <w:t xml:space="preserve">1</w:t>
      </w:r>
      <w:r w:rsidDel="00000000" w:rsidR="00000000" w:rsidRPr="00000000">
        <w:rPr>
          <w:rtl w:val="0"/>
        </w:rPr>
        <w:t xml:space="preserve">) § 79 zákona č. 563/2009 Z. z. o správe daní (daňový poriadok) a o zmene a doplnení niektorých zákonov v znení neskorších predpisov.</w:t>
      </w:r>
    </w:p>
    <w:p w:rsidR="00000000" w:rsidDel="00000000" w:rsidP="00000000" w:rsidRDefault="00000000" w:rsidRPr="00000000" w14:paraId="00000021">
      <w:pPr>
        <w:ind w:left="720" w:firstLine="0"/>
        <w:jc w:val="both"/>
        <w:rPr/>
      </w:pPr>
      <w:r w:rsidDel="00000000" w:rsidR="00000000" w:rsidRPr="00000000">
        <w:rPr>
          <w:vertAlign w:val="superscript"/>
          <w:rtl w:val="0"/>
        </w:rPr>
        <w:t xml:space="preserve">2</w:t>
      </w:r>
      <w:r w:rsidDel="00000000" w:rsidR="00000000" w:rsidRPr="00000000">
        <w:rPr>
          <w:rtl w:val="0"/>
        </w:rPr>
        <w:t xml:space="preserve">) § 55 ods. 6 a 7 zákona č. 563/2009 Z. z. v znení neskorších predpisov.</w:t>
      </w:r>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022">
      <w:pPr>
        <w:jc w:val="center"/>
        <w:rPr>
          <w:b w:val="1"/>
          <w:bCs w:val="1"/>
        </w:rPr>
      </w:pPr>
      <w:r w:rsidDel="00000000" w:rsidR="00000000" w:rsidRPr="00000000">
        <w:rPr>
          <w:rtl w:val="0"/>
        </w:rPr>
      </w:r>
    </w:p>
    <w:p w:rsidR="00000000" w:rsidDel="00000000" w:rsidP="00000000" w:rsidRDefault="00000000" w:rsidRPr="00000000" w14:paraId="00000023">
      <w:pPr>
        <w:jc w:val="center"/>
        <w:rPr>
          <w:b w:val="1"/>
          <w:bCs w:val="1"/>
        </w:rPr>
      </w:pPr>
      <w:r w:rsidDel="00000000" w:rsidR="00000000" w:rsidRPr="00000000">
        <w:rPr>
          <w:rtl w:val="0"/>
        </w:rPr>
      </w:r>
    </w:p>
    <w:p w:rsidR="00000000" w:rsidDel="00000000" w:rsidP="00000000" w:rsidRDefault="00000000" w:rsidRPr="00000000" w14:paraId="00000024">
      <w:pPr>
        <w:jc w:val="center"/>
        <w:rPr>
          <w:b w:val="1"/>
          <w:bCs w:val="1"/>
        </w:rPr>
      </w:pPr>
      <w:r w:rsidDel="00000000" w:rsidR="00000000" w:rsidRPr="00000000">
        <w:rPr>
          <w:rtl w:val="0"/>
        </w:rPr>
      </w:r>
    </w:p>
    <w:p w:rsidR="00000000" w:rsidDel="00000000" w:rsidP="00000000" w:rsidRDefault="00000000" w:rsidRPr="00000000" w14:paraId="00000025">
      <w:pPr>
        <w:jc w:val="center"/>
        <w:rPr>
          <w:b w:val="1"/>
          <w:bCs w:val="1"/>
        </w:rPr>
      </w:pPr>
      <w:r w:rsidDel="00000000" w:rsidR="00000000" w:rsidRPr="00000000">
        <w:rPr>
          <w:b w:val="1"/>
          <w:bCs w:val="1"/>
          <w:rtl w:val="0"/>
        </w:rPr>
        <w:t xml:space="preserve">Čl. II</w:t>
      </w:r>
    </w:p>
    <w:p w:rsidR="00000000" w:rsidDel="00000000" w:rsidP="00000000" w:rsidRDefault="00000000" w:rsidRPr="00000000" w14:paraId="00000026">
      <w:pPr>
        <w:jc w:val="center"/>
        <w:rPr>
          <w:b w:val="1"/>
          <w:bCs w:val="1"/>
        </w:rPr>
      </w:pPr>
      <w:r w:rsidDel="00000000" w:rsidR="00000000" w:rsidRPr="00000000">
        <w:rPr>
          <w:rtl w:val="0"/>
        </w:rPr>
      </w:r>
    </w:p>
    <w:p w:rsidR="00000000" w:rsidDel="00000000" w:rsidP="00000000" w:rsidRDefault="00000000" w:rsidRPr="00000000" w14:paraId="00000027">
      <w:pPr>
        <w:jc w:val="both"/>
        <w:rPr/>
      </w:pPr>
      <w:r w:rsidDel="00000000" w:rsidR="00000000" w:rsidRPr="00000000">
        <w:rPr>
          <w:rtl w:val="0"/>
        </w:rPr>
        <w:t xml:space="preserve">Zákon č. 595/2003 Z. z.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zákona č. 548/2011 Z. z., zákona č. 69/2012 Z. z., zákona č. 188/2012 Z. z., zákona č. 189/2012 Z. z., zákona č. 252/2012 Z. z., zákona č. 288/2012 Z. z., zákona č. 395/2012 Z. z., zákona č. 70/2013 Z. z., zákona č. 135/2013 Z. z., zákona č. 318/2013 Z. z., zákona č. 463/2013 Z. z., zákona č. 180/2014 Z. z., zákona č. 183/2014 Z. z., zákona č. 333/2014 Z. z., zákona č. 364/2014 Z. z., zákona č. 371/2014 Z. z., zákona č. 25/2015 Z. z., zákona č. 61/2015 Z. z., zákona č. 62/2015 Z. z., zákona č. 79/2015 Z. z., zákona č. 140/2015 Z. z., zákona č. 176/2015 Z. z., zákona č. 253/2015 Z. z., zákona č. 361/2015 Z. z., zákona č. 375/2015 Z. z., zákona č. 378/2015 Z. z., zákona č. 389/2015 Z. z., zákona č. 437/2015 Z. z., zákona č. 440/2015 Z. z., zákona č. 341/2016 Z. z., zákona č. 264/2017 Z. z., zákona č. 279/2017 Z. z., zákona č. 335/2017 Z. z., zákona č. 344/2017 Z. z., zákona č. 57/2018 Z. z., zákona č. 63/2018 Z. z., zákona č. 112/2018 Z. z., zákona č. 209/2018 Z. z., zákona č. 213/2018 Z. z., zákona č. 317/2018 Z. z., zákona č. 347/2018 Z. z., zákona č. 368/2018 Z. z., zákona č. 385/2018 Z. z., zákona č. 4/2019 Z. z., zákona č. 10/2019 Z. z., zákona č. 54/2019 Z. z., zákona č. 88/2019 Z. z., zákona č. 155/2019 Z. z., zákona č. 221/2019 Z. z., zákona č. 223/2019 Z. z., zákona č. 228/2019 Z. z., zákona č. 233/2019 Z. z., zákona č. 301/2019 Z. z., zákona č. 315/2019 Z. z., zákona č. 316/2019 Z. z., zákona č. 319/2019 Z. z., zákona č. 390/2019 Z. z., zákona č. 393/2019 Z. z., zákona č. 462/2019 Z. z., zákona č. 46/2020 Z. z., zákona č. 198/2020 Z. z., zákona č. 296/2020 Z. z., zákona č. 416/2020 Z. z., zákona č. 420/2020 Z. z., zákona č. 421/2020 Z. z., zákona č. 76/2021 Z. z., zákona č. 215/2021 Z. z., zákona č. 257/2021 Z. z., zákona č. 310/2021 Z. z., zákona č. 408/2021 Z. z., zákona č. 416/2021 Z. z., zákona č. 129/2022 Z. z., zákona č. 222/2022 Z. z., zákona č. 232/2022 Z. z., zákona č. 257/2022 Z. z., zákona č. 433/2022 Z. z., zákona č. 496/2022 Z. z., zákona č. 519/2022 Z. z., zákona č. 59/2023 Z. z., zákona č. 60/2023 Z. z., zákona č. 65/2023 Z. z., zákona č. 123/2023 Z. z., zákona č. 128/2023 Z. z., zákona č. 205/2023 Z. z., zákona č. 278/2023 Z. z., zákona č. 281/2023 Z. z., zákona č. 309/2023 Z. z., zákona č. 315/2023 Z. z., zákona č. 508/2023 Z. z., zákona č. 530/2023 Z. z., zákona č. 46/2024 Z. z., zákona č. 87/2024 Z. z., zákona č. 248/2024 Z. z., zákona č. 278/2024 Z. z., zákona č. 279/2024 Z. z., zákona č. 355/2024 Z. z., zákona č. 26/2025 Z. z., zákona č. 83/2025 Z. z., zákona č. 104/2025 Z. z., zákona č. 141/2025 Z. z., zákona č. 150/2025 Z. z., zákona č. 152/2025 Z. z., zákona č. 153/2025 Z. z., zákona č. 200/2025 Z. z., zákona č. 261/2025 Z. z., zákona č. 312/2025 Z. z., zákona č. 385/2025 Z. z. a zákona č. 406/2025 Z. z.  sa mení takto:</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ind w:left="425.19685039370086" w:firstLine="0"/>
        <w:jc w:val="both"/>
        <w:rPr>
          <w:highlight w:val="white"/>
        </w:rPr>
      </w:pPr>
      <w:r w:rsidDel="00000000" w:rsidR="00000000" w:rsidRPr="00000000">
        <w:rPr>
          <w:rtl w:val="0"/>
        </w:rPr>
        <w:t xml:space="preserve">V § 19 ods. 3 písm. j) sa za slovom </w:t>
      </w:r>
      <w:r w:rsidDel="00000000" w:rsidR="00000000" w:rsidRPr="00000000">
        <w:rPr>
          <w:highlight w:val="white"/>
          <w:rtl w:val="0"/>
        </w:rPr>
        <w:t xml:space="preserve">„</w:t>
      </w:r>
      <w:r w:rsidDel="00000000" w:rsidR="00000000" w:rsidRPr="00000000">
        <w:rPr>
          <w:rtl w:val="0"/>
        </w:rPr>
        <w:t xml:space="preserve">príjmov</w:t>
      </w:r>
      <w:r w:rsidDel="00000000" w:rsidR="00000000" w:rsidRPr="00000000">
        <w:rPr>
          <w:highlight w:val="white"/>
          <w:rtl w:val="0"/>
        </w:rPr>
        <w:t xml:space="preserve">“</w:t>
      </w:r>
      <w:r w:rsidDel="00000000" w:rsidR="00000000" w:rsidRPr="00000000">
        <w:rPr>
          <w:rtl w:val="0"/>
        </w:rPr>
        <w:t xml:space="preserve"> vypúšťa čiarka a slová </w:t>
      </w:r>
      <w:r w:rsidDel="00000000" w:rsidR="00000000" w:rsidRPr="00000000">
        <w:rPr>
          <w:highlight w:val="white"/>
          <w:rtl w:val="0"/>
        </w:rPr>
        <w:t xml:space="preserve">„daň z finančných transakcií</w:t>
      </w:r>
      <w:r w:rsidDel="00000000" w:rsidR="00000000" w:rsidRPr="00000000">
        <w:rPr>
          <w:vertAlign w:val="superscript"/>
          <w:rtl w:val="0"/>
        </w:rPr>
        <w:t xml:space="preserve">90ad</w:t>
      </w:r>
      <w:r w:rsidDel="00000000" w:rsidR="00000000" w:rsidRPr="00000000">
        <w:rPr>
          <w:rtl w:val="0"/>
        </w:rPr>
        <w:t xml:space="preserve">)</w:t>
      </w:r>
      <w:r w:rsidDel="00000000" w:rsidR="00000000" w:rsidRPr="00000000">
        <w:rPr>
          <w:highlight w:val="white"/>
          <w:rtl w:val="0"/>
        </w:rPr>
        <w:t xml:space="preserve">“.</w:t>
      </w:r>
    </w:p>
    <w:p w:rsidR="00000000" w:rsidDel="00000000" w:rsidP="00000000" w:rsidRDefault="00000000" w:rsidRPr="00000000" w14:paraId="0000002A">
      <w:pPr>
        <w:ind w:left="425.19685039370086" w:firstLine="0"/>
        <w:jc w:val="both"/>
        <w:rPr/>
      </w:pPr>
      <w:r w:rsidDel="00000000" w:rsidR="00000000" w:rsidRPr="00000000">
        <w:rPr>
          <w:rtl w:val="0"/>
        </w:rPr>
      </w:r>
    </w:p>
    <w:p w:rsidR="00000000" w:rsidDel="00000000" w:rsidP="00000000" w:rsidRDefault="00000000" w:rsidRPr="00000000" w14:paraId="0000002B">
      <w:pPr>
        <w:ind w:left="425.19685039370086" w:firstLine="0"/>
        <w:jc w:val="both"/>
        <w:rPr/>
      </w:pPr>
      <w:r w:rsidDel="00000000" w:rsidR="00000000" w:rsidRPr="00000000">
        <w:rPr>
          <w:rtl w:val="0"/>
        </w:rPr>
        <w:t xml:space="preserve">Poznámka pod čiarou k odkazu 90ad sa vypúšťa.</w:t>
      </w:r>
    </w:p>
    <w:p w:rsidR="00000000" w:rsidDel="00000000" w:rsidP="00000000" w:rsidRDefault="00000000" w:rsidRPr="00000000" w14:paraId="0000002C">
      <w:pPr>
        <w:jc w:val="center"/>
        <w:rPr>
          <w:b w:val="1"/>
          <w:bCs w:val="1"/>
        </w:rPr>
      </w:pPr>
      <w:r w:rsidDel="00000000" w:rsidR="00000000" w:rsidRPr="00000000">
        <w:rPr>
          <w:b w:val="1"/>
          <w:bCs w:val="1"/>
          <w:rtl w:val="0"/>
        </w:rPr>
        <w:t xml:space="preserve">Čl. III </w:t>
      </w:r>
    </w:p>
    <w:p w:rsidR="00000000" w:rsidDel="00000000" w:rsidP="00000000" w:rsidRDefault="00000000" w:rsidRPr="00000000" w14:paraId="0000002D">
      <w:pPr>
        <w:jc w:val="center"/>
        <w:rPr>
          <w:b w:val="1"/>
          <w:bCs w:val="1"/>
        </w:rPr>
      </w:pPr>
      <w:r w:rsidDel="00000000" w:rsidR="00000000" w:rsidRPr="00000000">
        <w:rPr>
          <w:rtl w:val="0"/>
        </w:rPr>
      </w:r>
    </w:p>
    <w:p w:rsidR="00000000" w:rsidDel="00000000" w:rsidP="00000000" w:rsidRDefault="00000000" w:rsidRPr="00000000" w14:paraId="0000002E">
      <w:pPr>
        <w:jc w:val="both"/>
        <w:rPr/>
      </w:pPr>
      <w:bookmarkStart w:colFirst="0" w:colLast="0" w:name="_heading=h.3rdcrjn" w:id="0"/>
      <w:bookmarkEnd w:id="0"/>
      <w:r w:rsidDel="00000000" w:rsidR="00000000" w:rsidRPr="00000000">
        <w:rPr>
          <w:rtl w:val="0"/>
        </w:rPr>
        <w:t xml:space="preserve">Zákon č. 563/2009 Z. z. o správe daní (daňový poriadok) a o zmene a doplnení niektorých zákonov v znení zákona č. 331/2011 Z. z., zákona č. 332/2011 Z. z., zákona č. 384/2011 Z. z., zákona č. 546/2011 Z. z., zákona č. 69/2012 Z. z., zákona č. 91/2012 Z. z., zákona č. 235/2012 Z. z., zákona č. 246/2012 Z. z., zákona č. 440/2012 Z. z., zákona č. 218/2013 Z. z., zákona č. 435/2013 Z. z., zákona č. 213/2014 Z. z., zákona č. 218/2014 Z. z., zákona č. 333/2014 Z. z., zákona č. 361/2014 Z. z., zákona č. 130/2015 Z. z., zákona č. 176/2015 Z. z., zákona č. 252/2015 Z. z., zákona č. 269/2015 Z. z., zákona č. 393/2015 Z. z., zákona č. 447/2015 Z. z., zákona č. 125/2016 Z. z., zákona č. 298/2016 Z. z., zákona č. 339/2016 Z. z., zákona č. 267/2017 Z. z., zákona č. 344/2017 Z. z., zákona č. 177/2018 Z. z., zákona č. 213/2018 Z. z., zákona č. 368/2018 Z. z., zákona č. 35/2019 Z. z., zákona č. 221/2019 Z. z., zákona č. 369/2019 Z. z., zákona č. 390/2019 Z. z., zákona č. 46/2020 Z. z., zákona č. 198/2020 Z. z., zákona č. 296/2020 Z. z., zákona č. 312/2020 Z. z., zákona č. 416/2020 Z. z., zákona č. 421/2020 Z. z., zákona č. 45/2021 Z. z., 395/2021 Z. z., zákona č. 408/2021 Z. z. zákona č. 39/2022 Z. z., zákona č. 250/2022 Z. z., zákona č. 325/2022 Z. z., zákona č. 395/2022 Z. z., zákona č. 433/2022 Z. z., zákona č. 496/2022 Z. z., zákona č. 519/2022 Z. z., zákona č. 59/2023 Z. z., zákona č. 507/2023 Z. z., zákona č. 508/2023 Z. z., zákona č. 87/2024 Z. z., zákona č. 102/2024 Z. z., zákona č. 251/2024 Z. z., zákona č. 279/2024 Z. z., zákona č. 153/2025 Z. z., zákona č. 384/2025 Z. z. a zákona č. 385/2025 Z. z. sa mení takto:</w:t>
      </w:r>
    </w:p>
    <w:p w:rsidR="00000000" w:rsidDel="00000000" w:rsidP="00000000" w:rsidRDefault="00000000" w:rsidRPr="00000000" w14:paraId="0000002F">
      <w:pPr>
        <w:jc w:val="both"/>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420" w:right="0" w:firstLine="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V poznámke pod čiarou k odkazu 1 sa vypúšťa citácia: „Zákon č. 279/2024 Z. z. o dani z finančných transakcií a o zmene a doplnení niektorých zákonov.“.</w:t>
      </w:r>
    </w:p>
    <w:p w:rsidR="00000000" w:rsidDel="00000000" w:rsidP="00000000" w:rsidRDefault="00000000" w:rsidRPr="00000000" w14:paraId="00000031">
      <w:pPr>
        <w:jc w:val="left"/>
        <w:rPr/>
      </w:pPr>
      <w:r w:rsidDel="00000000" w:rsidR="00000000" w:rsidRPr="00000000">
        <w:rPr>
          <w:rtl w:val="0"/>
        </w:rPr>
      </w:r>
    </w:p>
    <w:p w:rsidR="00000000" w:rsidDel="00000000" w:rsidP="00000000" w:rsidRDefault="00000000" w:rsidRPr="00000000" w14:paraId="00000032">
      <w:pPr>
        <w:jc w:val="center"/>
        <w:rPr>
          <w:b w:val="1"/>
          <w:bCs w:val="1"/>
        </w:rPr>
      </w:pPr>
      <w:r w:rsidDel="00000000" w:rsidR="00000000" w:rsidRPr="00000000">
        <w:rPr>
          <w:rtl w:val="0"/>
        </w:rPr>
      </w:r>
    </w:p>
    <w:p w:rsidR="00000000" w:rsidDel="00000000" w:rsidP="00000000" w:rsidRDefault="00000000" w:rsidRPr="00000000" w14:paraId="00000033">
      <w:pPr>
        <w:jc w:val="center"/>
        <w:rPr>
          <w:b w:val="1"/>
          <w:bCs w:val="1"/>
        </w:rPr>
      </w:pPr>
      <w:r w:rsidDel="00000000" w:rsidR="00000000" w:rsidRPr="00000000">
        <w:rPr>
          <w:b w:val="1"/>
          <w:bCs w:val="1"/>
          <w:rtl w:val="0"/>
        </w:rPr>
        <w:t xml:space="preserve">Čl. IV</w:t>
      </w:r>
    </w:p>
    <w:p w:rsidR="00000000" w:rsidDel="00000000" w:rsidP="00000000" w:rsidRDefault="00000000" w:rsidRPr="00000000" w14:paraId="00000034">
      <w:pPr>
        <w:jc w:val="center"/>
        <w:rPr/>
      </w:pPr>
      <w:r w:rsidDel="00000000" w:rsidR="00000000" w:rsidRPr="00000000">
        <w:rPr>
          <w:rtl w:val="0"/>
        </w:rPr>
      </w:r>
    </w:p>
    <w:p w:rsidR="00000000" w:rsidDel="00000000" w:rsidP="00000000" w:rsidRDefault="00000000" w:rsidRPr="00000000" w14:paraId="00000035">
      <w:pPr>
        <w:jc w:val="both"/>
        <w:rPr/>
      </w:pPr>
      <w:r w:rsidDel="00000000" w:rsidR="00000000" w:rsidRPr="00000000">
        <w:rPr>
          <w:rtl w:val="0"/>
        </w:rPr>
        <w:t xml:space="preserve">Tento zákon nadobúda účinnosť 1. novembra 2026. </w:t>
      </w:r>
    </w:p>
    <w:sectPr>
      <w:footerReference r:id="rId7" w:type="default"/>
      <w:pgSz w:h="16838" w:w="11906" w:orient="portrait"/>
      <w:pgMar w:bottom="1417" w:top="1417" w:left="1417" w:right="1417" w:header="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center" w:leader="none" w:pos="4536"/>
        <w:tab w:val="right" w:leader="none" w:pos="9072"/>
      </w:tabs>
      <w:rPr>
        <w:rFonts w:ascii="Calibri" w:cs="Calibri" w:eastAsia="Calibri" w:hAnsi="Calibri"/>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s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Oc3dOwxs7VKBUfNpY45YaLtb8g==">CgMxLjAyCWguM3JkY3JqbjgAciExYUtlN01tVFNKWGYzeklIc2Y5UG5TeUpxTzA2QlVacU0=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