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NÁRODNÁ RADA SLOVENSKEJ REPUBLIKY </w:t>
      </w:r>
    </w:p>
    <w:p w:rsidR="00000000" w:rsidDel="00000000" w:rsidP="00000000" w:rsidRDefault="00000000" w:rsidRPr="00000000" w14:paraId="00000002">
      <w:pPr>
        <w:pBdr>
          <w:bottom w:color="000000" w:space="3" w:sz="12" w:val="single"/>
        </w:pBdr>
        <w:rPr/>
      </w:pPr>
      <w:r w:rsidDel="00000000" w:rsidR="00000000" w:rsidRPr="00000000">
        <w:rPr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2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20" w:lineRule="auto"/>
        <w:rPr/>
      </w:pPr>
      <w:r w:rsidDel="00000000" w:rsidR="00000000" w:rsidRPr="00000000">
        <w:rPr>
          <w:rtl w:val="0"/>
        </w:rPr>
        <w:t xml:space="preserve">Návrh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ÚSTAVNÝ ZÁKON</w:t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z ... 2026,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ktorým sa mení ústavný zákon č. 493/2011 Z. z. o rozpočtovej zodpovednosti</w:t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426"/>
        <w:jc w:val="both"/>
        <w:rPr/>
      </w:pPr>
      <w:r w:rsidDel="00000000" w:rsidR="00000000" w:rsidRPr="00000000">
        <w:rPr>
          <w:rtl w:val="0"/>
        </w:rPr>
        <w:t xml:space="preserve">Národná rada Slovenskej republiky sa uzniesla na tomto ústavnom zákone: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Čl. I</w:t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360"/>
        <w:jc w:val="both"/>
        <w:rPr/>
      </w:pPr>
      <w:r w:rsidDel="00000000" w:rsidR="00000000" w:rsidRPr="00000000">
        <w:rPr>
          <w:rtl w:val="0"/>
        </w:rPr>
        <w:t xml:space="preserve">Ústavný zákon č. 493/2011 Z. z. o rozpočtovej zodpovednosti sa mení takto: </w:t>
      </w:r>
    </w:p>
    <w:p w:rsidR="00000000" w:rsidDel="00000000" w:rsidP="00000000" w:rsidRDefault="00000000" w:rsidRPr="00000000" w14:paraId="00000014">
      <w:pPr>
        <w:ind w:left="70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čl. 5 ods. 6 sa vypúšťa písmeno d).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čl. 5 ods. 7 sa vypúšťa písmeno b)</w:t>
      </w:r>
      <w:r w:rsidDel="00000000" w:rsidR="00000000" w:rsidRPr="00000000">
        <w:rPr>
          <w:rtl w:val="0"/>
        </w:rPr>
        <w:t xml:space="preserve"> 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účasne sa zrušuje označenie písmena a).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čl. 6 odsek 3 znie: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„(3) Ak celková suma dlhu obce alebo vyššieho územného celku dosiahne 50 %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nedosiahne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60 % skutočných bežných príjmov predchádzajúceho rozpočtového roka, postup obce alebo vyššieho územného celku ustanovuje zákon. Ak celková suma dlhu obce alebo vyššieho územného celku dosiahne 60 % skutočných bežných príjmov predchádzajúceho rozpočtového roka a viac, obec alebo vyšší územný celok sú povinní zaplatiť pokutu, ktorú ukladá ministerstvo financií, a to vo výške 5 % z rozdielu medzi celkovou sumou dlhu a 60 % skutočných bežných príjmov predchádzajúceho rozpočtového roka; pokuta sa neuloží, ak sa medziročne nezvýši celková suma dlhu obce alebo vyššieho územného celku. Celkovú sumu dlhu obce alebo vyššieho územného celku ustanovuje zákon.“.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Doterajší text čl. 13 sa označuje ako odsek 1 a dopĺňa sa odsekom 2, ktorý znie: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„(2) Ustanovenia čl. 12 ods. 5 písm. d) a ods. 6 písm. b) sa od 1. septembra 2026 neuplatňujú.“.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Čl. II</w:t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426"/>
        <w:jc w:val="left"/>
        <w:rPr/>
      </w:pPr>
      <w:r w:rsidDel="00000000" w:rsidR="00000000" w:rsidRPr="00000000">
        <w:rPr>
          <w:rtl w:val="0"/>
        </w:rPr>
        <w:t xml:space="preserve">Tento ústavný zákon nadobúda účinnosť 1. septembra 2026.</w:t>
      </w:r>
    </w:p>
    <w:sectPr>
      <w:headerReference r:id="rId7" w:type="default"/>
      <w:headerReference r:id="rId8" w:type="first"/>
      <w:footerReference r:id="rId9" w:type="firs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Style w:val="Title"/>
      <w:rPr>
        <w:b w:val="1"/>
        <w:bCs w:val="1"/>
      </w:rPr>
    </w:pPr>
    <w:bookmarkStart w:colFirst="0" w:colLast="0" w:name="_heading=h.rcm3kxzccta2" w:id="0"/>
    <w:bookmarkEnd w:id="0"/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>
        <w:spacing w:line="276" w:lineRule="auto"/>
        <w:jc w:val="center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rFonts w:ascii="Trebuchet MS" w:cs="Trebuchet MS" w:eastAsia="Trebuchet MS" w:hAnsi="Trebuchet MS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RtG62b/6QHR890v0P6dy47918A==">CgMxLjAyDmgucmNtM2t4emNjdGEyOAByITExUkw1c3JrYTZjWkFEM1M0azFEZkp0OXQ1VGVBQXJ2aQ==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