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01619" w14:textId="77777777" w:rsidR="00BB7C53" w:rsidRPr="006D6442" w:rsidRDefault="00BB7C53" w:rsidP="00BB7C53">
      <w:pPr>
        <w:spacing w:after="120" w:line="276" w:lineRule="auto"/>
        <w:jc w:val="center"/>
        <w:rPr>
          <w:rFonts w:ascii="Book Antiqua" w:hAnsi="Book Antiqua"/>
          <w:b/>
          <w:bCs/>
          <w:color w:val="000000" w:themeColor="text1"/>
        </w:rPr>
      </w:pPr>
      <w:r w:rsidRPr="006D6442">
        <w:rPr>
          <w:rFonts w:ascii="Book Antiqua" w:hAnsi="Book Antiqua"/>
          <w:b/>
          <w:bCs/>
          <w:color w:val="000000" w:themeColor="text1"/>
        </w:rPr>
        <w:t>NÁRODNÁ RADA SLOVENSKEJ REPUBLIKY</w:t>
      </w:r>
    </w:p>
    <w:p w14:paraId="293C99B2" w14:textId="77777777" w:rsidR="00BB7C53" w:rsidRPr="006D6442" w:rsidRDefault="00BB7C53" w:rsidP="00BB7C53">
      <w:pPr>
        <w:pBdr>
          <w:bottom w:val="single" w:sz="12" w:space="1" w:color="auto"/>
        </w:pBdr>
        <w:spacing w:after="120" w:line="276" w:lineRule="auto"/>
        <w:jc w:val="center"/>
        <w:rPr>
          <w:rFonts w:ascii="Book Antiqua" w:hAnsi="Book Antiqua"/>
          <w:b/>
          <w:bCs/>
          <w:color w:val="000000" w:themeColor="text1"/>
        </w:rPr>
      </w:pPr>
      <w:r>
        <w:rPr>
          <w:rFonts w:ascii="Book Antiqua" w:hAnsi="Book Antiqua"/>
          <w:b/>
          <w:bCs/>
          <w:color w:val="000000" w:themeColor="text1"/>
        </w:rPr>
        <w:t>IX</w:t>
      </w:r>
      <w:r w:rsidRPr="006D6442">
        <w:rPr>
          <w:rFonts w:ascii="Book Antiqua" w:hAnsi="Book Antiqua"/>
          <w:b/>
          <w:bCs/>
          <w:color w:val="000000" w:themeColor="text1"/>
        </w:rPr>
        <w:t>. volebné obdobie</w:t>
      </w:r>
    </w:p>
    <w:p w14:paraId="18149621" w14:textId="77777777" w:rsidR="00BB7C53" w:rsidRPr="006D6442" w:rsidRDefault="00BB7C53" w:rsidP="00B35445">
      <w:pPr>
        <w:pStyle w:val="Nadpis2"/>
        <w:spacing w:before="0" w:beforeAutospacing="0" w:after="120" w:afterAutospacing="0" w:line="276" w:lineRule="auto"/>
        <w:rPr>
          <w:rFonts w:ascii="Book Antiqua" w:hAnsi="Book Antiqua"/>
          <w:b w:val="0"/>
          <w:color w:val="000000" w:themeColor="text1"/>
          <w:sz w:val="22"/>
          <w:szCs w:val="22"/>
        </w:rPr>
      </w:pPr>
    </w:p>
    <w:p w14:paraId="68D025B6" w14:textId="77777777" w:rsidR="00BB7C53" w:rsidRDefault="00BB7C53" w:rsidP="00BB7C53">
      <w:pPr>
        <w:pStyle w:val="Nadpis2"/>
        <w:spacing w:before="0" w:beforeAutospacing="0" w:after="120" w:afterAutospacing="0" w:line="276" w:lineRule="auto"/>
        <w:jc w:val="center"/>
        <w:rPr>
          <w:rFonts w:ascii="Book Antiqua" w:hAnsi="Book Antiqua"/>
          <w:b w:val="0"/>
          <w:i/>
          <w:color w:val="000000" w:themeColor="text1"/>
          <w:sz w:val="22"/>
          <w:szCs w:val="22"/>
        </w:rPr>
      </w:pPr>
      <w:r w:rsidRPr="006D6442">
        <w:rPr>
          <w:rFonts w:ascii="Book Antiqua" w:hAnsi="Book Antiqua"/>
          <w:b w:val="0"/>
          <w:i/>
          <w:color w:val="000000" w:themeColor="text1"/>
          <w:sz w:val="22"/>
          <w:szCs w:val="22"/>
        </w:rPr>
        <w:t>Návrh</w:t>
      </w:r>
    </w:p>
    <w:p w14:paraId="0078A908" w14:textId="77777777" w:rsidR="00BB7C53" w:rsidRPr="006D6442" w:rsidRDefault="00BB7C53" w:rsidP="00BB7C53">
      <w:pPr>
        <w:pStyle w:val="Nadpis2"/>
        <w:spacing w:before="0" w:beforeAutospacing="0" w:after="120" w:afterAutospacing="0"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6D6442">
        <w:rPr>
          <w:rFonts w:ascii="Book Antiqua" w:hAnsi="Book Antiqua"/>
          <w:color w:val="000000" w:themeColor="text1"/>
          <w:sz w:val="22"/>
          <w:szCs w:val="22"/>
        </w:rPr>
        <w:t>Zákon</w:t>
      </w:r>
    </w:p>
    <w:p w14:paraId="09BF60ED" w14:textId="39F2287D" w:rsidR="00BB7C53" w:rsidRDefault="00BB7C53" w:rsidP="00BB7C53">
      <w:pPr>
        <w:spacing w:after="120" w:line="276" w:lineRule="auto"/>
        <w:jc w:val="center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>z ....202</w:t>
      </w:r>
      <w:r>
        <w:rPr>
          <w:rFonts w:ascii="Book Antiqua" w:hAnsi="Book Antiqua"/>
          <w:color w:val="000000" w:themeColor="text1"/>
        </w:rPr>
        <w:t>6</w:t>
      </w:r>
      <w:r w:rsidRPr="006D6442">
        <w:rPr>
          <w:rFonts w:ascii="Book Antiqua" w:hAnsi="Book Antiqua"/>
          <w:color w:val="000000" w:themeColor="text1"/>
        </w:rPr>
        <w:t>,</w:t>
      </w:r>
    </w:p>
    <w:p w14:paraId="1A082040" w14:textId="77777777" w:rsidR="00B35445" w:rsidRPr="006D6442" w:rsidRDefault="00B35445" w:rsidP="00BB7C53">
      <w:pPr>
        <w:spacing w:after="120" w:line="276" w:lineRule="auto"/>
        <w:jc w:val="center"/>
        <w:rPr>
          <w:rFonts w:ascii="Book Antiqua" w:hAnsi="Book Antiqua"/>
          <w:color w:val="000000" w:themeColor="text1"/>
        </w:rPr>
      </w:pPr>
    </w:p>
    <w:p w14:paraId="33F1EFA6" w14:textId="592BC2DF" w:rsidR="00BB7C53" w:rsidRDefault="00BB7C53" w:rsidP="00BB7C53">
      <w:pPr>
        <w:pStyle w:val="Nadpis1"/>
        <w:spacing w:before="0" w:beforeAutospacing="0" w:after="120" w:afterAutospacing="0" w:line="276" w:lineRule="auto"/>
        <w:ind w:left="388" w:right="185"/>
        <w:jc w:val="center"/>
        <w:rPr>
          <w:rFonts w:ascii="Book Antiqua" w:hAnsi="Book Antiqua"/>
          <w:color w:val="000000" w:themeColor="text1"/>
          <w:sz w:val="22"/>
          <w:szCs w:val="22"/>
        </w:rPr>
      </w:pPr>
      <w:bookmarkStart w:id="0" w:name="_Hlk521782063"/>
      <w:r w:rsidRPr="006B32F9">
        <w:rPr>
          <w:rFonts w:ascii="Book Antiqua" w:hAnsi="Book Antiqua"/>
          <w:color w:val="000000" w:themeColor="text1"/>
          <w:sz w:val="22"/>
          <w:szCs w:val="22"/>
        </w:rPr>
        <w:t>ktorým sa</w:t>
      </w:r>
      <w:r w:rsidR="002D35CA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r w:rsidR="005E3941">
        <w:rPr>
          <w:rFonts w:ascii="Book Antiqua" w:hAnsi="Book Antiqua"/>
          <w:color w:val="000000" w:themeColor="text1"/>
          <w:sz w:val="22"/>
          <w:szCs w:val="22"/>
        </w:rPr>
        <w:t>mení</w:t>
      </w:r>
      <w:r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r w:rsidRPr="006B32F9">
        <w:rPr>
          <w:rFonts w:ascii="Book Antiqua" w:hAnsi="Book Antiqua"/>
          <w:color w:val="000000" w:themeColor="text1"/>
          <w:sz w:val="22"/>
          <w:szCs w:val="22"/>
        </w:rPr>
        <w:t>zákon</w:t>
      </w:r>
      <w:r w:rsidR="009F3A7F">
        <w:rPr>
          <w:rFonts w:ascii="Book Antiqua" w:hAnsi="Book Antiqua"/>
          <w:color w:val="000000" w:themeColor="text1"/>
          <w:sz w:val="22"/>
          <w:szCs w:val="22"/>
        </w:rPr>
        <w:t xml:space="preserve"> č</w:t>
      </w:r>
      <w:r w:rsidRPr="008E3679">
        <w:rPr>
          <w:rFonts w:ascii="Book Antiqua" w:hAnsi="Book Antiqua"/>
          <w:color w:val="000000" w:themeColor="text1"/>
          <w:sz w:val="22"/>
          <w:szCs w:val="22"/>
        </w:rPr>
        <w:t>. 300/2005 Z. z. Trestný zákon v znení neskorších predpisov</w:t>
      </w:r>
    </w:p>
    <w:bookmarkEnd w:id="0"/>
    <w:p w14:paraId="11A6FC70" w14:textId="77777777" w:rsidR="00B35445" w:rsidRDefault="00B35445" w:rsidP="00BB7C53">
      <w:pPr>
        <w:spacing w:after="120" w:line="276" w:lineRule="auto"/>
        <w:ind w:left="360"/>
        <w:rPr>
          <w:rFonts w:ascii="Book Antiqua" w:hAnsi="Book Antiqua"/>
          <w:color w:val="000000" w:themeColor="text1"/>
        </w:rPr>
      </w:pPr>
    </w:p>
    <w:p w14:paraId="49617F53" w14:textId="4BD05057" w:rsidR="00BB7C53" w:rsidRPr="006D6442" w:rsidRDefault="00BB7C53" w:rsidP="00BB7C53">
      <w:pPr>
        <w:spacing w:after="120" w:line="276" w:lineRule="auto"/>
        <w:ind w:left="360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 xml:space="preserve"> </w:t>
      </w:r>
      <w:r w:rsidRPr="006D6442">
        <w:rPr>
          <w:rFonts w:ascii="Book Antiqua" w:hAnsi="Book Antiqua"/>
          <w:color w:val="000000" w:themeColor="text1"/>
        </w:rPr>
        <w:tab/>
        <w:t xml:space="preserve">Národná rada Slovenskej republiky sa uzniesla na tomto zákone:  </w:t>
      </w:r>
    </w:p>
    <w:p w14:paraId="0CAAC7E8" w14:textId="2EFE0047" w:rsidR="00BB7C53" w:rsidRPr="008E3679" w:rsidRDefault="00BB7C53" w:rsidP="00B35445">
      <w:pPr>
        <w:spacing w:after="120" w:line="276" w:lineRule="auto"/>
        <w:ind w:left="360"/>
        <w:jc w:val="center"/>
        <w:rPr>
          <w:rFonts w:ascii="Book Antiqua" w:hAnsi="Book Antiqua"/>
          <w:b/>
          <w:color w:val="000000" w:themeColor="text1"/>
        </w:rPr>
      </w:pPr>
      <w:r w:rsidRPr="006D6442">
        <w:rPr>
          <w:rFonts w:ascii="Book Antiqua" w:hAnsi="Book Antiqua"/>
          <w:b/>
          <w:color w:val="000000" w:themeColor="text1"/>
        </w:rPr>
        <w:t>Čl. I</w:t>
      </w:r>
    </w:p>
    <w:p w14:paraId="7FBFAAFC" w14:textId="4B4B7DBF" w:rsidR="00B35445" w:rsidRPr="00B35445" w:rsidRDefault="00BB7C53" w:rsidP="00B35445">
      <w:pPr>
        <w:spacing w:after="120" w:line="276" w:lineRule="auto"/>
        <w:ind w:firstLine="708"/>
        <w:jc w:val="both"/>
        <w:rPr>
          <w:rFonts w:ascii="Book Antiqua" w:hAnsi="Book Antiqua"/>
          <w:bCs/>
          <w:color w:val="000000" w:themeColor="text1"/>
        </w:rPr>
      </w:pPr>
      <w:r w:rsidRPr="008E3679">
        <w:rPr>
          <w:rFonts w:ascii="Book Antiqua" w:hAnsi="Book Antiqua"/>
          <w:bCs/>
          <w:color w:val="000000" w:themeColor="text1"/>
        </w:rPr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č. 288/2020 Z. z., zákona č. 312/2020 Z. z., zákona č. 236/2021 Z. z., zákona č. 357/2021 Z. z., zákona č. 105/2022 Z. z., zákona č. 111/2022 Z. z., zákona č. 117/2023 Z. z., nálezu Ústavného súdu Slovenskej republiky č. 402/2023 Z. z., zákona č. 40/2024 Z. z., uznesenia Ústavného súdu Slovenskej republiky č. 41/2024 Z. z., zákona č. 47/2024 Z. z., zákona č. 214/2024 Z. z., nálezu Ústavného súdu Slovenskej republiky č. 215/2024 Z. z., zákona č. 248/2024 Z. z., nálezu Ústavného súdu Slovenskej republiky č. 341/2024 Z. z., zákona č. 353/2024 Z. z., zákona č. 363/2024 Z. z., zákona č. 23/2</w:t>
      </w:r>
      <w:r w:rsidR="00E338A7">
        <w:rPr>
          <w:rFonts w:ascii="Book Antiqua" w:hAnsi="Book Antiqua"/>
          <w:bCs/>
          <w:color w:val="000000" w:themeColor="text1"/>
        </w:rPr>
        <w:t>025 Z. z., zákona č. 150/2025, zákona č. 157/2</w:t>
      </w:r>
      <w:r w:rsidR="00A704B7">
        <w:rPr>
          <w:rFonts w:ascii="Book Antiqua" w:hAnsi="Book Antiqua"/>
          <w:bCs/>
          <w:color w:val="000000" w:themeColor="text1"/>
        </w:rPr>
        <w:t xml:space="preserve">025 Z. z., zákona č. 327/2025, </w:t>
      </w:r>
      <w:r w:rsidR="00E338A7">
        <w:rPr>
          <w:rFonts w:ascii="Book Antiqua" w:hAnsi="Book Antiqua"/>
          <w:bCs/>
          <w:color w:val="000000" w:themeColor="text1"/>
        </w:rPr>
        <w:t xml:space="preserve">zákona č. 416/2025 Z. z. </w:t>
      </w:r>
      <w:r w:rsidR="00A704B7">
        <w:rPr>
          <w:rFonts w:ascii="Book Antiqua" w:hAnsi="Book Antiqua"/>
          <w:bCs/>
          <w:color w:val="000000" w:themeColor="text1"/>
        </w:rPr>
        <w:t xml:space="preserve">a zákona č. 44/2026 Z. Z. </w:t>
      </w:r>
      <w:r w:rsidRPr="008E3679">
        <w:rPr>
          <w:rFonts w:ascii="Book Antiqua" w:hAnsi="Book Antiqua"/>
          <w:bCs/>
          <w:color w:val="000000" w:themeColor="text1"/>
        </w:rPr>
        <w:t xml:space="preserve">sa </w:t>
      </w:r>
      <w:r w:rsidR="00A704B7">
        <w:rPr>
          <w:rFonts w:ascii="Book Antiqua" w:hAnsi="Book Antiqua"/>
          <w:bCs/>
          <w:color w:val="000000" w:themeColor="text1"/>
        </w:rPr>
        <w:t>mení</w:t>
      </w:r>
      <w:r w:rsidRPr="008E3679">
        <w:rPr>
          <w:rFonts w:ascii="Book Antiqua" w:hAnsi="Book Antiqua"/>
          <w:bCs/>
          <w:color w:val="000000" w:themeColor="text1"/>
        </w:rPr>
        <w:t xml:space="preserve"> takto:</w:t>
      </w:r>
    </w:p>
    <w:p w14:paraId="0891ACF4" w14:textId="173C4F6C" w:rsidR="005900AF" w:rsidRPr="005900AF" w:rsidRDefault="005C481A" w:rsidP="005E3941">
      <w:pPr>
        <w:pStyle w:val="Odsekzoznamu"/>
        <w:spacing w:before="120" w:after="120" w:line="276" w:lineRule="auto"/>
        <w:ind w:left="714"/>
        <w:contextualSpacing w:val="0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§ 417f sa vypúšťa.</w:t>
      </w:r>
    </w:p>
    <w:p w14:paraId="0A9A7D2B" w14:textId="77777777" w:rsidR="00BB7C53" w:rsidRPr="006D6442" w:rsidRDefault="00BB7C53" w:rsidP="00BB7C53">
      <w:pPr>
        <w:spacing w:after="120" w:line="276" w:lineRule="auto"/>
        <w:jc w:val="center"/>
        <w:rPr>
          <w:rFonts w:ascii="Book Antiqua" w:hAnsi="Book Antiqua"/>
          <w:b/>
          <w:color w:val="000000" w:themeColor="text1"/>
        </w:rPr>
      </w:pPr>
      <w:r>
        <w:rPr>
          <w:rFonts w:ascii="Book Antiqua" w:hAnsi="Book Antiqua"/>
          <w:b/>
          <w:color w:val="000000" w:themeColor="text1"/>
        </w:rPr>
        <w:t>Čl. II</w:t>
      </w:r>
    </w:p>
    <w:p w14:paraId="6B3DDC17" w14:textId="626F8AC5" w:rsidR="0099570D" w:rsidRPr="00B35445" w:rsidRDefault="00BB7C53" w:rsidP="00B35445">
      <w:pPr>
        <w:spacing w:after="120" w:line="276" w:lineRule="auto"/>
        <w:jc w:val="both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 xml:space="preserve">Tento zákon nadobúda účinnosť 1. </w:t>
      </w:r>
      <w:r w:rsidR="00E200AB">
        <w:rPr>
          <w:rFonts w:ascii="Book Antiqua" w:hAnsi="Book Antiqua"/>
          <w:color w:val="000000" w:themeColor="text1"/>
        </w:rPr>
        <w:t>novembra</w:t>
      </w:r>
      <w:r>
        <w:rPr>
          <w:rFonts w:ascii="Book Antiqua" w:hAnsi="Book Antiqua"/>
          <w:color w:val="000000" w:themeColor="text1"/>
        </w:rPr>
        <w:t xml:space="preserve"> </w:t>
      </w:r>
      <w:r w:rsidRPr="006D6442">
        <w:rPr>
          <w:rFonts w:ascii="Book Antiqua" w:hAnsi="Book Antiqua"/>
          <w:color w:val="000000" w:themeColor="text1"/>
        </w:rPr>
        <w:t>202</w:t>
      </w:r>
      <w:r>
        <w:rPr>
          <w:rFonts w:ascii="Book Antiqua" w:hAnsi="Book Antiqua"/>
          <w:color w:val="000000" w:themeColor="text1"/>
        </w:rPr>
        <w:t>6</w:t>
      </w:r>
      <w:r w:rsidRPr="006D6442">
        <w:rPr>
          <w:rFonts w:ascii="Book Antiqua" w:hAnsi="Book Antiqua"/>
          <w:color w:val="000000" w:themeColor="text1"/>
        </w:rPr>
        <w:t>.</w:t>
      </w:r>
      <w:bookmarkStart w:id="1" w:name="_GoBack"/>
      <w:bookmarkEnd w:id="1"/>
    </w:p>
    <w:sectPr w:rsidR="0099570D" w:rsidRPr="00B354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C31F8" w14:textId="77777777" w:rsidR="00AA198C" w:rsidRDefault="00AA198C">
      <w:r>
        <w:separator/>
      </w:r>
    </w:p>
  </w:endnote>
  <w:endnote w:type="continuationSeparator" w:id="0">
    <w:p w14:paraId="6EF995EE" w14:textId="77777777" w:rsidR="00AA198C" w:rsidRDefault="00AA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9411087"/>
      <w:docPartObj>
        <w:docPartGallery w:val="Page Numbers (Bottom of Page)"/>
        <w:docPartUnique/>
      </w:docPartObj>
    </w:sdtPr>
    <w:sdtEndPr/>
    <w:sdtContent>
      <w:p w14:paraId="118A5794" w14:textId="17A240F1" w:rsidR="00CC4ECF" w:rsidRDefault="00C90B5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445">
          <w:rPr>
            <w:noProof/>
          </w:rPr>
          <w:t>1</w:t>
        </w:r>
        <w:r>
          <w:fldChar w:fldCharType="end"/>
        </w:r>
      </w:p>
    </w:sdtContent>
  </w:sdt>
  <w:p w14:paraId="034E8948" w14:textId="77777777" w:rsidR="00CC4ECF" w:rsidRDefault="00CC4E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D4198" w14:textId="77777777" w:rsidR="00AA198C" w:rsidRDefault="00AA198C">
      <w:r>
        <w:separator/>
      </w:r>
    </w:p>
  </w:footnote>
  <w:footnote w:type="continuationSeparator" w:id="0">
    <w:p w14:paraId="5F286661" w14:textId="77777777" w:rsidR="00AA198C" w:rsidRDefault="00AA1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C664D" w14:textId="77777777" w:rsidR="00CC4ECF" w:rsidRDefault="00CC4ECF">
    <w:pPr>
      <w:pStyle w:val="Hlavika"/>
    </w:pPr>
  </w:p>
  <w:p w14:paraId="7BED8A89" w14:textId="77777777" w:rsidR="00CC4ECF" w:rsidRDefault="00CC4ECF">
    <w:pPr>
      <w:pStyle w:val="Hlavika"/>
    </w:pPr>
  </w:p>
  <w:p w14:paraId="62E89F8E" w14:textId="77777777" w:rsidR="00CC4ECF" w:rsidRDefault="00CC4EC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06CDB"/>
    <w:multiLevelType w:val="hybridMultilevel"/>
    <w:tmpl w:val="C93A36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C53"/>
    <w:rsid w:val="000646B4"/>
    <w:rsid w:val="000B2B0E"/>
    <w:rsid w:val="001951AC"/>
    <w:rsid w:val="002D35CA"/>
    <w:rsid w:val="002D46A7"/>
    <w:rsid w:val="002D78F9"/>
    <w:rsid w:val="00552376"/>
    <w:rsid w:val="00566FFB"/>
    <w:rsid w:val="005900AF"/>
    <w:rsid w:val="005C481A"/>
    <w:rsid w:val="005D6C46"/>
    <w:rsid w:val="005E3941"/>
    <w:rsid w:val="008F4FCC"/>
    <w:rsid w:val="0090785D"/>
    <w:rsid w:val="0091712C"/>
    <w:rsid w:val="0099570D"/>
    <w:rsid w:val="009C406C"/>
    <w:rsid w:val="009F3A7F"/>
    <w:rsid w:val="00A704B7"/>
    <w:rsid w:val="00A724FD"/>
    <w:rsid w:val="00A87CF3"/>
    <w:rsid w:val="00AA198C"/>
    <w:rsid w:val="00B279E0"/>
    <w:rsid w:val="00B3389E"/>
    <w:rsid w:val="00B35445"/>
    <w:rsid w:val="00B90FD0"/>
    <w:rsid w:val="00BB7C53"/>
    <w:rsid w:val="00C90B59"/>
    <w:rsid w:val="00CC4ECF"/>
    <w:rsid w:val="00E200AB"/>
    <w:rsid w:val="00E338A7"/>
    <w:rsid w:val="00EE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89D1"/>
  <w15:chartTrackingRefBased/>
  <w15:docId w15:val="{70897747-03AB-4D3E-8FE0-102CB40D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7C53"/>
    <w:pPr>
      <w:spacing w:after="0" w:line="240" w:lineRule="auto"/>
    </w:pPr>
    <w:rPr>
      <w:rFonts w:eastAsia="Times New Roman" w:cstheme="minorHAnsi"/>
    </w:rPr>
  </w:style>
  <w:style w:type="paragraph" w:styleId="Nadpis1">
    <w:name w:val="heading 1"/>
    <w:basedOn w:val="Normlny"/>
    <w:link w:val="Nadpis1Char"/>
    <w:uiPriority w:val="9"/>
    <w:qFormat/>
    <w:rsid w:val="00BB7C5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BB7C53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7C53"/>
    <w:rPr>
      <w:rFonts w:ascii="Times New Roman" w:eastAsia="Times New Roman" w:hAnsi="Times New Roman" w:cstheme="minorHAnsi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B7C53"/>
    <w:rPr>
      <w:rFonts w:ascii="Times New Roman" w:eastAsia="Times New Roman" w:hAnsi="Times New Roman" w:cstheme="minorHAnsi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B7C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7C53"/>
    <w:rPr>
      <w:rFonts w:eastAsia="Times New Roman" w:cstheme="minorHAnsi"/>
    </w:rPr>
  </w:style>
  <w:style w:type="paragraph" w:styleId="Pta">
    <w:name w:val="footer"/>
    <w:basedOn w:val="Normlny"/>
    <w:link w:val="PtaChar"/>
    <w:uiPriority w:val="99"/>
    <w:unhideWhenUsed/>
    <w:rsid w:val="00BB7C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7C53"/>
    <w:rPr>
      <w:rFonts w:eastAsia="Times New Roman" w:cstheme="minorHAnsi"/>
    </w:rPr>
  </w:style>
  <w:style w:type="paragraph" w:styleId="Odsekzoznamu">
    <w:name w:val="List Paragraph"/>
    <w:basedOn w:val="Normlny"/>
    <w:uiPriority w:val="34"/>
    <w:qFormat/>
    <w:rsid w:val="00590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18476-C774-401F-BF60-D9FC2C158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Klub SLOVENSKO, ZA ĽUDÍ, KÚ</cp:lastModifiedBy>
  <cp:revision>6</cp:revision>
  <dcterms:created xsi:type="dcterms:W3CDTF">2026-03-25T14:25:00Z</dcterms:created>
  <dcterms:modified xsi:type="dcterms:W3CDTF">2026-04-28T12:57:00Z</dcterms:modified>
</cp:coreProperties>
</file>