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4AB5FA65" w:rsidR="00054C41" w:rsidRPr="001F1B43" w:rsidRDefault="0026550B" w:rsidP="00054C41">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Názov materiálu: </w:t>
      </w:r>
      <w:r w:rsidR="00CE06BE">
        <w:rPr>
          <w:rFonts w:ascii="Times New Roman" w:eastAsia="Calibri" w:hAnsi="Times New Roman" w:cs="Times New Roman"/>
          <w:sz w:val="24"/>
          <w:szCs w:val="24"/>
          <w:lang w:eastAsia="sk-SK"/>
        </w:rPr>
        <w:t>Vládny n</w:t>
      </w:r>
      <w:r w:rsidRPr="0026550B">
        <w:rPr>
          <w:rFonts w:ascii="Times New Roman" w:eastAsia="Calibri" w:hAnsi="Times New Roman" w:cs="Times New Roman"/>
          <w:sz w:val="24"/>
          <w:szCs w:val="24"/>
          <w:lang w:eastAsia="sk-SK"/>
        </w:rPr>
        <w:t>ávrh zákona o zodpovednosti za škodu spôsobenú vadným výrobkom</w:t>
      </w:r>
    </w:p>
    <w:p w14:paraId="2711DC2C" w14:textId="3C9E1175"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26550B">
        <w:rPr>
          <w:rFonts w:ascii="Times New Roman" w:eastAsia="Calibri" w:hAnsi="Times New Roman" w:cs="Times New Roman"/>
          <w:b/>
          <w:sz w:val="24"/>
          <w:szCs w:val="24"/>
        </w:rPr>
        <w:t xml:space="preserve"> </w:t>
      </w:r>
      <w:r w:rsidR="00CE06BE">
        <w:rPr>
          <w:rFonts w:ascii="Times New Roman" w:eastAsia="Calibri" w:hAnsi="Times New Roman" w:cs="Times New Roman"/>
          <w:sz w:val="24"/>
          <w:szCs w:val="24"/>
          <w:lang w:eastAsia="sk-SK"/>
        </w:rPr>
        <w:t>Vláda</w:t>
      </w:r>
      <w:r w:rsidR="0026550B" w:rsidRPr="00152D86">
        <w:rPr>
          <w:rFonts w:ascii="Times New Roman" w:eastAsia="Calibri" w:hAnsi="Times New Roman" w:cs="Times New Roman"/>
          <w:sz w:val="24"/>
          <w:szCs w:val="24"/>
          <w:lang w:eastAsia="sk-SK"/>
        </w:rPr>
        <w:t xml:space="preserve">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176AB26A" w14:textId="77777777" w:rsidR="008A3ABF"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w:t>
      </w:r>
    </w:p>
    <w:p w14:paraId="1A77DC61" w14:textId="085EDFE4" w:rsidR="00054C41" w:rsidRPr="00D8247C" w:rsidRDefault="008A3ABF"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14:paraId="74CF9C31" w14:textId="77777777" w:rsidTr="003A3124">
        <w:trPr>
          <w:trHeight w:val="270"/>
        </w:trPr>
        <w:tc>
          <w:tcPr>
            <w:tcW w:w="146" w:type="dxa"/>
            <w:tcBorders>
              <w:top w:val="nil"/>
              <w:left w:val="nil"/>
              <w:bottom w:val="nil"/>
              <w:right w:val="nil"/>
            </w:tcBorders>
            <w:noWrap/>
            <w:vAlign w:val="bottom"/>
            <w:hideMark/>
          </w:tcPr>
          <w:p w14:paraId="034E364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6A850EB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noWrap/>
            <w:vAlign w:val="bottom"/>
            <w:hideMark/>
          </w:tcPr>
          <w:p w14:paraId="0D937DC6"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6E4CCAE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noWrap/>
            <w:vAlign w:val="bottom"/>
            <w:hideMark/>
          </w:tcPr>
          <w:p w14:paraId="130FEB3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64BE54FF"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14:paraId="7BEF3D83" w14:textId="77777777" w:rsidTr="00804BC8">
        <w:trPr>
          <w:gridAfter w:val="2"/>
          <w:wAfter w:w="583" w:type="dxa"/>
          <w:trHeight w:val="451"/>
        </w:trPr>
        <w:tc>
          <w:tcPr>
            <w:tcW w:w="146" w:type="dxa"/>
            <w:tcBorders>
              <w:top w:val="nil"/>
              <w:left w:val="nil"/>
              <w:bottom w:val="nil"/>
              <w:right w:val="nil"/>
            </w:tcBorders>
            <w:noWrap/>
            <w:vAlign w:val="bottom"/>
            <w:hideMark/>
          </w:tcPr>
          <w:p w14:paraId="5BA7F0AC"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C8CD7A" w14:textId="77777777"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7F96BD"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7C6AD32"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26550B" w:rsidRPr="00C929AE" w14:paraId="0F790483" w14:textId="77777777" w:rsidTr="00804BC8">
        <w:trPr>
          <w:gridAfter w:val="2"/>
          <w:wAfter w:w="583" w:type="dxa"/>
          <w:trHeight w:val="600"/>
        </w:trPr>
        <w:tc>
          <w:tcPr>
            <w:tcW w:w="146" w:type="dxa"/>
            <w:tcBorders>
              <w:top w:val="nil"/>
              <w:left w:val="nil"/>
              <w:bottom w:val="nil"/>
              <w:right w:val="nil"/>
            </w:tcBorders>
            <w:noWrap/>
            <w:vAlign w:val="bottom"/>
            <w:hideMark/>
          </w:tcPr>
          <w:p w14:paraId="2417CF71"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07DD77A"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6C02A5A" w14:textId="06A8B312"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525A008" w14:textId="0C902230"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37B64D12" w14:textId="77777777" w:rsidTr="00804BC8">
        <w:trPr>
          <w:gridAfter w:val="2"/>
          <w:wAfter w:w="583" w:type="dxa"/>
          <w:trHeight w:val="420"/>
        </w:trPr>
        <w:tc>
          <w:tcPr>
            <w:tcW w:w="146" w:type="dxa"/>
            <w:tcBorders>
              <w:top w:val="nil"/>
              <w:left w:val="nil"/>
              <w:bottom w:val="nil"/>
              <w:right w:val="nil"/>
            </w:tcBorders>
            <w:noWrap/>
            <w:vAlign w:val="bottom"/>
            <w:hideMark/>
          </w:tcPr>
          <w:p w14:paraId="30AED282"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3DCE928E"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8D91672" w14:textId="0BB12FB9"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B3EEA7A" w14:textId="0927BD4F"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21231540" w14:textId="77777777" w:rsidTr="00804BC8">
        <w:trPr>
          <w:gridAfter w:val="2"/>
          <w:wAfter w:w="583" w:type="dxa"/>
          <w:trHeight w:val="435"/>
        </w:trPr>
        <w:tc>
          <w:tcPr>
            <w:tcW w:w="146" w:type="dxa"/>
            <w:tcBorders>
              <w:top w:val="nil"/>
              <w:left w:val="nil"/>
              <w:bottom w:val="nil"/>
              <w:right w:val="nil"/>
            </w:tcBorders>
            <w:noWrap/>
            <w:vAlign w:val="bottom"/>
            <w:hideMark/>
          </w:tcPr>
          <w:p w14:paraId="67B78407"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0650EE3E" w14:textId="52C52C9B"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9D07100" w14:textId="20BA7C95"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C8BFAD7" w14:textId="115CEAC3"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280383DA" w14:textId="77777777" w:rsidTr="00804BC8">
        <w:trPr>
          <w:gridAfter w:val="2"/>
          <w:wAfter w:w="583" w:type="dxa"/>
          <w:trHeight w:val="480"/>
        </w:trPr>
        <w:tc>
          <w:tcPr>
            <w:tcW w:w="146" w:type="dxa"/>
            <w:tcBorders>
              <w:top w:val="nil"/>
              <w:left w:val="nil"/>
              <w:bottom w:val="nil"/>
              <w:right w:val="nil"/>
            </w:tcBorders>
            <w:noWrap/>
            <w:vAlign w:val="bottom"/>
            <w:hideMark/>
          </w:tcPr>
          <w:p w14:paraId="59F2F790"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9103BCF" w14:textId="0543F070"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ED34EA3" w14:textId="09797A6F" w:rsidR="0026550B" w:rsidRPr="0026550B" w:rsidRDefault="0080723E" w:rsidP="0026550B">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1 712</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6B7CA645" w14:textId="53EB3767"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547BC8DA" w14:textId="77777777" w:rsidTr="00804BC8">
        <w:trPr>
          <w:gridAfter w:val="2"/>
          <w:wAfter w:w="583" w:type="dxa"/>
          <w:trHeight w:val="480"/>
        </w:trPr>
        <w:tc>
          <w:tcPr>
            <w:tcW w:w="146" w:type="dxa"/>
            <w:tcBorders>
              <w:top w:val="nil"/>
              <w:left w:val="nil"/>
              <w:bottom w:val="nil"/>
              <w:right w:val="nil"/>
            </w:tcBorders>
            <w:noWrap/>
            <w:vAlign w:val="bottom"/>
          </w:tcPr>
          <w:p w14:paraId="29E6137F"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7A86A5AE"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A8F0D68" w14:textId="293A648A" w:rsidR="0026550B" w:rsidRPr="0026550B" w:rsidRDefault="00021473" w:rsidP="0026550B">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84</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0218BB" w14:textId="65DC6E37"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10B7BDC5" w14:textId="77777777" w:rsidTr="00804BC8">
        <w:trPr>
          <w:gridAfter w:val="2"/>
          <w:wAfter w:w="583" w:type="dxa"/>
          <w:trHeight w:val="600"/>
        </w:trPr>
        <w:tc>
          <w:tcPr>
            <w:tcW w:w="146" w:type="dxa"/>
            <w:tcBorders>
              <w:top w:val="nil"/>
              <w:left w:val="nil"/>
              <w:bottom w:val="nil"/>
              <w:right w:val="nil"/>
            </w:tcBorders>
            <w:noWrap/>
            <w:vAlign w:val="bottom"/>
            <w:hideMark/>
          </w:tcPr>
          <w:p w14:paraId="2BD5240B"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2AD49376"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829EB10" w14:textId="676A3941" w:rsidR="0026550B" w:rsidRPr="0026550B" w:rsidRDefault="008A3ABF" w:rsidP="0026550B">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1 796</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2B8C72" w14:textId="3AA81592"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C929AE" w:rsidRPr="00C929AE" w14:paraId="3B916623" w14:textId="77777777" w:rsidTr="003A3124">
        <w:trPr>
          <w:trHeight w:val="270"/>
        </w:trPr>
        <w:tc>
          <w:tcPr>
            <w:tcW w:w="146" w:type="dxa"/>
            <w:tcBorders>
              <w:top w:val="nil"/>
              <w:left w:val="nil"/>
              <w:bottom w:val="nil"/>
              <w:right w:val="nil"/>
            </w:tcBorders>
            <w:noWrap/>
            <w:vAlign w:val="bottom"/>
            <w:hideMark/>
          </w:tcPr>
          <w:p w14:paraId="73F7E590"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082EAB98"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01799773"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30B3D73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7E543AE9"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064F180"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2849A6C" w14:textId="77777777" w:rsidTr="00804BC8">
        <w:trPr>
          <w:gridAfter w:val="2"/>
          <w:wAfter w:w="583" w:type="dxa"/>
          <w:trHeight w:val="412"/>
        </w:trPr>
        <w:tc>
          <w:tcPr>
            <w:tcW w:w="146" w:type="dxa"/>
            <w:tcBorders>
              <w:top w:val="nil"/>
              <w:left w:val="nil"/>
              <w:bottom w:val="nil"/>
              <w:right w:val="nil"/>
            </w:tcBorders>
            <w:noWrap/>
            <w:vAlign w:val="bottom"/>
            <w:hideMark/>
          </w:tcPr>
          <w:p w14:paraId="54080DC1"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54048073" w14:textId="77777777"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4BC0A5BA"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A2A444" w14:textId="77777777"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26550B" w:rsidRPr="00C929AE" w14:paraId="26126FD6" w14:textId="77777777" w:rsidTr="00804BC8">
        <w:trPr>
          <w:gridAfter w:val="2"/>
          <w:wAfter w:w="583" w:type="dxa"/>
          <w:trHeight w:val="840"/>
        </w:trPr>
        <w:tc>
          <w:tcPr>
            <w:tcW w:w="146" w:type="dxa"/>
            <w:tcBorders>
              <w:top w:val="nil"/>
              <w:left w:val="nil"/>
              <w:bottom w:val="nil"/>
              <w:right w:val="nil"/>
            </w:tcBorders>
            <w:noWrap/>
            <w:vAlign w:val="bottom"/>
            <w:hideMark/>
          </w:tcPr>
          <w:p w14:paraId="4424F348"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895E706"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9CCB12B" w14:textId="3D3DE8A5" w:rsidR="0026550B" w:rsidRPr="0026550B" w:rsidRDefault="008A3ABF" w:rsidP="0026550B">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hAnsi="Times New Roman" w:cs="Times New Roman"/>
                <w:b/>
                <w:bCs/>
                <w:color w:val="000000"/>
                <w:sz w:val="20"/>
                <w:szCs w:val="20"/>
              </w:rPr>
              <w:t>1 796</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CB565E3" w14:textId="5D4939D2"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26550B" w:rsidRPr="00C929AE" w14:paraId="2B062396" w14:textId="77777777" w:rsidTr="00804BC8">
        <w:trPr>
          <w:gridAfter w:val="2"/>
          <w:wAfter w:w="583" w:type="dxa"/>
          <w:trHeight w:val="486"/>
        </w:trPr>
        <w:tc>
          <w:tcPr>
            <w:tcW w:w="146" w:type="dxa"/>
            <w:tcBorders>
              <w:top w:val="nil"/>
              <w:left w:val="nil"/>
              <w:bottom w:val="nil"/>
              <w:right w:val="nil"/>
            </w:tcBorders>
            <w:noWrap/>
            <w:vAlign w:val="bottom"/>
            <w:hideMark/>
          </w:tcPr>
          <w:p w14:paraId="2C592B53"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73DFED09" w14:textId="77777777" w:rsidR="0026550B" w:rsidRPr="00C929AE" w:rsidRDefault="0026550B" w:rsidP="0026550B">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09562F6" w14:textId="66F2403B"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E025867" w14:textId="1A22A00A"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r w:rsidR="00C929AE" w:rsidRPr="00C929AE" w14:paraId="665D2803" w14:textId="77777777" w:rsidTr="003A3124">
        <w:trPr>
          <w:trHeight w:val="360"/>
        </w:trPr>
        <w:tc>
          <w:tcPr>
            <w:tcW w:w="146" w:type="dxa"/>
            <w:tcBorders>
              <w:top w:val="nil"/>
              <w:left w:val="nil"/>
              <w:bottom w:val="nil"/>
              <w:right w:val="nil"/>
            </w:tcBorders>
            <w:noWrap/>
            <w:vAlign w:val="bottom"/>
            <w:hideMark/>
          </w:tcPr>
          <w:p w14:paraId="259005DD"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213DB6FE"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57A20198"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D23FD74"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68BF5827"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0FA5CAAE"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14:paraId="578385C8" w14:textId="77777777" w:rsidTr="00804BC8">
        <w:trPr>
          <w:gridAfter w:val="2"/>
          <w:wAfter w:w="583" w:type="dxa"/>
          <w:trHeight w:val="390"/>
        </w:trPr>
        <w:tc>
          <w:tcPr>
            <w:tcW w:w="146" w:type="dxa"/>
            <w:tcBorders>
              <w:top w:val="nil"/>
              <w:left w:val="nil"/>
              <w:bottom w:val="nil"/>
              <w:right w:val="nil"/>
            </w:tcBorders>
            <w:noWrap/>
            <w:vAlign w:val="bottom"/>
            <w:hideMark/>
          </w:tcPr>
          <w:p w14:paraId="1ED4DAC7" w14:textId="77777777"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6D9B60B" w14:textId="77777777"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929B536"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6019C410" w14:textId="77777777"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26550B" w:rsidRPr="00C929AE" w14:paraId="4C7053DD" w14:textId="77777777" w:rsidTr="00804BC8">
        <w:trPr>
          <w:gridAfter w:val="2"/>
          <w:wAfter w:w="583" w:type="dxa"/>
          <w:trHeight w:val="390"/>
        </w:trPr>
        <w:tc>
          <w:tcPr>
            <w:tcW w:w="146" w:type="dxa"/>
            <w:tcBorders>
              <w:top w:val="nil"/>
              <w:left w:val="nil"/>
              <w:bottom w:val="nil"/>
              <w:right w:val="nil"/>
            </w:tcBorders>
            <w:noWrap/>
            <w:vAlign w:val="bottom"/>
            <w:hideMark/>
          </w:tcPr>
          <w:p w14:paraId="6BB0400A" w14:textId="77777777" w:rsidR="0026550B" w:rsidRPr="00C929AE" w:rsidRDefault="0026550B" w:rsidP="0026550B">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6395BF89" w14:textId="3C21B0B5" w:rsidR="0026550B" w:rsidRPr="00751DA9" w:rsidRDefault="0026550B" w:rsidP="0026550B">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02E1C703" w14:textId="6B19B042"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9C6235" w14:textId="351B88AF" w:rsidR="0026550B" w:rsidRPr="0026550B" w:rsidRDefault="0026550B" w:rsidP="0026550B">
            <w:pPr>
              <w:spacing w:after="0" w:line="240" w:lineRule="auto"/>
              <w:jc w:val="center"/>
              <w:rPr>
                <w:rFonts w:ascii="Times New Roman" w:eastAsia="Times New Roman" w:hAnsi="Times New Roman" w:cs="Times New Roman"/>
                <w:b/>
                <w:bCs/>
                <w:color w:val="000000"/>
                <w:sz w:val="20"/>
                <w:szCs w:val="20"/>
                <w:lang w:eastAsia="sk-SK"/>
              </w:rPr>
            </w:pPr>
            <w:r w:rsidRPr="0026550B">
              <w:rPr>
                <w:rFonts w:ascii="Times New Roman" w:hAnsi="Times New Roman" w:cs="Times New Roman"/>
                <w:b/>
                <w:bCs/>
                <w:color w:val="000000"/>
                <w:sz w:val="20"/>
                <w:szCs w:val="20"/>
              </w:rPr>
              <w:t>0</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footerReference w:type="default" r:id="rId10"/>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DE6ACB" w:rsidRPr="00895898" w14:paraId="609FED73"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7ADB0C1" w14:textId="3A0D79DD" w:rsidR="00DE6ACB" w:rsidRPr="00895898" w:rsidRDefault="00A00BAE" w:rsidP="003B24C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1740" w:type="dxa"/>
            <w:vAlign w:val="center"/>
          </w:tcPr>
          <w:p w14:paraId="7D629DAC" w14:textId="5D9E2363" w:rsidR="00DE6ACB" w:rsidRPr="00A00BAE" w:rsidRDefault="00A00BAE" w:rsidP="002B4015">
            <w:pPr>
              <w:spacing w:after="0"/>
              <w:jc w:val="center"/>
              <w:rPr>
                <w:rFonts w:ascii="Times New Roman" w:hAnsi="Times New Roman" w:cs="Times New Roman"/>
                <w:color w:val="000000"/>
                <w:sz w:val="20"/>
                <w:szCs w:val="20"/>
              </w:rPr>
            </w:pPr>
            <w:r w:rsidRPr="00A00BAE">
              <w:rPr>
                <w:rFonts w:ascii="Times New Roman" w:hAnsi="Times New Roman" w:cs="Times New Roman"/>
                <w:color w:val="000000"/>
                <w:sz w:val="20"/>
                <w:szCs w:val="20"/>
              </w:rPr>
              <w:t>Povinnosť žalovaného sprístupniť dôkazy, ktorými disponuj</w:t>
            </w:r>
            <w:r w:rsidR="00BC6D46">
              <w:rPr>
                <w:rFonts w:ascii="Times New Roman" w:hAnsi="Times New Roman" w:cs="Times New Roman"/>
                <w:color w:val="000000"/>
                <w:sz w:val="20"/>
                <w:szCs w:val="20"/>
              </w:rPr>
              <w:t>e a </w:t>
            </w:r>
            <w:r w:rsidRPr="00A00BAE">
              <w:rPr>
                <w:rFonts w:ascii="Times New Roman" w:hAnsi="Times New Roman" w:cs="Times New Roman"/>
                <w:color w:val="000000"/>
                <w:sz w:val="20"/>
                <w:szCs w:val="20"/>
              </w:rPr>
              <w:t>sú podstatné na rozhodnutie vo veci</w:t>
            </w:r>
          </w:p>
        </w:tc>
        <w:tc>
          <w:tcPr>
            <w:tcW w:w="992" w:type="dxa"/>
          </w:tcPr>
          <w:p w14:paraId="4B47CD37" w14:textId="44B72E94" w:rsidR="002B4015" w:rsidRDefault="002B4015" w:rsidP="002B4015">
            <w:pPr>
              <w:spacing w:after="0" w:line="240" w:lineRule="auto"/>
              <w:rPr>
                <w:rFonts w:ascii="Times New Roman" w:hAnsi="Times New Roman" w:cs="Times New Roman"/>
                <w:color w:val="000000"/>
                <w:sz w:val="20"/>
                <w:szCs w:val="20"/>
              </w:rPr>
            </w:pPr>
          </w:p>
          <w:p w14:paraId="4282BD15" w14:textId="56E0200A" w:rsidR="002B4015" w:rsidRDefault="002B4015" w:rsidP="002B4015">
            <w:pPr>
              <w:jc w:val="center"/>
              <w:rPr>
                <w:rFonts w:ascii="Times New Roman" w:hAnsi="Times New Roman" w:cs="Times New Roman"/>
                <w:sz w:val="20"/>
                <w:szCs w:val="20"/>
              </w:rPr>
            </w:pPr>
          </w:p>
          <w:p w14:paraId="6F39F400" w14:textId="4A8535DC" w:rsidR="00DE6ACB" w:rsidRPr="002B4015" w:rsidRDefault="002B4015" w:rsidP="002B4015">
            <w:pPr>
              <w:jc w:val="center"/>
              <w:rPr>
                <w:rFonts w:ascii="Times New Roman" w:hAnsi="Times New Roman" w:cs="Times New Roman"/>
                <w:sz w:val="20"/>
                <w:szCs w:val="20"/>
              </w:rPr>
            </w:pPr>
            <w:r>
              <w:rPr>
                <w:rFonts w:ascii="Times New Roman" w:hAnsi="Times New Roman" w:cs="Times New Roman"/>
                <w:sz w:val="20"/>
                <w:szCs w:val="20"/>
              </w:rPr>
              <w:t>Návrh zákona</w:t>
            </w:r>
          </w:p>
        </w:tc>
        <w:tc>
          <w:tcPr>
            <w:tcW w:w="1134" w:type="dxa"/>
          </w:tcPr>
          <w:p w14:paraId="2104E269" w14:textId="77777777" w:rsidR="00C61A50" w:rsidRDefault="00C61A50" w:rsidP="006D3DA8">
            <w:pPr>
              <w:jc w:val="center"/>
              <w:rPr>
                <w:rFonts w:ascii="Times New Roman" w:hAnsi="Times New Roman" w:cs="Times New Roman"/>
                <w:sz w:val="20"/>
                <w:szCs w:val="20"/>
              </w:rPr>
            </w:pPr>
          </w:p>
          <w:p w14:paraId="53F199AE" w14:textId="77777777" w:rsidR="006D3DA8" w:rsidRDefault="006D3DA8" w:rsidP="006D3DA8">
            <w:pPr>
              <w:spacing w:after="0"/>
              <w:rPr>
                <w:rFonts w:ascii="Times New Roman" w:hAnsi="Times New Roman" w:cs="Times New Roman"/>
                <w:sz w:val="20"/>
                <w:szCs w:val="20"/>
              </w:rPr>
            </w:pPr>
          </w:p>
          <w:p w14:paraId="34811D4B" w14:textId="6CB39838" w:rsidR="00DE6ACB" w:rsidRPr="00C61A50" w:rsidRDefault="00BD06AD" w:rsidP="006D3DA8">
            <w:pPr>
              <w:spacing w:after="0"/>
              <w:rPr>
                <w:rFonts w:ascii="Times New Roman" w:hAnsi="Times New Roman" w:cs="Times New Roman"/>
                <w:sz w:val="20"/>
                <w:szCs w:val="20"/>
              </w:rPr>
            </w:pPr>
            <w:r>
              <w:rPr>
                <w:rFonts w:ascii="Times New Roman" w:hAnsi="Times New Roman" w:cs="Times New Roman"/>
                <w:sz w:val="20"/>
                <w:szCs w:val="20"/>
              </w:rPr>
              <w:t>§ 14</w:t>
            </w:r>
            <w:r w:rsidR="00C61A50">
              <w:rPr>
                <w:rFonts w:ascii="Times New Roman" w:hAnsi="Times New Roman" w:cs="Times New Roman"/>
                <w:sz w:val="20"/>
                <w:szCs w:val="20"/>
              </w:rPr>
              <w:t xml:space="preserve"> ods. 1</w:t>
            </w:r>
          </w:p>
        </w:tc>
        <w:tc>
          <w:tcPr>
            <w:tcW w:w="1843" w:type="dxa"/>
            <w:vAlign w:val="center"/>
          </w:tcPr>
          <w:p w14:paraId="51CC98B3" w14:textId="77777777" w:rsidR="00C61A50" w:rsidRDefault="00C61A50" w:rsidP="00C61A50">
            <w:pPr>
              <w:pStyle w:val="gmail-m-1648484718305530482msolistparagraph"/>
              <w:spacing w:before="0" w:beforeAutospacing="0" w:after="0" w:afterAutospacing="0"/>
              <w:jc w:val="center"/>
              <w:rPr>
                <w:rFonts w:ascii="Times New Roman" w:eastAsia="Times New Roman" w:hAnsi="Times New Roman" w:cs="Times New Roman"/>
                <w:sz w:val="20"/>
                <w:szCs w:val="20"/>
              </w:rPr>
            </w:pPr>
          </w:p>
          <w:p w14:paraId="22CDA76A" w14:textId="093E21F1" w:rsidR="00DE6ACB" w:rsidRPr="00895898" w:rsidRDefault="00C61A50" w:rsidP="006D3DA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D3DA8">
              <w:rPr>
                <w:rFonts w:ascii="Times New Roman" w:hAnsi="Times New Roman" w:cs="Times New Roman"/>
                <w:color w:val="000000"/>
                <w:sz w:val="20"/>
                <w:szCs w:val="20"/>
                <w:lang w:eastAsia="en-US"/>
              </w:rPr>
              <w:t>2. EÚ úplná harmonizácia</w:t>
            </w:r>
          </w:p>
        </w:tc>
        <w:tc>
          <w:tcPr>
            <w:tcW w:w="992" w:type="dxa"/>
            <w:vAlign w:val="center"/>
          </w:tcPr>
          <w:p w14:paraId="469C4721" w14:textId="3693150C" w:rsidR="00DE6ACB" w:rsidRPr="00895898" w:rsidRDefault="00C61A50" w:rsidP="00BC6D46">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09.12.26</w:t>
            </w:r>
          </w:p>
        </w:tc>
        <w:tc>
          <w:tcPr>
            <w:tcW w:w="1160" w:type="dxa"/>
            <w:noWrap/>
            <w:vAlign w:val="center"/>
          </w:tcPr>
          <w:p w14:paraId="74618A9C" w14:textId="3A5B6093" w:rsidR="00C61A50" w:rsidRPr="00C61A50" w:rsidRDefault="00C61A50" w:rsidP="006D3DA8">
            <w:pPr>
              <w:spacing w:after="0"/>
              <w:jc w:val="center"/>
              <w:rPr>
                <w:rFonts w:ascii="Times New Roman" w:eastAsia="Times New Roman" w:hAnsi="Times New Roman" w:cs="Times New Roman"/>
                <w:color w:val="000000"/>
                <w:sz w:val="20"/>
                <w:szCs w:val="20"/>
                <w:lang w:eastAsia="sk-SK"/>
              </w:rPr>
            </w:pPr>
            <w:r w:rsidRPr="00C61A50">
              <w:rPr>
                <w:rFonts w:ascii="Times New Roman" w:hAnsi="Times New Roman" w:cs="Times New Roman"/>
                <w:color w:val="000000"/>
                <w:sz w:val="20"/>
                <w:szCs w:val="20"/>
              </w:rPr>
              <w:t>Žalovaný</w:t>
            </w:r>
          </w:p>
        </w:tc>
        <w:tc>
          <w:tcPr>
            <w:tcW w:w="1108" w:type="dxa"/>
          </w:tcPr>
          <w:p w14:paraId="5D0F89C4" w14:textId="2F222039" w:rsidR="006D3DA8" w:rsidRDefault="006D3DA8" w:rsidP="00CE3B21">
            <w:pPr>
              <w:spacing w:after="0" w:line="240" w:lineRule="auto"/>
              <w:rPr>
                <w:rFonts w:ascii="Times New Roman" w:eastAsia="Times New Roman" w:hAnsi="Times New Roman" w:cs="Times New Roman"/>
                <w:sz w:val="20"/>
                <w:szCs w:val="20"/>
                <w:lang w:eastAsia="sk-SK"/>
              </w:rPr>
            </w:pPr>
          </w:p>
          <w:p w14:paraId="4B3B0A3E" w14:textId="7BD9D780" w:rsidR="006D3DA8" w:rsidRDefault="006D3DA8" w:rsidP="006D3DA8">
            <w:pPr>
              <w:rPr>
                <w:rFonts w:ascii="Times New Roman" w:eastAsia="Times New Roman" w:hAnsi="Times New Roman" w:cs="Times New Roman"/>
                <w:sz w:val="20"/>
                <w:szCs w:val="20"/>
                <w:lang w:eastAsia="sk-SK"/>
              </w:rPr>
            </w:pPr>
          </w:p>
          <w:p w14:paraId="6F2D45A7" w14:textId="412483D5" w:rsidR="00DE6ACB" w:rsidRPr="006D3DA8" w:rsidRDefault="006D3DA8" w:rsidP="006D3DA8">
            <w:pPr>
              <w:spacing w:after="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851" w:type="dxa"/>
            <w:noWrap/>
            <w:vAlign w:val="center"/>
          </w:tcPr>
          <w:p w14:paraId="38251139" w14:textId="3844B347" w:rsidR="00DE6ACB"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w:t>
            </w:r>
          </w:p>
        </w:tc>
        <w:tc>
          <w:tcPr>
            <w:tcW w:w="843" w:type="dxa"/>
            <w:noWrap/>
            <w:vAlign w:val="center"/>
          </w:tcPr>
          <w:p w14:paraId="01129C91" w14:textId="5D11D393" w:rsidR="00DE6ACB"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45</w:t>
            </w:r>
          </w:p>
        </w:tc>
        <w:tc>
          <w:tcPr>
            <w:tcW w:w="1000" w:type="dxa"/>
            <w:noWrap/>
            <w:vAlign w:val="center"/>
          </w:tcPr>
          <w:p w14:paraId="420D0685" w14:textId="314AAE04" w:rsidR="00DE6ACB"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In (zvyšuje náklady)</w:t>
            </w:r>
          </w:p>
        </w:tc>
        <w:tc>
          <w:tcPr>
            <w:tcW w:w="708" w:type="dxa"/>
            <w:noWrap/>
            <w:vAlign w:val="center"/>
          </w:tcPr>
          <w:p w14:paraId="08BFFDBA" w14:textId="042CADA0" w:rsidR="00DE6ACB"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1134" w:type="dxa"/>
            <w:vAlign w:val="center"/>
          </w:tcPr>
          <w:p w14:paraId="48758C9B" w14:textId="34CFADCF" w:rsidR="00DE6ACB"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r>
      <w:tr w:rsidR="00801596" w:rsidRPr="00895898" w14:paraId="022095BC"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2653821" w14:textId="287DFD5F" w:rsidR="00801596" w:rsidRPr="00895898" w:rsidRDefault="00A00BAE" w:rsidP="003B24C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p>
        </w:tc>
        <w:tc>
          <w:tcPr>
            <w:tcW w:w="1740" w:type="dxa"/>
            <w:vAlign w:val="center"/>
          </w:tcPr>
          <w:p w14:paraId="302744A6" w14:textId="51DB5227" w:rsidR="00801596" w:rsidRPr="00895898" w:rsidRDefault="002B4015" w:rsidP="00C61A50">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Administratívne náklady spojené s konaním na súde</w:t>
            </w:r>
          </w:p>
        </w:tc>
        <w:tc>
          <w:tcPr>
            <w:tcW w:w="992" w:type="dxa"/>
          </w:tcPr>
          <w:p w14:paraId="3BA81429" w14:textId="77777777" w:rsidR="006D3DA8" w:rsidRDefault="006D3DA8" w:rsidP="006D3DA8">
            <w:pPr>
              <w:spacing w:after="0"/>
              <w:rPr>
                <w:rFonts w:ascii="Times New Roman" w:eastAsia="Times New Roman" w:hAnsi="Times New Roman" w:cs="Times New Roman"/>
                <w:sz w:val="20"/>
                <w:szCs w:val="20"/>
                <w:lang w:eastAsia="sk-SK"/>
              </w:rPr>
            </w:pPr>
          </w:p>
          <w:p w14:paraId="16B4A0B9" w14:textId="64EEE3DA" w:rsidR="00801596" w:rsidRPr="002B4015" w:rsidRDefault="002B4015" w:rsidP="006D3DA8">
            <w:pPr>
              <w:spacing w:after="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Návrh zákona</w:t>
            </w:r>
          </w:p>
        </w:tc>
        <w:tc>
          <w:tcPr>
            <w:tcW w:w="1134" w:type="dxa"/>
          </w:tcPr>
          <w:p w14:paraId="15AB3E50" w14:textId="1643FA20" w:rsidR="002B4015" w:rsidRDefault="002B4015" w:rsidP="002B4015">
            <w:pPr>
              <w:spacing w:after="0" w:line="240" w:lineRule="auto"/>
              <w:rPr>
                <w:rFonts w:ascii="Times New Roman" w:eastAsia="Times New Roman" w:hAnsi="Times New Roman" w:cs="Times New Roman"/>
                <w:sz w:val="20"/>
                <w:szCs w:val="20"/>
                <w:lang w:eastAsia="sk-SK"/>
              </w:rPr>
            </w:pPr>
          </w:p>
          <w:p w14:paraId="48DF681A" w14:textId="0002FFF0" w:rsidR="00801596" w:rsidRPr="002B4015" w:rsidRDefault="00BD06AD" w:rsidP="00C61A50">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14, § 15</w:t>
            </w:r>
          </w:p>
        </w:tc>
        <w:tc>
          <w:tcPr>
            <w:tcW w:w="1843" w:type="dxa"/>
            <w:vAlign w:val="center"/>
          </w:tcPr>
          <w:p w14:paraId="65823171" w14:textId="59DE7601" w:rsidR="00801596" w:rsidDel="00801596" w:rsidRDefault="00C61A50" w:rsidP="00C61A50">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EÚ úplná harmonizácia</w:t>
            </w:r>
          </w:p>
        </w:tc>
        <w:tc>
          <w:tcPr>
            <w:tcW w:w="992" w:type="dxa"/>
            <w:vAlign w:val="center"/>
          </w:tcPr>
          <w:p w14:paraId="4EAFA699" w14:textId="2CE522AF" w:rsidR="00801596" w:rsidRPr="00895898" w:rsidRDefault="00C61A50"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09.12.26</w:t>
            </w:r>
          </w:p>
        </w:tc>
        <w:tc>
          <w:tcPr>
            <w:tcW w:w="1160" w:type="dxa"/>
            <w:noWrap/>
            <w:vAlign w:val="center"/>
          </w:tcPr>
          <w:p w14:paraId="439720A9" w14:textId="45CB2561" w:rsidR="00801596"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Žalovaný</w:t>
            </w:r>
          </w:p>
        </w:tc>
        <w:tc>
          <w:tcPr>
            <w:tcW w:w="1108" w:type="dxa"/>
          </w:tcPr>
          <w:p w14:paraId="17CCCE83" w14:textId="602312F6" w:rsidR="006D3DA8" w:rsidRDefault="006D3DA8" w:rsidP="006D3DA8">
            <w:pPr>
              <w:spacing w:after="0" w:line="240" w:lineRule="auto"/>
              <w:jc w:val="center"/>
              <w:rPr>
                <w:rFonts w:ascii="Times New Roman" w:eastAsia="Times New Roman" w:hAnsi="Times New Roman" w:cs="Times New Roman"/>
                <w:sz w:val="20"/>
                <w:szCs w:val="20"/>
                <w:lang w:eastAsia="sk-SK"/>
              </w:rPr>
            </w:pPr>
          </w:p>
          <w:p w14:paraId="3C9B5523" w14:textId="15E57A69" w:rsidR="00801596" w:rsidRPr="006D3DA8" w:rsidRDefault="006D3DA8" w:rsidP="006D3DA8">
            <w:pPr>
              <w:spacing w:after="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851" w:type="dxa"/>
            <w:noWrap/>
            <w:vAlign w:val="center"/>
          </w:tcPr>
          <w:p w14:paraId="271B2646" w14:textId="14FF0161" w:rsidR="00801596" w:rsidRPr="00895898" w:rsidRDefault="008A3ABF"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39</w:t>
            </w:r>
          </w:p>
        </w:tc>
        <w:tc>
          <w:tcPr>
            <w:tcW w:w="843" w:type="dxa"/>
            <w:noWrap/>
            <w:vAlign w:val="center"/>
          </w:tcPr>
          <w:p w14:paraId="57980520" w14:textId="128B607A" w:rsidR="00801596" w:rsidRPr="00895898" w:rsidRDefault="008A3ABF"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39</w:t>
            </w:r>
          </w:p>
        </w:tc>
        <w:tc>
          <w:tcPr>
            <w:tcW w:w="1000" w:type="dxa"/>
            <w:noWrap/>
            <w:vAlign w:val="center"/>
          </w:tcPr>
          <w:p w14:paraId="7E097137" w14:textId="63FEE2CE" w:rsidR="00801596"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In (zvyšuje náklady)</w:t>
            </w:r>
          </w:p>
        </w:tc>
        <w:tc>
          <w:tcPr>
            <w:tcW w:w="708" w:type="dxa"/>
            <w:noWrap/>
            <w:vAlign w:val="center"/>
          </w:tcPr>
          <w:p w14:paraId="4B494DF4" w14:textId="33EDAC11" w:rsidR="00801596"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1134" w:type="dxa"/>
            <w:vAlign w:val="center"/>
          </w:tcPr>
          <w:p w14:paraId="564076F6" w14:textId="649296C7" w:rsidR="00801596"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r>
      <w:tr w:rsidR="00801596" w:rsidRPr="00895898" w14:paraId="4D05B96D" w14:textId="77777777" w:rsidTr="00804B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71D0305" w14:textId="08FC810D" w:rsidR="00801596" w:rsidRPr="00895898" w:rsidRDefault="00A00BAE" w:rsidP="003B24C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p>
        </w:tc>
        <w:tc>
          <w:tcPr>
            <w:tcW w:w="1740" w:type="dxa"/>
            <w:vAlign w:val="center"/>
          </w:tcPr>
          <w:p w14:paraId="6F09B9B9" w14:textId="2F1240F3" w:rsidR="00801596" w:rsidRPr="00895898" w:rsidRDefault="002B4015" w:rsidP="002B4015">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Právne zastúpenie</w:t>
            </w:r>
          </w:p>
        </w:tc>
        <w:tc>
          <w:tcPr>
            <w:tcW w:w="992" w:type="dxa"/>
          </w:tcPr>
          <w:p w14:paraId="5DC95013" w14:textId="77777777" w:rsidR="00C61A50" w:rsidRDefault="00C61A50" w:rsidP="00C61A50">
            <w:pPr>
              <w:spacing w:after="0" w:line="240" w:lineRule="auto"/>
              <w:rPr>
                <w:rFonts w:ascii="Times New Roman" w:eastAsia="Times New Roman" w:hAnsi="Times New Roman" w:cs="Times New Roman"/>
                <w:sz w:val="20"/>
                <w:szCs w:val="20"/>
                <w:lang w:eastAsia="sk-SK"/>
              </w:rPr>
            </w:pPr>
          </w:p>
          <w:p w14:paraId="6326D60E" w14:textId="1BA32B85" w:rsidR="002B4015" w:rsidRPr="00895898" w:rsidRDefault="002B4015" w:rsidP="00C61A50">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Návrh zákona</w:t>
            </w:r>
          </w:p>
        </w:tc>
        <w:tc>
          <w:tcPr>
            <w:tcW w:w="1134" w:type="dxa"/>
          </w:tcPr>
          <w:p w14:paraId="758BAA67" w14:textId="77777777" w:rsidR="002B4015" w:rsidRDefault="002B4015" w:rsidP="002B4015">
            <w:pPr>
              <w:spacing w:after="0" w:line="240" w:lineRule="auto"/>
              <w:rPr>
                <w:rFonts w:ascii="Times New Roman" w:eastAsia="Times New Roman" w:hAnsi="Times New Roman" w:cs="Times New Roman"/>
                <w:color w:val="000000"/>
                <w:sz w:val="20"/>
                <w:szCs w:val="24"/>
                <w:lang w:eastAsia="sk-SK"/>
              </w:rPr>
            </w:pPr>
          </w:p>
          <w:p w14:paraId="63EECDFF" w14:textId="07721074" w:rsidR="002B4015" w:rsidRPr="002B4015" w:rsidRDefault="00BD06AD" w:rsidP="00C61A50">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 14, § 15</w:t>
            </w:r>
          </w:p>
        </w:tc>
        <w:tc>
          <w:tcPr>
            <w:tcW w:w="1843" w:type="dxa"/>
            <w:vAlign w:val="center"/>
          </w:tcPr>
          <w:p w14:paraId="5B619397" w14:textId="1890AF75" w:rsidR="00801596" w:rsidDel="00801596" w:rsidRDefault="00C61A50" w:rsidP="00C61A50">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EÚ úplná harmonizácia</w:t>
            </w:r>
          </w:p>
        </w:tc>
        <w:tc>
          <w:tcPr>
            <w:tcW w:w="992" w:type="dxa"/>
            <w:vAlign w:val="center"/>
          </w:tcPr>
          <w:p w14:paraId="4967ED88" w14:textId="18AB7604" w:rsidR="00801596" w:rsidRPr="00895898" w:rsidRDefault="00C61A50" w:rsidP="00C61A50">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09.12.26</w:t>
            </w:r>
          </w:p>
        </w:tc>
        <w:tc>
          <w:tcPr>
            <w:tcW w:w="1160" w:type="dxa"/>
            <w:noWrap/>
            <w:vAlign w:val="center"/>
          </w:tcPr>
          <w:p w14:paraId="331066E7" w14:textId="0D30A4E2" w:rsidR="00801596"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Žalovaný</w:t>
            </w:r>
          </w:p>
        </w:tc>
        <w:tc>
          <w:tcPr>
            <w:tcW w:w="1108" w:type="dxa"/>
          </w:tcPr>
          <w:p w14:paraId="1748865C" w14:textId="192E7238" w:rsidR="006D3DA8" w:rsidRDefault="006D3DA8" w:rsidP="00CE3B21">
            <w:pPr>
              <w:spacing w:after="0" w:line="240" w:lineRule="auto"/>
              <w:rPr>
                <w:rFonts w:ascii="Times New Roman" w:eastAsia="Times New Roman" w:hAnsi="Times New Roman" w:cs="Times New Roman"/>
                <w:sz w:val="20"/>
                <w:szCs w:val="20"/>
                <w:lang w:eastAsia="sk-SK"/>
              </w:rPr>
            </w:pPr>
          </w:p>
          <w:p w14:paraId="25E091B5" w14:textId="2220EC8D" w:rsidR="00801596" w:rsidRPr="006D3DA8" w:rsidRDefault="006D3DA8" w:rsidP="006D3DA8">
            <w:pPr>
              <w:spacing w:after="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851" w:type="dxa"/>
            <w:noWrap/>
            <w:vAlign w:val="center"/>
          </w:tcPr>
          <w:p w14:paraId="5457341D" w14:textId="46F7ADF0" w:rsidR="00801596" w:rsidRPr="00895898" w:rsidRDefault="008A3ABF"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1712</w:t>
            </w:r>
          </w:p>
        </w:tc>
        <w:tc>
          <w:tcPr>
            <w:tcW w:w="843" w:type="dxa"/>
            <w:noWrap/>
            <w:vAlign w:val="center"/>
          </w:tcPr>
          <w:p w14:paraId="30771B52" w14:textId="509175EC" w:rsidR="00801596" w:rsidRPr="00895898" w:rsidRDefault="00F1362F"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1712</w:t>
            </w:r>
          </w:p>
        </w:tc>
        <w:tc>
          <w:tcPr>
            <w:tcW w:w="1000" w:type="dxa"/>
            <w:noWrap/>
            <w:vAlign w:val="center"/>
          </w:tcPr>
          <w:p w14:paraId="645FEA02" w14:textId="1A2F6C87" w:rsidR="00801596"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In (zvyšuje náklady)</w:t>
            </w:r>
          </w:p>
        </w:tc>
        <w:tc>
          <w:tcPr>
            <w:tcW w:w="708" w:type="dxa"/>
            <w:noWrap/>
            <w:vAlign w:val="center"/>
          </w:tcPr>
          <w:p w14:paraId="4EA14B08" w14:textId="565F3B2D" w:rsidR="00801596" w:rsidRPr="00895898" w:rsidRDefault="006D3DA8" w:rsidP="006D3DA8">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0</w:t>
            </w:r>
          </w:p>
        </w:tc>
        <w:tc>
          <w:tcPr>
            <w:tcW w:w="1134" w:type="dxa"/>
            <w:vAlign w:val="center"/>
          </w:tcPr>
          <w:p w14:paraId="1CC858DC" w14:textId="198A2433" w:rsidR="00801596" w:rsidRPr="00895898" w:rsidRDefault="006D3DA8" w:rsidP="006D3DA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r>
    </w:tbl>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1CFBFF51"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0A7E8140" w14:textId="47BA62BE" w:rsidR="00640E3F" w:rsidRDefault="00640E3F" w:rsidP="00D348A3">
      <w:pPr>
        <w:pStyle w:val="Normlnywebov"/>
        <w:jc w:val="both"/>
      </w:pPr>
      <w:r w:rsidRPr="00021473">
        <w:t>Pri kvantifikácii vplyvov bola použitá Kalkulačka nákladov podnikateľského prostredia</w:t>
      </w:r>
      <w:r w:rsidR="00F1362F">
        <w:t xml:space="preserve"> a </w:t>
      </w:r>
      <w:r w:rsidRPr="00021473">
        <w:t>expertný odhad. Predkladateľ vychádzal z modelového</w:t>
      </w:r>
      <w:r w:rsidR="00F1362F">
        <w:t xml:space="preserve"> príkladu a výpočet nákladov sa </w:t>
      </w:r>
      <w:r w:rsidRPr="00021473">
        <w:t>vzťahuje na jede</w:t>
      </w:r>
      <w:r w:rsidR="007B6585">
        <w:t>n</w:t>
      </w:r>
      <w:r w:rsidR="00D348A3">
        <w:t xml:space="preserve"> dotknutý subjekt – žalovaného.</w:t>
      </w:r>
      <w:r w:rsidRPr="00021473">
        <w:t xml:space="preserve"> </w:t>
      </w:r>
      <w:r w:rsidR="00D348A3">
        <w:t>Predpokladom na to, aby sa osoba stala žalovaným je, že vadný výrobok uviedla na trh, sprístupn</w:t>
      </w:r>
      <w:r w:rsidR="00BD06AD">
        <w:t>ila ho na trhu alebo uviedla do </w:t>
      </w:r>
      <w:r w:rsidR="00D348A3">
        <w:t xml:space="preserve">prevádzky a tento výrobok spôsobil škodu, ktorej náhradu si poškodený uplatní na súde. </w:t>
      </w:r>
      <w:r w:rsidR="007F46BA">
        <w:t>V </w:t>
      </w:r>
      <w:r w:rsidR="007F46BA" w:rsidRPr="00761D21">
        <w:t xml:space="preserve">porovnaní s doterajšou právnou úpravou sa návrhom zákona v súlade so smernicou </w:t>
      </w:r>
      <w:r w:rsidR="007F46BA">
        <w:t xml:space="preserve">Európskeho parlamentu a Rady (EÚ) 2024/2853 z 23. októbra 2024 o zodpovednosti za chybné výrobky a o zrušení smernice Rady 85/374/EHS </w:t>
      </w:r>
      <w:r w:rsidR="007F46BA" w:rsidRPr="00761D21">
        <w:t>rozširuje okruh subjektov, ktoré sa môžu stať žalovanými v konaní o náhradu škody spôsobenej va</w:t>
      </w:r>
      <w:r w:rsidR="007F46BA">
        <w:t>dným výrobkom. Okrem výrobcu sa </w:t>
      </w:r>
      <w:r w:rsidR="007F46BA" w:rsidRPr="00761D21">
        <w:t>žalovaným môže stať aj iný hospodársky subjekt v dodávateľskom reťazci, najmä dovozca, splnomocnený zástupca, poskytovateľ logistických služieb, distribútor alebo prevádzkovateľ online platformy, ak spĺňa podmienky zodpovednosti podľa návrhu zákona.</w:t>
      </w:r>
      <w:r w:rsidR="007F46BA">
        <w:t xml:space="preserve"> </w:t>
      </w:r>
      <w:r w:rsidRPr="00021473">
        <w:t>Počet žalovaných n</w:t>
      </w:r>
      <w:r w:rsidR="00F1362F">
        <w:t>ie je </w:t>
      </w:r>
      <w:r w:rsidR="00DE0A02" w:rsidRPr="00021473">
        <w:t xml:space="preserve">možné určiť vopred, keďže potencionálne </w:t>
      </w:r>
      <w:r w:rsidRPr="00021473">
        <w:t>zvýšené náklady vz</w:t>
      </w:r>
      <w:r w:rsidR="00BD06AD">
        <w:t>niknú len </w:t>
      </w:r>
      <w:r w:rsidR="00F1362F">
        <w:t>subjektom, ktoré sa v </w:t>
      </w:r>
      <w:r w:rsidRPr="00021473">
        <w:t>konkrétnom prípade stanú žalovanými</w:t>
      </w:r>
      <w:r w:rsidR="00D348A3">
        <w:t>.</w:t>
      </w:r>
    </w:p>
    <w:p w14:paraId="33662A23" w14:textId="77777777" w:rsidR="00D348A3" w:rsidRPr="00021473" w:rsidRDefault="00D348A3" w:rsidP="00D348A3">
      <w:pPr>
        <w:pStyle w:val="Normlnywebov"/>
        <w:jc w:val="both"/>
      </w:pPr>
    </w:p>
    <w:p w14:paraId="02EC8A0F" w14:textId="5BC23489" w:rsidR="00D348A3" w:rsidRDefault="00BD06AD" w:rsidP="00D348A3">
      <w:pPr>
        <w:spacing w:after="0"/>
        <w:jc w:val="both"/>
        <w:rPr>
          <w:rFonts w:ascii="Times New Roman" w:hAnsi="Times New Roman" w:cs="Times New Roman"/>
          <w:sz w:val="24"/>
          <w:szCs w:val="24"/>
        </w:rPr>
      </w:pPr>
      <w:r>
        <w:rPr>
          <w:rFonts w:ascii="Times New Roman" w:hAnsi="Times New Roman" w:cs="Times New Roman"/>
          <w:sz w:val="24"/>
          <w:szCs w:val="24"/>
        </w:rPr>
        <w:t>Návrhom zákona sa v § 14</w:t>
      </w:r>
      <w:r w:rsidR="00640E3F" w:rsidRPr="00021473">
        <w:rPr>
          <w:rFonts w:ascii="Times New Roman" w:hAnsi="Times New Roman" w:cs="Times New Roman"/>
          <w:sz w:val="24"/>
          <w:szCs w:val="24"/>
        </w:rPr>
        <w:t xml:space="preserve"> ods. 1 zavádza povinnosť pre žalovaného sprístupniť dôkazy, ktorými disponuje a ktoré sú podstatné na rozhodnutie vo veci. Ustanovenie vychádza z toho, že žalobca, ktorý si uplatňuje nárok na náhradu škody spôsobenej vadným výrobkom, musí predložiť súdu skutočnosti a dôkazy </w:t>
      </w:r>
      <w:r w:rsidRPr="00BD06AD">
        <w:rPr>
          <w:rFonts w:ascii="Times New Roman" w:hAnsi="Times New Roman" w:cs="Times New Roman"/>
          <w:sz w:val="24"/>
          <w:szCs w:val="24"/>
        </w:rPr>
        <w:t xml:space="preserve">dostatočné na podporu dôvodnosti </w:t>
      </w:r>
      <w:r w:rsidR="00640E3F" w:rsidRPr="00021473">
        <w:rPr>
          <w:rFonts w:ascii="Times New Roman" w:hAnsi="Times New Roman" w:cs="Times New Roman"/>
          <w:sz w:val="24"/>
          <w:szCs w:val="24"/>
        </w:rPr>
        <w:t>svojho nároku. Poškodené osoby sú však v porovnaní so žalovaným často v n</w:t>
      </w:r>
      <w:r>
        <w:rPr>
          <w:rFonts w:ascii="Times New Roman" w:hAnsi="Times New Roman" w:cs="Times New Roman"/>
          <w:sz w:val="24"/>
          <w:szCs w:val="24"/>
        </w:rPr>
        <w:t>evýhode, pokiaľ ide o prístup k </w:t>
      </w:r>
      <w:r w:rsidR="00640E3F" w:rsidRPr="00021473">
        <w:rPr>
          <w:rFonts w:ascii="Times New Roman" w:hAnsi="Times New Roman" w:cs="Times New Roman"/>
          <w:sz w:val="24"/>
          <w:szCs w:val="24"/>
        </w:rPr>
        <w:t xml:space="preserve">informáciám o výrobe, prevádzke alebo bezpečnosti výrobku. Z tohto dôvodu </w:t>
      </w:r>
      <w:r>
        <w:rPr>
          <w:rFonts w:ascii="Times New Roman" w:hAnsi="Times New Roman" w:cs="Times New Roman"/>
          <w:sz w:val="24"/>
          <w:szCs w:val="24"/>
        </w:rPr>
        <w:t>súd na návrh žalobcu uloží</w:t>
      </w:r>
      <w:r w:rsidR="00640E3F" w:rsidRPr="00021473">
        <w:rPr>
          <w:rFonts w:ascii="Times New Roman" w:hAnsi="Times New Roman" w:cs="Times New Roman"/>
          <w:sz w:val="24"/>
          <w:szCs w:val="24"/>
        </w:rPr>
        <w:t xml:space="preserve"> žalovanému povinnosť sprístupniť relevantné dôkazy, ktoré má k dispozícii. </w:t>
      </w:r>
      <w:r w:rsidR="0088570A" w:rsidRPr="00021473">
        <w:rPr>
          <w:rFonts w:ascii="Times New Roman" w:hAnsi="Times New Roman" w:cs="Times New Roman"/>
          <w:sz w:val="24"/>
          <w:szCs w:val="24"/>
        </w:rPr>
        <w:t xml:space="preserve">Rozsah sprístupnenia dôkazov súd zohľadňuje podľa kritérií nevyhnutnosti a primeranosti, pričom prihliada na oprávnené záujmy strán sporu, tretích osôb a na ochranu dôverných informácií vrátane obchodného tajomstva. </w:t>
      </w:r>
      <w:r w:rsidR="00640E3F" w:rsidRPr="00021473">
        <w:rPr>
          <w:rFonts w:ascii="Times New Roman" w:hAnsi="Times New Roman" w:cs="Times New Roman"/>
          <w:sz w:val="24"/>
          <w:szCs w:val="24"/>
        </w:rPr>
        <w:t>Predpokladá sa, že žalovaný disponuje požadovanou dokumentáciou</w:t>
      </w:r>
      <w:r w:rsidR="00DE0A02" w:rsidRPr="00021473">
        <w:rPr>
          <w:rFonts w:ascii="Times New Roman" w:hAnsi="Times New Roman" w:cs="Times New Roman"/>
          <w:sz w:val="24"/>
          <w:szCs w:val="24"/>
        </w:rPr>
        <w:t xml:space="preserve"> resp. dôkazmi</w:t>
      </w:r>
      <w:r w:rsidR="00640E3F" w:rsidRPr="00021473">
        <w:rPr>
          <w:rFonts w:ascii="Times New Roman" w:hAnsi="Times New Roman" w:cs="Times New Roman"/>
          <w:sz w:val="24"/>
          <w:szCs w:val="24"/>
        </w:rPr>
        <w:t>, keďže právne predpisy v oblasti bezpečnosti výrobkov ukladajú povinnosť uchovávať technickú dokumentáciu a ďalšie</w:t>
      </w:r>
      <w:r w:rsidR="00D348A3">
        <w:rPr>
          <w:rFonts w:ascii="Times New Roman" w:hAnsi="Times New Roman" w:cs="Times New Roman"/>
          <w:sz w:val="24"/>
          <w:szCs w:val="24"/>
        </w:rPr>
        <w:t xml:space="preserve"> podklady týkajúce sa výrobkov.</w:t>
      </w:r>
    </w:p>
    <w:p w14:paraId="60E3B53E" w14:textId="77777777" w:rsidR="00D348A3" w:rsidRDefault="00D348A3" w:rsidP="00D348A3">
      <w:pPr>
        <w:spacing w:after="0"/>
        <w:jc w:val="both"/>
        <w:rPr>
          <w:rFonts w:ascii="Times New Roman" w:hAnsi="Times New Roman" w:cs="Times New Roman"/>
          <w:sz w:val="24"/>
          <w:szCs w:val="24"/>
        </w:rPr>
      </w:pPr>
    </w:p>
    <w:p w14:paraId="5211B670" w14:textId="2CDD38A4" w:rsidR="00DE0A02" w:rsidRDefault="00DE0A02" w:rsidP="00D348A3">
      <w:pPr>
        <w:spacing w:after="0"/>
        <w:jc w:val="both"/>
        <w:rPr>
          <w:rFonts w:ascii="Times New Roman" w:eastAsia="Calibri" w:hAnsi="Times New Roman" w:cs="Times New Roman"/>
          <w:bCs/>
          <w:iCs/>
          <w:color w:val="000000"/>
          <w:sz w:val="24"/>
          <w:szCs w:val="24"/>
        </w:rPr>
      </w:pPr>
      <w:r w:rsidRPr="00021473">
        <w:rPr>
          <w:rFonts w:ascii="Times New Roman" w:eastAsia="Calibri" w:hAnsi="Times New Roman" w:cs="Times New Roman"/>
          <w:bCs/>
          <w:iCs/>
          <w:color w:val="000000"/>
          <w:sz w:val="24"/>
          <w:szCs w:val="24"/>
        </w:rPr>
        <w:t>Pri určení frekvencie pl</w:t>
      </w:r>
      <w:r w:rsidR="00BD06AD">
        <w:rPr>
          <w:rFonts w:ascii="Times New Roman" w:eastAsia="Calibri" w:hAnsi="Times New Roman" w:cs="Times New Roman"/>
          <w:bCs/>
          <w:iCs/>
          <w:color w:val="000000"/>
          <w:sz w:val="24"/>
          <w:szCs w:val="24"/>
        </w:rPr>
        <w:t>nenia povinnosti uvedenej v § 14</w:t>
      </w:r>
      <w:r w:rsidRPr="00021473">
        <w:rPr>
          <w:rFonts w:ascii="Times New Roman" w:eastAsia="Calibri" w:hAnsi="Times New Roman" w:cs="Times New Roman"/>
          <w:bCs/>
          <w:iCs/>
          <w:color w:val="000000"/>
          <w:sz w:val="24"/>
          <w:szCs w:val="24"/>
        </w:rPr>
        <w:t xml:space="preserve"> ods. 1 návrhu zákona sa vychádzalo z predpokladu, že pôjde o jednorazové plnenie povinnosti, ale v rámci zadefinovaných možností sa zvolila frekvencia 1-krát ročne z dôvodu priblíženia reálnym potrebám aplikačnej praxe. Pri výpočte administratívnych nákladov spojený</w:t>
      </w:r>
      <w:r w:rsidR="00BD06AD">
        <w:rPr>
          <w:rFonts w:ascii="Times New Roman" w:eastAsia="Calibri" w:hAnsi="Times New Roman" w:cs="Times New Roman"/>
          <w:bCs/>
          <w:iCs/>
          <w:color w:val="000000"/>
          <w:sz w:val="24"/>
          <w:szCs w:val="24"/>
        </w:rPr>
        <w:t>ch s povinnosťou uvedenou v § 14</w:t>
      </w:r>
      <w:r w:rsidRPr="00021473">
        <w:rPr>
          <w:rFonts w:ascii="Times New Roman" w:eastAsia="Calibri" w:hAnsi="Times New Roman" w:cs="Times New Roman"/>
          <w:bCs/>
          <w:iCs/>
          <w:color w:val="000000"/>
          <w:sz w:val="24"/>
          <w:szCs w:val="24"/>
        </w:rPr>
        <w:t xml:space="preserve"> o</w:t>
      </w:r>
      <w:r w:rsidR="00D90E62" w:rsidRPr="00021473">
        <w:rPr>
          <w:rFonts w:ascii="Times New Roman" w:eastAsia="Calibri" w:hAnsi="Times New Roman" w:cs="Times New Roman"/>
          <w:bCs/>
          <w:iCs/>
          <w:color w:val="000000"/>
          <w:sz w:val="24"/>
          <w:szCs w:val="24"/>
        </w:rPr>
        <w:t xml:space="preserve">ds. 1 </w:t>
      </w:r>
      <w:r w:rsidRPr="00021473">
        <w:rPr>
          <w:rFonts w:ascii="Times New Roman" w:eastAsia="Calibri" w:hAnsi="Times New Roman" w:cs="Times New Roman"/>
          <w:bCs/>
          <w:iCs/>
          <w:color w:val="000000"/>
          <w:sz w:val="24"/>
          <w:szCs w:val="24"/>
        </w:rPr>
        <w:t>návrhu zákona sa vychádzalo zo štandardne určenej časovej náročnosti u</w:t>
      </w:r>
      <w:r w:rsidR="00D90E62" w:rsidRPr="00021473">
        <w:rPr>
          <w:rFonts w:ascii="Times New Roman" w:eastAsia="Calibri" w:hAnsi="Times New Roman" w:cs="Times New Roman"/>
          <w:bCs/>
          <w:iCs/>
          <w:color w:val="000000"/>
          <w:sz w:val="24"/>
          <w:szCs w:val="24"/>
        </w:rPr>
        <w:t>vedenej v Kalkulačne nákladov</w:t>
      </w:r>
      <w:r w:rsidR="00D348A3">
        <w:rPr>
          <w:rFonts w:ascii="Times New Roman" w:eastAsia="Calibri" w:hAnsi="Times New Roman" w:cs="Times New Roman"/>
          <w:bCs/>
          <w:iCs/>
          <w:color w:val="000000"/>
          <w:sz w:val="24"/>
          <w:szCs w:val="24"/>
        </w:rPr>
        <w:t xml:space="preserve"> podnikateľského prostredia</w:t>
      </w:r>
      <w:r w:rsidR="002F5813" w:rsidRPr="00021473">
        <w:rPr>
          <w:rFonts w:ascii="Times New Roman" w:eastAsia="Calibri" w:hAnsi="Times New Roman" w:cs="Times New Roman"/>
          <w:bCs/>
          <w:iCs/>
          <w:color w:val="000000"/>
          <w:sz w:val="24"/>
          <w:szCs w:val="24"/>
        </w:rPr>
        <w:t xml:space="preserve"> </w:t>
      </w:r>
      <w:r w:rsidRPr="00021473">
        <w:rPr>
          <w:rFonts w:ascii="Times New Roman" w:eastAsia="Calibri" w:hAnsi="Times New Roman" w:cs="Times New Roman"/>
          <w:bCs/>
          <w:iCs/>
          <w:color w:val="000000"/>
          <w:sz w:val="24"/>
          <w:szCs w:val="24"/>
        </w:rPr>
        <w:t xml:space="preserve">na poskytnutie </w:t>
      </w:r>
      <w:r w:rsidR="00D90E62" w:rsidRPr="00021473">
        <w:rPr>
          <w:rFonts w:ascii="Times New Roman" w:eastAsia="Calibri" w:hAnsi="Times New Roman" w:cs="Times New Roman"/>
          <w:bCs/>
          <w:iCs/>
          <w:color w:val="000000"/>
          <w:sz w:val="24"/>
          <w:szCs w:val="24"/>
        </w:rPr>
        <w:t>súčinnosti, ktorá predstavuje 21</w:t>
      </w:r>
      <w:r w:rsidRPr="00021473">
        <w:rPr>
          <w:rFonts w:ascii="Times New Roman" w:eastAsia="Calibri" w:hAnsi="Times New Roman" w:cs="Times New Roman"/>
          <w:bCs/>
          <w:iCs/>
          <w:color w:val="000000"/>
          <w:sz w:val="24"/>
          <w:szCs w:val="24"/>
        </w:rPr>
        <w:t xml:space="preserve">0 minút. </w:t>
      </w:r>
      <w:r w:rsidR="00971C37" w:rsidRPr="00021473">
        <w:rPr>
          <w:rFonts w:ascii="Times New Roman" w:hAnsi="Times New Roman" w:cs="Times New Roman"/>
          <w:sz w:val="24"/>
          <w:szCs w:val="24"/>
        </w:rPr>
        <w:t xml:space="preserve">Pri výpočte sa počítalo s elektronickým plnením povinnosti. </w:t>
      </w:r>
      <w:r w:rsidRPr="00021473">
        <w:rPr>
          <w:rFonts w:ascii="Times New Roman" w:eastAsia="Calibri" w:hAnsi="Times New Roman" w:cs="Times New Roman"/>
          <w:bCs/>
          <w:iCs/>
          <w:color w:val="000000"/>
          <w:sz w:val="24"/>
          <w:szCs w:val="24"/>
        </w:rPr>
        <w:t>Regulačná záťaž spojená s</w:t>
      </w:r>
      <w:r w:rsidR="00D90E62" w:rsidRPr="00021473">
        <w:rPr>
          <w:rFonts w:ascii="Times New Roman" w:eastAsia="Calibri" w:hAnsi="Times New Roman" w:cs="Times New Roman"/>
          <w:bCs/>
          <w:iCs/>
          <w:color w:val="000000"/>
          <w:sz w:val="24"/>
          <w:szCs w:val="24"/>
        </w:rPr>
        <w:t>o sprístupnením</w:t>
      </w:r>
      <w:r w:rsidRPr="00021473">
        <w:rPr>
          <w:rFonts w:ascii="Times New Roman" w:eastAsia="Calibri" w:hAnsi="Times New Roman" w:cs="Times New Roman"/>
          <w:bCs/>
          <w:iCs/>
          <w:color w:val="000000"/>
          <w:sz w:val="24"/>
          <w:szCs w:val="24"/>
        </w:rPr>
        <w:t xml:space="preserve"> jedného dôkazu podľa </w:t>
      </w:r>
      <w:r w:rsidR="00BD06AD">
        <w:rPr>
          <w:rFonts w:ascii="Times New Roman" w:eastAsia="Calibri" w:hAnsi="Times New Roman" w:cs="Times New Roman"/>
          <w:bCs/>
          <w:iCs/>
          <w:color w:val="000000"/>
          <w:sz w:val="24"/>
          <w:szCs w:val="24"/>
        </w:rPr>
        <w:t>§ 14</w:t>
      </w:r>
      <w:r w:rsidR="00D90E62" w:rsidRPr="00021473">
        <w:rPr>
          <w:rFonts w:ascii="Times New Roman" w:eastAsia="Calibri" w:hAnsi="Times New Roman" w:cs="Times New Roman"/>
          <w:bCs/>
          <w:iCs/>
          <w:color w:val="000000"/>
          <w:sz w:val="24"/>
          <w:szCs w:val="24"/>
        </w:rPr>
        <w:t xml:space="preserve"> ods. 1 návrhu zákona </w:t>
      </w:r>
      <w:r w:rsidRPr="00021473">
        <w:rPr>
          <w:rFonts w:ascii="Times New Roman" w:eastAsia="Calibri" w:hAnsi="Times New Roman" w:cs="Times New Roman"/>
          <w:bCs/>
          <w:iCs/>
          <w:color w:val="000000"/>
          <w:sz w:val="24"/>
          <w:szCs w:val="24"/>
        </w:rPr>
        <w:t xml:space="preserve"> bola</w:t>
      </w:r>
      <w:r w:rsidR="00D90E62" w:rsidRPr="00021473">
        <w:rPr>
          <w:rFonts w:ascii="Times New Roman" w:eastAsia="Calibri" w:hAnsi="Times New Roman" w:cs="Times New Roman"/>
          <w:bCs/>
          <w:iCs/>
          <w:color w:val="000000"/>
          <w:sz w:val="24"/>
          <w:szCs w:val="24"/>
        </w:rPr>
        <w:t xml:space="preserve"> vyčíslená</w:t>
      </w:r>
      <w:r w:rsidR="00BD06AD">
        <w:rPr>
          <w:rFonts w:ascii="Times New Roman" w:eastAsia="Calibri" w:hAnsi="Times New Roman" w:cs="Times New Roman"/>
          <w:bCs/>
          <w:iCs/>
          <w:color w:val="000000"/>
          <w:sz w:val="24"/>
          <w:szCs w:val="24"/>
        </w:rPr>
        <w:t xml:space="preserve"> </w:t>
      </w:r>
      <w:r w:rsidR="00BD06AD">
        <w:rPr>
          <w:rFonts w:ascii="Times New Roman" w:eastAsia="Calibri" w:hAnsi="Times New Roman" w:cs="Times New Roman"/>
          <w:bCs/>
          <w:iCs/>
          <w:color w:val="000000"/>
          <w:sz w:val="24"/>
          <w:szCs w:val="24"/>
        </w:rPr>
        <w:lastRenderedPageBreak/>
        <w:t>na </w:t>
      </w:r>
      <w:r w:rsidR="00D90E62" w:rsidRPr="00021473">
        <w:rPr>
          <w:rFonts w:ascii="Times New Roman" w:eastAsia="Calibri" w:hAnsi="Times New Roman" w:cs="Times New Roman"/>
          <w:bCs/>
          <w:iCs/>
          <w:color w:val="000000"/>
          <w:sz w:val="24"/>
          <w:szCs w:val="24"/>
        </w:rPr>
        <w:t>45</w:t>
      </w:r>
      <w:r w:rsidRPr="00021473">
        <w:rPr>
          <w:rFonts w:ascii="Times New Roman" w:eastAsia="Calibri" w:hAnsi="Times New Roman" w:cs="Times New Roman"/>
          <w:bCs/>
          <w:iCs/>
          <w:color w:val="000000"/>
          <w:sz w:val="24"/>
          <w:szCs w:val="24"/>
        </w:rPr>
        <w:t xml:space="preserve"> eur. Ak súd uloží žalovanému </w:t>
      </w:r>
      <w:r w:rsidR="00D90E62" w:rsidRPr="00021473">
        <w:rPr>
          <w:rFonts w:ascii="Times New Roman" w:eastAsia="Calibri" w:hAnsi="Times New Roman" w:cs="Times New Roman"/>
          <w:bCs/>
          <w:iCs/>
          <w:color w:val="000000"/>
          <w:sz w:val="24"/>
          <w:szCs w:val="24"/>
        </w:rPr>
        <w:t xml:space="preserve">sprístupniť </w:t>
      </w:r>
      <w:r w:rsidRPr="00021473">
        <w:rPr>
          <w:rFonts w:ascii="Times New Roman" w:eastAsia="Calibri" w:hAnsi="Times New Roman" w:cs="Times New Roman"/>
          <w:bCs/>
          <w:iCs/>
          <w:color w:val="000000"/>
          <w:sz w:val="24"/>
          <w:szCs w:val="24"/>
        </w:rPr>
        <w:t xml:space="preserve">v konaní viac dôkazov, </w:t>
      </w:r>
      <w:r w:rsidR="002F5813" w:rsidRPr="00021473">
        <w:rPr>
          <w:rFonts w:ascii="Times New Roman" w:hAnsi="Times New Roman" w:cs="Times New Roman"/>
          <w:sz w:val="24"/>
          <w:szCs w:val="24"/>
        </w:rPr>
        <w:t>náklady sa budú zvyšovať v závislosti od ich počtu</w:t>
      </w:r>
      <w:r w:rsidRPr="00021473">
        <w:rPr>
          <w:rFonts w:ascii="Times New Roman" w:eastAsia="Calibri" w:hAnsi="Times New Roman" w:cs="Times New Roman"/>
          <w:bCs/>
          <w:iCs/>
          <w:color w:val="000000"/>
          <w:sz w:val="24"/>
          <w:szCs w:val="24"/>
        </w:rPr>
        <w:t>.</w:t>
      </w:r>
    </w:p>
    <w:p w14:paraId="254191C0" w14:textId="77777777" w:rsidR="00D348A3" w:rsidRPr="00D348A3" w:rsidRDefault="00D348A3" w:rsidP="00D348A3">
      <w:pPr>
        <w:spacing w:after="0"/>
        <w:jc w:val="both"/>
        <w:rPr>
          <w:rFonts w:ascii="Times New Roman" w:hAnsi="Times New Roman" w:cs="Times New Roman"/>
          <w:sz w:val="24"/>
          <w:szCs w:val="24"/>
        </w:rPr>
      </w:pPr>
    </w:p>
    <w:p w14:paraId="05051355" w14:textId="29D96D4F" w:rsidR="00D348A3" w:rsidRDefault="002F5813" w:rsidP="00D348A3">
      <w:pPr>
        <w:spacing w:after="0"/>
        <w:jc w:val="both"/>
        <w:rPr>
          <w:rFonts w:ascii="Times New Roman" w:eastAsia="Calibri" w:hAnsi="Times New Roman" w:cs="Times New Roman"/>
          <w:bCs/>
          <w:iCs/>
          <w:color w:val="000000"/>
          <w:sz w:val="24"/>
          <w:szCs w:val="24"/>
        </w:rPr>
      </w:pPr>
      <w:r w:rsidRPr="00021473">
        <w:rPr>
          <w:rFonts w:ascii="Times New Roman" w:eastAsia="Calibri" w:hAnsi="Times New Roman" w:cs="Times New Roman"/>
          <w:bCs/>
          <w:iCs/>
          <w:color w:val="000000"/>
          <w:sz w:val="24"/>
          <w:szCs w:val="24"/>
        </w:rPr>
        <w:t>Ďalšie administratívne náklady môžu vzniknúť žalovaným v súdnom konaní pri predložení iných dokumentov</w:t>
      </w:r>
      <w:r w:rsidR="00E86C72" w:rsidRPr="00021473">
        <w:rPr>
          <w:rFonts w:ascii="Times New Roman" w:eastAsia="Calibri" w:hAnsi="Times New Roman" w:cs="Times New Roman"/>
          <w:bCs/>
          <w:iCs/>
          <w:color w:val="000000"/>
          <w:sz w:val="24"/>
          <w:szCs w:val="24"/>
        </w:rPr>
        <w:t xml:space="preserve"> a dôkazov v rámci procesnej obrany.</w:t>
      </w:r>
      <w:r w:rsidRPr="00021473">
        <w:rPr>
          <w:rFonts w:ascii="Times New Roman" w:eastAsia="Calibri" w:hAnsi="Times New Roman" w:cs="Times New Roman"/>
          <w:bCs/>
          <w:iCs/>
          <w:color w:val="000000"/>
          <w:sz w:val="24"/>
          <w:szCs w:val="24"/>
        </w:rPr>
        <w:t xml:space="preserve"> V danom prípade sa pri výpočte týchto nákladov vychádzalo zo štandardne určenej časovej náročnosti uvedenej v Kalkulačne nákladov</w:t>
      </w:r>
      <w:r w:rsidR="004D5473" w:rsidRPr="00021473">
        <w:rPr>
          <w:rFonts w:ascii="Times New Roman" w:eastAsia="Calibri" w:hAnsi="Times New Roman" w:cs="Times New Roman"/>
          <w:bCs/>
          <w:iCs/>
          <w:color w:val="000000"/>
          <w:sz w:val="24"/>
          <w:szCs w:val="24"/>
        </w:rPr>
        <w:t xml:space="preserve"> </w:t>
      </w:r>
      <w:r w:rsidR="00D348A3">
        <w:rPr>
          <w:rFonts w:ascii="Times New Roman" w:eastAsia="Calibri" w:hAnsi="Times New Roman" w:cs="Times New Roman"/>
          <w:bCs/>
          <w:iCs/>
          <w:color w:val="000000"/>
          <w:sz w:val="24"/>
          <w:szCs w:val="24"/>
        </w:rPr>
        <w:t>podnikateľského prostredia</w:t>
      </w:r>
      <w:r w:rsidR="00D348A3" w:rsidRPr="00021473">
        <w:rPr>
          <w:rFonts w:ascii="Times New Roman" w:eastAsia="Calibri" w:hAnsi="Times New Roman" w:cs="Times New Roman"/>
          <w:bCs/>
          <w:iCs/>
          <w:color w:val="000000"/>
          <w:sz w:val="24"/>
          <w:szCs w:val="24"/>
        </w:rPr>
        <w:t xml:space="preserve"> </w:t>
      </w:r>
      <w:r w:rsidRPr="00021473">
        <w:rPr>
          <w:rFonts w:ascii="Times New Roman" w:eastAsia="Calibri" w:hAnsi="Times New Roman" w:cs="Times New Roman"/>
          <w:bCs/>
          <w:iCs/>
          <w:color w:val="000000"/>
          <w:sz w:val="24"/>
          <w:szCs w:val="24"/>
        </w:rPr>
        <w:t xml:space="preserve">na </w:t>
      </w:r>
      <w:r w:rsidR="004D5473" w:rsidRPr="00021473">
        <w:rPr>
          <w:rFonts w:ascii="Times New Roman" w:eastAsia="Calibri" w:hAnsi="Times New Roman" w:cs="Times New Roman"/>
          <w:bCs/>
          <w:iCs/>
          <w:color w:val="000000"/>
          <w:sz w:val="24"/>
          <w:szCs w:val="24"/>
        </w:rPr>
        <w:t>poskytnutie informácie, oznámenia</w:t>
      </w:r>
      <w:r w:rsidR="00E86C72" w:rsidRPr="00021473">
        <w:rPr>
          <w:rFonts w:ascii="Times New Roman" w:eastAsia="Calibri" w:hAnsi="Times New Roman" w:cs="Times New Roman"/>
          <w:bCs/>
          <w:iCs/>
          <w:color w:val="000000"/>
          <w:sz w:val="24"/>
          <w:szCs w:val="24"/>
        </w:rPr>
        <w:t xml:space="preserve"> alebo </w:t>
      </w:r>
      <w:r w:rsidR="004D5473" w:rsidRPr="00021473">
        <w:rPr>
          <w:rFonts w:ascii="Times New Roman" w:eastAsia="Calibri" w:hAnsi="Times New Roman" w:cs="Times New Roman"/>
          <w:bCs/>
          <w:iCs/>
          <w:color w:val="000000"/>
          <w:sz w:val="24"/>
          <w:szCs w:val="24"/>
        </w:rPr>
        <w:t>vyhlásenia, ktorá predstavuje 180</w:t>
      </w:r>
      <w:r w:rsidRPr="00021473">
        <w:rPr>
          <w:rFonts w:ascii="Times New Roman" w:eastAsia="Calibri" w:hAnsi="Times New Roman" w:cs="Times New Roman"/>
          <w:bCs/>
          <w:iCs/>
          <w:color w:val="000000"/>
          <w:sz w:val="24"/>
          <w:szCs w:val="24"/>
        </w:rPr>
        <w:t xml:space="preserve"> minút. Pri určení frekvencie plnenia povinnosti žalovaného </w:t>
      </w:r>
      <w:r w:rsidR="004D5473" w:rsidRPr="00021473">
        <w:rPr>
          <w:rFonts w:ascii="Times New Roman" w:eastAsia="Calibri" w:hAnsi="Times New Roman" w:cs="Times New Roman"/>
          <w:bCs/>
          <w:iCs/>
          <w:color w:val="000000"/>
          <w:sz w:val="24"/>
          <w:szCs w:val="24"/>
        </w:rPr>
        <w:t xml:space="preserve">poskytnúť </w:t>
      </w:r>
      <w:r w:rsidRPr="00021473">
        <w:rPr>
          <w:rFonts w:ascii="Times New Roman" w:eastAsia="Calibri" w:hAnsi="Times New Roman" w:cs="Times New Roman"/>
          <w:bCs/>
          <w:iCs/>
          <w:color w:val="000000"/>
          <w:sz w:val="24"/>
          <w:szCs w:val="24"/>
        </w:rPr>
        <w:t xml:space="preserve">dokumenty </w:t>
      </w:r>
      <w:r w:rsidR="004D5473" w:rsidRPr="00021473">
        <w:rPr>
          <w:rFonts w:ascii="Times New Roman" w:eastAsia="Calibri" w:hAnsi="Times New Roman" w:cs="Times New Roman"/>
          <w:bCs/>
          <w:iCs/>
          <w:color w:val="000000"/>
          <w:sz w:val="24"/>
          <w:szCs w:val="24"/>
        </w:rPr>
        <w:t xml:space="preserve">a dôkazy </w:t>
      </w:r>
      <w:r w:rsidRPr="00021473">
        <w:rPr>
          <w:rFonts w:ascii="Times New Roman" w:eastAsia="Calibri" w:hAnsi="Times New Roman" w:cs="Times New Roman"/>
          <w:bCs/>
          <w:iCs/>
          <w:color w:val="000000"/>
          <w:sz w:val="24"/>
          <w:szCs w:val="24"/>
        </w:rPr>
        <w:t>v súdom konaní sa vychádzalo taktiež z predpokladu, že pôjde o jednorazové plnenie povinnosti, ale v rámci zadefinovaných možností sa zvolila frekvencia 1-krát ročne z dôvodu priblíženia reálnym potrebám aplikačnej praxe.</w:t>
      </w:r>
      <w:r w:rsidR="00BD06AD">
        <w:rPr>
          <w:rFonts w:ascii="Times New Roman" w:hAnsi="Times New Roman" w:cs="Times New Roman"/>
          <w:sz w:val="24"/>
          <w:szCs w:val="24"/>
        </w:rPr>
        <w:t xml:space="preserve"> Pri výpočte sa počítalo s </w:t>
      </w:r>
      <w:r w:rsidR="00971C37" w:rsidRPr="00021473">
        <w:rPr>
          <w:rFonts w:ascii="Times New Roman" w:hAnsi="Times New Roman" w:cs="Times New Roman"/>
          <w:sz w:val="24"/>
          <w:szCs w:val="24"/>
        </w:rPr>
        <w:t>elektronickým plnením povinnost</w:t>
      </w:r>
      <w:r w:rsidR="00742472" w:rsidRPr="00021473">
        <w:rPr>
          <w:rFonts w:ascii="Times New Roman" w:hAnsi="Times New Roman" w:cs="Times New Roman"/>
          <w:sz w:val="24"/>
          <w:szCs w:val="24"/>
        </w:rPr>
        <w:t>i</w:t>
      </w:r>
      <w:r w:rsidR="00971C37" w:rsidRPr="00021473">
        <w:rPr>
          <w:rFonts w:ascii="Times New Roman" w:hAnsi="Times New Roman" w:cs="Times New Roman"/>
          <w:sz w:val="24"/>
          <w:szCs w:val="24"/>
        </w:rPr>
        <w:t>.</w:t>
      </w:r>
      <w:r w:rsidRPr="00021473">
        <w:rPr>
          <w:rFonts w:ascii="Times New Roman" w:eastAsia="Calibri" w:hAnsi="Times New Roman" w:cs="Times New Roman"/>
          <w:bCs/>
          <w:iCs/>
          <w:color w:val="000000"/>
          <w:sz w:val="24"/>
          <w:szCs w:val="24"/>
        </w:rPr>
        <w:t xml:space="preserve"> </w:t>
      </w:r>
      <w:r w:rsidR="00E86C72" w:rsidRPr="00021473">
        <w:rPr>
          <w:rFonts w:ascii="Times New Roman" w:hAnsi="Times New Roman" w:cs="Times New Roman"/>
          <w:sz w:val="24"/>
          <w:szCs w:val="24"/>
        </w:rPr>
        <w:t xml:space="preserve">Predloženie jedného dôkazu v súdnom konaní bude predstavovať pre žalovaného administratívne náklady odhadované na 39 eur. Ak bude musieť žalovaný predložiť viac dôkazov alebo dokumentov, </w:t>
      </w:r>
      <w:r w:rsidR="00E86C72" w:rsidRPr="00021473">
        <w:rPr>
          <w:rFonts w:ascii="Times New Roman" w:eastAsia="Calibri" w:hAnsi="Times New Roman" w:cs="Times New Roman"/>
          <w:bCs/>
          <w:iCs/>
          <w:color w:val="000000"/>
          <w:sz w:val="24"/>
          <w:szCs w:val="24"/>
        </w:rPr>
        <w:t>administratívne ná</w:t>
      </w:r>
      <w:r w:rsidR="00D348A3">
        <w:rPr>
          <w:rFonts w:ascii="Times New Roman" w:eastAsia="Calibri" w:hAnsi="Times New Roman" w:cs="Times New Roman"/>
          <w:bCs/>
          <w:iCs/>
          <w:color w:val="000000"/>
          <w:sz w:val="24"/>
          <w:szCs w:val="24"/>
        </w:rPr>
        <w:t>klady sa budú násobne zvyšovať.</w:t>
      </w:r>
    </w:p>
    <w:p w14:paraId="7F714C11" w14:textId="77777777" w:rsidR="00D348A3" w:rsidRDefault="00D348A3" w:rsidP="00D348A3">
      <w:pPr>
        <w:spacing w:after="0"/>
        <w:jc w:val="both"/>
        <w:rPr>
          <w:rFonts w:ascii="Times New Roman" w:eastAsia="Calibri" w:hAnsi="Times New Roman" w:cs="Times New Roman"/>
          <w:bCs/>
          <w:iCs/>
          <w:color w:val="000000"/>
          <w:sz w:val="24"/>
          <w:szCs w:val="24"/>
        </w:rPr>
      </w:pPr>
    </w:p>
    <w:p w14:paraId="4E1A8508" w14:textId="604D9C69" w:rsidR="00D348A3" w:rsidRDefault="00742472" w:rsidP="00D348A3">
      <w:pPr>
        <w:spacing w:after="0"/>
        <w:jc w:val="both"/>
        <w:rPr>
          <w:rFonts w:ascii="Times New Roman" w:hAnsi="Times New Roman" w:cs="Times New Roman"/>
          <w:sz w:val="24"/>
          <w:szCs w:val="24"/>
        </w:rPr>
      </w:pPr>
      <w:r w:rsidRPr="00021473">
        <w:rPr>
          <w:rFonts w:ascii="Times New Roman" w:hAnsi="Times New Roman" w:cs="Times New Roman"/>
          <w:sz w:val="24"/>
          <w:szCs w:val="24"/>
        </w:rPr>
        <w:t>Pri výpočte nákladov na podnikateľské prostredie sa zohľadnili aj nepriame finančné náklady spojené s právnym zastupovaním žalovaného v súdnom konaní. Táto povinnosť nevyplýva priamo z návrhu zákona, ktorý neustanovuje povinné zastúpenie advokátom v</w:t>
      </w:r>
      <w:r w:rsidR="00021473" w:rsidRPr="00021473">
        <w:rPr>
          <w:rFonts w:ascii="Times New Roman" w:hAnsi="Times New Roman" w:cs="Times New Roman"/>
          <w:sz w:val="24"/>
          <w:szCs w:val="24"/>
        </w:rPr>
        <w:t xml:space="preserve"> súdnom konaní </w:t>
      </w:r>
      <w:r w:rsidR="00BD06AD">
        <w:rPr>
          <w:rFonts w:ascii="Times New Roman" w:hAnsi="Times New Roman" w:cs="Times New Roman"/>
          <w:sz w:val="24"/>
          <w:szCs w:val="24"/>
        </w:rPr>
        <w:t>podľa § 14</w:t>
      </w:r>
      <w:r w:rsidRPr="00021473">
        <w:rPr>
          <w:rFonts w:ascii="Times New Roman" w:hAnsi="Times New Roman" w:cs="Times New Roman"/>
          <w:sz w:val="24"/>
          <w:szCs w:val="24"/>
        </w:rPr>
        <w:t xml:space="preserve"> a</w:t>
      </w:r>
      <w:r w:rsidR="004E3C94">
        <w:rPr>
          <w:rFonts w:ascii="Times New Roman" w:hAnsi="Times New Roman" w:cs="Times New Roman"/>
          <w:sz w:val="24"/>
          <w:szCs w:val="24"/>
        </w:rPr>
        <w:t> </w:t>
      </w:r>
      <w:r w:rsidR="00BD06AD">
        <w:rPr>
          <w:rFonts w:ascii="Times New Roman" w:hAnsi="Times New Roman" w:cs="Times New Roman"/>
          <w:sz w:val="24"/>
          <w:szCs w:val="24"/>
        </w:rPr>
        <w:t>§ 15</w:t>
      </w:r>
      <w:r w:rsidR="00F1362F">
        <w:rPr>
          <w:rFonts w:ascii="Times New Roman" w:hAnsi="Times New Roman" w:cs="Times New Roman"/>
          <w:sz w:val="24"/>
          <w:szCs w:val="24"/>
        </w:rPr>
        <w:t xml:space="preserve"> návrhu zá</w:t>
      </w:r>
      <w:r w:rsidR="004E3C94">
        <w:rPr>
          <w:rFonts w:ascii="Times New Roman" w:hAnsi="Times New Roman" w:cs="Times New Roman"/>
          <w:sz w:val="24"/>
          <w:szCs w:val="24"/>
        </w:rPr>
        <w:t>kona</w:t>
      </w:r>
      <w:r w:rsidRPr="00021473">
        <w:rPr>
          <w:rFonts w:ascii="Times New Roman" w:hAnsi="Times New Roman" w:cs="Times New Roman"/>
          <w:sz w:val="24"/>
          <w:szCs w:val="24"/>
        </w:rPr>
        <w:t>, avšak v aplikačnej praxi môže potreba právneho zastúpenia vzniknúť, najmä pri malých a stredných podnikoch.</w:t>
      </w:r>
    </w:p>
    <w:p w14:paraId="6E5E9324" w14:textId="77777777" w:rsidR="00D348A3" w:rsidRDefault="00D348A3" w:rsidP="00D348A3">
      <w:pPr>
        <w:spacing w:after="0"/>
        <w:jc w:val="both"/>
        <w:rPr>
          <w:rFonts w:ascii="Times New Roman" w:eastAsia="Calibri" w:hAnsi="Times New Roman" w:cs="Times New Roman"/>
          <w:bCs/>
          <w:iCs/>
          <w:color w:val="000000"/>
          <w:sz w:val="24"/>
          <w:szCs w:val="24"/>
        </w:rPr>
      </w:pPr>
    </w:p>
    <w:p w14:paraId="61451294" w14:textId="2E7C0FF6" w:rsidR="0080723E" w:rsidRDefault="004E3C94" w:rsidP="0080723E">
      <w:pPr>
        <w:spacing w:after="0"/>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Žalovaný sa môže dohodnúť s advokátom, ktorý mu bude poskytovať právne zastupovanie v súdnom konaní, na hodinovej odmene, odmene za úkon, paušálnej odmene, pevne stanovenej odmene alebo odmene za úspešné ukončenie prípadu, prípadne na tarifnej odmene stanovenej vyhláškou Ministerstva spravodlivosti Slovenskej republiky</w:t>
      </w:r>
      <w:r w:rsidR="00BD06AD">
        <w:rPr>
          <w:rFonts w:ascii="Times New Roman" w:eastAsia="Calibri" w:hAnsi="Times New Roman" w:cs="Times New Roman"/>
          <w:bCs/>
          <w:iCs/>
          <w:color w:val="000000"/>
          <w:sz w:val="24"/>
          <w:szCs w:val="24"/>
        </w:rPr>
        <w:t xml:space="preserve"> č. 655/2004 Z. z. o odmenách a </w:t>
      </w:r>
      <w:r w:rsidRPr="00F1362F">
        <w:rPr>
          <w:rFonts w:ascii="Times New Roman" w:eastAsia="Calibri" w:hAnsi="Times New Roman" w:cs="Times New Roman"/>
          <w:bCs/>
          <w:iCs/>
          <w:color w:val="000000"/>
          <w:sz w:val="24"/>
          <w:szCs w:val="24"/>
        </w:rPr>
        <w:t>náhradách advokátov za poskytovanie právnych služieb (ďalej len</w:t>
      </w:r>
      <w:r w:rsidR="00BD06AD">
        <w:rPr>
          <w:rFonts w:ascii="Times New Roman" w:eastAsia="Calibri" w:hAnsi="Times New Roman" w:cs="Times New Roman"/>
          <w:bCs/>
          <w:iCs/>
          <w:color w:val="000000"/>
          <w:sz w:val="24"/>
          <w:szCs w:val="24"/>
        </w:rPr>
        <w:t xml:space="preserve"> „vyhláška č. 655/2004 Z. </w:t>
      </w:r>
      <w:r w:rsidR="0080723E">
        <w:rPr>
          <w:rFonts w:ascii="Times New Roman" w:eastAsia="Calibri" w:hAnsi="Times New Roman" w:cs="Times New Roman"/>
          <w:bCs/>
          <w:iCs/>
          <w:color w:val="000000"/>
          <w:sz w:val="24"/>
          <w:szCs w:val="24"/>
        </w:rPr>
        <w:t>z.“).</w:t>
      </w:r>
    </w:p>
    <w:p w14:paraId="505CF3CF" w14:textId="77777777" w:rsidR="0080723E" w:rsidRDefault="0080723E" w:rsidP="0080723E">
      <w:pPr>
        <w:spacing w:after="0"/>
        <w:jc w:val="both"/>
        <w:rPr>
          <w:rFonts w:ascii="Times New Roman" w:eastAsia="Calibri" w:hAnsi="Times New Roman" w:cs="Times New Roman"/>
          <w:bCs/>
          <w:iCs/>
          <w:color w:val="000000"/>
          <w:sz w:val="24"/>
          <w:szCs w:val="24"/>
        </w:rPr>
      </w:pPr>
    </w:p>
    <w:p w14:paraId="6C4D75D4" w14:textId="16C6BCC8" w:rsidR="00A923BD" w:rsidRPr="00F1362F" w:rsidRDefault="00A923BD" w:rsidP="0080723E">
      <w:pPr>
        <w:spacing w:after="0"/>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 xml:space="preserve">Pri výpočte sa v rámci modelového príkladu predpokladalo s nasledujúcimi právnymi úkonmi v zmysle § 13a vyhlášky č. 655/2004 Z. z.: </w:t>
      </w:r>
    </w:p>
    <w:p w14:paraId="72AE38F4" w14:textId="77777777" w:rsidR="00A923BD" w:rsidRPr="00F1362F" w:rsidRDefault="00A923BD" w:rsidP="00A923BD">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prevzatie a príprava zastúpenia vrátane prvej porady s klientom,</w:t>
      </w:r>
    </w:p>
    <w:p w14:paraId="20CBDB0F" w14:textId="77777777" w:rsidR="00A923BD" w:rsidRPr="00F1362F" w:rsidRDefault="00A923BD" w:rsidP="00A923BD">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vypracovanie právneho rozboru veci,</w:t>
      </w:r>
    </w:p>
    <w:p w14:paraId="479F9003" w14:textId="77777777" w:rsidR="00A923BD" w:rsidRPr="00F1362F" w:rsidRDefault="00A923BD" w:rsidP="00A923BD">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písomné vyjadrenie k žalobe,</w:t>
      </w:r>
    </w:p>
    <w:p w14:paraId="4F649A75" w14:textId="77777777" w:rsidR="00A923BD" w:rsidRPr="00F1362F" w:rsidRDefault="00A923BD" w:rsidP="00A923BD">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účasť na konaní pred súdom,</w:t>
      </w:r>
    </w:p>
    <w:p w14:paraId="61864C66" w14:textId="41AE169C" w:rsidR="00A923BD" w:rsidRPr="00F1362F" w:rsidRDefault="00A923BD" w:rsidP="00A923BD">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ďalšia porada alebo rokovanie s</w:t>
      </w:r>
      <w:r w:rsidR="005E7A2F" w:rsidRPr="00F1362F">
        <w:rPr>
          <w:rFonts w:ascii="Times New Roman" w:eastAsia="Calibri" w:hAnsi="Times New Roman" w:cs="Times New Roman"/>
          <w:bCs/>
          <w:iCs/>
          <w:color w:val="000000"/>
          <w:sz w:val="24"/>
          <w:szCs w:val="24"/>
        </w:rPr>
        <w:t> </w:t>
      </w:r>
      <w:r w:rsidRPr="00F1362F">
        <w:rPr>
          <w:rFonts w:ascii="Times New Roman" w:eastAsia="Calibri" w:hAnsi="Times New Roman" w:cs="Times New Roman"/>
          <w:bCs/>
          <w:iCs/>
          <w:color w:val="000000"/>
          <w:sz w:val="24"/>
          <w:szCs w:val="24"/>
        </w:rPr>
        <w:t>klientom</w:t>
      </w:r>
      <w:r w:rsidR="005E7A2F" w:rsidRPr="00F1362F">
        <w:rPr>
          <w:rFonts w:ascii="Times New Roman" w:eastAsia="Calibri" w:hAnsi="Times New Roman" w:cs="Times New Roman"/>
          <w:bCs/>
          <w:iCs/>
          <w:color w:val="000000"/>
          <w:sz w:val="24"/>
          <w:szCs w:val="24"/>
        </w:rPr>
        <w:t xml:space="preserve"> (v trvaní 1 hodiny)</w:t>
      </w:r>
      <w:r w:rsidRPr="00F1362F">
        <w:rPr>
          <w:rFonts w:ascii="Times New Roman" w:eastAsia="Calibri" w:hAnsi="Times New Roman" w:cs="Times New Roman"/>
          <w:bCs/>
          <w:iCs/>
          <w:color w:val="000000"/>
          <w:sz w:val="24"/>
          <w:szCs w:val="24"/>
        </w:rPr>
        <w:t xml:space="preserve">, </w:t>
      </w:r>
    </w:p>
    <w:p w14:paraId="4B2A87AE" w14:textId="5D91D5E0" w:rsidR="004E3C94" w:rsidRDefault="00A923BD" w:rsidP="002F5813">
      <w:pPr>
        <w:pStyle w:val="Odsekzoznamu"/>
        <w:numPr>
          <w:ilvl w:val="0"/>
          <w:numId w:val="15"/>
        </w:num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t xml:space="preserve">účasť na konaní pred súdom, na ktorom bude tiež vyhlásené rozhodnutie. </w:t>
      </w:r>
    </w:p>
    <w:p w14:paraId="3EC6D2BC" w14:textId="77777777" w:rsidR="0080723E" w:rsidRPr="00F1362F" w:rsidRDefault="0080723E" w:rsidP="0080723E">
      <w:pPr>
        <w:pStyle w:val="Odsekzoznamu"/>
        <w:spacing w:after="0" w:line="240" w:lineRule="auto"/>
        <w:jc w:val="both"/>
        <w:rPr>
          <w:rFonts w:ascii="Times New Roman" w:eastAsia="Calibri" w:hAnsi="Times New Roman" w:cs="Times New Roman"/>
          <w:bCs/>
          <w:iCs/>
          <w:color w:val="000000"/>
          <w:sz w:val="24"/>
          <w:szCs w:val="24"/>
        </w:rPr>
      </w:pPr>
    </w:p>
    <w:p w14:paraId="362ADC05" w14:textId="75F29E00" w:rsidR="0080723E" w:rsidRDefault="00E03500" w:rsidP="0080723E">
      <w:pPr>
        <w:spacing w:after="0" w:line="240" w:lineRule="auto"/>
        <w:jc w:val="both"/>
        <w:rPr>
          <w:rFonts w:ascii="Times New Roman" w:eastAsia="Times New Roman" w:hAnsi="Times New Roman" w:cs="Times New Roman"/>
          <w:sz w:val="24"/>
          <w:szCs w:val="24"/>
          <w:lang w:eastAsia="sk-SK"/>
        </w:rPr>
      </w:pPr>
      <w:r w:rsidRPr="00F1362F">
        <w:rPr>
          <w:rFonts w:ascii="Times New Roman" w:eastAsia="Calibri" w:hAnsi="Times New Roman" w:cs="Times New Roman"/>
          <w:bCs/>
          <w:iCs/>
          <w:color w:val="000000"/>
          <w:sz w:val="24"/>
          <w:szCs w:val="24"/>
        </w:rPr>
        <w:t xml:space="preserve">Pri výpočte sa predpokladala náhrada škody vo výške 10 000 eur, čo predstavuje tarifnú hodnotu, pri ktorej základná sadzba tarifnej odmeny za jeden úkon právnej služby </w:t>
      </w:r>
      <w:r w:rsidRPr="00F1362F">
        <w:rPr>
          <w:rFonts w:ascii="Times New Roman" w:eastAsia="Times New Roman" w:hAnsi="Times New Roman" w:cs="Times New Roman"/>
          <w:sz w:val="24"/>
          <w:szCs w:val="24"/>
          <w:lang w:eastAsia="sk-SK"/>
        </w:rPr>
        <w:t xml:space="preserve">podľa vyhlášky č. 655/2004 Z. z. </w:t>
      </w:r>
      <w:r w:rsidRPr="00F1362F">
        <w:rPr>
          <w:rFonts w:ascii="Times New Roman" w:eastAsia="Calibri" w:hAnsi="Times New Roman" w:cs="Times New Roman"/>
          <w:bCs/>
          <w:iCs/>
          <w:color w:val="000000"/>
          <w:sz w:val="24"/>
          <w:szCs w:val="24"/>
        </w:rPr>
        <w:t>predstavuje sumu 270,54 eur. V rámci predmetného modelového príkladu sa predpokladá so šiestimi vyššie uvedenými úkonmi právnej služby.</w:t>
      </w:r>
      <w:r w:rsidR="00BD06AD">
        <w:rPr>
          <w:rFonts w:ascii="Times New Roman" w:eastAsia="Times New Roman" w:hAnsi="Times New Roman" w:cs="Times New Roman"/>
          <w:sz w:val="24"/>
          <w:szCs w:val="24"/>
          <w:lang w:eastAsia="sk-SK"/>
        </w:rPr>
        <w:t xml:space="preserve"> Ku každému z </w:t>
      </w:r>
      <w:r w:rsidRPr="00F1362F">
        <w:rPr>
          <w:rFonts w:ascii="Times New Roman" w:eastAsia="Times New Roman" w:hAnsi="Times New Roman" w:cs="Times New Roman"/>
          <w:sz w:val="24"/>
          <w:szCs w:val="24"/>
          <w:lang w:eastAsia="sk-SK"/>
        </w:rPr>
        <w:t>týchto úkonov sa pripočítava aj režijný paušál vo výške 14,84 eura podľa § 16 ods. 3 vyhlášky č. 655/2004 Z. z.</w:t>
      </w:r>
      <w:r w:rsidR="00F1362F" w:rsidRPr="00F1362F">
        <w:rPr>
          <w:rFonts w:ascii="Times New Roman" w:eastAsia="Times New Roman" w:hAnsi="Times New Roman" w:cs="Times New Roman"/>
          <w:sz w:val="24"/>
          <w:szCs w:val="24"/>
          <w:lang w:eastAsia="sk-SK"/>
        </w:rPr>
        <w:t xml:space="preserve"> </w:t>
      </w:r>
      <w:r w:rsidRPr="00F1362F">
        <w:rPr>
          <w:rFonts w:ascii="Times New Roman" w:eastAsia="Times New Roman" w:hAnsi="Times New Roman" w:cs="Times New Roman"/>
          <w:sz w:val="24"/>
          <w:szCs w:val="24"/>
          <w:lang w:eastAsia="sk-SK"/>
        </w:rPr>
        <w:t>Na základe uvedeného predstavujú v modelovom p</w:t>
      </w:r>
      <w:r w:rsidR="0080723E">
        <w:rPr>
          <w:rFonts w:ascii="Times New Roman" w:eastAsia="Times New Roman" w:hAnsi="Times New Roman" w:cs="Times New Roman"/>
          <w:sz w:val="24"/>
          <w:szCs w:val="24"/>
          <w:lang w:eastAsia="sk-SK"/>
        </w:rPr>
        <w:t xml:space="preserve">rípade náklady na právne zastúpenie </w:t>
      </w:r>
      <w:r w:rsidR="00F1362F" w:rsidRPr="00F1362F">
        <w:rPr>
          <w:rFonts w:ascii="Times New Roman" w:eastAsia="Times New Roman" w:hAnsi="Times New Roman" w:cs="Times New Roman"/>
          <w:sz w:val="24"/>
          <w:szCs w:val="24"/>
          <w:lang w:eastAsia="sk-SK"/>
        </w:rPr>
        <w:t>v súdnom konaní sumu 1 712,2</w:t>
      </w:r>
      <w:r w:rsidRPr="00F1362F">
        <w:rPr>
          <w:rFonts w:ascii="Times New Roman" w:eastAsia="Times New Roman" w:hAnsi="Times New Roman" w:cs="Times New Roman"/>
          <w:sz w:val="24"/>
          <w:szCs w:val="24"/>
          <w:lang w:eastAsia="sk-SK"/>
        </w:rPr>
        <w:t xml:space="preserve">8 eura. </w:t>
      </w:r>
    </w:p>
    <w:p w14:paraId="315A14BC" w14:textId="77777777" w:rsidR="0080723E" w:rsidRPr="00F1362F" w:rsidRDefault="0080723E" w:rsidP="0080723E">
      <w:pPr>
        <w:spacing w:after="0" w:line="240" w:lineRule="auto"/>
        <w:jc w:val="both"/>
        <w:rPr>
          <w:rFonts w:ascii="Times New Roman" w:eastAsia="Times New Roman" w:hAnsi="Times New Roman" w:cs="Times New Roman"/>
          <w:sz w:val="24"/>
          <w:szCs w:val="24"/>
          <w:lang w:eastAsia="sk-SK"/>
        </w:rPr>
      </w:pPr>
    </w:p>
    <w:p w14:paraId="23742D0F" w14:textId="612E2CF7" w:rsidR="00E03500" w:rsidRDefault="00E03500" w:rsidP="0080723E">
      <w:pPr>
        <w:spacing w:after="0" w:line="240" w:lineRule="auto"/>
        <w:jc w:val="both"/>
        <w:rPr>
          <w:rFonts w:ascii="Times New Roman" w:eastAsia="Calibri" w:hAnsi="Times New Roman" w:cs="Times New Roman"/>
          <w:bCs/>
          <w:iCs/>
          <w:color w:val="000000"/>
          <w:sz w:val="24"/>
          <w:szCs w:val="24"/>
        </w:rPr>
      </w:pPr>
      <w:r w:rsidRPr="00F1362F">
        <w:rPr>
          <w:rFonts w:ascii="Times New Roman" w:eastAsia="Calibri" w:hAnsi="Times New Roman" w:cs="Times New Roman"/>
          <w:bCs/>
          <w:iCs/>
          <w:color w:val="000000"/>
          <w:sz w:val="24"/>
          <w:szCs w:val="24"/>
        </w:rPr>
        <w:lastRenderedPageBreak/>
        <w:t>Náklady môžu byť nižšie, ak bude nižšia hodnota sporu, č</w:t>
      </w:r>
      <w:r w:rsidR="0080723E">
        <w:rPr>
          <w:rFonts w:ascii="Times New Roman" w:eastAsia="Calibri" w:hAnsi="Times New Roman" w:cs="Times New Roman"/>
          <w:bCs/>
          <w:iCs/>
          <w:color w:val="000000"/>
          <w:sz w:val="24"/>
          <w:szCs w:val="24"/>
        </w:rPr>
        <w:t>ím by sa podľa § 10 vyhlášky č. </w:t>
      </w:r>
      <w:r w:rsidRPr="00F1362F">
        <w:rPr>
          <w:rFonts w:ascii="Times New Roman" w:eastAsia="Calibri" w:hAnsi="Times New Roman" w:cs="Times New Roman"/>
          <w:bCs/>
          <w:iCs/>
          <w:color w:val="000000"/>
          <w:sz w:val="24"/>
          <w:szCs w:val="24"/>
        </w:rPr>
        <w:t>655/2004 Z. z. znížila základná sadzba tarifnej odmeny za jeden úkon právnej služby,</w:t>
      </w:r>
      <w:r w:rsidR="00BD06AD">
        <w:rPr>
          <w:rFonts w:ascii="Times New Roman" w:eastAsia="Calibri" w:hAnsi="Times New Roman" w:cs="Times New Roman"/>
          <w:bCs/>
          <w:iCs/>
          <w:color w:val="000000"/>
          <w:sz w:val="24"/>
          <w:szCs w:val="24"/>
        </w:rPr>
        <w:t xml:space="preserve"> alebo </w:t>
      </w:r>
      <w:r w:rsidR="0080723E">
        <w:rPr>
          <w:rFonts w:ascii="Times New Roman" w:eastAsia="Calibri" w:hAnsi="Times New Roman" w:cs="Times New Roman"/>
          <w:bCs/>
          <w:iCs/>
          <w:color w:val="000000"/>
          <w:sz w:val="24"/>
          <w:szCs w:val="24"/>
        </w:rPr>
        <w:t>ak si právne zastúpenie</w:t>
      </w:r>
      <w:r w:rsidRPr="00F1362F">
        <w:rPr>
          <w:rFonts w:ascii="Times New Roman" w:eastAsia="Calibri" w:hAnsi="Times New Roman" w:cs="Times New Roman"/>
          <w:bCs/>
          <w:iCs/>
          <w:color w:val="000000"/>
          <w:sz w:val="24"/>
          <w:szCs w:val="24"/>
        </w:rPr>
        <w:t xml:space="preserve"> bude vyžadovať menej úkonov zo strany advokáta, alebo aj vyššia, ak bude hodnota sporu vyššia ako 10 000 eur alebo ak bude právne zastúpenie zahŕňať viac úkonov právnej služby.</w:t>
      </w:r>
    </w:p>
    <w:p w14:paraId="535258E8" w14:textId="77777777" w:rsidR="0080723E" w:rsidRPr="00F1362F" w:rsidRDefault="0080723E" w:rsidP="0080723E">
      <w:pPr>
        <w:spacing w:after="0" w:line="240" w:lineRule="auto"/>
        <w:jc w:val="both"/>
        <w:rPr>
          <w:rFonts w:ascii="Times New Roman" w:eastAsia="Times New Roman" w:hAnsi="Times New Roman" w:cs="Times New Roman"/>
          <w:sz w:val="24"/>
          <w:szCs w:val="24"/>
          <w:lang w:eastAsia="sk-SK"/>
        </w:rPr>
      </w:pPr>
    </w:p>
    <w:p w14:paraId="3FB1450B" w14:textId="4065AB22" w:rsidR="001E24E8" w:rsidRPr="00F1362F" w:rsidRDefault="00F1362F" w:rsidP="0080723E">
      <w:pPr>
        <w:spacing w:after="100" w:afterAutospacing="1" w:line="240" w:lineRule="auto"/>
        <w:jc w:val="both"/>
        <w:rPr>
          <w:rFonts w:ascii="Times New Roman" w:eastAsia="Times New Roman" w:hAnsi="Times New Roman" w:cs="Times New Roman"/>
          <w:sz w:val="24"/>
          <w:szCs w:val="24"/>
          <w:lang w:eastAsia="sk-SK"/>
        </w:rPr>
      </w:pPr>
      <w:r w:rsidRPr="00F1362F">
        <w:rPr>
          <w:rFonts w:ascii="Times New Roman" w:eastAsia="Times New Roman" w:hAnsi="Times New Roman" w:cs="Times New Roman"/>
          <w:sz w:val="24"/>
          <w:szCs w:val="24"/>
          <w:lang w:eastAsia="sk-SK"/>
        </w:rPr>
        <w:t>Pri výpočte sa</w:t>
      </w:r>
      <w:r w:rsidR="0080723E">
        <w:rPr>
          <w:rFonts w:ascii="Times New Roman" w:eastAsia="Times New Roman" w:hAnsi="Times New Roman" w:cs="Times New Roman"/>
          <w:sz w:val="24"/>
          <w:szCs w:val="24"/>
          <w:lang w:eastAsia="sk-SK"/>
        </w:rPr>
        <w:t xml:space="preserve"> nepočítalo</w:t>
      </w:r>
      <w:r w:rsidRPr="00F1362F">
        <w:rPr>
          <w:rFonts w:ascii="Times New Roman" w:eastAsia="Times New Roman" w:hAnsi="Times New Roman" w:cs="Times New Roman"/>
          <w:sz w:val="24"/>
          <w:szCs w:val="24"/>
          <w:lang w:eastAsia="sk-SK"/>
        </w:rPr>
        <w:t xml:space="preserve"> s náhradou za stratu času ani s cesto</w:t>
      </w:r>
      <w:r w:rsidR="00BD06AD">
        <w:rPr>
          <w:rFonts w:ascii="Times New Roman" w:eastAsia="Times New Roman" w:hAnsi="Times New Roman" w:cs="Times New Roman"/>
          <w:sz w:val="24"/>
          <w:szCs w:val="24"/>
          <w:lang w:eastAsia="sk-SK"/>
        </w:rPr>
        <w:t>vnými výdavkami advokáta, ktoré </w:t>
      </w:r>
      <w:r w:rsidRPr="00F1362F">
        <w:rPr>
          <w:rFonts w:ascii="Times New Roman" w:eastAsia="Times New Roman" w:hAnsi="Times New Roman" w:cs="Times New Roman"/>
          <w:sz w:val="24"/>
          <w:szCs w:val="24"/>
          <w:lang w:eastAsia="sk-SK"/>
        </w:rPr>
        <w:t>by v praxi mohli ďalej zvýšiť celkov</w:t>
      </w:r>
      <w:r w:rsidR="0080723E">
        <w:rPr>
          <w:rFonts w:ascii="Times New Roman" w:eastAsia="Times New Roman" w:hAnsi="Times New Roman" w:cs="Times New Roman"/>
          <w:sz w:val="24"/>
          <w:szCs w:val="24"/>
          <w:lang w:eastAsia="sk-SK"/>
        </w:rPr>
        <w:t>é náklady na právne zastúpenie</w:t>
      </w:r>
      <w:r w:rsidRPr="00F1362F">
        <w:rPr>
          <w:rFonts w:ascii="Times New Roman" w:eastAsia="Times New Roman" w:hAnsi="Times New Roman" w:cs="Times New Roman"/>
          <w:sz w:val="24"/>
          <w:szCs w:val="24"/>
          <w:lang w:eastAsia="sk-SK"/>
        </w:rPr>
        <w:t>.</w:t>
      </w: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goldplatingu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goldplatingu</w:t>
      </w:r>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3061DD1C" w:rsidR="00D114ED" w:rsidRDefault="00D114ED" w:rsidP="00863340">
      <w:pPr>
        <w:spacing w:after="0"/>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56C3EAF" w14:textId="77777777" w:rsidR="00863340" w:rsidRDefault="00863340" w:rsidP="00863340">
      <w:pPr>
        <w:spacing w:after="0"/>
        <w:jc w:val="both"/>
        <w:rPr>
          <w:rFonts w:ascii="Times New Roman" w:eastAsia="Calibri" w:hAnsi="Times New Roman" w:cs="Times New Roman"/>
          <w:bCs/>
          <w:i/>
          <w:iCs/>
          <w:sz w:val="24"/>
          <w:szCs w:val="24"/>
        </w:rPr>
      </w:pPr>
    </w:p>
    <w:p w14:paraId="4BD96D6C" w14:textId="48FA1A3C" w:rsidR="00024EE4" w:rsidRDefault="00863340" w:rsidP="00863340">
      <w:pPr>
        <w:spacing w:after="0"/>
        <w:jc w:val="both"/>
        <w:rPr>
          <w:rFonts w:ascii="Times New Roman" w:eastAsia="Calibri" w:hAnsi="Times New Roman" w:cs="Times New Roman"/>
          <w:bCs/>
          <w:iCs/>
          <w:sz w:val="24"/>
          <w:szCs w:val="24"/>
        </w:rPr>
      </w:pPr>
      <w:r w:rsidRPr="00152D86">
        <w:rPr>
          <w:rFonts w:ascii="Times New Roman" w:eastAsia="Calibri" w:hAnsi="Times New Roman" w:cs="Times New Roman"/>
          <w:bCs/>
          <w:iCs/>
          <w:sz w:val="24"/>
          <w:szCs w:val="24"/>
        </w:rPr>
        <w:t>Nebol identifikovaný goldplating.</w:t>
      </w:r>
    </w:p>
    <w:p w14:paraId="3DCD5639" w14:textId="77777777" w:rsidR="00863340" w:rsidRPr="00863340" w:rsidRDefault="00863340" w:rsidP="00863340">
      <w:pPr>
        <w:spacing w:after="0"/>
        <w:jc w:val="both"/>
        <w:rPr>
          <w:rFonts w:ascii="Times New Roman" w:eastAsia="Calibri" w:hAnsi="Times New Roman" w:cs="Times New Roman"/>
          <w:bCs/>
          <w:iCs/>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05E6CA8B" w:rsidR="00054C41" w:rsidRDefault="00054C41" w:rsidP="00054C41">
      <w:pPr>
        <w:spacing w:after="0"/>
        <w:jc w:val="both"/>
        <w:rPr>
          <w:rFonts w:ascii="Times New Roman" w:eastAsia="Calibri" w:hAnsi="Times New Roman" w:cs="Times New Roman"/>
          <w:i/>
          <w:sz w:val="24"/>
          <w:szCs w:val="24"/>
        </w:rPr>
      </w:pPr>
    </w:p>
    <w:p w14:paraId="08FCAD96" w14:textId="501C3E1E" w:rsidR="00054C41" w:rsidRPr="00C37D96" w:rsidRDefault="00DC28F8" w:rsidP="00054C41">
      <w:pPr>
        <w:spacing w:after="0"/>
        <w:jc w:val="both"/>
        <w:rPr>
          <w:rFonts w:ascii="Times New Roman" w:hAnsi="Times New Roman" w:cs="Times New Roman"/>
          <w:sz w:val="24"/>
          <w:szCs w:val="24"/>
        </w:rPr>
      </w:pPr>
      <w:r w:rsidRPr="00C37D96">
        <w:rPr>
          <w:rFonts w:ascii="Times New Roman" w:hAnsi="Times New Roman" w:cs="Times New Roman"/>
          <w:sz w:val="24"/>
          <w:szCs w:val="24"/>
        </w:rPr>
        <w:t xml:space="preserve">Predbežná informácia k návrhu zákona bola zverejnená na portáli </w:t>
      </w:r>
      <w:r w:rsidRPr="00C37D96">
        <w:rPr>
          <w:rFonts w:ascii="Times New Roman" w:hAnsi="Times New Roman" w:cs="Times New Roman"/>
          <w:bCs/>
          <w:sz w:val="24"/>
          <w:szCs w:val="24"/>
        </w:rPr>
        <w:t>slov-lex.sk (</w:t>
      </w:r>
      <w:hyperlink r:id="rId11" w:history="1">
        <w:r w:rsidRPr="00C37D96">
          <w:rPr>
            <w:rStyle w:val="Hypertextovprepojenie"/>
            <w:rFonts w:ascii="Times New Roman" w:hAnsi="Times New Roman" w:cs="Times New Roman"/>
            <w:sz w:val="24"/>
            <w:szCs w:val="24"/>
          </w:rPr>
          <w:t>https://www.slov-lex.sk/elegislativa/legislativne-procesy/SK/PI/2025/88</w:t>
        </w:r>
      </w:hyperlink>
      <w:r w:rsidRPr="00C37D96">
        <w:rPr>
          <w:rFonts w:ascii="Times New Roman" w:hAnsi="Times New Roman" w:cs="Times New Roman"/>
          <w:sz w:val="24"/>
          <w:szCs w:val="24"/>
        </w:rPr>
        <w:t>)</w:t>
      </w:r>
      <w:r w:rsidR="00C37D96">
        <w:rPr>
          <w:rFonts w:ascii="Times New Roman" w:hAnsi="Times New Roman" w:cs="Times New Roman"/>
          <w:sz w:val="24"/>
          <w:szCs w:val="24"/>
        </w:rPr>
        <w:t xml:space="preserve"> </w:t>
      </w:r>
      <w:r w:rsidRPr="00C37D96">
        <w:rPr>
          <w:rFonts w:ascii="Times New Roman" w:hAnsi="Times New Roman" w:cs="Times New Roman"/>
          <w:sz w:val="24"/>
          <w:szCs w:val="24"/>
        </w:rPr>
        <w:t xml:space="preserve">s výzvou pre širokú verejnosť na zasielanie podnetov a návrhov. V rámci tohto procesu predložili dva subjekty svoje návrhy, ktoré predkladateľ po zvážení akceptoval a nadviazal s nimi spoluprácu. </w:t>
      </w:r>
      <w:r w:rsidR="008E1713" w:rsidRPr="00C37D96">
        <w:rPr>
          <w:rFonts w:ascii="Times New Roman" w:hAnsi="Times New Roman" w:cs="Times New Roman"/>
          <w:sz w:val="24"/>
          <w:szCs w:val="24"/>
        </w:rPr>
        <w:t>S cieľom zapojiť do prípravy návrhu zákona od úvodných štádií nielen subjekty dotknuté jeho pôsobnosťou na území Slovenskej republiky, ale aj odbornú verejnosť, predkladateľ iniciatívne oslovil zástupcov podnikateľskej i akademickej sféry.</w:t>
      </w:r>
    </w:p>
    <w:p w14:paraId="60331DE9" w14:textId="33C81AA5" w:rsidR="008E1713" w:rsidRPr="00C37D96" w:rsidRDefault="008E1713" w:rsidP="00054C41">
      <w:pPr>
        <w:spacing w:after="0"/>
        <w:jc w:val="both"/>
        <w:rPr>
          <w:rFonts w:ascii="Times New Roman" w:eastAsia="Calibri" w:hAnsi="Times New Roman" w:cs="Times New Roman"/>
          <w:i/>
          <w:sz w:val="24"/>
          <w:szCs w:val="24"/>
        </w:rPr>
      </w:pPr>
    </w:p>
    <w:p w14:paraId="1EB2F7FF" w14:textId="291E4F92" w:rsidR="00C37D96" w:rsidRPr="00C37D96" w:rsidRDefault="00C37D96" w:rsidP="00054C41">
      <w:pPr>
        <w:spacing w:after="0"/>
        <w:jc w:val="both"/>
        <w:rPr>
          <w:rFonts w:ascii="Times New Roman" w:hAnsi="Times New Roman" w:cs="Times New Roman"/>
          <w:sz w:val="24"/>
          <w:szCs w:val="24"/>
        </w:rPr>
      </w:pPr>
      <w:r w:rsidRPr="00C37D96">
        <w:rPr>
          <w:rFonts w:ascii="Times New Roman" w:hAnsi="Times New Roman" w:cs="Times New Roman"/>
          <w:sz w:val="24"/>
          <w:szCs w:val="24"/>
        </w:rPr>
        <w:t>Konzultácie sa uskutočnili písomnou formou a subjektom bolo umožnené pripomienkovať pracovnú verziu návrhu zákona. Podľa potreby sa uskutočnili aj telefonické konzultácie. Konzultácie sa zameriavali na zhromažďovanie pripomi</w:t>
      </w:r>
      <w:r w:rsidR="00BD06AD">
        <w:rPr>
          <w:rFonts w:ascii="Times New Roman" w:hAnsi="Times New Roman" w:cs="Times New Roman"/>
          <w:sz w:val="24"/>
          <w:szCs w:val="24"/>
        </w:rPr>
        <w:t>enok, informácií a poznatkov od </w:t>
      </w:r>
      <w:r w:rsidRPr="00C37D96">
        <w:rPr>
          <w:rFonts w:ascii="Times New Roman" w:hAnsi="Times New Roman" w:cs="Times New Roman"/>
          <w:sz w:val="24"/>
          <w:szCs w:val="24"/>
        </w:rPr>
        <w:t>zainteresovaných strán s cieľom posúdiť účinnosť, efektív</w:t>
      </w:r>
      <w:r w:rsidR="00BD06AD">
        <w:rPr>
          <w:rFonts w:ascii="Times New Roman" w:hAnsi="Times New Roman" w:cs="Times New Roman"/>
          <w:sz w:val="24"/>
          <w:szCs w:val="24"/>
        </w:rPr>
        <w:t>nosť, relevantnosť, súdržnosť a </w:t>
      </w:r>
      <w:r w:rsidRPr="00C37D96">
        <w:rPr>
          <w:rFonts w:ascii="Times New Roman" w:hAnsi="Times New Roman" w:cs="Times New Roman"/>
          <w:sz w:val="24"/>
          <w:szCs w:val="24"/>
        </w:rPr>
        <w:t>pridanú hodnotu navrhovaných opatrení. Spätná väzba si nevyžiadala rozsiahlejšie diskusie. Konzultačný proces umožnil zhromaždiť názory, pripomienky a poznatky z aplikačnej praxe, ktoré boli zohľadnené pri vypracovaní konečnej podoby návrhu zákona.</w:t>
      </w:r>
    </w:p>
    <w:p w14:paraId="4A08CA66" w14:textId="77777777" w:rsidR="00C37D96" w:rsidRPr="00D8247C" w:rsidRDefault="00C37D96"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w:t>
      </w:r>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0594E003" w:rsidR="00054C41" w:rsidRDefault="00054C41" w:rsidP="00054C41">
      <w:pPr>
        <w:spacing w:after="0"/>
        <w:jc w:val="both"/>
        <w:rPr>
          <w:rFonts w:ascii="Times New Roman" w:eastAsia="Calibri" w:hAnsi="Times New Roman" w:cs="Times New Roman"/>
          <w:i/>
          <w:iCs/>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3B627F4C" w14:textId="4DB80FC1" w:rsidR="003C0316" w:rsidRDefault="003C0316" w:rsidP="00054C41">
      <w:pPr>
        <w:spacing w:after="0"/>
        <w:jc w:val="both"/>
        <w:rPr>
          <w:rFonts w:ascii="Times New Roman" w:eastAsia="Calibri" w:hAnsi="Times New Roman" w:cs="Times New Roman"/>
          <w:i/>
          <w:iCs/>
          <w:sz w:val="24"/>
          <w:szCs w:val="24"/>
        </w:rPr>
      </w:pPr>
    </w:p>
    <w:p w14:paraId="29413309" w14:textId="1AFD3393" w:rsidR="00C9257A" w:rsidRPr="00C9257A" w:rsidRDefault="00C9257A" w:rsidP="00054C41">
      <w:pPr>
        <w:spacing w:after="0"/>
        <w:jc w:val="both"/>
        <w:rPr>
          <w:rFonts w:ascii="Times New Roman" w:hAnsi="Times New Roman" w:cs="Times New Roman"/>
          <w:sz w:val="24"/>
          <w:szCs w:val="24"/>
        </w:rPr>
      </w:pPr>
      <w:r w:rsidRPr="00C9257A">
        <w:rPr>
          <w:rFonts w:ascii="Times New Roman" w:hAnsi="Times New Roman" w:cs="Times New Roman"/>
          <w:sz w:val="24"/>
          <w:szCs w:val="24"/>
        </w:rPr>
        <w:t>Návrh zákona nemení konkurencieschopnosť ani produktivitu. Predmetom návrhu</w:t>
      </w:r>
      <w:r>
        <w:rPr>
          <w:rFonts w:ascii="Times New Roman" w:hAnsi="Times New Roman" w:cs="Times New Roman"/>
          <w:sz w:val="24"/>
          <w:szCs w:val="24"/>
        </w:rPr>
        <w:t xml:space="preserve"> zákona</w:t>
      </w:r>
      <w:r w:rsidR="008025CA">
        <w:rPr>
          <w:rFonts w:ascii="Times New Roman" w:hAnsi="Times New Roman" w:cs="Times New Roman"/>
          <w:sz w:val="24"/>
          <w:szCs w:val="24"/>
        </w:rPr>
        <w:t xml:space="preserve"> je </w:t>
      </w:r>
      <w:r w:rsidRPr="00C9257A">
        <w:rPr>
          <w:rFonts w:ascii="Times New Roman" w:hAnsi="Times New Roman" w:cs="Times New Roman"/>
          <w:sz w:val="24"/>
          <w:szCs w:val="24"/>
        </w:rPr>
        <w:t>úprava zodpovednosti za škodu spôsobenú vadným výrobkom vrátane procesných pravidiel súvisiacich s uplatňovaním nárokov na náhradu škody v s</w:t>
      </w:r>
      <w:r w:rsidR="008025CA">
        <w:rPr>
          <w:rFonts w:ascii="Times New Roman" w:hAnsi="Times New Roman" w:cs="Times New Roman"/>
          <w:sz w:val="24"/>
          <w:szCs w:val="24"/>
        </w:rPr>
        <w:t>úlade s právom Európskej únie a </w:t>
      </w:r>
      <w:r w:rsidRPr="00C9257A">
        <w:rPr>
          <w:rFonts w:ascii="Times New Roman" w:hAnsi="Times New Roman" w:cs="Times New Roman"/>
          <w:sz w:val="24"/>
          <w:szCs w:val="24"/>
        </w:rPr>
        <w:t xml:space="preserve">zabezpečenie harmonizácie pravidiel v tejto oblasti. Návrh </w:t>
      </w:r>
      <w:r>
        <w:rPr>
          <w:rFonts w:ascii="Times New Roman" w:hAnsi="Times New Roman" w:cs="Times New Roman"/>
          <w:sz w:val="24"/>
          <w:szCs w:val="24"/>
        </w:rPr>
        <w:t xml:space="preserve">zákona </w:t>
      </w:r>
      <w:r w:rsidRPr="00C9257A">
        <w:rPr>
          <w:rFonts w:ascii="Times New Roman" w:hAnsi="Times New Roman" w:cs="Times New Roman"/>
          <w:sz w:val="24"/>
          <w:szCs w:val="24"/>
        </w:rPr>
        <w:t>nevytvára nové</w:t>
      </w:r>
      <w:r w:rsidR="008025CA">
        <w:rPr>
          <w:rFonts w:ascii="Times New Roman" w:hAnsi="Times New Roman" w:cs="Times New Roman"/>
          <w:sz w:val="24"/>
          <w:szCs w:val="24"/>
        </w:rPr>
        <w:t xml:space="preserve"> bariéry na </w:t>
      </w:r>
      <w:r w:rsidRPr="00C9257A">
        <w:rPr>
          <w:rFonts w:ascii="Times New Roman" w:hAnsi="Times New Roman" w:cs="Times New Roman"/>
          <w:sz w:val="24"/>
          <w:szCs w:val="24"/>
        </w:rPr>
        <w:t>trhu a neupravuje osobitné režimy pre mikro, malé alebo stredné podniky. Zmena regulácie neovplyvňuje cezhraničné investície, prílev alebo odliv zahraničných investícií ani uplatnenie slovenských podnikov na zahraničných trhoch. Nezasahuje do dostupnosti základných zdrojov, ako sú financie, pracovná sila alebo energie, a nemá ani p</w:t>
      </w:r>
      <w:r w:rsidR="008025CA">
        <w:rPr>
          <w:rFonts w:ascii="Times New Roman" w:hAnsi="Times New Roman" w:cs="Times New Roman"/>
          <w:sz w:val="24"/>
          <w:szCs w:val="24"/>
        </w:rPr>
        <w:t xml:space="preserve">riamy dosah na inovácie, vedu </w:t>
      </w:r>
      <w:r w:rsidR="008025CA">
        <w:rPr>
          <w:rFonts w:ascii="Times New Roman" w:hAnsi="Times New Roman" w:cs="Times New Roman"/>
          <w:sz w:val="24"/>
          <w:szCs w:val="24"/>
        </w:rPr>
        <w:lastRenderedPageBreak/>
        <w:t>a </w:t>
      </w:r>
      <w:r w:rsidRPr="00C9257A">
        <w:rPr>
          <w:rFonts w:ascii="Times New Roman" w:hAnsi="Times New Roman" w:cs="Times New Roman"/>
          <w:sz w:val="24"/>
          <w:szCs w:val="24"/>
        </w:rPr>
        <w:t>výskum. Neobsahuje prvky goldplatingu a nemá negatívny vplyv na kvalitu podnikateľského prostredia v Slovenskej republike.</w:t>
      </w:r>
    </w:p>
    <w:p w14:paraId="6DFDD12F" w14:textId="3D63D0B8" w:rsidR="00044B69" w:rsidRPr="00D8247C" w:rsidRDefault="00044B69"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684CFD62"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Content>
          <w:sdt>
            <w:sdtPr>
              <w:rPr>
                <w:rFonts w:ascii="Times New Roman" w:eastAsia="Calibri" w:hAnsi="Times New Roman" w:cs="Times New Roman"/>
                <w:i/>
                <w:sz w:val="24"/>
                <w:szCs w:val="24"/>
              </w:rPr>
              <w:id w:val="1729873660"/>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Content>
          <w:sdt>
            <w:sdtPr>
              <w:rPr>
                <w:rFonts w:ascii="Times New Roman" w:eastAsia="Calibri" w:hAnsi="Times New Roman" w:cs="Times New Roman"/>
                <w:i/>
                <w:sz w:val="24"/>
                <w:szCs w:val="24"/>
              </w:rPr>
              <w:id w:val="-80300261"/>
            </w:sdtPr>
            <w:sdtContent>
              <w:r w:rsidR="00C37D96" w:rsidRPr="00152D86">
                <w:rPr>
                  <w:rFonts w:ascii="Segoe UI Symbol" w:eastAsia="Calibri" w:hAnsi="Segoe UI Symbol" w:cs="Segoe UI Symbol"/>
                  <w:i/>
                </w:rPr>
                <w:t>X</w:t>
              </w:r>
              <w:r w:rsidR="00C37D96" w:rsidRPr="00C37D96">
                <w:rPr>
                  <w:rFonts w:ascii="Segoe UI Symbol" w:eastAsia="Calibri" w:hAnsi="Segoe UI Symbol" w:cs="Segoe UI Symbol"/>
                  <w:i/>
                </w:rPr>
                <w:t xml:space="preserve"> </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Content>
          <w:sdt>
            <w:sdtPr>
              <w:rPr>
                <w:rFonts w:ascii="Times New Roman" w:eastAsia="Calibri" w:hAnsi="Times New Roman" w:cs="Times New Roman"/>
                <w:i/>
                <w:sz w:val="24"/>
                <w:szCs w:val="24"/>
              </w:rPr>
              <w:id w:val="-1706551548"/>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78CF5CC5"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Content>
          <w:sdt>
            <w:sdtPr>
              <w:rPr>
                <w:rFonts w:ascii="Times New Roman" w:eastAsia="Calibri" w:hAnsi="Times New Roman" w:cs="Times New Roman"/>
                <w:i/>
                <w:sz w:val="24"/>
                <w:szCs w:val="24"/>
              </w:rPr>
              <w:id w:val="825715010"/>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Content>
          <w:sdt>
            <w:sdtPr>
              <w:rPr>
                <w:rFonts w:ascii="Times New Roman" w:eastAsia="Calibri" w:hAnsi="Times New Roman" w:cs="Times New Roman"/>
                <w:i/>
                <w:sz w:val="24"/>
                <w:szCs w:val="24"/>
              </w:rPr>
              <w:id w:val="-1222205104"/>
            </w:sdtPr>
            <w:sdtContent>
              <w:r w:rsidR="00C37D96" w:rsidRPr="00152D86">
                <w:rPr>
                  <w:rFonts w:ascii="Segoe UI Symbol" w:eastAsia="Calibri" w:hAnsi="Segoe UI Symbol" w:cs="Segoe UI Symbol"/>
                  <w:i/>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Content>
          <w:sdt>
            <w:sdtPr>
              <w:rPr>
                <w:rFonts w:ascii="Times New Roman" w:eastAsia="Calibri" w:hAnsi="Times New Roman" w:cs="Times New Roman"/>
                <w:i/>
                <w:sz w:val="24"/>
                <w:szCs w:val="24"/>
              </w:rPr>
              <w:id w:val="-623767955"/>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814BF91" w14:textId="4513A905"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656A83C3" w14:textId="77777777" w:rsidR="00B21D1F" w:rsidRDefault="00B21D1F" w:rsidP="00054C41">
      <w:pPr>
        <w:spacing w:after="0" w:line="240" w:lineRule="auto"/>
        <w:jc w:val="center"/>
        <w:rPr>
          <w:rFonts w:ascii="Times New Roman" w:eastAsia="Times New Roman" w:hAnsi="Times New Roman" w:cs="Times New Roman"/>
          <w:b/>
          <w:sz w:val="28"/>
          <w:szCs w:val="28"/>
          <w:lang w:eastAsia="sk-SK"/>
        </w:rPr>
      </w:pPr>
    </w:p>
    <w:p w14:paraId="424DBDFC" w14:textId="33336B0A" w:rsidR="00B21D1F" w:rsidRPr="00B52725" w:rsidRDefault="00B52725" w:rsidP="00B52725">
      <w:pPr>
        <w:spacing w:after="0" w:line="240" w:lineRule="auto"/>
        <w:jc w:val="both"/>
        <w:rPr>
          <w:rFonts w:ascii="Times New Roman" w:eastAsia="Times New Roman" w:hAnsi="Times New Roman" w:cs="Times New Roman"/>
          <w:b/>
          <w:sz w:val="24"/>
          <w:szCs w:val="24"/>
          <w:lang w:eastAsia="sk-SK"/>
        </w:rPr>
      </w:pPr>
      <w:r w:rsidRPr="00B52725">
        <w:rPr>
          <w:rFonts w:ascii="Times New Roman" w:hAnsi="Times New Roman" w:cs="Times New Roman"/>
          <w:sz w:val="24"/>
          <w:szCs w:val="24"/>
        </w:rPr>
        <w:t xml:space="preserve">Medzi ďalšie vplyvy na podnikateľské prostredie patrí povinnosť podnikateľov nahradiť škodu spočívajúcu v majetkovej škode, prípadne aj nemajetkovej </w:t>
      </w:r>
      <w:r w:rsidR="008025CA">
        <w:rPr>
          <w:rFonts w:ascii="Times New Roman" w:hAnsi="Times New Roman" w:cs="Times New Roman"/>
          <w:sz w:val="24"/>
          <w:szCs w:val="24"/>
        </w:rPr>
        <w:t>škode v prípade, ak sa preukáže, že </w:t>
      </w:r>
      <w:r w:rsidRPr="00B52725">
        <w:rPr>
          <w:rFonts w:ascii="Times New Roman" w:hAnsi="Times New Roman" w:cs="Times New Roman"/>
          <w:sz w:val="24"/>
          <w:szCs w:val="24"/>
        </w:rPr>
        <w:t>ju spôsobil vadný výrobok, za ktorý zodpovedajú. Výška škody nepredstavuje kvantifikovateľný vplyv na podnikateľské prostredie, keďže závisí od okolností konkrétneho prípadu. Určuje sa buď v rámci mimosúdnej dohody, alebo na základe súdneho rozhodnutia, pričom vo viacerých prípadoch vychádza z odborného posudku.</w:t>
      </w:r>
    </w:p>
    <w:sectPr w:rsidR="00B21D1F" w:rsidRPr="00B52725"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D0444" w14:textId="77777777" w:rsidR="00717F63" w:rsidRDefault="00717F63" w:rsidP="00054C41">
      <w:pPr>
        <w:spacing w:after="0" w:line="240" w:lineRule="auto"/>
      </w:pPr>
      <w:r>
        <w:separator/>
      </w:r>
    </w:p>
  </w:endnote>
  <w:endnote w:type="continuationSeparator" w:id="0">
    <w:p w14:paraId="4D3E9DE3" w14:textId="77777777" w:rsidR="00717F63" w:rsidRDefault="00717F63"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532AF49C" w:rsidR="0080723E" w:rsidRPr="006045CB" w:rsidRDefault="0080723E"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7F46BA">
          <w:rPr>
            <w:rFonts w:ascii="Times New Roman" w:hAnsi="Times New Roman" w:cs="Times New Roman"/>
            <w:noProof/>
            <w:sz w:val="24"/>
            <w:szCs w:val="24"/>
          </w:rPr>
          <w:t>7</w:t>
        </w:r>
        <w:r w:rsidRPr="006045CB">
          <w:rPr>
            <w:rFonts w:ascii="Times New Roman" w:hAnsi="Times New Roman" w:cs="Times New Roman"/>
            <w:sz w:val="24"/>
            <w:szCs w:val="24"/>
          </w:rPr>
          <w:fldChar w:fldCharType="end"/>
        </w:r>
      </w:p>
    </w:sdtContent>
  </w:sdt>
  <w:p w14:paraId="4556761F" w14:textId="77777777" w:rsidR="0080723E" w:rsidRPr="00FF7125" w:rsidRDefault="0080723E" w:rsidP="00054C41">
    <w:pPr>
      <w:pStyle w:val="Pta"/>
      <w:rPr>
        <w:sz w:val="24"/>
        <w:szCs w:val="24"/>
      </w:rPr>
    </w:pPr>
  </w:p>
  <w:p w14:paraId="20FE6A4A" w14:textId="77777777" w:rsidR="0080723E" w:rsidRDefault="008072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742E" w14:textId="77777777" w:rsidR="00717F63" w:rsidRDefault="00717F63" w:rsidP="00054C41">
      <w:pPr>
        <w:spacing w:after="0" w:line="240" w:lineRule="auto"/>
      </w:pPr>
      <w:r>
        <w:separator/>
      </w:r>
    </w:p>
  </w:footnote>
  <w:footnote w:type="continuationSeparator" w:id="0">
    <w:p w14:paraId="0325EBCB" w14:textId="77777777" w:rsidR="00717F63" w:rsidRDefault="00717F63" w:rsidP="00054C41">
      <w:pPr>
        <w:spacing w:after="0" w:line="240" w:lineRule="auto"/>
      </w:pPr>
      <w:r>
        <w:continuationSeparator/>
      </w:r>
    </w:p>
  </w:footnote>
  <w:footnote w:id="1">
    <w:p w14:paraId="6CC680CB" w14:textId="6BF8CDC6" w:rsidR="0080723E" w:rsidRPr="000A6B7F" w:rsidRDefault="0080723E"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80723E" w:rsidRPr="00804BC8" w:rsidRDefault="0080723E"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80723E" w:rsidRDefault="0080723E" w:rsidP="00512BA7">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7CD41B6D"/>
    <w:multiLevelType w:val="hybridMultilevel"/>
    <w:tmpl w:val="B5D08F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41330781">
    <w:abstractNumId w:val="1"/>
  </w:num>
  <w:num w:numId="2" w16cid:durableId="1664384563">
    <w:abstractNumId w:val="9"/>
  </w:num>
  <w:num w:numId="3" w16cid:durableId="312487615">
    <w:abstractNumId w:val="10"/>
  </w:num>
  <w:num w:numId="4" w16cid:durableId="921792766">
    <w:abstractNumId w:val="8"/>
  </w:num>
  <w:num w:numId="5" w16cid:durableId="841625061">
    <w:abstractNumId w:val="6"/>
  </w:num>
  <w:num w:numId="6" w16cid:durableId="158811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4156092">
    <w:abstractNumId w:val="10"/>
  </w:num>
  <w:num w:numId="8" w16cid:durableId="1225529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6955868">
    <w:abstractNumId w:val="7"/>
  </w:num>
  <w:num w:numId="10" w16cid:durableId="516232728">
    <w:abstractNumId w:val="3"/>
  </w:num>
  <w:num w:numId="11" w16cid:durableId="1363090763">
    <w:abstractNumId w:val="4"/>
  </w:num>
  <w:num w:numId="12" w16cid:durableId="1265187255">
    <w:abstractNumId w:val="0"/>
  </w:num>
  <w:num w:numId="13" w16cid:durableId="553589245">
    <w:abstractNumId w:val="11"/>
  </w:num>
  <w:num w:numId="14" w16cid:durableId="330960202">
    <w:abstractNumId w:val="5"/>
  </w:num>
  <w:num w:numId="15" w16cid:durableId="47993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21473"/>
    <w:rsid w:val="0002425A"/>
    <w:rsid w:val="00024EE4"/>
    <w:rsid w:val="00044B69"/>
    <w:rsid w:val="00047C70"/>
    <w:rsid w:val="00050AAB"/>
    <w:rsid w:val="00054A53"/>
    <w:rsid w:val="00054C41"/>
    <w:rsid w:val="00060DA1"/>
    <w:rsid w:val="00061E85"/>
    <w:rsid w:val="000820E0"/>
    <w:rsid w:val="00091A43"/>
    <w:rsid w:val="0009490E"/>
    <w:rsid w:val="000A6B7F"/>
    <w:rsid w:val="000C5419"/>
    <w:rsid w:val="000C5E9A"/>
    <w:rsid w:val="000D15F0"/>
    <w:rsid w:val="0011003B"/>
    <w:rsid w:val="001133DA"/>
    <w:rsid w:val="00126A2B"/>
    <w:rsid w:val="00130CFC"/>
    <w:rsid w:val="00142154"/>
    <w:rsid w:val="001476A4"/>
    <w:rsid w:val="00162C6C"/>
    <w:rsid w:val="0016512E"/>
    <w:rsid w:val="0018715C"/>
    <w:rsid w:val="001A1561"/>
    <w:rsid w:val="001B4C03"/>
    <w:rsid w:val="001C7B91"/>
    <w:rsid w:val="001D1083"/>
    <w:rsid w:val="001D3FA0"/>
    <w:rsid w:val="001E24E8"/>
    <w:rsid w:val="001E53CB"/>
    <w:rsid w:val="00207F43"/>
    <w:rsid w:val="002232D3"/>
    <w:rsid w:val="00225A83"/>
    <w:rsid w:val="00231B8F"/>
    <w:rsid w:val="0026550B"/>
    <w:rsid w:val="00270EA5"/>
    <w:rsid w:val="002712B9"/>
    <w:rsid w:val="00284B8C"/>
    <w:rsid w:val="0029483F"/>
    <w:rsid w:val="002B4015"/>
    <w:rsid w:val="002C2FC0"/>
    <w:rsid w:val="002F5813"/>
    <w:rsid w:val="00302A17"/>
    <w:rsid w:val="00314D25"/>
    <w:rsid w:val="00315BE2"/>
    <w:rsid w:val="003322EE"/>
    <w:rsid w:val="00335784"/>
    <w:rsid w:val="00337630"/>
    <w:rsid w:val="00340CFD"/>
    <w:rsid w:val="003413D5"/>
    <w:rsid w:val="00342621"/>
    <w:rsid w:val="00357F22"/>
    <w:rsid w:val="0036748D"/>
    <w:rsid w:val="00376039"/>
    <w:rsid w:val="0038255E"/>
    <w:rsid w:val="00391648"/>
    <w:rsid w:val="0039304E"/>
    <w:rsid w:val="0039334E"/>
    <w:rsid w:val="00394AD2"/>
    <w:rsid w:val="003A02AF"/>
    <w:rsid w:val="003A3124"/>
    <w:rsid w:val="003A686F"/>
    <w:rsid w:val="003B24CE"/>
    <w:rsid w:val="003C0316"/>
    <w:rsid w:val="003E58B8"/>
    <w:rsid w:val="003F06D7"/>
    <w:rsid w:val="00400224"/>
    <w:rsid w:val="00400BA5"/>
    <w:rsid w:val="00410E62"/>
    <w:rsid w:val="00414FA7"/>
    <w:rsid w:val="00420090"/>
    <w:rsid w:val="004239D1"/>
    <w:rsid w:val="00445638"/>
    <w:rsid w:val="00446432"/>
    <w:rsid w:val="00446512"/>
    <w:rsid w:val="00466D7A"/>
    <w:rsid w:val="0048237B"/>
    <w:rsid w:val="00484D16"/>
    <w:rsid w:val="00491853"/>
    <w:rsid w:val="004A14CD"/>
    <w:rsid w:val="004A2C6B"/>
    <w:rsid w:val="004D20CB"/>
    <w:rsid w:val="004D5473"/>
    <w:rsid w:val="004D65B2"/>
    <w:rsid w:val="004D681D"/>
    <w:rsid w:val="004E2324"/>
    <w:rsid w:val="004E3C94"/>
    <w:rsid w:val="004F63E6"/>
    <w:rsid w:val="005103DA"/>
    <w:rsid w:val="00511F8F"/>
    <w:rsid w:val="00512BA7"/>
    <w:rsid w:val="00515726"/>
    <w:rsid w:val="00562527"/>
    <w:rsid w:val="00562A1E"/>
    <w:rsid w:val="00563427"/>
    <w:rsid w:val="00581EB9"/>
    <w:rsid w:val="005B4E6E"/>
    <w:rsid w:val="005B56E4"/>
    <w:rsid w:val="005C795C"/>
    <w:rsid w:val="005D0E50"/>
    <w:rsid w:val="005D39D8"/>
    <w:rsid w:val="005E7A2F"/>
    <w:rsid w:val="0061097B"/>
    <w:rsid w:val="0061612F"/>
    <w:rsid w:val="006177C8"/>
    <w:rsid w:val="0062600A"/>
    <w:rsid w:val="0063777D"/>
    <w:rsid w:val="00640E3F"/>
    <w:rsid w:val="00643358"/>
    <w:rsid w:val="00646084"/>
    <w:rsid w:val="006564C3"/>
    <w:rsid w:val="006578CB"/>
    <w:rsid w:val="006A4E85"/>
    <w:rsid w:val="006A60C0"/>
    <w:rsid w:val="006A712F"/>
    <w:rsid w:val="006B5D74"/>
    <w:rsid w:val="006C25BE"/>
    <w:rsid w:val="006D3DA8"/>
    <w:rsid w:val="006D7AD8"/>
    <w:rsid w:val="006F1D57"/>
    <w:rsid w:val="0070364C"/>
    <w:rsid w:val="00710EDF"/>
    <w:rsid w:val="00717F63"/>
    <w:rsid w:val="0072221D"/>
    <w:rsid w:val="0072357C"/>
    <w:rsid w:val="007259CB"/>
    <w:rsid w:val="00726031"/>
    <w:rsid w:val="00742472"/>
    <w:rsid w:val="00751DA9"/>
    <w:rsid w:val="00755E69"/>
    <w:rsid w:val="007648EE"/>
    <w:rsid w:val="0077106D"/>
    <w:rsid w:val="00780ACC"/>
    <w:rsid w:val="00787A11"/>
    <w:rsid w:val="00797B40"/>
    <w:rsid w:val="007A0C9D"/>
    <w:rsid w:val="007B40FB"/>
    <w:rsid w:val="007B62AF"/>
    <w:rsid w:val="007B6585"/>
    <w:rsid w:val="007C2563"/>
    <w:rsid w:val="007E24B2"/>
    <w:rsid w:val="007E2DA4"/>
    <w:rsid w:val="007E6815"/>
    <w:rsid w:val="007E7632"/>
    <w:rsid w:val="007F1C84"/>
    <w:rsid w:val="007F4579"/>
    <w:rsid w:val="007F46BA"/>
    <w:rsid w:val="00801596"/>
    <w:rsid w:val="008019D9"/>
    <w:rsid w:val="008025CA"/>
    <w:rsid w:val="00804BC8"/>
    <w:rsid w:val="00806E23"/>
    <w:rsid w:val="0080723E"/>
    <w:rsid w:val="00807981"/>
    <w:rsid w:val="00823F5A"/>
    <w:rsid w:val="00833334"/>
    <w:rsid w:val="00845D3B"/>
    <w:rsid w:val="00863340"/>
    <w:rsid w:val="008634E9"/>
    <w:rsid w:val="008801B5"/>
    <w:rsid w:val="00880578"/>
    <w:rsid w:val="00882407"/>
    <w:rsid w:val="0088570A"/>
    <w:rsid w:val="008920C3"/>
    <w:rsid w:val="00894052"/>
    <w:rsid w:val="008A3ABF"/>
    <w:rsid w:val="008A7B87"/>
    <w:rsid w:val="008B4AA1"/>
    <w:rsid w:val="008C1C71"/>
    <w:rsid w:val="008E1713"/>
    <w:rsid w:val="008E1AD0"/>
    <w:rsid w:val="008E315F"/>
    <w:rsid w:val="008E6B82"/>
    <w:rsid w:val="008F6ADE"/>
    <w:rsid w:val="0091269B"/>
    <w:rsid w:val="00923C0C"/>
    <w:rsid w:val="0095170D"/>
    <w:rsid w:val="00952CF6"/>
    <w:rsid w:val="00960413"/>
    <w:rsid w:val="00971C37"/>
    <w:rsid w:val="00981995"/>
    <w:rsid w:val="00981C7F"/>
    <w:rsid w:val="00985515"/>
    <w:rsid w:val="00990813"/>
    <w:rsid w:val="0099544D"/>
    <w:rsid w:val="00997513"/>
    <w:rsid w:val="009A0E2C"/>
    <w:rsid w:val="009A4D56"/>
    <w:rsid w:val="009B1F04"/>
    <w:rsid w:val="009E09F7"/>
    <w:rsid w:val="009E1F89"/>
    <w:rsid w:val="009E2D5C"/>
    <w:rsid w:val="009E3E44"/>
    <w:rsid w:val="009F15B4"/>
    <w:rsid w:val="009F4175"/>
    <w:rsid w:val="009F66A4"/>
    <w:rsid w:val="009F6C80"/>
    <w:rsid w:val="00A000DA"/>
    <w:rsid w:val="00A00BAE"/>
    <w:rsid w:val="00A1736E"/>
    <w:rsid w:val="00A216DF"/>
    <w:rsid w:val="00A33F2C"/>
    <w:rsid w:val="00A50EE3"/>
    <w:rsid w:val="00A83E11"/>
    <w:rsid w:val="00A923BD"/>
    <w:rsid w:val="00A94A0F"/>
    <w:rsid w:val="00AA3C6D"/>
    <w:rsid w:val="00AB57C4"/>
    <w:rsid w:val="00B11CF5"/>
    <w:rsid w:val="00B209FA"/>
    <w:rsid w:val="00B21D1F"/>
    <w:rsid w:val="00B410BA"/>
    <w:rsid w:val="00B43D68"/>
    <w:rsid w:val="00B44A3A"/>
    <w:rsid w:val="00B52725"/>
    <w:rsid w:val="00B5600C"/>
    <w:rsid w:val="00B66E33"/>
    <w:rsid w:val="00B72FB1"/>
    <w:rsid w:val="00B953DA"/>
    <w:rsid w:val="00BA19B0"/>
    <w:rsid w:val="00BB3870"/>
    <w:rsid w:val="00BB45A7"/>
    <w:rsid w:val="00BC6D46"/>
    <w:rsid w:val="00BD06AD"/>
    <w:rsid w:val="00BD0EF7"/>
    <w:rsid w:val="00BD6778"/>
    <w:rsid w:val="00C01599"/>
    <w:rsid w:val="00C048D1"/>
    <w:rsid w:val="00C05563"/>
    <w:rsid w:val="00C11132"/>
    <w:rsid w:val="00C115B9"/>
    <w:rsid w:val="00C12FDD"/>
    <w:rsid w:val="00C145AA"/>
    <w:rsid w:val="00C14655"/>
    <w:rsid w:val="00C21399"/>
    <w:rsid w:val="00C32457"/>
    <w:rsid w:val="00C37D96"/>
    <w:rsid w:val="00C446E2"/>
    <w:rsid w:val="00C52A2E"/>
    <w:rsid w:val="00C535F5"/>
    <w:rsid w:val="00C560C4"/>
    <w:rsid w:val="00C61A50"/>
    <w:rsid w:val="00C66B5C"/>
    <w:rsid w:val="00C6748F"/>
    <w:rsid w:val="00C74337"/>
    <w:rsid w:val="00C75DC8"/>
    <w:rsid w:val="00C75E6F"/>
    <w:rsid w:val="00C9257A"/>
    <w:rsid w:val="00C929AE"/>
    <w:rsid w:val="00CA4344"/>
    <w:rsid w:val="00CA6348"/>
    <w:rsid w:val="00CB1232"/>
    <w:rsid w:val="00CB17A0"/>
    <w:rsid w:val="00CC3B7D"/>
    <w:rsid w:val="00CD5AE4"/>
    <w:rsid w:val="00CD5E86"/>
    <w:rsid w:val="00CE06BE"/>
    <w:rsid w:val="00CE3B21"/>
    <w:rsid w:val="00CF4D09"/>
    <w:rsid w:val="00D005F2"/>
    <w:rsid w:val="00D03A8E"/>
    <w:rsid w:val="00D114ED"/>
    <w:rsid w:val="00D3032C"/>
    <w:rsid w:val="00D31A3B"/>
    <w:rsid w:val="00D348A3"/>
    <w:rsid w:val="00D5309D"/>
    <w:rsid w:val="00D631FA"/>
    <w:rsid w:val="00D71064"/>
    <w:rsid w:val="00D811BB"/>
    <w:rsid w:val="00D82356"/>
    <w:rsid w:val="00D84EEE"/>
    <w:rsid w:val="00D90A61"/>
    <w:rsid w:val="00D90E62"/>
    <w:rsid w:val="00D946EF"/>
    <w:rsid w:val="00D95553"/>
    <w:rsid w:val="00DC28F8"/>
    <w:rsid w:val="00DC355F"/>
    <w:rsid w:val="00DD1E4C"/>
    <w:rsid w:val="00DE0A02"/>
    <w:rsid w:val="00DE331A"/>
    <w:rsid w:val="00DE6ACB"/>
    <w:rsid w:val="00DF02CE"/>
    <w:rsid w:val="00DF1462"/>
    <w:rsid w:val="00E030DA"/>
    <w:rsid w:val="00E03500"/>
    <w:rsid w:val="00E214C0"/>
    <w:rsid w:val="00E30D85"/>
    <w:rsid w:val="00E444EB"/>
    <w:rsid w:val="00E77A69"/>
    <w:rsid w:val="00E81A42"/>
    <w:rsid w:val="00E86C72"/>
    <w:rsid w:val="00E961E8"/>
    <w:rsid w:val="00E96244"/>
    <w:rsid w:val="00E96DE0"/>
    <w:rsid w:val="00EB2BEC"/>
    <w:rsid w:val="00EB74BF"/>
    <w:rsid w:val="00EC0704"/>
    <w:rsid w:val="00EC508B"/>
    <w:rsid w:val="00ED6B5D"/>
    <w:rsid w:val="00EE4C99"/>
    <w:rsid w:val="00F1362F"/>
    <w:rsid w:val="00F153D7"/>
    <w:rsid w:val="00F1599C"/>
    <w:rsid w:val="00F2433F"/>
    <w:rsid w:val="00F244DC"/>
    <w:rsid w:val="00F25118"/>
    <w:rsid w:val="00F332C8"/>
    <w:rsid w:val="00F378F4"/>
    <w:rsid w:val="00F47912"/>
    <w:rsid w:val="00F541B6"/>
    <w:rsid w:val="00F57702"/>
    <w:rsid w:val="00F61361"/>
    <w:rsid w:val="00F613E8"/>
    <w:rsid w:val="00F74D3C"/>
    <w:rsid w:val="00F74FC9"/>
    <w:rsid w:val="00F91F47"/>
    <w:rsid w:val="00FA4F36"/>
    <w:rsid w:val="00FA6FFE"/>
    <w:rsid w:val="00FC121B"/>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aliases w:val="body,Odsek zoznamu2"/>
    <w:basedOn w:val="Normlny"/>
    <w:link w:val="OdsekzoznamuChar"/>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customStyle="1" w:styleId="OdsekzoznamuChar">
    <w:name w:val="Odsek zoznamu Char"/>
    <w:aliases w:val="body Char,Odsek zoznamu2 Char"/>
    <w:basedOn w:val="Predvolenpsmoodseku"/>
    <w:link w:val="Odsekzoznamu"/>
    <w:uiPriority w:val="34"/>
    <w:locked/>
    <w:rsid w:val="00A923BD"/>
  </w:style>
  <w:style w:type="character" w:styleId="Vrazn">
    <w:name w:val="Strong"/>
    <w:basedOn w:val="Predvolenpsmoodseku"/>
    <w:uiPriority w:val="22"/>
    <w:qFormat/>
    <w:rsid w:val="00DC28F8"/>
    <w:rPr>
      <w:b/>
      <w:bCs/>
    </w:rPr>
  </w:style>
  <w:style w:type="character" w:styleId="Hypertextovprepojenie">
    <w:name w:val="Hyperlink"/>
    <w:basedOn w:val="Predvolenpsmoodseku"/>
    <w:uiPriority w:val="99"/>
    <w:semiHidden/>
    <w:unhideWhenUsed/>
    <w:rsid w:val="00DC28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89929855">
      <w:bodyDiv w:val="1"/>
      <w:marLeft w:val="0"/>
      <w:marRight w:val="0"/>
      <w:marTop w:val="0"/>
      <w:marBottom w:val="0"/>
      <w:divBdr>
        <w:top w:val="none" w:sz="0" w:space="0" w:color="auto"/>
        <w:left w:val="none" w:sz="0" w:space="0" w:color="auto"/>
        <w:bottom w:val="none" w:sz="0" w:space="0" w:color="auto"/>
        <w:right w:val="none" w:sz="0" w:space="0" w:color="auto"/>
      </w:divBdr>
    </w:div>
    <w:div w:id="213085670">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24983752">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789400550">
      <w:bodyDiv w:val="1"/>
      <w:marLeft w:val="0"/>
      <w:marRight w:val="0"/>
      <w:marTop w:val="0"/>
      <w:marBottom w:val="0"/>
      <w:divBdr>
        <w:top w:val="none" w:sz="0" w:space="0" w:color="auto"/>
        <w:left w:val="none" w:sz="0" w:space="0" w:color="auto"/>
        <w:bottom w:val="none" w:sz="0" w:space="0" w:color="auto"/>
        <w:right w:val="none" w:sz="0" w:space="0" w:color="auto"/>
      </w:divBdr>
      <w:divsChild>
        <w:div w:id="112402538">
          <w:marLeft w:val="0"/>
          <w:marRight w:val="0"/>
          <w:marTop w:val="0"/>
          <w:marBottom w:val="0"/>
          <w:divBdr>
            <w:top w:val="none" w:sz="0" w:space="0" w:color="auto"/>
            <w:left w:val="none" w:sz="0" w:space="0" w:color="auto"/>
            <w:bottom w:val="none" w:sz="0" w:space="0" w:color="auto"/>
            <w:right w:val="none" w:sz="0" w:space="0" w:color="auto"/>
          </w:divBdr>
          <w:divsChild>
            <w:div w:id="1586107237">
              <w:marLeft w:val="0"/>
              <w:marRight w:val="0"/>
              <w:marTop w:val="0"/>
              <w:marBottom w:val="0"/>
              <w:divBdr>
                <w:top w:val="none" w:sz="0" w:space="0" w:color="auto"/>
                <w:left w:val="none" w:sz="0" w:space="0" w:color="auto"/>
                <w:bottom w:val="none" w:sz="0" w:space="0" w:color="auto"/>
                <w:right w:val="none" w:sz="0" w:space="0" w:color="auto"/>
              </w:divBdr>
              <w:divsChild>
                <w:div w:id="1406142497">
                  <w:marLeft w:val="0"/>
                  <w:marRight w:val="0"/>
                  <w:marTop w:val="0"/>
                  <w:marBottom w:val="0"/>
                  <w:divBdr>
                    <w:top w:val="none" w:sz="0" w:space="0" w:color="auto"/>
                    <w:left w:val="none" w:sz="0" w:space="0" w:color="auto"/>
                    <w:bottom w:val="none" w:sz="0" w:space="0" w:color="auto"/>
                    <w:right w:val="none" w:sz="0" w:space="0" w:color="auto"/>
                  </w:divBdr>
                  <w:divsChild>
                    <w:div w:id="252593512">
                      <w:marLeft w:val="0"/>
                      <w:marRight w:val="0"/>
                      <w:marTop w:val="0"/>
                      <w:marBottom w:val="0"/>
                      <w:divBdr>
                        <w:top w:val="none" w:sz="0" w:space="0" w:color="auto"/>
                        <w:left w:val="none" w:sz="0" w:space="0" w:color="auto"/>
                        <w:bottom w:val="none" w:sz="0" w:space="0" w:color="auto"/>
                        <w:right w:val="none" w:sz="0" w:space="0" w:color="auto"/>
                      </w:divBdr>
                      <w:divsChild>
                        <w:div w:id="380327585">
                          <w:marLeft w:val="0"/>
                          <w:marRight w:val="0"/>
                          <w:marTop w:val="0"/>
                          <w:marBottom w:val="0"/>
                          <w:divBdr>
                            <w:top w:val="none" w:sz="0" w:space="0" w:color="auto"/>
                            <w:left w:val="none" w:sz="0" w:space="0" w:color="auto"/>
                            <w:bottom w:val="none" w:sz="0" w:space="0" w:color="auto"/>
                            <w:right w:val="none" w:sz="0" w:space="0" w:color="auto"/>
                          </w:divBdr>
                          <w:divsChild>
                            <w:div w:id="831457885">
                              <w:marLeft w:val="0"/>
                              <w:marRight w:val="0"/>
                              <w:marTop w:val="0"/>
                              <w:marBottom w:val="0"/>
                              <w:divBdr>
                                <w:top w:val="none" w:sz="0" w:space="0" w:color="auto"/>
                                <w:left w:val="none" w:sz="0" w:space="0" w:color="auto"/>
                                <w:bottom w:val="none" w:sz="0" w:space="0" w:color="auto"/>
                                <w:right w:val="none" w:sz="0" w:space="0" w:color="auto"/>
                              </w:divBdr>
                              <w:divsChild>
                                <w:div w:id="490803276">
                                  <w:marLeft w:val="0"/>
                                  <w:marRight w:val="0"/>
                                  <w:marTop w:val="0"/>
                                  <w:marBottom w:val="0"/>
                                  <w:divBdr>
                                    <w:top w:val="none" w:sz="0" w:space="0" w:color="auto"/>
                                    <w:left w:val="none" w:sz="0" w:space="0" w:color="auto"/>
                                    <w:bottom w:val="none" w:sz="0" w:space="0" w:color="auto"/>
                                    <w:right w:val="none" w:sz="0" w:space="0" w:color="auto"/>
                                  </w:divBdr>
                                  <w:divsChild>
                                    <w:div w:id="1140727420">
                                      <w:marLeft w:val="0"/>
                                      <w:marRight w:val="0"/>
                                      <w:marTop w:val="0"/>
                                      <w:marBottom w:val="0"/>
                                      <w:divBdr>
                                        <w:top w:val="none" w:sz="0" w:space="0" w:color="auto"/>
                                        <w:left w:val="none" w:sz="0" w:space="0" w:color="auto"/>
                                        <w:bottom w:val="none" w:sz="0" w:space="0" w:color="auto"/>
                                        <w:right w:val="none" w:sz="0" w:space="0" w:color="auto"/>
                                      </w:divBdr>
                                      <w:divsChild>
                                        <w:div w:id="717901708">
                                          <w:marLeft w:val="0"/>
                                          <w:marRight w:val="0"/>
                                          <w:marTop w:val="0"/>
                                          <w:marBottom w:val="0"/>
                                          <w:divBdr>
                                            <w:top w:val="none" w:sz="0" w:space="0" w:color="auto"/>
                                            <w:left w:val="none" w:sz="0" w:space="0" w:color="auto"/>
                                            <w:bottom w:val="none" w:sz="0" w:space="0" w:color="auto"/>
                                            <w:right w:val="none" w:sz="0" w:space="0" w:color="auto"/>
                                          </w:divBdr>
                                          <w:divsChild>
                                            <w:div w:id="3173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86463">
          <w:marLeft w:val="0"/>
          <w:marRight w:val="0"/>
          <w:marTop w:val="0"/>
          <w:marBottom w:val="0"/>
          <w:divBdr>
            <w:top w:val="none" w:sz="0" w:space="0" w:color="auto"/>
            <w:left w:val="none" w:sz="0" w:space="0" w:color="auto"/>
            <w:bottom w:val="none" w:sz="0" w:space="0" w:color="auto"/>
            <w:right w:val="none" w:sz="0" w:space="0" w:color="auto"/>
          </w:divBdr>
          <w:divsChild>
            <w:div w:id="804814410">
              <w:marLeft w:val="0"/>
              <w:marRight w:val="0"/>
              <w:marTop w:val="0"/>
              <w:marBottom w:val="0"/>
              <w:divBdr>
                <w:top w:val="none" w:sz="0" w:space="0" w:color="auto"/>
                <w:left w:val="none" w:sz="0" w:space="0" w:color="auto"/>
                <w:bottom w:val="none" w:sz="0" w:space="0" w:color="auto"/>
                <w:right w:val="none" w:sz="0" w:space="0" w:color="auto"/>
              </w:divBdr>
              <w:divsChild>
                <w:div w:id="124466508">
                  <w:marLeft w:val="0"/>
                  <w:marRight w:val="0"/>
                  <w:marTop w:val="0"/>
                  <w:marBottom w:val="0"/>
                  <w:divBdr>
                    <w:top w:val="none" w:sz="0" w:space="0" w:color="auto"/>
                    <w:left w:val="none" w:sz="0" w:space="0" w:color="auto"/>
                    <w:bottom w:val="none" w:sz="0" w:space="0" w:color="auto"/>
                    <w:right w:val="none" w:sz="0" w:space="0" w:color="auto"/>
                  </w:divBdr>
                  <w:divsChild>
                    <w:div w:id="527069192">
                      <w:marLeft w:val="0"/>
                      <w:marRight w:val="0"/>
                      <w:marTop w:val="0"/>
                      <w:marBottom w:val="0"/>
                      <w:divBdr>
                        <w:top w:val="none" w:sz="0" w:space="0" w:color="auto"/>
                        <w:left w:val="none" w:sz="0" w:space="0" w:color="auto"/>
                        <w:bottom w:val="none" w:sz="0" w:space="0" w:color="auto"/>
                        <w:right w:val="none" w:sz="0" w:space="0" w:color="auto"/>
                      </w:divBdr>
                      <w:divsChild>
                        <w:div w:id="1026716761">
                          <w:marLeft w:val="0"/>
                          <w:marRight w:val="0"/>
                          <w:marTop w:val="0"/>
                          <w:marBottom w:val="0"/>
                          <w:divBdr>
                            <w:top w:val="none" w:sz="0" w:space="0" w:color="auto"/>
                            <w:left w:val="none" w:sz="0" w:space="0" w:color="auto"/>
                            <w:bottom w:val="none" w:sz="0" w:space="0" w:color="auto"/>
                            <w:right w:val="none" w:sz="0" w:space="0" w:color="auto"/>
                          </w:divBdr>
                          <w:divsChild>
                            <w:div w:id="2088991337">
                              <w:marLeft w:val="0"/>
                              <w:marRight w:val="0"/>
                              <w:marTop w:val="0"/>
                              <w:marBottom w:val="0"/>
                              <w:divBdr>
                                <w:top w:val="none" w:sz="0" w:space="0" w:color="auto"/>
                                <w:left w:val="none" w:sz="0" w:space="0" w:color="auto"/>
                                <w:bottom w:val="none" w:sz="0" w:space="0" w:color="auto"/>
                                <w:right w:val="none" w:sz="0" w:space="0" w:color="auto"/>
                              </w:divBdr>
                              <w:divsChild>
                                <w:div w:id="242838892">
                                  <w:marLeft w:val="0"/>
                                  <w:marRight w:val="0"/>
                                  <w:marTop w:val="0"/>
                                  <w:marBottom w:val="0"/>
                                  <w:divBdr>
                                    <w:top w:val="none" w:sz="0" w:space="0" w:color="auto"/>
                                    <w:left w:val="none" w:sz="0" w:space="0" w:color="auto"/>
                                    <w:bottom w:val="none" w:sz="0" w:space="0" w:color="auto"/>
                                    <w:right w:val="none" w:sz="0" w:space="0" w:color="auto"/>
                                  </w:divBdr>
                                  <w:divsChild>
                                    <w:div w:id="558784005">
                                      <w:marLeft w:val="0"/>
                                      <w:marRight w:val="0"/>
                                      <w:marTop w:val="0"/>
                                      <w:marBottom w:val="0"/>
                                      <w:divBdr>
                                        <w:top w:val="none" w:sz="0" w:space="0" w:color="auto"/>
                                        <w:left w:val="none" w:sz="0" w:space="0" w:color="auto"/>
                                        <w:bottom w:val="none" w:sz="0" w:space="0" w:color="auto"/>
                                        <w:right w:val="none" w:sz="0" w:space="0" w:color="auto"/>
                                      </w:divBdr>
                                      <w:divsChild>
                                        <w:div w:id="1412239008">
                                          <w:marLeft w:val="0"/>
                                          <w:marRight w:val="0"/>
                                          <w:marTop w:val="0"/>
                                          <w:marBottom w:val="0"/>
                                          <w:divBdr>
                                            <w:top w:val="none" w:sz="0" w:space="0" w:color="auto"/>
                                            <w:left w:val="none" w:sz="0" w:space="0" w:color="auto"/>
                                            <w:bottom w:val="none" w:sz="0" w:space="0" w:color="auto"/>
                                            <w:right w:val="none" w:sz="0" w:space="0" w:color="auto"/>
                                          </w:divBdr>
                                          <w:divsChild>
                                            <w:div w:id="1115321321">
                                              <w:marLeft w:val="0"/>
                                              <w:marRight w:val="0"/>
                                              <w:marTop w:val="0"/>
                                              <w:marBottom w:val="0"/>
                                              <w:divBdr>
                                                <w:top w:val="none" w:sz="0" w:space="0" w:color="auto"/>
                                                <w:left w:val="none" w:sz="0" w:space="0" w:color="auto"/>
                                                <w:bottom w:val="none" w:sz="0" w:space="0" w:color="auto"/>
                                                <w:right w:val="none" w:sz="0" w:space="0" w:color="auto"/>
                                              </w:divBdr>
                                              <w:divsChild>
                                                <w:div w:id="439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0973094">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19352758">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228808310">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473018502">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898473865">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elegislativa/legislativne-procesy/SK/PI/2025/88"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C604BD9-ED3E-4FB2-B4DF-52B1D99DC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7</Pages>
  <Words>2471</Words>
  <Characters>14090</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Rozborilova Monika</cp:lastModifiedBy>
  <cp:revision>14</cp:revision>
  <dcterms:created xsi:type="dcterms:W3CDTF">2025-08-19T12:50:00Z</dcterms:created>
  <dcterms:modified xsi:type="dcterms:W3CDTF">2026-04-09T07:45:00Z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y fmtid="{D5CDD505-2E9C-101B-9397-08002B2CF9AE}" pid="153" name="GrammarlyDocumentId">
    <vt:lpwstr>af52dbed-c510-4743-af29-407be153d024</vt:lpwstr>
  </property>
</Properties>
</file>