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AF38" w14:textId="77777777"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14:paraId="0A8AF334" w14:textId="77777777"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14:paraId="0FA0CF09" w14:textId="0D52EFB0" w:rsidR="00231090" w:rsidRDefault="00D92888" w:rsidP="00231090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77</w:t>
      </w:r>
      <w:r w:rsidR="00231090">
        <w:rPr>
          <w:b/>
          <w:szCs w:val="24"/>
          <w:lang w:eastAsia="sk-SK"/>
        </w:rPr>
        <w:t>. schôdza výboru</w:t>
      </w:r>
    </w:p>
    <w:p w14:paraId="27334824" w14:textId="2136C42D" w:rsidR="00231090" w:rsidRDefault="00231090" w:rsidP="0023109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</w:t>
      </w:r>
      <w:r w:rsidR="00CD0178">
        <w:rPr>
          <w:szCs w:val="24"/>
          <w:lang w:eastAsia="sk-SK"/>
        </w:rPr>
        <w:t xml:space="preserve"> </w:t>
      </w:r>
      <w:r w:rsidR="00365ACF">
        <w:rPr>
          <w:szCs w:val="24"/>
          <w:lang w:eastAsia="sk-SK"/>
        </w:rPr>
        <w:t xml:space="preserve">     </w:t>
      </w:r>
      <w:r w:rsidR="00E879C6">
        <w:rPr>
          <w:szCs w:val="24"/>
          <w:lang w:eastAsia="sk-SK"/>
        </w:rPr>
        <w:t>Číslo: KNR-VOB-</w:t>
      </w:r>
      <w:r w:rsidR="0056771A">
        <w:rPr>
          <w:szCs w:val="24"/>
          <w:lang w:eastAsia="sk-SK"/>
        </w:rPr>
        <w:t>4370/2026-4</w:t>
      </w:r>
    </w:p>
    <w:p w14:paraId="75634592" w14:textId="77777777" w:rsidR="00231090" w:rsidRDefault="00231090" w:rsidP="00231090">
      <w:pPr>
        <w:spacing w:after="0" w:line="240" w:lineRule="auto"/>
        <w:rPr>
          <w:szCs w:val="24"/>
          <w:lang w:eastAsia="sk-SK"/>
        </w:rPr>
      </w:pPr>
    </w:p>
    <w:p w14:paraId="7C70F097" w14:textId="3D8C5564" w:rsidR="00231090" w:rsidRDefault="00D92888" w:rsidP="00231090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154</w:t>
      </w:r>
    </w:p>
    <w:p w14:paraId="13CAC91E" w14:textId="77777777" w:rsidR="00231090" w:rsidRDefault="00231090" w:rsidP="00231090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14:paraId="65924BE7" w14:textId="77777777"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14:paraId="3876CC1D" w14:textId="77777777"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14:paraId="40813D4A" w14:textId="452FC573" w:rsidR="00231090" w:rsidRDefault="00CD0178" w:rsidP="00231090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13</w:t>
      </w:r>
      <w:r w:rsidR="00231090">
        <w:rPr>
          <w:szCs w:val="24"/>
          <w:lang w:eastAsia="sk-SK"/>
        </w:rPr>
        <w:t xml:space="preserve">. </w:t>
      </w:r>
      <w:r w:rsidR="00D92888">
        <w:rPr>
          <w:szCs w:val="24"/>
          <w:lang w:eastAsia="sk-SK"/>
        </w:rPr>
        <w:t>apríla</w:t>
      </w:r>
      <w:r w:rsidR="008E1862">
        <w:rPr>
          <w:szCs w:val="24"/>
          <w:lang w:eastAsia="sk-SK"/>
        </w:rPr>
        <w:t xml:space="preserve"> 202</w:t>
      </w:r>
      <w:r w:rsidR="00D92888">
        <w:rPr>
          <w:szCs w:val="24"/>
          <w:lang w:eastAsia="sk-SK"/>
        </w:rPr>
        <w:t>6</w:t>
      </w:r>
    </w:p>
    <w:p w14:paraId="39192809" w14:textId="77777777" w:rsidR="00F93E52" w:rsidRDefault="00F93E52" w:rsidP="00231090">
      <w:pPr>
        <w:spacing w:after="0" w:line="240" w:lineRule="auto"/>
        <w:ind w:left="360"/>
        <w:jc w:val="right"/>
        <w:rPr>
          <w:szCs w:val="24"/>
          <w:lang w:eastAsia="sk-SK"/>
        </w:rPr>
      </w:pPr>
    </w:p>
    <w:p w14:paraId="1521A72E" w14:textId="03278878" w:rsidR="008E1862" w:rsidRPr="00B9242B" w:rsidRDefault="008A7F41" w:rsidP="00D107A5">
      <w:pPr>
        <w:spacing w:after="0" w:line="240" w:lineRule="auto"/>
        <w:contextualSpacing/>
        <w:jc w:val="both"/>
        <w:rPr>
          <w:bCs/>
          <w:color w:val="000000" w:themeColor="text1"/>
          <w:szCs w:val="24"/>
        </w:rPr>
      </w:pPr>
      <w:r>
        <w:rPr>
          <w:rFonts w:cs="Arial"/>
          <w:noProof/>
        </w:rPr>
        <w:t xml:space="preserve">Výbor Národnej rady Slovenskej republiky pre obranu a bezpečnosť prerokoval </w:t>
      </w:r>
      <w:r w:rsidR="003B610A" w:rsidRPr="003B610A">
        <w:rPr>
          <w:rFonts w:cs="Arial"/>
          <w:noProof/>
        </w:rPr>
        <w:t>vládny návrh zákona,</w:t>
      </w:r>
      <w:r w:rsidR="003B610A" w:rsidRPr="003B610A">
        <w:rPr>
          <w:sz w:val="28"/>
        </w:rPr>
        <w:t xml:space="preserve"> </w:t>
      </w:r>
      <w:r w:rsidR="003B610A" w:rsidRPr="003B610A">
        <w:rPr>
          <w:rFonts w:cs="Arial"/>
          <w:noProof/>
        </w:rPr>
        <w:t xml:space="preserve">ktorým sa </w:t>
      </w:r>
      <w:r w:rsidR="00B9242B" w:rsidRPr="00E575FC">
        <w:rPr>
          <w:bCs/>
          <w:color w:val="000000" w:themeColor="text1"/>
          <w:szCs w:val="24"/>
        </w:rPr>
        <w:t>menia a dopĺňajú niektoré zákony v súvislosti s nepoistenými vozidlam</w:t>
      </w:r>
      <w:r w:rsidR="00B9242B">
        <w:rPr>
          <w:bCs/>
          <w:color w:val="000000" w:themeColor="text1"/>
          <w:szCs w:val="24"/>
        </w:rPr>
        <w:t xml:space="preserve">i </w:t>
      </w:r>
      <w:r w:rsidR="00B9242B" w:rsidRPr="0056771A">
        <w:rPr>
          <w:b/>
          <w:bCs/>
          <w:color w:val="000000" w:themeColor="text1"/>
          <w:szCs w:val="24"/>
        </w:rPr>
        <w:t>(tlač 1141)</w:t>
      </w:r>
      <w:r w:rsidR="00B9242B">
        <w:rPr>
          <w:bCs/>
          <w:color w:val="000000" w:themeColor="text1"/>
          <w:szCs w:val="24"/>
        </w:rPr>
        <w:t xml:space="preserve"> </w:t>
      </w:r>
      <w:r w:rsidR="008E1862">
        <w:rPr>
          <w:rFonts w:cs="Arial"/>
          <w:noProof/>
        </w:rPr>
        <w:t>a</w:t>
      </w:r>
    </w:p>
    <w:p w14:paraId="4717553F" w14:textId="77777777" w:rsidR="00F93E52" w:rsidRPr="00231090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14:paraId="652E1AF1" w14:textId="77777777"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14:paraId="34CC6D36" w14:textId="77777777"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14:paraId="21868C68" w14:textId="4899A81C" w:rsidR="008E1862" w:rsidRPr="008E1862" w:rsidRDefault="00F211DC" w:rsidP="008E1862">
      <w:pPr>
        <w:pStyle w:val="Odsekzoznamu"/>
        <w:spacing w:after="0" w:line="240" w:lineRule="auto"/>
        <w:jc w:val="both"/>
        <w:rPr>
          <w:sz w:val="28"/>
          <w:szCs w:val="24"/>
          <w:lang w:eastAsia="sk-SK"/>
        </w:rPr>
      </w:pPr>
      <w:r>
        <w:rPr>
          <w:rFonts w:cs="Arial"/>
          <w:noProof/>
        </w:rPr>
        <w:t xml:space="preserve">      </w:t>
      </w:r>
      <w:r w:rsidR="008E1862">
        <w:rPr>
          <w:rFonts w:cs="Arial"/>
          <w:noProof/>
        </w:rPr>
        <w:t xml:space="preserve">s </w:t>
      </w:r>
      <w:r w:rsidR="003B610A" w:rsidRPr="003B610A">
        <w:rPr>
          <w:rFonts w:cs="Arial"/>
          <w:noProof/>
        </w:rPr>
        <w:t>vládny</w:t>
      </w:r>
      <w:r w:rsidR="003B610A">
        <w:rPr>
          <w:rFonts w:cs="Arial"/>
          <w:noProof/>
        </w:rPr>
        <w:t>m</w:t>
      </w:r>
      <w:r w:rsidR="003B610A" w:rsidRPr="003B610A">
        <w:rPr>
          <w:rFonts w:cs="Arial"/>
          <w:noProof/>
        </w:rPr>
        <w:t xml:space="preserve"> návrh</w:t>
      </w:r>
      <w:r w:rsidR="003B610A">
        <w:rPr>
          <w:rFonts w:cs="Arial"/>
          <w:noProof/>
        </w:rPr>
        <w:t>om</w:t>
      </w:r>
      <w:r w:rsidR="003B610A" w:rsidRPr="003B610A">
        <w:rPr>
          <w:rFonts w:cs="Arial"/>
          <w:noProof/>
        </w:rPr>
        <w:t xml:space="preserve"> zákona,</w:t>
      </w:r>
      <w:r w:rsidR="003B610A" w:rsidRPr="003B610A">
        <w:rPr>
          <w:sz w:val="28"/>
        </w:rPr>
        <w:t xml:space="preserve"> </w:t>
      </w:r>
      <w:r w:rsidR="003B610A" w:rsidRPr="003B610A">
        <w:rPr>
          <w:rFonts w:cs="Arial"/>
          <w:noProof/>
        </w:rPr>
        <w:t xml:space="preserve">ktorým sa </w:t>
      </w:r>
      <w:r w:rsidR="00B9242B" w:rsidRPr="003B610A">
        <w:rPr>
          <w:rFonts w:cs="Arial"/>
          <w:noProof/>
        </w:rPr>
        <w:t xml:space="preserve">ktorým sa </w:t>
      </w:r>
      <w:r w:rsidR="00B9242B" w:rsidRPr="00E575FC">
        <w:rPr>
          <w:bCs/>
          <w:color w:val="000000" w:themeColor="text1"/>
          <w:szCs w:val="24"/>
        </w:rPr>
        <w:t>menia a dopĺňajú niektoré zákony v súvislosti s nepoistenými vozidlam</w:t>
      </w:r>
      <w:r w:rsidR="00B9242B">
        <w:rPr>
          <w:bCs/>
          <w:color w:val="000000" w:themeColor="text1"/>
          <w:szCs w:val="24"/>
        </w:rPr>
        <w:t xml:space="preserve">i </w:t>
      </w:r>
      <w:r w:rsidR="00B9242B" w:rsidRPr="0056771A">
        <w:rPr>
          <w:b/>
          <w:bCs/>
          <w:color w:val="000000" w:themeColor="text1"/>
          <w:szCs w:val="24"/>
        </w:rPr>
        <w:t>(tlač 1141)</w:t>
      </w:r>
      <w:r w:rsidR="003B610A" w:rsidRPr="00A65BC5">
        <w:rPr>
          <w:b/>
        </w:rPr>
        <w:t>;</w:t>
      </w:r>
    </w:p>
    <w:p w14:paraId="41C538D0" w14:textId="77777777"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14:paraId="462164E5" w14:textId="77777777" w:rsidR="002E206A" w:rsidRDefault="002E206A" w:rsidP="00F93E52">
      <w:pPr>
        <w:spacing w:after="0" w:line="240" w:lineRule="auto"/>
        <w:jc w:val="both"/>
        <w:rPr>
          <w:szCs w:val="24"/>
          <w:lang w:eastAsia="sk-SK"/>
        </w:rPr>
      </w:pPr>
    </w:p>
    <w:p w14:paraId="0A287D29" w14:textId="77777777"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14:paraId="4E564AD0" w14:textId="77777777"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14:paraId="5F80DAE3" w14:textId="77777777"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14:paraId="6D5A21AF" w14:textId="13CAC678" w:rsidR="00124A08" w:rsidRPr="005215DE" w:rsidRDefault="00BA0B63" w:rsidP="00124A08">
      <w:pPr>
        <w:jc w:val="both"/>
        <w:rPr>
          <w:color w:val="000000" w:themeColor="text1"/>
        </w:rPr>
      </w:pPr>
      <w:r>
        <w:rPr>
          <w:szCs w:val="24"/>
          <w:lang w:eastAsia="sk-SK"/>
        </w:rPr>
        <w:t xml:space="preserve">       </w:t>
      </w:r>
      <w:r w:rsidR="00BB3F1F">
        <w:rPr>
          <w:szCs w:val="24"/>
          <w:lang w:eastAsia="sk-SK"/>
        </w:rPr>
        <w:t xml:space="preserve">            </w:t>
      </w:r>
      <w:r w:rsidR="003B610A" w:rsidRPr="003B610A">
        <w:rPr>
          <w:rFonts w:cs="Arial"/>
          <w:noProof/>
        </w:rPr>
        <w:t>vládny návrh zákona,</w:t>
      </w:r>
      <w:r w:rsidR="003B610A" w:rsidRPr="003B610A">
        <w:rPr>
          <w:sz w:val="28"/>
        </w:rPr>
        <w:t xml:space="preserve"> </w:t>
      </w:r>
      <w:r w:rsidR="003B610A" w:rsidRPr="003B610A">
        <w:rPr>
          <w:rFonts w:cs="Arial"/>
          <w:noProof/>
        </w:rPr>
        <w:t xml:space="preserve">ktorým sa </w:t>
      </w:r>
      <w:r w:rsidR="00B9242B" w:rsidRPr="003B610A">
        <w:rPr>
          <w:rFonts w:cs="Arial"/>
          <w:noProof/>
        </w:rPr>
        <w:t xml:space="preserve">ktorým sa </w:t>
      </w:r>
      <w:r w:rsidR="00B9242B" w:rsidRPr="00E575FC">
        <w:rPr>
          <w:bCs/>
          <w:color w:val="000000" w:themeColor="text1"/>
          <w:szCs w:val="24"/>
        </w:rPr>
        <w:t>menia a dopĺňajú niektoré zákony v súvislosti s nepoistenými vozidlam</w:t>
      </w:r>
      <w:r w:rsidR="00B9242B">
        <w:rPr>
          <w:bCs/>
          <w:color w:val="000000" w:themeColor="text1"/>
          <w:szCs w:val="24"/>
        </w:rPr>
        <w:t xml:space="preserve">i </w:t>
      </w:r>
      <w:r w:rsidR="00B9242B" w:rsidRPr="0056771A">
        <w:rPr>
          <w:b/>
          <w:bCs/>
          <w:color w:val="000000" w:themeColor="text1"/>
          <w:szCs w:val="24"/>
        </w:rPr>
        <w:t>(tlač 1141)</w:t>
      </w:r>
      <w:r w:rsidR="00B9242B">
        <w:rPr>
          <w:bCs/>
          <w:color w:val="000000" w:themeColor="text1"/>
          <w:szCs w:val="24"/>
        </w:rPr>
        <w:t xml:space="preserve"> </w:t>
      </w:r>
      <w:r w:rsidR="0048576A" w:rsidRPr="001B2F9C">
        <w:rPr>
          <w:rFonts w:cs="Arial"/>
          <w:b/>
          <w:szCs w:val="24"/>
        </w:rPr>
        <w:t>schváliť</w:t>
      </w:r>
      <w:r w:rsidR="0048576A">
        <w:rPr>
          <w:rFonts w:cs="Arial"/>
          <w:b/>
          <w:szCs w:val="24"/>
        </w:rPr>
        <w:t xml:space="preserve"> </w:t>
      </w:r>
      <w:r w:rsidR="0048576A" w:rsidRPr="00186C49">
        <w:rPr>
          <w:rFonts w:cs="Arial"/>
          <w:b/>
          <w:szCs w:val="24"/>
        </w:rPr>
        <w:t>s pozmeňujúcimi a doplňujúcimi návrhmi</w:t>
      </w:r>
      <w:r w:rsidR="0048576A">
        <w:rPr>
          <w:rFonts w:cs="Arial"/>
          <w:szCs w:val="24"/>
        </w:rPr>
        <w:t xml:space="preserve"> </w:t>
      </w:r>
      <w:r w:rsidR="00124A08" w:rsidRPr="0048576A">
        <w:rPr>
          <w:rFonts w:cs="Arial"/>
          <w:noProof/>
          <w:color w:val="000000" w:themeColor="text1"/>
        </w:rPr>
        <w:t>uvedenými v prílohe tohto uznesenia</w:t>
      </w:r>
      <w:r w:rsidR="00505D02" w:rsidRPr="00A65BC5">
        <w:rPr>
          <w:b/>
        </w:rPr>
        <w:t>;</w:t>
      </w:r>
    </w:p>
    <w:p w14:paraId="35CB3401" w14:textId="77777777" w:rsidR="002E206A" w:rsidRDefault="002E206A" w:rsidP="00F93E52">
      <w:pPr>
        <w:spacing w:after="0" w:line="240" w:lineRule="auto"/>
        <w:jc w:val="both"/>
        <w:rPr>
          <w:szCs w:val="24"/>
          <w:lang w:eastAsia="sk-SK"/>
        </w:rPr>
      </w:pPr>
    </w:p>
    <w:p w14:paraId="4F96E6E6" w14:textId="77777777"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14:paraId="6B24EBE8" w14:textId="77777777"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14:paraId="027B01C5" w14:textId="77777777"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14:paraId="43FF97FE" w14:textId="6D483974" w:rsidR="005964B7" w:rsidRPr="00B35963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B35963">
        <w:rPr>
          <w:szCs w:val="24"/>
          <w:lang w:eastAsia="sk-SK"/>
        </w:rPr>
        <w:t>informovať gestorský Výbor Národnej rady Slovenskej r</w:t>
      </w:r>
      <w:r>
        <w:rPr>
          <w:szCs w:val="24"/>
          <w:lang w:eastAsia="sk-SK"/>
        </w:rPr>
        <w:t>epubliky</w:t>
      </w:r>
      <w:r w:rsidR="00B9242B">
        <w:rPr>
          <w:szCs w:val="24"/>
          <w:lang w:eastAsia="sk-SK"/>
        </w:rPr>
        <w:t xml:space="preserve"> pre financie a rozpočet</w:t>
      </w:r>
      <w:r>
        <w:rPr>
          <w:szCs w:val="24"/>
          <w:lang w:eastAsia="sk-SK"/>
        </w:rPr>
        <w:t xml:space="preserve"> o výsledku</w:t>
      </w:r>
      <w:r w:rsidRPr="00B35963">
        <w:rPr>
          <w:szCs w:val="24"/>
          <w:lang w:eastAsia="sk-SK"/>
        </w:rPr>
        <w:t xml:space="preserve"> p</w:t>
      </w:r>
      <w:r>
        <w:rPr>
          <w:szCs w:val="24"/>
          <w:lang w:eastAsia="sk-SK"/>
        </w:rPr>
        <w:t>rerokovania  uvedeného návrhu</w:t>
      </w:r>
      <w:r w:rsidRPr="00B35963">
        <w:rPr>
          <w:szCs w:val="24"/>
          <w:lang w:eastAsia="sk-SK"/>
        </w:rPr>
        <w:t xml:space="preserve"> vo výbore.</w:t>
      </w:r>
    </w:p>
    <w:p w14:paraId="3F76B24F" w14:textId="77777777"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47A352AC" w14:textId="5B365F2F" w:rsidR="00093929" w:rsidRDefault="000415EB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</w:rPr>
        <w:t xml:space="preserve">       </w:t>
      </w:r>
      <w:r w:rsidR="00DF3F7F">
        <w:rPr>
          <w:b/>
          <w:sz w:val="28"/>
          <w:szCs w:val="28"/>
        </w:rPr>
        <w:t xml:space="preserve"> </w:t>
      </w:r>
      <w:r w:rsidR="0037772C">
        <w:rPr>
          <w:b/>
          <w:sz w:val="28"/>
          <w:szCs w:val="28"/>
        </w:rPr>
        <w:t xml:space="preserve"> </w:t>
      </w:r>
      <w:r w:rsidR="00DF3F7F">
        <w:rPr>
          <w:b/>
          <w:sz w:val="28"/>
          <w:szCs w:val="28"/>
        </w:rPr>
        <w:t xml:space="preserve"> </w:t>
      </w:r>
      <w:r w:rsidR="00093929">
        <w:rPr>
          <w:b/>
          <w:sz w:val="28"/>
          <w:szCs w:val="28"/>
          <w:lang w:eastAsia="sk-SK"/>
        </w:rPr>
        <w:t>Richard Glück</w:t>
      </w:r>
      <w:r w:rsidR="00327427">
        <w:rPr>
          <w:b/>
          <w:sz w:val="28"/>
          <w:szCs w:val="28"/>
          <w:lang w:eastAsia="sk-SK"/>
        </w:rPr>
        <w:t>, v.r.</w:t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  <w:t xml:space="preserve">                  </w:t>
      </w:r>
      <w:r w:rsidR="00824ABB">
        <w:rPr>
          <w:szCs w:val="24"/>
          <w:lang w:eastAsia="sk-SK"/>
        </w:rPr>
        <w:t xml:space="preserve">  </w:t>
      </w:r>
      <w:r w:rsidR="00093929">
        <w:rPr>
          <w:szCs w:val="24"/>
          <w:lang w:eastAsia="sk-SK"/>
        </w:rPr>
        <w:t>predseda výboru</w:t>
      </w:r>
    </w:p>
    <w:p w14:paraId="5FA75F62" w14:textId="2F393E2B"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327427">
        <w:rPr>
          <w:b/>
          <w:sz w:val="28"/>
          <w:szCs w:val="28"/>
          <w:lang w:eastAsia="sk-SK"/>
        </w:rPr>
        <w:t>, v.r.</w:t>
      </w:r>
    </w:p>
    <w:p w14:paraId="330316B5" w14:textId="77777777"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14:paraId="188AEB02" w14:textId="77777777"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14:paraId="2466699F" w14:textId="7AC4D2B2"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327427">
        <w:rPr>
          <w:b/>
          <w:sz w:val="28"/>
          <w:szCs w:val="28"/>
          <w:lang w:eastAsia="sk-SK"/>
        </w:rPr>
        <w:t>, v.r.</w:t>
      </w:r>
      <w:r w:rsidR="008E1862">
        <w:rPr>
          <w:b/>
          <w:sz w:val="28"/>
          <w:szCs w:val="28"/>
          <w:lang w:eastAsia="sk-SK"/>
        </w:rPr>
        <w:t xml:space="preserve"> </w:t>
      </w:r>
    </w:p>
    <w:p w14:paraId="07EEAD97" w14:textId="77777777" w:rsidR="00093929" w:rsidRDefault="00093929" w:rsidP="00093929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overovateľ </w:t>
      </w:r>
    </w:p>
    <w:p w14:paraId="6A862F80" w14:textId="77777777" w:rsidR="000E30E2" w:rsidRDefault="00F94890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 w:val="22"/>
          <w:lang w:eastAsia="sk-SK"/>
        </w:rPr>
      </w:pPr>
      <w:r>
        <w:rPr>
          <w:sz w:val="22"/>
          <w:lang w:eastAsia="sk-SK"/>
        </w:rPr>
        <w:t xml:space="preserve">                                                                                                                         </w:t>
      </w:r>
      <w:r w:rsidR="008F514A">
        <w:rPr>
          <w:sz w:val="22"/>
          <w:lang w:eastAsia="sk-SK"/>
        </w:rPr>
        <w:t xml:space="preserve">            </w:t>
      </w:r>
    </w:p>
    <w:p w14:paraId="38D943CD" w14:textId="77777777"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14:paraId="020AE472" w14:textId="77777777" w:rsidR="00124A08" w:rsidRDefault="00124A08" w:rsidP="000E30E2">
      <w:pPr>
        <w:spacing w:after="0" w:line="240" w:lineRule="auto"/>
        <w:jc w:val="right"/>
        <w:rPr>
          <w:sz w:val="22"/>
          <w:lang w:eastAsia="sk-SK"/>
        </w:rPr>
      </w:pPr>
    </w:p>
    <w:p w14:paraId="1D5429E9" w14:textId="77777777" w:rsidR="00B9242B" w:rsidRDefault="00B9242B" w:rsidP="0056771A">
      <w:pPr>
        <w:jc w:val="right"/>
        <w:rPr>
          <w:sz w:val="22"/>
        </w:rPr>
      </w:pPr>
    </w:p>
    <w:p w14:paraId="4DE5E587" w14:textId="77777777" w:rsidR="00B9242B" w:rsidRDefault="00B9242B" w:rsidP="0056771A">
      <w:pPr>
        <w:jc w:val="right"/>
        <w:rPr>
          <w:sz w:val="22"/>
        </w:rPr>
      </w:pPr>
    </w:p>
    <w:p w14:paraId="31E335AA" w14:textId="77777777" w:rsidR="00D107A5" w:rsidRDefault="00D107A5" w:rsidP="0056771A">
      <w:pPr>
        <w:jc w:val="right"/>
        <w:rPr>
          <w:sz w:val="22"/>
        </w:rPr>
      </w:pPr>
    </w:p>
    <w:p w14:paraId="2174E9CC" w14:textId="5EA3182C" w:rsidR="00124A08" w:rsidRPr="0056771A" w:rsidRDefault="00351DC0" w:rsidP="0056771A">
      <w:pPr>
        <w:jc w:val="right"/>
        <w:rPr>
          <w:sz w:val="22"/>
        </w:rPr>
      </w:pPr>
      <w:r>
        <w:rPr>
          <w:sz w:val="22"/>
        </w:rPr>
        <w:lastRenderedPageBreak/>
        <w:t xml:space="preserve">Príloha k uzn. č. </w:t>
      </w:r>
      <w:r w:rsidR="0056771A">
        <w:rPr>
          <w:sz w:val="22"/>
        </w:rPr>
        <w:t>154</w:t>
      </w:r>
    </w:p>
    <w:p w14:paraId="1D3A0410" w14:textId="77777777" w:rsidR="00124A08" w:rsidRDefault="00124A08" w:rsidP="00124A08">
      <w:pPr>
        <w:jc w:val="center"/>
        <w:rPr>
          <w:sz w:val="28"/>
          <w:szCs w:val="28"/>
        </w:rPr>
      </w:pPr>
      <w:r w:rsidRPr="004C4EB7">
        <w:rPr>
          <w:sz w:val="28"/>
          <w:szCs w:val="28"/>
        </w:rPr>
        <w:t>Pripomienky</w:t>
      </w:r>
    </w:p>
    <w:p w14:paraId="59B5A61A" w14:textId="0483D19B" w:rsidR="0056771A" w:rsidRPr="0056771A" w:rsidRDefault="0056771A" w:rsidP="00D107A5">
      <w:pPr>
        <w:spacing w:after="0" w:line="240" w:lineRule="auto"/>
        <w:contextualSpacing/>
        <w:jc w:val="both"/>
        <w:rPr>
          <w:bCs/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 xml:space="preserve">k vládnemu návrhu zákona, </w:t>
      </w:r>
      <w:r w:rsidRPr="00E575FC">
        <w:rPr>
          <w:bCs/>
          <w:color w:val="000000" w:themeColor="text1"/>
          <w:szCs w:val="24"/>
        </w:rPr>
        <w:t>ktorým sa menia a dopĺňajú niektoré zákony v súvislosti s nepoistenými vozidlam</w:t>
      </w:r>
      <w:r>
        <w:rPr>
          <w:bCs/>
          <w:color w:val="000000" w:themeColor="text1"/>
          <w:szCs w:val="24"/>
        </w:rPr>
        <w:t xml:space="preserve">i </w:t>
      </w:r>
      <w:r w:rsidRPr="0056771A">
        <w:rPr>
          <w:b/>
          <w:bCs/>
          <w:color w:val="000000" w:themeColor="text1"/>
          <w:szCs w:val="24"/>
        </w:rPr>
        <w:t>(tlač 1141)</w:t>
      </w:r>
    </w:p>
    <w:p w14:paraId="385CEB62" w14:textId="4E971E81" w:rsidR="005A16D9" w:rsidRDefault="005A16D9" w:rsidP="005A16D9">
      <w:pPr>
        <w:pBdr>
          <w:bottom w:val="single" w:sz="12" w:space="1" w:color="auto"/>
        </w:pBdr>
        <w:spacing w:after="0" w:line="240" w:lineRule="auto"/>
        <w:rPr>
          <w:rFonts w:cs="Arial"/>
          <w:b/>
          <w:noProof/>
        </w:rPr>
      </w:pPr>
    </w:p>
    <w:p w14:paraId="28B21441" w14:textId="509A6810" w:rsidR="0056771A" w:rsidRDefault="0056771A" w:rsidP="0056771A">
      <w:pPr>
        <w:rPr>
          <w:b/>
          <w:bCs/>
          <w:color w:val="000000" w:themeColor="text1"/>
          <w:szCs w:val="24"/>
        </w:rPr>
      </w:pPr>
    </w:p>
    <w:p w14:paraId="5E0AAE8F" w14:textId="77777777" w:rsidR="00BE0C2D" w:rsidRDefault="00BE0C2D" w:rsidP="00BE0C2D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 w:rsidRPr="00961377">
        <w:rPr>
          <w:szCs w:val="24"/>
        </w:rPr>
        <w:t>V</w:t>
      </w:r>
      <w:r>
        <w:rPr>
          <w:szCs w:val="24"/>
        </w:rPr>
        <w:t> čl. I sa za bod 2 vkladá nový bod 3, ktorý znie:</w:t>
      </w:r>
    </w:p>
    <w:p w14:paraId="5AD79204" w14:textId="77777777" w:rsidR="00BE0C2D" w:rsidRDefault="00BE0C2D" w:rsidP="00BE0C2D">
      <w:pPr>
        <w:pStyle w:val="Odsekzoznamu"/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„</w:t>
      </w:r>
      <w:bookmarkStart w:id="0" w:name="_Hlk218686439"/>
      <w:r>
        <w:rPr>
          <w:szCs w:val="24"/>
        </w:rPr>
        <w:t>3. V § 11 ods. 2 sa na konci pripája táto veta: „Kancelária je zároveň oprávnená sprístupniť tlačivo podľa prvej vety vo forme digitálnej správy o nehode v elektronickom rozhraní kancelárie prístupnej užívateľom</w:t>
      </w:r>
      <w:r w:rsidRPr="008F32AB">
        <w:rPr>
          <w:szCs w:val="24"/>
        </w:rPr>
        <w:t xml:space="preserve"> </w:t>
      </w:r>
      <w:r w:rsidRPr="00722EB7">
        <w:rPr>
          <w:szCs w:val="24"/>
        </w:rPr>
        <w:t>prostredníctvom mobilnej aplikácie</w:t>
      </w:r>
      <w:r>
        <w:rPr>
          <w:szCs w:val="24"/>
        </w:rPr>
        <w:t xml:space="preserve"> </w:t>
      </w:r>
      <w:r w:rsidRPr="00722EB7">
        <w:rPr>
          <w:szCs w:val="24"/>
        </w:rPr>
        <w:t>Ministerstva vnútra Slovenskej republiky</w:t>
      </w:r>
      <w:bookmarkEnd w:id="0"/>
      <w:r>
        <w:rPr>
          <w:szCs w:val="24"/>
        </w:rPr>
        <w:t>“.“.</w:t>
      </w:r>
    </w:p>
    <w:p w14:paraId="1B099D24" w14:textId="77777777" w:rsidR="00BE0C2D" w:rsidRDefault="00BE0C2D" w:rsidP="00BE0C2D">
      <w:pPr>
        <w:pStyle w:val="Odsekzoznamu"/>
        <w:spacing w:after="0" w:line="240" w:lineRule="auto"/>
        <w:ind w:left="709" w:hanging="283"/>
        <w:jc w:val="both"/>
        <w:rPr>
          <w:szCs w:val="24"/>
        </w:rPr>
      </w:pPr>
    </w:p>
    <w:p w14:paraId="5ADE20F4" w14:textId="77777777" w:rsidR="00BE0C2D" w:rsidRPr="008838E8" w:rsidRDefault="00BE0C2D" w:rsidP="00BE0C2D">
      <w:pPr>
        <w:pStyle w:val="Odsekzoznamu"/>
        <w:spacing w:after="0" w:line="240" w:lineRule="auto"/>
        <w:ind w:left="709" w:hanging="283"/>
        <w:jc w:val="both"/>
        <w:rPr>
          <w:szCs w:val="24"/>
        </w:rPr>
      </w:pPr>
      <w:r w:rsidRPr="004276A1">
        <w:rPr>
          <w:szCs w:val="24"/>
        </w:rPr>
        <w:t>Nasledujúce body sa primerane prečíslujú</w:t>
      </w:r>
      <w:r>
        <w:rPr>
          <w:szCs w:val="24"/>
        </w:rPr>
        <w:t>.</w:t>
      </w:r>
    </w:p>
    <w:p w14:paraId="16A3174C" w14:textId="77777777" w:rsidR="00BE0C2D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09C16C3F" w14:textId="77777777" w:rsidR="00BE0C2D" w:rsidRPr="004276A1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161FBD">
        <w:rPr>
          <w:szCs w:val="24"/>
        </w:rPr>
        <w:t>Účinnosť tohto bodu sa navrhuje od 1. augusta 2027, čo sa premietne do článku o účinnosti.</w:t>
      </w:r>
    </w:p>
    <w:p w14:paraId="5C6251C0" w14:textId="77777777" w:rsidR="00BE0C2D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36F73637" w14:textId="77777777" w:rsidR="00BE0C2D" w:rsidRPr="00BE0C2D" w:rsidRDefault="00BE0C2D" w:rsidP="00BE0C2D">
      <w:pPr>
        <w:spacing w:after="0" w:line="240" w:lineRule="auto"/>
        <w:ind w:left="4956"/>
        <w:contextualSpacing/>
        <w:jc w:val="both"/>
        <w:rPr>
          <w:szCs w:val="24"/>
        </w:rPr>
      </w:pPr>
      <w:r w:rsidRPr="00BE0C2D">
        <w:rPr>
          <w:bCs/>
          <w:szCs w:val="24"/>
        </w:rPr>
        <w:t>Doplňuje sa možnosť kancelárie sprístupniť tlačivo - spoločná správa o nehode - na elektronickom rozhraní kancelárie.</w:t>
      </w:r>
    </w:p>
    <w:p w14:paraId="44E7ADE1" w14:textId="77777777" w:rsidR="00BE0C2D" w:rsidRPr="005B7013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070658AC" w14:textId="77777777" w:rsidR="00BE0C2D" w:rsidRDefault="00BE0C2D" w:rsidP="00BE0C2D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V čl. I  bod 3 znie:</w:t>
      </w:r>
    </w:p>
    <w:p w14:paraId="19848059" w14:textId="77777777" w:rsidR="00BE0C2D" w:rsidRPr="005F566A" w:rsidRDefault="00BE0C2D" w:rsidP="00BE0C2D">
      <w:pPr>
        <w:pStyle w:val="Odsekzoznamu"/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„</w:t>
      </w:r>
      <w:bookmarkStart w:id="1" w:name="_Hlk205883294"/>
      <w:r>
        <w:rPr>
          <w:szCs w:val="24"/>
        </w:rPr>
        <w:t xml:space="preserve">3. </w:t>
      </w:r>
      <w:bookmarkStart w:id="2" w:name="_Hlk205969593"/>
      <w:r w:rsidRPr="00961377">
        <w:rPr>
          <w:szCs w:val="24"/>
        </w:rPr>
        <w:t>V § 11 ods. 3 sa slová „</w:t>
      </w:r>
      <w:r w:rsidRPr="0005106A">
        <w:rPr>
          <w:szCs w:val="24"/>
        </w:rPr>
        <w:t>a to bez zbytočného odkladu po tom, ako ich má vo svojom informačnom systéme k dispozícii</w:t>
      </w:r>
      <w:r w:rsidRPr="00961377">
        <w:rPr>
          <w:szCs w:val="24"/>
        </w:rPr>
        <w:t>“ nahrádzajú slovami „</w:t>
      </w:r>
      <w:r>
        <w:rPr>
          <w:szCs w:val="24"/>
        </w:rPr>
        <w:t xml:space="preserve">a zaslať elektronickú verziu zelenej karty, a to bez zbytočného odkladu po </w:t>
      </w:r>
      <w:r w:rsidRPr="00961377">
        <w:rPr>
          <w:szCs w:val="24"/>
        </w:rPr>
        <w:t>uzavretí poistnej zmluvy, uzavretí predbežného poistenia</w:t>
      </w:r>
      <w:r w:rsidRPr="005F566A">
        <w:rPr>
          <w:szCs w:val="24"/>
        </w:rPr>
        <w:t xml:space="preserve"> zodpovednosti podľa § 14 alebo vystavení návrhu poistnej zmluvy poisťovateľom“.</w:t>
      </w:r>
      <w:bookmarkEnd w:id="1"/>
      <w:bookmarkEnd w:id="2"/>
      <w:r>
        <w:rPr>
          <w:szCs w:val="24"/>
        </w:rPr>
        <w:t>“.</w:t>
      </w:r>
    </w:p>
    <w:p w14:paraId="0B3CA336" w14:textId="77777777" w:rsidR="00BE0C2D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3DC9CC56" w14:textId="77777777" w:rsidR="00BE0C2D" w:rsidRPr="00BE0C2D" w:rsidRDefault="00BE0C2D" w:rsidP="00BE0C2D">
      <w:pPr>
        <w:spacing w:after="0" w:line="240" w:lineRule="auto"/>
        <w:ind w:left="4956"/>
        <w:jc w:val="both"/>
        <w:rPr>
          <w:bCs/>
          <w:szCs w:val="24"/>
        </w:rPr>
      </w:pPr>
      <w:r w:rsidRPr="00BE0C2D">
        <w:rPr>
          <w:bCs/>
          <w:szCs w:val="24"/>
        </w:rPr>
        <w:t>V záujme umožniť držiteľom motorových vozidiel vytvoriť digitálne potvrdenie o povinnom zmluvnom poistení prostredníctvom mobilnej aplikácie v správe Ministerstva vnútra SR a zároveň uložiť si v aplikácii zelenú kartu, doplňuje sa povinnosť poisťovateľov zasielať Slovenskej kancelárii poisťovateľov elektronickú verziu zelenej karty bezodkladne po jej vystavení.</w:t>
      </w:r>
    </w:p>
    <w:p w14:paraId="01B0D963" w14:textId="77777777" w:rsidR="00BE0C2D" w:rsidRPr="00722EB7" w:rsidRDefault="00BE0C2D" w:rsidP="00BE0C2D">
      <w:pPr>
        <w:spacing w:after="0" w:line="240" w:lineRule="auto"/>
        <w:ind w:left="4956"/>
        <w:jc w:val="both"/>
        <w:rPr>
          <w:szCs w:val="24"/>
        </w:rPr>
      </w:pPr>
    </w:p>
    <w:p w14:paraId="78904BC8" w14:textId="77777777" w:rsidR="00BE0C2D" w:rsidRDefault="00BE0C2D" w:rsidP="00BE0C2D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V čl. I sa za bod 6 vkladá nový bod 7, ktorý vrátane nadpisu znie:</w:t>
      </w:r>
    </w:p>
    <w:p w14:paraId="52B826ED" w14:textId="77777777" w:rsidR="00BE0C2D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  <w:bookmarkStart w:id="3" w:name="_Hlk205969614"/>
      <w:r>
        <w:rPr>
          <w:szCs w:val="24"/>
        </w:rPr>
        <w:t xml:space="preserve">„7. </w:t>
      </w:r>
      <w:bookmarkStart w:id="4" w:name="_Hlk218686688"/>
      <w:r w:rsidRPr="005F566A">
        <w:rPr>
          <w:szCs w:val="24"/>
        </w:rPr>
        <w:t xml:space="preserve">Za § </w:t>
      </w:r>
      <w:r>
        <w:rPr>
          <w:szCs w:val="24"/>
        </w:rPr>
        <w:t>18</w:t>
      </w:r>
      <w:r w:rsidRPr="005F566A">
        <w:rPr>
          <w:szCs w:val="24"/>
        </w:rPr>
        <w:t xml:space="preserve"> sa vkladá § </w:t>
      </w:r>
      <w:r>
        <w:rPr>
          <w:szCs w:val="24"/>
        </w:rPr>
        <w:t>18a</w:t>
      </w:r>
      <w:r w:rsidRPr="005F566A">
        <w:rPr>
          <w:szCs w:val="24"/>
        </w:rPr>
        <w:t>, ktorý vrátane nadpisu znie:</w:t>
      </w:r>
    </w:p>
    <w:p w14:paraId="7DBA38D2" w14:textId="77777777" w:rsidR="00BE0C2D" w:rsidRPr="009F4850" w:rsidRDefault="00BE0C2D" w:rsidP="00BE0C2D">
      <w:pPr>
        <w:pStyle w:val="Odsekzoznamu"/>
        <w:spacing w:after="0" w:line="240" w:lineRule="auto"/>
        <w:ind w:left="426"/>
        <w:jc w:val="center"/>
        <w:rPr>
          <w:szCs w:val="24"/>
        </w:rPr>
      </w:pPr>
      <w:r>
        <w:rPr>
          <w:szCs w:val="24"/>
        </w:rPr>
        <w:t>„</w:t>
      </w:r>
      <w:r w:rsidRPr="009F4850">
        <w:rPr>
          <w:szCs w:val="24"/>
        </w:rPr>
        <w:t xml:space="preserve">§ </w:t>
      </w:r>
      <w:r>
        <w:rPr>
          <w:szCs w:val="24"/>
        </w:rPr>
        <w:t>18a</w:t>
      </w:r>
    </w:p>
    <w:p w14:paraId="6C22D19D" w14:textId="77777777" w:rsidR="00BE0C2D" w:rsidRPr="003A4B4F" w:rsidRDefault="00BE0C2D" w:rsidP="00BE0C2D">
      <w:pPr>
        <w:pStyle w:val="Odsekzoznamu"/>
        <w:spacing w:after="0" w:line="240" w:lineRule="auto"/>
        <w:ind w:left="426"/>
        <w:jc w:val="center"/>
        <w:rPr>
          <w:szCs w:val="24"/>
        </w:rPr>
      </w:pPr>
      <w:r w:rsidRPr="003A4B4F">
        <w:rPr>
          <w:szCs w:val="24"/>
        </w:rPr>
        <w:t>Digitálne potvrdenie o poistení zodpovednosti</w:t>
      </w:r>
    </w:p>
    <w:p w14:paraId="0ED061A9" w14:textId="77777777" w:rsidR="00BE0C2D" w:rsidRPr="003A4B4F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6B3F39FA" w14:textId="77777777" w:rsidR="00BE0C2D" w:rsidRPr="00722EB7" w:rsidRDefault="00BE0C2D" w:rsidP="00BE0C2D">
      <w:pPr>
        <w:tabs>
          <w:tab w:val="left" w:pos="1134"/>
        </w:tabs>
        <w:spacing w:after="0" w:line="240" w:lineRule="auto"/>
        <w:ind w:left="426" w:firstLine="283"/>
        <w:jc w:val="both"/>
        <w:rPr>
          <w:szCs w:val="24"/>
        </w:rPr>
      </w:pPr>
      <w:r w:rsidRPr="003A4B4F">
        <w:rPr>
          <w:szCs w:val="24"/>
        </w:rPr>
        <w:t>(1)</w:t>
      </w:r>
      <w:r w:rsidRPr="003A4B4F">
        <w:rPr>
          <w:szCs w:val="24"/>
        </w:rPr>
        <w:tab/>
      </w:r>
      <w:r w:rsidRPr="00722EB7">
        <w:rPr>
          <w:szCs w:val="24"/>
        </w:rPr>
        <w:t>Držiteľ, vlastník alebo prevádzkovateľ motorového vozidla si môže vytvoriť digitálne potvrdenie o </w:t>
      </w:r>
      <w:r w:rsidRPr="003A4B4F">
        <w:rPr>
          <w:szCs w:val="24"/>
        </w:rPr>
        <w:t>poistení zodpovednosti</w:t>
      </w:r>
      <w:r w:rsidRPr="00722EB7">
        <w:rPr>
          <w:szCs w:val="24"/>
        </w:rPr>
        <w:t xml:space="preserve"> prostredníctvom mobilnej aplikácie v správe Ministerstva vnútra Slovenskej republiky. Súčasťou potvrdenia je zelená karta </w:t>
      </w:r>
      <w:r w:rsidRPr="00722EB7">
        <w:rPr>
          <w:szCs w:val="24"/>
        </w:rPr>
        <w:lastRenderedPageBreak/>
        <w:t>v elektronickej podobe, ktorú pre tento účel Ministerstvu vnútra Slovenskej republiky poskytne kancelária elektronickým automatizovaným spôsobom.</w:t>
      </w:r>
    </w:p>
    <w:p w14:paraId="73A024C0" w14:textId="77777777" w:rsidR="00BE0C2D" w:rsidRPr="009F4850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61AEE08B" w14:textId="77777777" w:rsidR="00BE0C2D" w:rsidRDefault="00BE0C2D" w:rsidP="00BE0C2D">
      <w:pPr>
        <w:tabs>
          <w:tab w:val="left" w:pos="1134"/>
        </w:tabs>
        <w:spacing w:after="0" w:line="240" w:lineRule="auto"/>
        <w:ind w:left="426" w:firstLine="283"/>
        <w:jc w:val="both"/>
        <w:rPr>
          <w:szCs w:val="24"/>
        </w:rPr>
      </w:pPr>
      <w:r w:rsidRPr="00722EB7">
        <w:rPr>
          <w:szCs w:val="24"/>
        </w:rPr>
        <w:t>(2)</w:t>
      </w:r>
      <w:r w:rsidRPr="00722EB7">
        <w:rPr>
          <w:szCs w:val="24"/>
        </w:rPr>
        <w:tab/>
        <w:t>Údaje uvedené v digitálnom potvrdení o poistení zodpovednosti</w:t>
      </w:r>
      <w:r w:rsidRPr="0010753E">
        <w:rPr>
          <w:szCs w:val="24"/>
        </w:rPr>
        <w:t xml:space="preserve"> </w:t>
      </w:r>
      <w:r w:rsidRPr="00722EB7">
        <w:rPr>
          <w:szCs w:val="24"/>
        </w:rPr>
        <w:t>možno overiť len prostredníctvom overovacej mobilnej aplikácie v správe Ministerstva vnútra Slovenskej republiky alebo inej informačnej technológie overovania schválenej Ministerstvom vnútra Slovenskej republiky.</w:t>
      </w:r>
    </w:p>
    <w:p w14:paraId="0CE92C03" w14:textId="77777777" w:rsidR="00BE0C2D" w:rsidRDefault="00BE0C2D" w:rsidP="00BE0C2D">
      <w:pPr>
        <w:spacing w:after="0" w:line="240" w:lineRule="auto"/>
        <w:jc w:val="both"/>
        <w:rPr>
          <w:szCs w:val="24"/>
        </w:rPr>
      </w:pPr>
    </w:p>
    <w:p w14:paraId="684A17B3" w14:textId="77777777" w:rsidR="00BE0C2D" w:rsidRDefault="00BE0C2D" w:rsidP="00BE0C2D">
      <w:pPr>
        <w:tabs>
          <w:tab w:val="left" w:pos="1134"/>
        </w:tabs>
        <w:spacing w:after="0" w:line="240" w:lineRule="auto"/>
        <w:ind w:left="426" w:firstLine="283"/>
        <w:jc w:val="both"/>
        <w:rPr>
          <w:szCs w:val="24"/>
        </w:rPr>
      </w:pPr>
      <w:r>
        <w:rPr>
          <w:szCs w:val="24"/>
        </w:rPr>
        <w:t xml:space="preserve">(3) </w:t>
      </w:r>
      <w:r w:rsidRPr="00B24A3D">
        <w:rPr>
          <w:szCs w:val="24"/>
        </w:rPr>
        <w:t>Predloženie</w:t>
      </w:r>
      <w:r>
        <w:rPr>
          <w:szCs w:val="24"/>
        </w:rPr>
        <w:t xml:space="preserve"> digitálneho</w:t>
      </w:r>
      <w:r w:rsidRPr="00B24A3D">
        <w:rPr>
          <w:szCs w:val="24"/>
        </w:rPr>
        <w:t xml:space="preserve"> </w:t>
      </w:r>
      <w:r w:rsidRPr="00722EB7">
        <w:rPr>
          <w:szCs w:val="24"/>
        </w:rPr>
        <w:t>potvrdenia o poistení zodpovednosti</w:t>
      </w:r>
      <w:r w:rsidRPr="00B24A3D">
        <w:rPr>
          <w:szCs w:val="24"/>
        </w:rPr>
        <w:t xml:space="preserve"> osobe, ktorá má k dispozícii overovaciu mobilnú aplikáciu alebo inú informačnú technológiu overovania podľa odseku 2 a sú u nich splnené technické podmienky ich používania, má rovnaké účinky ako predloženie </w:t>
      </w:r>
      <w:r w:rsidRPr="00682C63">
        <w:rPr>
          <w:szCs w:val="24"/>
        </w:rPr>
        <w:t>potvrdenia o poistení zodpovednosti</w:t>
      </w:r>
      <w:r w:rsidRPr="00B24A3D">
        <w:rPr>
          <w:szCs w:val="24"/>
        </w:rPr>
        <w:t xml:space="preserve">. </w:t>
      </w:r>
    </w:p>
    <w:p w14:paraId="7D7C1919" w14:textId="77777777" w:rsidR="00BE0C2D" w:rsidRDefault="00BE0C2D" w:rsidP="00BE0C2D">
      <w:pPr>
        <w:spacing w:after="0" w:line="240" w:lineRule="auto"/>
        <w:ind w:left="425"/>
        <w:jc w:val="both"/>
        <w:rPr>
          <w:szCs w:val="24"/>
        </w:rPr>
      </w:pPr>
    </w:p>
    <w:p w14:paraId="1CDBC394" w14:textId="77777777" w:rsidR="00BE0C2D" w:rsidRDefault="00BE0C2D" w:rsidP="00BE0C2D">
      <w:pPr>
        <w:tabs>
          <w:tab w:val="left" w:pos="1134"/>
        </w:tabs>
        <w:spacing w:after="0" w:line="240" w:lineRule="auto"/>
        <w:ind w:left="426" w:firstLine="283"/>
        <w:jc w:val="both"/>
        <w:rPr>
          <w:szCs w:val="24"/>
        </w:rPr>
      </w:pPr>
      <w:r>
        <w:rPr>
          <w:szCs w:val="24"/>
        </w:rPr>
        <w:t xml:space="preserve">(4) </w:t>
      </w:r>
      <w:r w:rsidRPr="001356D6">
        <w:rPr>
          <w:szCs w:val="24"/>
        </w:rPr>
        <w:t xml:space="preserve">Údaje uvedené v digitálnom </w:t>
      </w:r>
      <w:r w:rsidRPr="00722EB7">
        <w:rPr>
          <w:szCs w:val="24"/>
        </w:rPr>
        <w:t>potvrdení o poistení zodpovednosti</w:t>
      </w:r>
      <w:r w:rsidRPr="00B24A3D">
        <w:rPr>
          <w:szCs w:val="24"/>
        </w:rPr>
        <w:t xml:space="preserve"> </w:t>
      </w:r>
      <w:r w:rsidRPr="001356D6">
        <w:rPr>
          <w:szCs w:val="24"/>
        </w:rPr>
        <w:t xml:space="preserve">môže overovať len ten, komu z tohto zákona alebo osobitného predpisu vyplýva povinnosť alebo oprávnenie vyžadovať predloženie </w:t>
      </w:r>
      <w:r w:rsidRPr="00722EB7">
        <w:rPr>
          <w:szCs w:val="24"/>
        </w:rPr>
        <w:t>potvrdenia o poistení zodpovednosti</w:t>
      </w:r>
      <w:r w:rsidRPr="00B24A3D">
        <w:rPr>
          <w:szCs w:val="24"/>
        </w:rPr>
        <w:t xml:space="preserve"> </w:t>
      </w:r>
      <w:r w:rsidRPr="001356D6">
        <w:rPr>
          <w:szCs w:val="24"/>
        </w:rPr>
        <w:t xml:space="preserve">alebo zisťovať či overovať skutočnosti uvedené v </w:t>
      </w:r>
      <w:r w:rsidRPr="00722EB7">
        <w:rPr>
          <w:szCs w:val="24"/>
        </w:rPr>
        <w:t>potvrdení o poistení zodpovednosti</w:t>
      </w:r>
      <w:r w:rsidRPr="00B24A3D">
        <w:rPr>
          <w:szCs w:val="24"/>
        </w:rPr>
        <w:t xml:space="preserve"> </w:t>
      </w:r>
      <w:r w:rsidRPr="001356D6">
        <w:rPr>
          <w:szCs w:val="24"/>
        </w:rPr>
        <w:t>alebo skutočnosti z neho vyplývajúce</w:t>
      </w:r>
      <w:r>
        <w:rPr>
          <w:szCs w:val="24"/>
        </w:rPr>
        <w:t>.“.</w:t>
      </w:r>
      <w:bookmarkEnd w:id="4"/>
      <w:r>
        <w:rPr>
          <w:szCs w:val="24"/>
        </w:rPr>
        <w:t>“.</w:t>
      </w:r>
    </w:p>
    <w:bookmarkEnd w:id="3"/>
    <w:p w14:paraId="35EAC308" w14:textId="77777777" w:rsidR="00BE0C2D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0A48E193" w14:textId="77777777" w:rsidR="00BE0C2D" w:rsidRPr="004276A1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>Nasledujúce body sa primerane prečíslujú.</w:t>
      </w:r>
    </w:p>
    <w:p w14:paraId="29028BD0" w14:textId="77777777" w:rsidR="00BE0C2D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61BA6202" w14:textId="77777777" w:rsidR="00BE0C2D" w:rsidRPr="004276A1" w:rsidRDefault="00BE0C2D" w:rsidP="00BE0C2D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161FBD">
        <w:rPr>
          <w:szCs w:val="24"/>
        </w:rPr>
        <w:t>Účinnosť tohto bodu sa navrhuje od 1. augusta 2027, čo sa premietne do článku o účinnosti.</w:t>
      </w:r>
    </w:p>
    <w:p w14:paraId="464ED073" w14:textId="77777777" w:rsidR="00BE0C2D" w:rsidRPr="00722EB7" w:rsidRDefault="00BE0C2D" w:rsidP="00BE0C2D">
      <w:pPr>
        <w:spacing w:after="0" w:line="240" w:lineRule="auto"/>
        <w:jc w:val="both"/>
        <w:rPr>
          <w:szCs w:val="24"/>
        </w:rPr>
      </w:pPr>
    </w:p>
    <w:p w14:paraId="01537C8C" w14:textId="77777777" w:rsidR="00BE0C2D" w:rsidRPr="00BE0C2D" w:rsidRDefault="00BE0C2D" w:rsidP="00BE0C2D">
      <w:pPr>
        <w:spacing w:after="0" w:line="240" w:lineRule="auto"/>
        <w:ind w:left="4956"/>
        <w:contextualSpacing/>
        <w:jc w:val="both"/>
        <w:rPr>
          <w:szCs w:val="24"/>
        </w:rPr>
      </w:pPr>
      <w:r w:rsidRPr="00BE0C2D">
        <w:rPr>
          <w:bCs/>
          <w:szCs w:val="24"/>
        </w:rPr>
        <w:t>Doplňuje sa možnosť držiteľa, vlastníka alebo prevádzkovateľa motorového vozidla vytvoriť si digitálne potvrdenie o poistení zodpovednosti v súvislosti s postupnou digitalizáciou identity a dokladov občanov Slovenskej republiky pod správou Ministerstva vnútra SR.</w:t>
      </w:r>
    </w:p>
    <w:p w14:paraId="47113C59" w14:textId="77777777" w:rsidR="00BE0C2D" w:rsidRDefault="00BE0C2D" w:rsidP="0056771A">
      <w:pPr>
        <w:rPr>
          <w:b/>
          <w:bCs/>
          <w:color w:val="000000" w:themeColor="text1"/>
          <w:szCs w:val="24"/>
        </w:rPr>
      </w:pPr>
    </w:p>
    <w:p w14:paraId="62973DA1" w14:textId="5F891095" w:rsidR="00D672CF" w:rsidRPr="00D672CF" w:rsidRDefault="00D672CF" w:rsidP="00D672CF">
      <w:pPr>
        <w:pStyle w:val="Odsekzoznamu"/>
        <w:numPr>
          <w:ilvl w:val="0"/>
          <w:numId w:val="15"/>
        </w:numPr>
        <w:overflowPunct w:val="0"/>
        <w:spacing w:after="0" w:line="360" w:lineRule="auto"/>
        <w:textAlignment w:val="baseline"/>
        <w:rPr>
          <w:color w:val="000000" w:themeColor="text1"/>
          <w:szCs w:val="24"/>
        </w:rPr>
      </w:pPr>
      <w:r w:rsidRPr="00D672CF">
        <w:rPr>
          <w:color w:val="000000" w:themeColor="text1"/>
          <w:szCs w:val="24"/>
        </w:rPr>
        <w:t>V čl. I, 7. bode, § 19 ods. 5 sa vypúšťa označenie odkazu na poznámku pod čiarou k odkazu „3“.</w:t>
      </w:r>
    </w:p>
    <w:p w14:paraId="5F24463E" w14:textId="77777777" w:rsidR="00D672CF" w:rsidRPr="00E575FC" w:rsidRDefault="00D672CF" w:rsidP="00D672CF">
      <w:pPr>
        <w:overflowPunct w:val="0"/>
        <w:spacing w:after="0" w:line="360" w:lineRule="auto"/>
        <w:textAlignment w:val="baseline"/>
        <w:rPr>
          <w:color w:val="000000" w:themeColor="text1"/>
          <w:szCs w:val="24"/>
        </w:rPr>
      </w:pPr>
    </w:p>
    <w:p w14:paraId="0DA7A2ED" w14:textId="77777777" w:rsidR="00D672CF" w:rsidRPr="00E575FC" w:rsidRDefault="00D672CF" w:rsidP="00D672CF">
      <w:pPr>
        <w:overflowPunct w:val="0"/>
        <w:spacing w:after="0" w:line="240" w:lineRule="auto"/>
        <w:ind w:left="4956"/>
        <w:jc w:val="both"/>
        <w:textAlignment w:val="baseline"/>
        <w:rPr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>Navrhuje sa legislatívno-technická úprava, ktorou sa vypúšťa nesúvisiaci odkaz pod čiarou, odkazujúci na právnu úpravu  podnikania zahraničných osôb.</w:t>
      </w:r>
    </w:p>
    <w:p w14:paraId="73220EE0" w14:textId="77777777" w:rsidR="00D672CF" w:rsidRPr="00E575FC" w:rsidRDefault="00D672CF" w:rsidP="00D672CF">
      <w:pPr>
        <w:overflowPunct w:val="0"/>
        <w:spacing w:after="0" w:line="360" w:lineRule="auto"/>
        <w:textAlignment w:val="baseline"/>
        <w:rPr>
          <w:color w:val="000000" w:themeColor="text1"/>
          <w:szCs w:val="24"/>
        </w:rPr>
      </w:pPr>
    </w:p>
    <w:p w14:paraId="7CA18ABA" w14:textId="77777777" w:rsidR="00D672CF" w:rsidRPr="00E575FC" w:rsidRDefault="00D672CF" w:rsidP="00D672CF">
      <w:pPr>
        <w:pStyle w:val="Odsekzoznamu"/>
        <w:numPr>
          <w:ilvl w:val="0"/>
          <w:numId w:val="15"/>
        </w:numPr>
        <w:overflowPunct w:val="0"/>
        <w:spacing w:after="0" w:line="360" w:lineRule="auto"/>
        <w:textAlignment w:val="baseline"/>
        <w:rPr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 xml:space="preserve">V čl. I, 7. bode (§ 19) sa na konci pripája táto veta: </w:t>
      </w:r>
    </w:p>
    <w:p w14:paraId="5C53FC60" w14:textId="77777777" w:rsidR="00D672CF" w:rsidRPr="00E575FC" w:rsidRDefault="00D672CF" w:rsidP="00D672CF">
      <w:pPr>
        <w:pStyle w:val="Odsekzoznamu"/>
        <w:overflowPunct w:val="0"/>
        <w:spacing w:after="0" w:line="360" w:lineRule="auto"/>
        <w:textAlignment w:val="baseline"/>
        <w:rPr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>„</w:t>
      </w:r>
      <w:bookmarkStart w:id="5" w:name="_Hlk223943078"/>
      <w:r w:rsidRPr="00E575FC">
        <w:rPr>
          <w:color w:val="000000" w:themeColor="text1"/>
          <w:szCs w:val="24"/>
        </w:rPr>
        <w:t>Poznámka pod čiarou k odkazu 23 sa vypúšťa.</w:t>
      </w:r>
      <w:bookmarkEnd w:id="5"/>
      <w:r w:rsidRPr="00E575FC">
        <w:rPr>
          <w:color w:val="000000" w:themeColor="text1"/>
          <w:szCs w:val="24"/>
        </w:rPr>
        <w:t>“.</w:t>
      </w:r>
    </w:p>
    <w:p w14:paraId="1D05E3FE" w14:textId="77777777" w:rsidR="00D672CF" w:rsidRPr="00E575FC" w:rsidRDefault="00D672CF" w:rsidP="00D672CF">
      <w:pPr>
        <w:pStyle w:val="Odsekzoznamu"/>
        <w:overflowPunct w:val="0"/>
        <w:spacing w:after="0" w:line="360" w:lineRule="auto"/>
        <w:textAlignment w:val="baseline"/>
        <w:rPr>
          <w:color w:val="000000" w:themeColor="text1"/>
          <w:szCs w:val="24"/>
        </w:rPr>
      </w:pPr>
    </w:p>
    <w:p w14:paraId="06083715" w14:textId="77777777" w:rsidR="00D672CF" w:rsidRPr="007C24F3" w:rsidRDefault="00D672CF" w:rsidP="00D672CF">
      <w:pPr>
        <w:pStyle w:val="Odsekzoznamu"/>
        <w:overflowPunct w:val="0"/>
        <w:spacing w:after="0" w:line="360" w:lineRule="auto"/>
        <w:jc w:val="both"/>
        <w:textAlignment w:val="baseline"/>
        <w:rPr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>V súvislosti s tým sa v čl. I, 8. bode § 19c ods. 2 označenie odkazu a poznámky pod čiarou „23a“ nahradí označ</w:t>
      </w:r>
      <w:r>
        <w:rPr>
          <w:color w:val="000000" w:themeColor="text1"/>
          <w:szCs w:val="24"/>
        </w:rPr>
        <w:t>ení</w:t>
      </w:r>
      <w:r w:rsidRPr="00E575FC">
        <w:rPr>
          <w:color w:val="000000" w:themeColor="text1"/>
          <w:szCs w:val="24"/>
        </w:rPr>
        <w:t>m odkazu a poznámky pod čiarou „23“</w:t>
      </w:r>
      <w:r>
        <w:rPr>
          <w:color w:val="000000" w:themeColor="text1"/>
          <w:szCs w:val="24"/>
        </w:rPr>
        <w:t xml:space="preserve"> </w:t>
      </w:r>
      <w:r w:rsidRPr="00E575FC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 xml:space="preserve"> v </w:t>
      </w:r>
      <w:r w:rsidRPr="00E575FC">
        <w:rPr>
          <w:color w:val="000000" w:themeColor="text1"/>
          <w:szCs w:val="24"/>
        </w:rPr>
        <w:t>§</w:t>
      </w:r>
      <w:r>
        <w:rPr>
          <w:color w:val="000000" w:themeColor="text1"/>
          <w:szCs w:val="24"/>
        </w:rPr>
        <w:t xml:space="preserve"> 19c</w:t>
      </w:r>
      <w:r w:rsidRPr="00E575F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ods. 9 sa </w:t>
      </w:r>
      <w:r w:rsidRPr="00E575FC">
        <w:rPr>
          <w:color w:val="000000" w:themeColor="text1"/>
          <w:szCs w:val="24"/>
        </w:rPr>
        <w:t>označenie odkazu a poznámky pod čiarou „23b“ nahradí označ</w:t>
      </w:r>
      <w:r>
        <w:rPr>
          <w:color w:val="000000" w:themeColor="text1"/>
          <w:szCs w:val="24"/>
        </w:rPr>
        <w:t>ením</w:t>
      </w:r>
      <w:r w:rsidRPr="00E575FC">
        <w:rPr>
          <w:color w:val="000000" w:themeColor="text1"/>
          <w:szCs w:val="24"/>
        </w:rPr>
        <w:t xml:space="preserve"> odkazu </w:t>
      </w:r>
      <w:r w:rsidRPr="00E575FC">
        <w:rPr>
          <w:color w:val="000000" w:themeColor="text1"/>
          <w:szCs w:val="24"/>
        </w:rPr>
        <w:lastRenderedPageBreak/>
        <w:t>a poznámky pod čiarou „23a“ . Zároveň sa primerane upraví úvodná veta k týmto poznámkam pod čiarou.</w:t>
      </w:r>
    </w:p>
    <w:p w14:paraId="0435CFC3" w14:textId="77777777" w:rsidR="00D672CF" w:rsidRPr="00E575FC" w:rsidRDefault="00D672CF" w:rsidP="00D672CF">
      <w:pPr>
        <w:pStyle w:val="Odsekzoznamu"/>
        <w:overflowPunct w:val="0"/>
        <w:spacing w:after="0" w:line="240" w:lineRule="auto"/>
        <w:ind w:left="4956"/>
        <w:jc w:val="both"/>
        <w:textAlignment w:val="baseline"/>
        <w:rPr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>Pozmeňujúci návrh legislatívno-technickej povahy súvisiaci s vypustením jediného odkazu na poznámku pod čiarou 23. V súvislosti s tým sa navrhuje preznačenie nových poznámok pod čiarou v súlade s legislatívnymi pravidlami.</w:t>
      </w:r>
    </w:p>
    <w:p w14:paraId="7A2B1A27" w14:textId="77777777" w:rsidR="00D672CF" w:rsidRDefault="00D672CF" w:rsidP="0056771A">
      <w:pPr>
        <w:rPr>
          <w:b/>
          <w:bCs/>
          <w:color w:val="000000" w:themeColor="text1"/>
          <w:szCs w:val="24"/>
        </w:rPr>
      </w:pPr>
    </w:p>
    <w:p w14:paraId="5BBCA834" w14:textId="77777777" w:rsidR="00DC42F5" w:rsidRPr="00561D25" w:rsidRDefault="00DC42F5" w:rsidP="00DC42F5">
      <w:pPr>
        <w:spacing w:after="0" w:line="240" w:lineRule="auto"/>
        <w:jc w:val="both"/>
        <w:rPr>
          <w:szCs w:val="24"/>
        </w:rPr>
      </w:pPr>
    </w:p>
    <w:p w14:paraId="6F8DBC89" w14:textId="77777777" w:rsidR="00DC42F5" w:rsidRDefault="00DC42F5" w:rsidP="00DC42F5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 w:rsidRPr="00961377">
        <w:rPr>
          <w:szCs w:val="24"/>
        </w:rPr>
        <w:t>V</w:t>
      </w:r>
      <w:r>
        <w:rPr>
          <w:szCs w:val="24"/>
        </w:rPr>
        <w:t> čl. I sa za bod 8 vkladá nový bod 9, ktorý znie:</w:t>
      </w:r>
    </w:p>
    <w:p w14:paraId="2B86D852" w14:textId="77777777" w:rsidR="00DC42F5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 xml:space="preserve">„9. </w:t>
      </w:r>
      <w:bookmarkStart w:id="6" w:name="_Hlk218686745"/>
      <w:r>
        <w:rPr>
          <w:szCs w:val="24"/>
        </w:rPr>
        <w:t xml:space="preserve">V § 20 sa odsek 2 dopĺňa písmenom j), ktoré znie: </w:t>
      </w:r>
    </w:p>
    <w:p w14:paraId="6F2581B3" w14:textId="77777777" w:rsidR="00DC42F5" w:rsidRDefault="00DC42F5" w:rsidP="00DC42F5">
      <w:pPr>
        <w:pStyle w:val="Odsekzoznamu"/>
        <w:spacing w:after="0" w:line="240" w:lineRule="auto"/>
        <w:ind w:left="709"/>
        <w:jc w:val="both"/>
        <w:rPr>
          <w:szCs w:val="24"/>
        </w:rPr>
      </w:pPr>
      <w:r>
        <w:rPr>
          <w:szCs w:val="24"/>
        </w:rPr>
        <w:t>„j) spravuje elektronické rozhranie k sprístupneniu digitálnej správy o nehode</w:t>
      </w:r>
      <w:bookmarkEnd w:id="6"/>
      <w:r>
        <w:rPr>
          <w:szCs w:val="24"/>
        </w:rPr>
        <w:t>.“.“.</w:t>
      </w:r>
    </w:p>
    <w:p w14:paraId="0CEDADE9" w14:textId="77777777" w:rsidR="00DC42F5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15357D1E" w14:textId="77777777" w:rsidR="00DC42F5" w:rsidRPr="004276A1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>Nasledujúce body sa primerane prečíslujú.</w:t>
      </w:r>
    </w:p>
    <w:p w14:paraId="400DA796" w14:textId="77777777" w:rsidR="00DC42F5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66E30E77" w14:textId="77777777" w:rsidR="00DC42F5" w:rsidRPr="004276A1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161FBD">
        <w:rPr>
          <w:szCs w:val="24"/>
        </w:rPr>
        <w:t>Účinnosť tohto bodu sa navrhuje od 1. augusta 2027, čo sa premietne do článku o účinnosti.</w:t>
      </w:r>
    </w:p>
    <w:p w14:paraId="2FAED76E" w14:textId="77777777" w:rsidR="00DC42F5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395CE938" w14:textId="77777777" w:rsidR="00DC42F5" w:rsidRPr="00DC42F5" w:rsidRDefault="00DC42F5" w:rsidP="00DC42F5">
      <w:pPr>
        <w:spacing w:after="0" w:line="240" w:lineRule="auto"/>
        <w:ind w:left="4956"/>
        <w:contextualSpacing/>
        <w:jc w:val="both"/>
        <w:rPr>
          <w:szCs w:val="24"/>
        </w:rPr>
      </w:pPr>
      <w:r w:rsidRPr="00DC42F5">
        <w:rPr>
          <w:bCs/>
          <w:szCs w:val="24"/>
        </w:rPr>
        <w:t>Doplňuje sa činnosť Slovenskej kancelárii poisťovateľov spravovať samostatné elektronické rozhranie na sprístupnenie digitálnej formy správy o nehode.</w:t>
      </w:r>
    </w:p>
    <w:p w14:paraId="3C6BE6A1" w14:textId="77777777" w:rsidR="00DC42F5" w:rsidRPr="005B7013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127B8DCD" w14:textId="77777777" w:rsidR="00DC42F5" w:rsidRDefault="00DC42F5" w:rsidP="00DC42F5">
      <w:pPr>
        <w:spacing w:after="0" w:line="240" w:lineRule="auto"/>
        <w:contextualSpacing/>
        <w:jc w:val="both"/>
        <w:rPr>
          <w:szCs w:val="24"/>
        </w:rPr>
      </w:pPr>
    </w:p>
    <w:p w14:paraId="28FBA6C0" w14:textId="77777777" w:rsidR="00DC42F5" w:rsidRDefault="00DC42F5" w:rsidP="00DC42F5">
      <w:pPr>
        <w:spacing w:after="0" w:line="240" w:lineRule="auto"/>
        <w:contextualSpacing/>
        <w:jc w:val="both"/>
        <w:rPr>
          <w:szCs w:val="24"/>
        </w:rPr>
      </w:pPr>
    </w:p>
    <w:p w14:paraId="5938CCD8" w14:textId="77777777" w:rsidR="00DC42F5" w:rsidRDefault="00DC42F5" w:rsidP="00DC42F5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 w:rsidRPr="00961377">
        <w:rPr>
          <w:szCs w:val="24"/>
        </w:rPr>
        <w:t>V</w:t>
      </w:r>
      <w:r>
        <w:rPr>
          <w:szCs w:val="24"/>
        </w:rPr>
        <w:t> čl. I sa za bod 12 vkladá nový bod 13, ktorý znie:</w:t>
      </w:r>
    </w:p>
    <w:p w14:paraId="7317640A" w14:textId="77777777" w:rsidR="00DC42F5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 xml:space="preserve">„13. </w:t>
      </w:r>
      <w:bookmarkStart w:id="7" w:name="_Hlk218687482"/>
      <w:r>
        <w:rPr>
          <w:szCs w:val="24"/>
        </w:rPr>
        <w:t>Za § 25 sa vkladá § 25a, ktorý znie:</w:t>
      </w:r>
    </w:p>
    <w:p w14:paraId="6365D136" w14:textId="77777777" w:rsidR="00DC42F5" w:rsidRDefault="00DC42F5" w:rsidP="00DC42F5">
      <w:pPr>
        <w:spacing w:after="0" w:line="240" w:lineRule="auto"/>
        <w:ind w:left="426"/>
        <w:contextualSpacing/>
        <w:jc w:val="center"/>
        <w:rPr>
          <w:szCs w:val="24"/>
        </w:rPr>
      </w:pPr>
      <w:r w:rsidRPr="005F566A">
        <w:rPr>
          <w:szCs w:val="24"/>
        </w:rPr>
        <w:t xml:space="preserve">„§ </w:t>
      </w:r>
      <w:r>
        <w:rPr>
          <w:szCs w:val="24"/>
        </w:rPr>
        <w:t>25a</w:t>
      </w:r>
    </w:p>
    <w:p w14:paraId="5417EEF1" w14:textId="77777777" w:rsidR="00DC42F5" w:rsidRPr="005A33CB" w:rsidRDefault="00DC42F5" w:rsidP="00DC42F5">
      <w:pPr>
        <w:spacing w:after="0" w:line="240" w:lineRule="auto"/>
        <w:ind w:left="426" w:firstLine="283"/>
        <w:contextualSpacing/>
        <w:jc w:val="both"/>
        <w:rPr>
          <w:szCs w:val="24"/>
        </w:rPr>
      </w:pPr>
    </w:p>
    <w:p w14:paraId="353663BA" w14:textId="77777777" w:rsidR="00DC42F5" w:rsidRDefault="00DC42F5" w:rsidP="00DC42F5">
      <w:pPr>
        <w:spacing w:after="0" w:line="240" w:lineRule="auto"/>
        <w:ind w:left="426" w:firstLine="282"/>
        <w:jc w:val="both"/>
        <w:rPr>
          <w:szCs w:val="24"/>
        </w:rPr>
      </w:pPr>
      <w:r w:rsidRPr="007A6A9E">
        <w:rPr>
          <w:szCs w:val="24"/>
        </w:rPr>
        <w:t xml:space="preserve">Kancelária je oprávnená na účely </w:t>
      </w:r>
      <w:r>
        <w:rPr>
          <w:szCs w:val="24"/>
        </w:rPr>
        <w:t>správy</w:t>
      </w:r>
      <w:r w:rsidRPr="007A6A9E">
        <w:rPr>
          <w:szCs w:val="24"/>
        </w:rPr>
        <w:t xml:space="preserve"> elektronického rozhrania k sprístupneniu </w:t>
      </w:r>
      <w:r>
        <w:rPr>
          <w:szCs w:val="24"/>
        </w:rPr>
        <w:t>digitálnej správy o nehode</w:t>
      </w:r>
      <w:r w:rsidRPr="007A6A9E">
        <w:rPr>
          <w:szCs w:val="24"/>
        </w:rPr>
        <w:t xml:space="preserve"> spracúvať údaje z tohto rozhrania vrátane údajov z predložených dokladov a fotodokumentácie účastníkov dopravnej nehody a údajov podľa tohto zákona. Údaje z tohto elektronického rozhrania kancelária poskytuje účastníkom dopravnej nehody, poisťovateľom, Národným kanceláriám poisťovateľov a ich členom, Hasičskému a záchrannému zboru a Policajnému zboru na výkon ich činností podľa osobitných predpisov.“</w:t>
      </w:r>
      <w:bookmarkEnd w:id="7"/>
      <w:r w:rsidRPr="007A6A9E">
        <w:rPr>
          <w:szCs w:val="24"/>
        </w:rPr>
        <w:t>.“</w:t>
      </w:r>
      <w:r>
        <w:rPr>
          <w:szCs w:val="24"/>
        </w:rPr>
        <w:t>.</w:t>
      </w:r>
    </w:p>
    <w:p w14:paraId="029C97B0" w14:textId="77777777" w:rsidR="00DC42F5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4C73E87E" w14:textId="77777777" w:rsidR="00DC42F5" w:rsidRPr="004276A1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>Nasledujúc</w:t>
      </w:r>
      <w:r>
        <w:rPr>
          <w:szCs w:val="24"/>
        </w:rPr>
        <w:t>i</w:t>
      </w:r>
      <w:r w:rsidRPr="004276A1">
        <w:rPr>
          <w:szCs w:val="24"/>
        </w:rPr>
        <w:t xml:space="preserve"> bod sa primerane prečísluj</w:t>
      </w:r>
      <w:r>
        <w:rPr>
          <w:szCs w:val="24"/>
        </w:rPr>
        <w:t>e</w:t>
      </w:r>
      <w:r w:rsidRPr="004276A1">
        <w:rPr>
          <w:szCs w:val="24"/>
        </w:rPr>
        <w:t>.</w:t>
      </w:r>
    </w:p>
    <w:p w14:paraId="15AB1467" w14:textId="77777777" w:rsidR="00DC42F5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5F3A69BD" w14:textId="77777777" w:rsidR="00DC42F5" w:rsidRPr="004276A1" w:rsidRDefault="00DC42F5" w:rsidP="00DC42F5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161FBD">
        <w:rPr>
          <w:szCs w:val="24"/>
        </w:rPr>
        <w:t>Účinnosť tohto bodu sa navrhuje od 1. augusta 2027, čo sa premietne do článku o účinnosti.</w:t>
      </w:r>
    </w:p>
    <w:p w14:paraId="5EF76BF3" w14:textId="77777777" w:rsidR="00DC42F5" w:rsidRDefault="00DC42F5" w:rsidP="00DC42F5">
      <w:pPr>
        <w:spacing w:after="0" w:line="240" w:lineRule="auto"/>
        <w:ind w:left="426"/>
        <w:jc w:val="both"/>
        <w:rPr>
          <w:szCs w:val="24"/>
        </w:rPr>
      </w:pPr>
    </w:p>
    <w:p w14:paraId="5AC70DC7" w14:textId="77777777" w:rsidR="00DC42F5" w:rsidRPr="00DC42F5" w:rsidRDefault="00DC42F5" w:rsidP="00DC42F5">
      <w:pPr>
        <w:spacing w:after="0" w:line="240" w:lineRule="auto"/>
        <w:ind w:left="4956"/>
        <w:jc w:val="both"/>
        <w:rPr>
          <w:szCs w:val="24"/>
          <w:u w:val="single"/>
        </w:rPr>
      </w:pPr>
      <w:r w:rsidRPr="00DC42F5">
        <w:rPr>
          <w:color w:val="000000" w:themeColor="text1"/>
          <w:szCs w:val="24"/>
        </w:rPr>
        <w:t xml:space="preserve">Určuje sa oprávnenie </w:t>
      </w:r>
      <w:r w:rsidRPr="00DC42F5">
        <w:rPr>
          <w:bCs/>
          <w:szCs w:val="24"/>
        </w:rPr>
        <w:t>Slovenskej kancelárii poisťovateľov</w:t>
      </w:r>
      <w:r w:rsidRPr="00DC42F5">
        <w:rPr>
          <w:color w:val="000000" w:themeColor="text1"/>
          <w:szCs w:val="24"/>
        </w:rPr>
        <w:t xml:space="preserve"> spracúvať určené údaje na účel správy elektronického rozhrania. Zároveň sa určuje okruh subjektov, ktorým kancelária tieto údaje poskytuje.</w:t>
      </w:r>
    </w:p>
    <w:p w14:paraId="2890F2BB" w14:textId="77777777" w:rsidR="00DC42F5" w:rsidRDefault="00DC42F5" w:rsidP="0056771A">
      <w:pPr>
        <w:rPr>
          <w:b/>
          <w:bCs/>
          <w:color w:val="000000" w:themeColor="text1"/>
          <w:szCs w:val="24"/>
        </w:rPr>
      </w:pPr>
    </w:p>
    <w:p w14:paraId="586DA2C6" w14:textId="65631854" w:rsidR="00FE51F8" w:rsidRPr="00FE51F8" w:rsidRDefault="00FE51F8" w:rsidP="00FE51F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 w:rsidRPr="00FE51F8">
        <w:rPr>
          <w:szCs w:val="24"/>
        </w:rPr>
        <w:lastRenderedPageBreak/>
        <w:t>V čl. I bode 13 nadpise § 28f sa slová „1. mája 2026“ nahrádzajú slovami „1. októbra 2026“ a v § 28f sa slová „30. apríla 2026“ nahrádzajú slovami „30. septembra 2026“.</w:t>
      </w:r>
    </w:p>
    <w:p w14:paraId="010A6DA2" w14:textId="77777777" w:rsidR="00FE51F8" w:rsidRPr="004276A1" w:rsidRDefault="00FE51F8" w:rsidP="00FE51F8">
      <w:pPr>
        <w:spacing w:after="0" w:line="240" w:lineRule="auto"/>
        <w:contextualSpacing/>
        <w:jc w:val="both"/>
        <w:rPr>
          <w:szCs w:val="24"/>
        </w:rPr>
      </w:pPr>
    </w:p>
    <w:p w14:paraId="4D8BB553" w14:textId="77777777" w:rsidR="00FE51F8" w:rsidRPr="004276A1" w:rsidRDefault="00FE51F8" w:rsidP="00FE51F8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Ide o legislatívno-technickú zmenu nadväzujúcu na </w:t>
      </w:r>
      <w:r>
        <w:rPr>
          <w:szCs w:val="24"/>
        </w:rPr>
        <w:t xml:space="preserve">ďalšie </w:t>
      </w:r>
      <w:r w:rsidRPr="004276A1">
        <w:rPr>
          <w:szCs w:val="24"/>
        </w:rPr>
        <w:t>navrhované zmeny v</w:t>
      </w:r>
      <w:r>
        <w:rPr>
          <w:szCs w:val="24"/>
        </w:rPr>
        <w:t> tomto pozmeňujúcom  a doplňujúcom návrhu v článku</w:t>
      </w:r>
      <w:r w:rsidRPr="004276A1">
        <w:rPr>
          <w:szCs w:val="24"/>
        </w:rPr>
        <w:t xml:space="preserve"> o účinnosti tak, aby ustanovenia o objektívnej zodpovednosti a o poskytovaní informácií technickým službám nadobudli účinnosť až v neskoršom dátume</w:t>
      </w:r>
    </w:p>
    <w:p w14:paraId="4450522F" w14:textId="77777777" w:rsidR="00FE51F8" w:rsidRDefault="00FE51F8" w:rsidP="0056771A">
      <w:pPr>
        <w:rPr>
          <w:b/>
          <w:bCs/>
          <w:color w:val="000000" w:themeColor="text1"/>
          <w:szCs w:val="24"/>
        </w:rPr>
      </w:pPr>
    </w:p>
    <w:p w14:paraId="77016E82" w14:textId="7CFBB3CD" w:rsidR="00361745" w:rsidRPr="00361745" w:rsidRDefault="00361745" w:rsidP="00361745">
      <w:pPr>
        <w:pStyle w:val="Odsekzoznamu"/>
        <w:numPr>
          <w:ilvl w:val="0"/>
          <w:numId w:val="15"/>
        </w:numPr>
        <w:overflowPunct w:val="0"/>
        <w:spacing w:after="0" w:line="360" w:lineRule="auto"/>
        <w:jc w:val="both"/>
        <w:textAlignment w:val="baseline"/>
        <w:rPr>
          <w:color w:val="000000" w:themeColor="text1"/>
          <w:szCs w:val="24"/>
        </w:rPr>
      </w:pPr>
      <w:r w:rsidRPr="00361745">
        <w:rPr>
          <w:color w:val="000000" w:themeColor="text1"/>
          <w:szCs w:val="24"/>
        </w:rPr>
        <w:t>V čl. II, 4. bode (§ 111 ods. 2) sa slová „písmenom r)“ nahrádza slovami „</w:t>
      </w:r>
      <w:bookmarkStart w:id="8" w:name="_Hlk223943207"/>
      <w:r w:rsidRPr="00361745">
        <w:rPr>
          <w:color w:val="000000" w:themeColor="text1"/>
          <w:szCs w:val="24"/>
        </w:rPr>
        <w:t>písmenom q</w:t>
      </w:r>
      <w:bookmarkEnd w:id="8"/>
      <w:r w:rsidRPr="00361745">
        <w:rPr>
          <w:color w:val="000000" w:themeColor="text1"/>
          <w:szCs w:val="24"/>
        </w:rPr>
        <w:t>)“ a slová „r) údaje“ sa nahrádzajú slovami „</w:t>
      </w:r>
      <w:bookmarkStart w:id="9" w:name="_Hlk223943222"/>
      <w:r w:rsidRPr="00361745">
        <w:rPr>
          <w:color w:val="000000" w:themeColor="text1"/>
          <w:szCs w:val="24"/>
        </w:rPr>
        <w:t>q) údaje</w:t>
      </w:r>
      <w:bookmarkEnd w:id="9"/>
      <w:r w:rsidRPr="00361745">
        <w:rPr>
          <w:color w:val="000000" w:themeColor="text1"/>
          <w:szCs w:val="24"/>
        </w:rPr>
        <w:t>“.</w:t>
      </w:r>
    </w:p>
    <w:p w14:paraId="0CF96658" w14:textId="77777777" w:rsidR="00361745" w:rsidRPr="00E575FC" w:rsidRDefault="00361745" w:rsidP="00361745">
      <w:pPr>
        <w:pStyle w:val="Odsekzoznamu"/>
        <w:overflowPunct w:val="0"/>
        <w:spacing w:after="0" w:line="240" w:lineRule="auto"/>
        <w:ind w:left="4956"/>
        <w:jc w:val="both"/>
        <w:textAlignment w:val="baseline"/>
        <w:rPr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>Navrhuje sa precizovať označenie nového písmena chronologicky v súlade s už existujúci písmenami v § 111 ods. 2 zákona č. 8/2009 Z. z.</w:t>
      </w:r>
    </w:p>
    <w:p w14:paraId="381CC89A" w14:textId="77777777" w:rsidR="00FE51F8" w:rsidRDefault="00FE51F8" w:rsidP="0056771A">
      <w:pPr>
        <w:rPr>
          <w:b/>
          <w:bCs/>
          <w:color w:val="000000" w:themeColor="text1"/>
          <w:szCs w:val="24"/>
        </w:rPr>
      </w:pPr>
    </w:p>
    <w:p w14:paraId="7377C217" w14:textId="16970845" w:rsidR="00BD0F52" w:rsidRPr="00BD0F52" w:rsidRDefault="00BD0F52" w:rsidP="00BD0F5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 w:rsidRPr="00BD0F52">
        <w:rPr>
          <w:szCs w:val="24"/>
        </w:rPr>
        <w:t>V čl. II bode 10 nadpise § 143n sa slová „1. mája 2026“ nahrádzajú slovami „1. augusta 2026“, v § 143n ods. 1 sa slová „1. máju 2026“ sa nahrádzajú slovami „1. augustu 2026“ a slová „31. mája 2026“ sa nahrádzajú slovami „31. augusta 2026“, v § 143n ods. 2 sa slová „1. júlu 2026“ sa nahrádzajú slovami „1. októbru 2026“ a v § 143n ods. 3 sa slová „30. júna 2026“ nahrádzajú slovami „30. septembra 2026“.</w:t>
      </w:r>
    </w:p>
    <w:p w14:paraId="545DEB6F" w14:textId="77777777" w:rsidR="00BD0F52" w:rsidRPr="004276A1" w:rsidRDefault="00BD0F52" w:rsidP="00BD0F52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3EC9A7CB" w14:textId="77777777" w:rsidR="00BD0F52" w:rsidRPr="004276A1" w:rsidRDefault="00BD0F52" w:rsidP="00BD0F52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>Ide o legislatívno-technické zmeny nadväzujúce na navrhované zmeny v doterajšom čl. IV o účinnosti tak, aby boli zachované lehoty vyplývajúce zo štandardného legislatívneho procesu.</w:t>
      </w:r>
    </w:p>
    <w:p w14:paraId="5936DF5A" w14:textId="77777777" w:rsidR="00BD0F52" w:rsidRDefault="00BD0F52" w:rsidP="00BD0F52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292359E9" w14:textId="77777777" w:rsidR="00BD0F52" w:rsidRDefault="00BD0F52" w:rsidP="00BD0F52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V čl. II bode 10 § 143n ods. 1 a 4 sa za slovo „doručovania“ vkladajú slová „spôsobom podľa osobitného predpisu</w:t>
      </w:r>
      <w:r w:rsidRPr="00D961EC">
        <w:rPr>
          <w:szCs w:val="24"/>
          <w:vertAlign w:val="superscript"/>
        </w:rPr>
        <w:t>73</w:t>
      </w:r>
      <w:r>
        <w:rPr>
          <w:szCs w:val="24"/>
        </w:rPr>
        <w:t>)“.</w:t>
      </w:r>
    </w:p>
    <w:p w14:paraId="4C3D0DCB" w14:textId="77777777" w:rsidR="00BD0F52" w:rsidRDefault="00BD0F52" w:rsidP="00BD0F52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5D470FE4" w14:textId="77777777" w:rsidR="00BD0F52" w:rsidRDefault="00BD0F52" w:rsidP="00BD0F52">
      <w:pPr>
        <w:pStyle w:val="Odsekzoznamu"/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V súvislosti s tým v čl. II bode 10 § 143n ods. 6 sa nad slovom „vozidla.“ odkaz „</w:t>
      </w:r>
      <w:r w:rsidRPr="00354CE9">
        <w:rPr>
          <w:szCs w:val="24"/>
          <w:vertAlign w:val="superscript"/>
        </w:rPr>
        <w:t>73</w:t>
      </w:r>
      <w:r>
        <w:rPr>
          <w:szCs w:val="24"/>
        </w:rPr>
        <w:t>)“nahrádza odkazom „</w:t>
      </w:r>
      <w:r w:rsidRPr="00354CE9">
        <w:rPr>
          <w:szCs w:val="24"/>
          <w:vertAlign w:val="superscript"/>
        </w:rPr>
        <w:t>74</w:t>
      </w:r>
      <w:r>
        <w:rPr>
          <w:szCs w:val="24"/>
        </w:rPr>
        <w:t>)“.</w:t>
      </w:r>
    </w:p>
    <w:p w14:paraId="0A39944B" w14:textId="77777777" w:rsidR="00BD0F52" w:rsidRDefault="00BD0F52" w:rsidP="00BD0F52">
      <w:pPr>
        <w:spacing w:after="0" w:line="240" w:lineRule="auto"/>
        <w:contextualSpacing/>
        <w:jc w:val="both"/>
        <w:rPr>
          <w:szCs w:val="24"/>
        </w:rPr>
      </w:pPr>
    </w:p>
    <w:p w14:paraId="5DFABB64" w14:textId="77777777" w:rsidR="00BD0F52" w:rsidRPr="004A2182" w:rsidRDefault="00BD0F52" w:rsidP="00BD0F52">
      <w:pPr>
        <w:spacing w:after="0" w:line="240" w:lineRule="auto"/>
        <w:ind w:firstLine="426"/>
        <w:jc w:val="both"/>
        <w:rPr>
          <w:szCs w:val="24"/>
        </w:rPr>
      </w:pPr>
      <w:r w:rsidRPr="004A2182">
        <w:rPr>
          <w:szCs w:val="24"/>
        </w:rPr>
        <w:t>Poznámky pod čiarou k odkaz</w:t>
      </w:r>
      <w:r>
        <w:rPr>
          <w:szCs w:val="24"/>
        </w:rPr>
        <w:t>om</w:t>
      </w:r>
      <w:r w:rsidRPr="004A2182">
        <w:rPr>
          <w:szCs w:val="24"/>
        </w:rPr>
        <w:t xml:space="preserve"> 73 a 74 znejú:</w:t>
      </w:r>
    </w:p>
    <w:p w14:paraId="76F3C35E" w14:textId="77777777" w:rsidR="00BD0F52" w:rsidRDefault="00BD0F52" w:rsidP="00BD0F52">
      <w:pPr>
        <w:pStyle w:val="Odsekzoznamu"/>
        <w:spacing w:after="0" w:line="240" w:lineRule="auto"/>
        <w:ind w:left="709" w:hanging="283"/>
        <w:jc w:val="both"/>
        <w:rPr>
          <w:szCs w:val="24"/>
        </w:rPr>
      </w:pPr>
      <w:r>
        <w:rPr>
          <w:szCs w:val="24"/>
        </w:rPr>
        <w:t>„</w:t>
      </w:r>
      <w:r w:rsidRPr="00354CE9">
        <w:rPr>
          <w:szCs w:val="24"/>
          <w:vertAlign w:val="superscript"/>
        </w:rPr>
        <w:t>73</w:t>
      </w:r>
      <w:r>
        <w:rPr>
          <w:szCs w:val="24"/>
        </w:rPr>
        <w:t xml:space="preserve">) Zákon č. 305/2013 Z. z. </w:t>
      </w:r>
      <w:r w:rsidRPr="00354CE9">
        <w:rPr>
          <w:szCs w:val="24"/>
        </w:rPr>
        <w:t>o elektronickej podobe výkonu pôsobnosti orgánov verejnej moci a o zmene a doplnení niektorých zákonov (zákon o e-Governmente)</w:t>
      </w:r>
      <w:r>
        <w:rPr>
          <w:szCs w:val="24"/>
        </w:rPr>
        <w:t xml:space="preserve"> v znení neskorších predpisov.</w:t>
      </w:r>
    </w:p>
    <w:p w14:paraId="009AD767" w14:textId="77777777" w:rsidR="00BD0F52" w:rsidRDefault="00BD0F52" w:rsidP="00BD0F52">
      <w:pPr>
        <w:pStyle w:val="Odsekzoznamu"/>
        <w:spacing w:after="0" w:line="240" w:lineRule="auto"/>
        <w:ind w:left="709" w:hanging="283"/>
        <w:jc w:val="both"/>
        <w:rPr>
          <w:szCs w:val="24"/>
        </w:rPr>
      </w:pPr>
      <w:r w:rsidRPr="00354CE9">
        <w:rPr>
          <w:szCs w:val="24"/>
          <w:vertAlign w:val="superscript"/>
        </w:rPr>
        <w:t>74</w:t>
      </w:r>
      <w:r>
        <w:rPr>
          <w:szCs w:val="24"/>
        </w:rPr>
        <w:t xml:space="preserve">) </w:t>
      </w:r>
      <w:r w:rsidRPr="00354CE9">
        <w:rPr>
          <w:szCs w:val="24"/>
        </w:rPr>
        <w:t>§ 63 zákona č. 79/2015 Z. z.“.</w:t>
      </w:r>
    </w:p>
    <w:p w14:paraId="4F462D69" w14:textId="77777777" w:rsidR="00BD0F52" w:rsidRDefault="00BD0F52" w:rsidP="00BD0F52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52054231" w14:textId="77777777" w:rsidR="00BD0F52" w:rsidRDefault="00BD0F52" w:rsidP="00BD0F52">
      <w:pPr>
        <w:spacing w:after="0" w:line="240" w:lineRule="auto"/>
        <w:ind w:left="3969"/>
        <w:contextualSpacing/>
        <w:jc w:val="both"/>
        <w:rPr>
          <w:szCs w:val="24"/>
        </w:rPr>
      </w:pPr>
      <w:r w:rsidRPr="000E6786">
        <w:rPr>
          <w:szCs w:val="24"/>
        </w:rPr>
        <w:t xml:space="preserve">Nakoľko termín „modul elektronického doručovania“ môže evokovať doručovanie výlučne elektronickou formou, z dôvodu právnej istoty  </w:t>
      </w:r>
      <w:r>
        <w:rPr>
          <w:szCs w:val="24"/>
        </w:rPr>
        <w:t>sa</w:t>
      </w:r>
      <w:r w:rsidRPr="000E6786">
        <w:rPr>
          <w:szCs w:val="24"/>
        </w:rPr>
        <w:t xml:space="preserve"> dop</w:t>
      </w:r>
      <w:r>
        <w:rPr>
          <w:szCs w:val="24"/>
        </w:rPr>
        <w:t>ĺňajú</w:t>
      </w:r>
      <w:r w:rsidRPr="000E6786">
        <w:rPr>
          <w:szCs w:val="24"/>
        </w:rPr>
        <w:t xml:space="preserve"> dotknuté ustanovenia o odkaz na postupy doručovania </w:t>
      </w:r>
      <w:r>
        <w:rPr>
          <w:szCs w:val="24"/>
        </w:rPr>
        <w:t xml:space="preserve">podľa </w:t>
      </w:r>
      <w:r w:rsidRPr="000E6786">
        <w:rPr>
          <w:szCs w:val="24"/>
        </w:rPr>
        <w:t>zákon</w:t>
      </w:r>
      <w:r>
        <w:rPr>
          <w:szCs w:val="24"/>
        </w:rPr>
        <w:t>a</w:t>
      </w:r>
      <w:r w:rsidRPr="000E6786">
        <w:rPr>
          <w:szCs w:val="24"/>
        </w:rPr>
        <w:t xml:space="preserve"> </w:t>
      </w:r>
      <w:r w:rsidRPr="00354CE9">
        <w:rPr>
          <w:szCs w:val="24"/>
        </w:rPr>
        <w:t>o e-Governmente</w:t>
      </w:r>
      <w:r>
        <w:rPr>
          <w:szCs w:val="24"/>
        </w:rPr>
        <w:t>.</w:t>
      </w:r>
    </w:p>
    <w:p w14:paraId="0657DAF6" w14:textId="77777777" w:rsidR="00BD0F52" w:rsidRDefault="00BD0F52" w:rsidP="0056771A">
      <w:pPr>
        <w:rPr>
          <w:b/>
          <w:bCs/>
          <w:color w:val="000000" w:themeColor="text1"/>
          <w:szCs w:val="24"/>
        </w:rPr>
      </w:pPr>
    </w:p>
    <w:p w14:paraId="46C69DF3" w14:textId="0B18439E" w:rsidR="00495D43" w:rsidRPr="00495D43" w:rsidRDefault="00495D43" w:rsidP="00495D43">
      <w:pPr>
        <w:pStyle w:val="Odsekzoznamu"/>
        <w:numPr>
          <w:ilvl w:val="0"/>
          <w:numId w:val="15"/>
        </w:numPr>
        <w:overflowPunct w:val="0"/>
        <w:spacing w:after="0" w:line="360" w:lineRule="auto"/>
        <w:textAlignment w:val="baseline"/>
        <w:rPr>
          <w:color w:val="000000" w:themeColor="text1"/>
          <w:szCs w:val="24"/>
        </w:rPr>
      </w:pPr>
      <w:r w:rsidRPr="00495D43">
        <w:rPr>
          <w:color w:val="000000" w:themeColor="text1"/>
          <w:szCs w:val="24"/>
        </w:rPr>
        <w:lastRenderedPageBreak/>
        <w:t>V čl. II, 10. bode, § 143n ods. 6 sa za slová „starého vozidla“ vkladajú slová „</w:t>
      </w:r>
      <w:bookmarkStart w:id="10" w:name="_Hlk223943260"/>
      <w:r w:rsidRPr="00495D43">
        <w:rPr>
          <w:color w:val="000000" w:themeColor="text1"/>
          <w:szCs w:val="24"/>
        </w:rPr>
        <w:t>podľa osobitného predpisu</w:t>
      </w:r>
      <w:bookmarkEnd w:id="10"/>
      <w:r w:rsidRPr="00495D43">
        <w:rPr>
          <w:color w:val="000000" w:themeColor="text1"/>
          <w:szCs w:val="24"/>
        </w:rPr>
        <w:t>“.</w:t>
      </w:r>
    </w:p>
    <w:p w14:paraId="4CA64DB7" w14:textId="77777777" w:rsidR="00495D43" w:rsidRDefault="00495D43" w:rsidP="00495D43">
      <w:pPr>
        <w:pStyle w:val="Odsekzoznamu"/>
        <w:overflowPunct w:val="0"/>
        <w:spacing w:after="0" w:line="240" w:lineRule="auto"/>
        <w:ind w:left="4956"/>
        <w:textAlignment w:val="baseline"/>
        <w:rPr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>Pozmeňujúci návrh legislatívno-technickej povahy.</w:t>
      </w:r>
    </w:p>
    <w:p w14:paraId="73881626" w14:textId="77777777" w:rsidR="00495D43" w:rsidRDefault="00495D43" w:rsidP="0056771A">
      <w:pPr>
        <w:rPr>
          <w:b/>
          <w:bCs/>
          <w:color w:val="000000" w:themeColor="text1"/>
          <w:szCs w:val="24"/>
        </w:rPr>
      </w:pPr>
    </w:p>
    <w:p w14:paraId="67F82C72" w14:textId="36D6BFD3" w:rsidR="006C2A9E" w:rsidRPr="006C2A9E" w:rsidRDefault="006C2A9E" w:rsidP="006C2A9E">
      <w:pPr>
        <w:pStyle w:val="Odsekzoznamu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 w:rsidRPr="006C2A9E">
        <w:rPr>
          <w:szCs w:val="24"/>
        </w:rPr>
        <w:t>Za čl. II sa vkladá nový čl. III, ktorý znie:</w:t>
      </w:r>
    </w:p>
    <w:p w14:paraId="36CE0D32" w14:textId="77777777" w:rsidR="006C2A9E" w:rsidRPr="004276A1" w:rsidRDefault="006C2A9E" w:rsidP="006C2A9E">
      <w:pPr>
        <w:spacing w:after="0" w:line="240" w:lineRule="auto"/>
        <w:ind w:left="426"/>
        <w:contextualSpacing/>
        <w:jc w:val="center"/>
        <w:rPr>
          <w:szCs w:val="24"/>
        </w:rPr>
      </w:pPr>
      <w:r w:rsidRPr="004276A1">
        <w:rPr>
          <w:szCs w:val="24"/>
        </w:rPr>
        <w:t>„Čl. III</w:t>
      </w:r>
    </w:p>
    <w:p w14:paraId="19DD13B4" w14:textId="77777777" w:rsidR="006C2A9E" w:rsidRPr="004276A1" w:rsidRDefault="006C2A9E" w:rsidP="006C2A9E">
      <w:pPr>
        <w:spacing w:after="0" w:line="240" w:lineRule="auto"/>
        <w:ind w:left="426"/>
        <w:contextualSpacing/>
        <w:jc w:val="center"/>
        <w:rPr>
          <w:szCs w:val="24"/>
        </w:rPr>
      </w:pPr>
    </w:p>
    <w:p w14:paraId="5149A061" w14:textId="77777777" w:rsidR="006C2A9E" w:rsidRPr="004276A1" w:rsidRDefault="006C2A9E" w:rsidP="006C2A9E">
      <w:pPr>
        <w:spacing w:after="0" w:line="240" w:lineRule="auto"/>
        <w:ind w:left="426" w:firstLine="282"/>
        <w:contextualSpacing/>
        <w:jc w:val="both"/>
        <w:rPr>
          <w:szCs w:val="24"/>
        </w:rPr>
      </w:pPr>
      <w:r w:rsidRPr="004276A1">
        <w:rPr>
          <w:szCs w:val="24"/>
        </w:rPr>
        <w:t>Zákon č. 180/2013 Z. z. o organizácii miestnej štátnej správy a o zmene a doplnení niektorých zákonov v znení zákona č. 474/2013 Z. z., zákona č. 506/2013 Z. z., zákona č. 115/2014 Z. z., zákona č. 374/2014 Z. z., zákona č. 125/2016 Z. z., zákona č. 378/2016 Z. z., zákona č. 55/2017 Z. z. a zákona č. 140/2025 Z. z. sa dopĺňa takto:</w:t>
      </w:r>
    </w:p>
    <w:p w14:paraId="109A87BA" w14:textId="77777777" w:rsidR="006C2A9E" w:rsidRPr="004276A1" w:rsidRDefault="006C2A9E" w:rsidP="006C2A9E">
      <w:pPr>
        <w:spacing w:after="0" w:line="240" w:lineRule="auto"/>
        <w:ind w:left="426"/>
        <w:contextualSpacing/>
        <w:jc w:val="both"/>
        <w:rPr>
          <w:szCs w:val="24"/>
        </w:rPr>
      </w:pPr>
    </w:p>
    <w:p w14:paraId="13559FEC" w14:textId="77777777" w:rsidR="006C2A9E" w:rsidRPr="004276A1" w:rsidRDefault="006C2A9E" w:rsidP="006C2A9E">
      <w:pPr>
        <w:spacing w:after="0" w:line="240" w:lineRule="auto"/>
        <w:ind w:left="426" w:firstLine="283"/>
        <w:contextualSpacing/>
        <w:jc w:val="both"/>
        <w:rPr>
          <w:szCs w:val="24"/>
        </w:rPr>
      </w:pPr>
      <w:r w:rsidRPr="004276A1">
        <w:rPr>
          <w:szCs w:val="24"/>
        </w:rPr>
        <w:t>V § 3 sa odsek 2 dopĺňa písmenom e), ktoré znie:</w:t>
      </w:r>
    </w:p>
    <w:p w14:paraId="56E4E0CC" w14:textId="77777777" w:rsidR="006C2A9E" w:rsidRPr="004276A1" w:rsidRDefault="006C2A9E" w:rsidP="006C2A9E">
      <w:pPr>
        <w:spacing w:after="0" w:line="240" w:lineRule="auto"/>
        <w:ind w:left="709" w:hanging="283"/>
        <w:contextualSpacing/>
        <w:jc w:val="both"/>
        <w:rPr>
          <w:szCs w:val="24"/>
        </w:rPr>
      </w:pPr>
      <w:r w:rsidRPr="004276A1">
        <w:rPr>
          <w:szCs w:val="24"/>
        </w:rPr>
        <w:t>„e) povinného zmluvného poistenia zodpovednosti za škodu spôsobenú prevádzkou motorového vozidla.“.“.</w:t>
      </w:r>
    </w:p>
    <w:p w14:paraId="2590D790" w14:textId="77777777" w:rsidR="006C2A9E" w:rsidRPr="004276A1" w:rsidRDefault="006C2A9E" w:rsidP="006C2A9E">
      <w:pPr>
        <w:spacing w:after="0" w:line="240" w:lineRule="auto"/>
        <w:ind w:left="426"/>
        <w:contextualSpacing/>
        <w:jc w:val="both"/>
        <w:rPr>
          <w:szCs w:val="24"/>
        </w:rPr>
      </w:pPr>
    </w:p>
    <w:p w14:paraId="40AA86E7" w14:textId="77777777" w:rsidR="006C2A9E" w:rsidRPr="004276A1" w:rsidRDefault="006C2A9E" w:rsidP="006C2A9E">
      <w:pPr>
        <w:spacing w:after="0" w:line="240" w:lineRule="auto"/>
        <w:ind w:firstLine="426"/>
        <w:contextualSpacing/>
        <w:jc w:val="both"/>
        <w:rPr>
          <w:szCs w:val="24"/>
        </w:rPr>
      </w:pPr>
      <w:r w:rsidRPr="004276A1">
        <w:rPr>
          <w:szCs w:val="24"/>
        </w:rPr>
        <w:t xml:space="preserve">Nasledujúce články sa primerane prečíslujú, čo sa premietne aj do článku o účinnosti. </w:t>
      </w:r>
    </w:p>
    <w:p w14:paraId="690632B8" w14:textId="77777777" w:rsidR="006C2A9E" w:rsidRPr="004276A1" w:rsidRDefault="006C2A9E" w:rsidP="006C2A9E">
      <w:pPr>
        <w:spacing w:after="0" w:line="240" w:lineRule="auto"/>
        <w:ind w:firstLine="426"/>
        <w:contextualSpacing/>
        <w:jc w:val="both"/>
        <w:rPr>
          <w:szCs w:val="24"/>
        </w:rPr>
      </w:pPr>
    </w:p>
    <w:p w14:paraId="2DD49EC7" w14:textId="77777777" w:rsidR="006C2A9E" w:rsidRPr="004276A1" w:rsidRDefault="006C2A9E" w:rsidP="006C2A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szCs w:val="24"/>
        </w:rPr>
      </w:pPr>
      <w:r w:rsidRPr="004276A1">
        <w:rPr>
          <w:szCs w:val="24"/>
        </w:rPr>
        <w:t xml:space="preserve">Nový článok nadobúda účinnosť 1. </w:t>
      </w:r>
      <w:r>
        <w:rPr>
          <w:szCs w:val="24"/>
        </w:rPr>
        <w:t>augusta</w:t>
      </w:r>
      <w:r w:rsidRPr="004276A1">
        <w:rPr>
          <w:szCs w:val="24"/>
        </w:rPr>
        <w:t xml:space="preserve"> 2026.</w:t>
      </w:r>
    </w:p>
    <w:p w14:paraId="50DBFB47" w14:textId="77777777" w:rsidR="006C2A9E" w:rsidRPr="004276A1" w:rsidRDefault="006C2A9E" w:rsidP="006C2A9E">
      <w:pPr>
        <w:spacing w:after="0" w:line="240" w:lineRule="auto"/>
        <w:contextualSpacing/>
        <w:jc w:val="both"/>
        <w:rPr>
          <w:szCs w:val="24"/>
        </w:rPr>
      </w:pPr>
    </w:p>
    <w:p w14:paraId="1B7BBAEB" w14:textId="77777777" w:rsidR="006C2A9E" w:rsidRPr="004276A1" w:rsidRDefault="006C2A9E" w:rsidP="006C2A9E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V čl. I, v ktorom sa novelizuje zákon č. 381/2001 Z. z. o povinnom zmluvnom poistení zodpovednosti za škodu spôsobenú prevádzkou motorového vozidla, je miestna a vecná príslušnosť okresných úradov vo veciach týkajúcich sa PZP založená len poznámkou pod čiarou 22a, v ktorej je odkaz na prílohu č. 2 k zákonu č. 180/2013 Z. z. Vzhľadom na právnu istotu a jednoznačnosť právnej úpravy sa navrhuje výslovne uviesť príslušnosť okresných úradov vo veciach PZP priamo do ustanovenia, v ktorom sa uvádzajú jednotlivé oblasti pôsobnosti okresných úradov. </w:t>
      </w:r>
    </w:p>
    <w:p w14:paraId="50D3C9F9" w14:textId="77777777" w:rsidR="006C2A9E" w:rsidRDefault="006C2A9E" w:rsidP="0056771A">
      <w:pPr>
        <w:rPr>
          <w:b/>
          <w:bCs/>
          <w:color w:val="000000" w:themeColor="text1"/>
          <w:szCs w:val="24"/>
        </w:rPr>
      </w:pPr>
    </w:p>
    <w:p w14:paraId="657EF4A9" w14:textId="6A94BEA8" w:rsidR="00BF7377" w:rsidRPr="00BF7377" w:rsidRDefault="00BF7377" w:rsidP="00BF7377">
      <w:pPr>
        <w:pStyle w:val="Odsekzoznamu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 w:rsidRPr="00BF7377">
        <w:rPr>
          <w:szCs w:val="24"/>
        </w:rPr>
        <w:t xml:space="preserve">V  čl. III sa pred bod 1 vkladá nový bod 1, ktorý znie: </w:t>
      </w:r>
    </w:p>
    <w:p w14:paraId="527CF712" w14:textId="77777777" w:rsidR="00BF7377" w:rsidRPr="004276A1" w:rsidRDefault="00BF7377" w:rsidP="00BF7377">
      <w:pPr>
        <w:pStyle w:val="Odsekzoznamu"/>
        <w:spacing w:after="0" w:line="240" w:lineRule="auto"/>
        <w:ind w:left="709" w:hanging="283"/>
        <w:jc w:val="both"/>
        <w:rPr>
          <w:szCs w:val="24"/>
        </w:rPr>
      </w:pPr>
      <w:r w:rsidRPr="004276A1">
        <w:rPr>
          <w:szCs w:val="24"/>
        </w:rPr>
        <w:t>„1. V § 47 ods. 2 písm. a) a b) sa za slovo „chyby“ vkladajú slová „alebo bolo zistené, že pre vozidlo nie je uzatvorené povinné zmluvné poistenie zodpovednosti za škodu spôsobenú prevádzkou motorového vozidla“.</w:t>
      </w:r>
    </w:p>
    <w:p w14:paraId="1F1F5B29" w14:textId="77777777" w:rsidR="00BF7377" w:rsidRPr="004276A1" w:rsidRDefault="00BF7377" w:rsidP="00BF7377">
      <w:pPr>
        <w:pStyle w:val="Odsekzoznamu"/>
        <w:spacing w:after="0" w:line="240" w:lineRule="auto"/>
        <w:ind w:left="851" w:hanging="143"/>
        <w:jc w:val="both"/>
        <w:rPr>
          <w:szCs w:val="24"/>
        </w:rPr>
      </w:pPr>
    </w:p>
    <w:p w14:paraId="10F903C5" w14:textId="77777777" w:rsidR="00BF7377" w:rsidRPr="004276A1" w:rsidRDefault="00BF7377" w:rsidP="00BF7377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>Nasledujúce body sa primerane prečíslujú.</w:t>
      </w:r>
    </w:p>
    <w:p w14:paraId="3C12682B" w14:textId="77777777" w:rsidR="00BF7377" w:rsidRPr="004276A1" w:rsidRDefault="00BF7377" w:rsidP="00BF7377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29331E07" w14:textId="77777777" w:rsidR="00BF7377" w:rsidRPr="004276A1" w:rsidRDefault="00BF7377" w:rsidP="00BF7377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 xml:space="preserve">Účinnosť tohto bodu sa navrhuje od 1. </w:t>
      </w:r>
      <w:r>
        <w:rPr>
          <w:szCs w:val="24"/>
        </w:rPr>
        <w:t>októbra</w:t>
      </w:r>
      <w:r w:rsidRPr="004276A1">
        <w:rPr>
          <w:szCs w:val="24"/>
        </w:rPr>
        <w:t xml:space="preserve"> 2026.</w:t>
      </w:r>
    </w:p>
    <w:p w14:paraId="52896CE4" w14:textId="77777777" w:rsidR="00C02641" w:rsidRDefault="00C02641" w:rsidP="00C02641">
      <w:pPr>
        <w:spacing w:after="0" w:line="240" w:lineRule="auto"/>
        <w:ind w:left="3969"/>
        <w:contextualSpacing/>
        <w:jc w:val="both"/>
        <w:rPr>
          <w:szCs w:val="24"/>
        </w:rPr>
      </w:pPr>
    </w:p>
    <w:p w14:paraId="3855C965" w14:textId="21764D8A" w:rsidR="00C02641" w:rsidRPr="004276A1" w:rsidRDefault="00C02641" w:rsidP="00C02641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</w:t>
      </w:r>
      <w:r w:rsidRPr="004276A1">
        <w:rPr>
          <w:szCs w:val="24"/>
        </w:rPr>
        <w:lastRenderedPageBreak/>
        <w:t xml:space="preserve">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4E1BEE6C" w14:textId="77777777" w:rsidR="00C02641" w:rsidRPr="004276A1" w:rsidRDefault="00C02641" w:rsidP="00C02641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spojeným s vozidlom, kde nie je potrebné vykonávať kontrolu platnosti povinného zmluvného poistenia. Kontrola povinného zmluvného poistenia ostáva pri ostatných druhoch kontrol, kde sa určuje aj platnosť danej kontroly.</w:t>
      </w:r>
      <w:r w:rsidRPr="004276A1">
        <w:rPr>
          <w:szCs w:val="24"/>
        </w:rPr>
        <w:tab/>
      </w:r>
    </w:p>
    <w:p w14:paraId="3F84D227" w14:textId="77777777" w:rsidR="00BF7377" w:rsidRDefault="00BF7377" w:rsidP="0056771A">
      <w:pPr>
        <w:rPr>
          <w:b/>
          <w:bCs/>
          <w:color w:val="000000" w:themeColor="text1"/>
          <w:szCs w:val="24"/>
        </w:rPr>
      </w:pPr>
    </w:p>
    <w:p w14:paraId="68910151" w14:textId="1E168402" w:rsidR="00BB200D" w:rsidRPr="00BB200D" w:rsidRDefault="00BB200D" w:rsidP="00BB200D">
      <w:pPr>
        <w:pStyle w:val="Odsekzoznamu"/>
        <w:numPr>
          <w:ilvl w:val="0"/>
          <w:numId w:val="15"/>
        </w:numPr>
        <w:overflowPunct w:val="0"/>
        <w:spacing w:after="0" w:line="360" w:lineRule="auto"/>
        <w:textAlignment w:val="baseline"/>
        <w:rPr>
          <w:color w:val="000000" w:themeColor="text1"/>
          <w:szCs w:val="24"/>
        </w:rPr>
      </w:pPr>
      <w:r w:rsidRPr="00BB200D">
        <w:rPr>
          <w:color w:val="000000" w:themeColor="text1"/>
          <w:szCs w:val="24"/>
        </w:rPr>
        <w:t xml:space="preserve">V čl. III, 1. bode, § 56 ods. 2 sa slová „okresný úrad“ nahrádzajú slovami „schvaľovací orgán“. </w:t>
      </w:r>
    </w:p>
    <w:p w14:paraId="1DEC6C06" w14:textId="77777777" w:rsidR="00BB200D" w:rsidRPr="00E575FC" w:rsidRDefault="00BB200D" w:rsidP="00BB200D">
      <w:pPr>
        <w:overflowPunct w:val="0"/>
        <w:spacing w:after="0" w:line="240" w:lineRule="auto"/>
        <w:ind w:left="4956"/>
        <w:jc w:val="both"/>
        <w:textAlignment w:val="baseline"/>
        <w:rPr>
          <w:color w:val="000000" w:themeColor="text1"/>
          <w:szCs w:val="24"/>
        </w:rPr>
      </w:pPr>
      <w:r w:rsidRPr="00E575FC">
        <w:rPr>
          <w:color w:val="000000" w:themeColor="text1"/>
          <w:szCs w:val="24"/>
        </w:rPr>
        <w:t>Navrhuje sa legislatívno-technická úprava, ktorou sa zosúlaďuje terminológia návrhu zákona s § 56 zákona č. 106/2018 Z. z.</w:t>
      </w:r>
    </w:p>
    <w:p w14:paraId="0C77BCC1" w14:textId="77777777" w:rsidR="00BB200D" w:rsidRDefault="00BB200D" w:rsidP="0056771A">
      <w:pPr>
        <w:rPr>
          <w:b/>
          <w:bCs/>
          <w:color w:val="000000" w:themeColor="text1"/>
          <w:szCs w:val="24"/>
        </w:rPr>
      </w:pPr>
    </w:p>
    <w:p w14:paraId="08CA3696" w14:textId="783EFDC4" w:rsidR="00F62BB1" w:rsidRDefault="00F62BB1" w:rsidP="00F62BB1">
      <w:pPr>
        <w:pStyle w:val="Odsekzoznamu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 w:rsidRPr="00F62BB1">
        <w:rPr>
          <w:szCs w:val="24"/>
        </w:rPr>
        <w:t>V čl. III bode 4 § 106 ods. 1 sa slovo „vozidla.“ nahrádza slovami „vozidla; to neplatí pri technickej kontrole zvláštnej.“.</w:t>
      </w:r>
    </w:p>
    <w:p w14:paraId="6C1D6FB9" w14:textId="77777777" w:rsidR="00F62BB1" w:rsidRDefault="00F62BB1" w:rsidP="00F62BB1">
      <w:pPr>
        <w:pStyle w:val="Odsekzoznamu"/>
        <w:spacing w:after="0" w:line="240" w:lineRule="auto"/>
        <w:jc w:val="both"/>
        <w:rPr>
          <w:szCs w:val="24"/>
        </w:rPr>
      </w:pPr>
    </w:p>
    <w:p w14:paraId="4AD8D726" w14:textId="77777777" w:rsidR="00F62BB1" w:rsidRPr="004276A1" w:rsidRDefault="00F62BB1" w:rsidP="00F62BB1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7BC2AA89" w14:textId="77777777" w:rsidR="00F62BB1" w:rsidRPr="004276A1" w:rsidRDefault="00F62BB1" w:rsidP="00F62BB1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</w:t>
      </w:r>
      <w:r w:rsidRPr="004276A1">
        <w:rPr>
          <w:szCs w:val="24"/>
        </w:rPr>
        <w:lastRenderedPageBreak/>
        <w:t>spojeným s vozidlom, kde nie je potrebné vykonávať kontrolu platnosti povinného zmluvného poistenia. Kontrola povinného zmluvného poistenia ostáva pri ostatných druhoch kontrol, kde sa určuje aj platnosť danej kontroly.</w:t>
      </w:r>
      <w:r w:rsidRPr="004276A1">
        <w:rPr>
          <w:szCs w:val="24"/>
        </w:rPr>
        <w:tab/>
      </w:r>
    </w:p>
    <w:p w14:paraId="6E624408" w14:textId="77777777" w:rsidR="00F62BB1" w:rsidRPr="00F62BB1" w:rsidRDefault="00F62BB1" w:rsidP="00F62BB1">
      <w:pPr>
        <w:pStyle w:val="Odsekzoznamu"/>
        <w:spacing w:after="0" w:line="240" w:lineRule="auto"/>
        <w:jc w:val="both"/>
        <w:rPr>
          <w:szCs w:val="24"/>
        </w:rPr>
      </w:pPr>
    </w:p>
    <w:p w14:paraId="509CBCD5" w14:textId="77777777" w:rsidR="00F62BB1" w:rsidRPr="004276A1" w:rsidRDefault="00F62BB1" w:rsidP="00F62BB1">
      <w:pPr>
        <w:pStyle w:val="Odsekzoznamu"/>
        <w:spacing w:after="0" w:line="240" w:lineRule="auto"/>
        <w:ind w:left="284"/>
        <w:jc w:val="both"/>
        <w:rPr>
          <w:szCs w:val="24"/>
        </w:rPr>
      </w:pPr>
    </w:p>
    <w:p w14:paraId="280514E4" w14:textId="77777777" w:rsidR="00F62BB1" w:rsidRPr="004276A1" w:rsidRDefault="00F62BB1" w:rsidP="00F62BB1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 w:rsidRPr="004276A1">
        <w:rPr>
          <w:szCs w:val="24"/>
        </w:rPr>
        <w:t xml:space="preserve">V čl. III sa za bod 6 vkladá nový bod 7, ktorý znie: </w:t>
      </w:r>
    </w:p>
    <w:p w14:paraId="65FF3CAD" w14:textId="77777777" w:rsidR="00F62BB1" w:rsidRPr="004276A1" w:rsidRDefault="00F62BB1" w:rsidP="00F62BB1">
      <w:pPr>
        <w:pStyle w:val="Odsekzoznamu"/>
        <w:spacing w:after="0" w:line="240" w:lineRule="auto"/>
        <w:ind w:left="709" w:hanging="283"/>
        <w:jc w:val="both"/>
        <w:rPr>
          <w:szCs w:val="24"/>
        </w:rPr>
      </w:pPr>
      <w:r w:rsidRPr="004276A1">
        <w:rPr>
          <w:szCs w:val="24"/>
        </w:rPr>
        <w:t xml:space="preserve">„7. V § 112 odsek 1 znie: </w:t>
      </w:r>
    </w:p>
    <w:p w14:paraId="0BC7AE7D" w14:textId="77777777" w:rsidR="00F62BB1" w:rsidRPr="004276A1" w:rsidRDefault="00F62BB1" w:rsidP="00F62BB1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szCs w:val="24"/>
        </w:rPr>
      </w:pPr>
      <w:r w:rsidRPr="004276A1">
        <w:rPr>
          <w:szCs w:val="24"/>
        </w:rPr>
        <w:t>„(1) Ak je pri technickej kontrole vozidlo hodnotené ako „nespôsobilé na prevádzku v cestnej premávke“ podľa § 110 ods. 5, prevádzka vozidla sa pozastaví podľa § 47.“.“.</w:t>
      </w:r>
    </w:p>
    <w:p w14:paraId="067DABA2" w14:textId="77777777" w:rsidR="00F62BB1" w:rsidRPr="004276A1" w:rsidRDefault="00F62BB1" w:rsidP="00F62BB1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szCs w:val="24"/>
        </w:rPr>
      </w:pPr>
    </w:p>
    <w:p w14:paraId="1E2E1E80" w14:textId="77777777" w:rsidR="00F62BB1" w:rsidRPr="004276A1" w:rsidRDefault="00F62BB1" w:rsidP="00F62BB1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>Nasledujúce body sa primerane prečíslujú.</w:t>
      </w:r>
    </w:p>
    <w:p w14:paraId="6A54D443" w14:textId="77777777" w:rsidR="00F62BB1" w:rsidRPr="004276A1" w:rsidRDefault="00F62BB1" w:rsidP="00F62BB1">
      <w:pPr>
        <w:spacing w:after="0" w:line="240" w:lineRule="auto"/>
        <w:contextualSpacing/>
        <w:jc w:val="both"/>
        <w:rPr>
          <w:szCs w:val="24"/>
        </w:rPr>
      </w:pPr>
    </w:p>
    <w:p w14:paraId="535FFE48" w14:textId="77777777" w:rsidR="00F62BB1" w:rsidRDefault="00F62BB1" w:rsidP="00F62BB1">
      <w:pPr>
        <w:spacing w:after="0" w:line="240" w:lineRule="auto"/>
        <w:ind w:left="426"/>
        <w:contextualSpacing/>
        <w:jc w:val="both"/>
        <w:rPr>
          <w:szCs w:val="24"/>
        </w:rPr>
      </w:pPr>
      <w:r w:rsidRPr="004276A1">
        <w:rPr>
          <w:szCs w:val="24"/>
        </w:rPr>
        <w:t xml:space="preserve">Účinnosť tohto bodu sa navrhuje od 1. </w:t>
      </w:r>
      <w:r>
        <w:rPr>
          <w:szCs w:val="24"/>
        </w:rPr>
        <w:t>októbra</w:t>
      </w:r>
      <w:r w:rsidRPr="004276A1">
        <w:rPr>
          <w:szCs w:val="24"/>
        </w:rPr>
        <w:t xml:space="preserve"> 2026.</w:t>
      </w:r>
    </w:p>
    <w:p w14:paraId="53E3D6EA" w14:textId="77777777" w:rsidR="004D6753" w:rsidRDefault="004D6753" w:rsidP="00F62BB1">
      <w:pPr>
        <w:spacing w:after="0" w:line="240" w:lineRule="auto"/>
        <w:ind w:left="426"/>
        <w:contextualSpacing/>
        <w:jc w:val="both"/>
        <w:rPr>
          <w:szCs w:val="24"/>
        </w:rPr>
      </w:pPr>
    </w:p>
    <w:p w14:paraId="008689CA" w14:textId="77777777" w:rsidR="004D6753" w:rsidRPr="004276A1" w:rsidRDefault="004D6753" w:rsidP="004D6753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4460AD00" w14:textId="77777777" w:rsidR="004D6753" w:rsidRPr="004276A1" w:rsidRDefault="004D6753" w:rsidP="004D6753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spojeným s vozidlom, kde nie je potrebné vykonávať kontrolu platnosti povinného zmluvného poistenia. Kontrola povinného zmluvného poistenia ostáva pri ostatných druhoch kontrol, kde sa určuje aj platnosť danej kontroly.</w:t>
      </w:r>
      <w:r w:rsidRPr="004276A1">
        <w:rPr>
          <w:szCs w:val="24"/>
        </w:rPr>
        <w:tab/>
      </w:r>
    </w:p>
    <w:p w14:paraId="550A2050" w14:textId="77777777" w:rsidR="004D6753" w:rsidRPr="004276A1" w:rsidRDefault="004D6753" w:rsidP="00F62BB1">
      <w:pPr>
        <w:spacing w:after="0" w:line="240" w:lineRule="auto"/>
        <w:ind w:left="426"/>
        <w:contextualSpacing/>
        <w:jc w:val="both"/>
        <w:rPr>
          <w:szCs w:val="24"/>
        </w:rPr>
      </w:pPr>
    </w:p>
    <w:p w14:paraId="24AAF83C" w14:textId="77777777" w:rsidR="00F62BB1" w:rsidRPr="004276A1" w:rsidRDefault="00F62BB1" w:rsidP="00F62BB1">
      <w:pPr>
        <w:spacing w:after="0" w:line="240" w:lineRule="auto"/>
        <w:contextualSpacing/>
        <w:jc w:val="both"/>
        <w:rPr>
          <w:szCs w:val="24"/>
        </w:rPr>
      </w:pPr>
    </w:p>
    <w:p w14:paraId="4E01D4BC" w14:textId="77777777" w:rsidR="00F62BB1" w:rsidRDefault="00F62BB1" w:rsidP="00F62BB1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 w:rsidRPr="004276A1">
        <w:rPr>
          <w:szCs w:val="24"/>
        </w:rPr>
        <w:t>V čl. III bode 7 § 115 ods. 1 sa slovo „vozidla,“ nahrádza slovami „vozidla; to neplatí pri emisnej kontrole zvláštnej.“.</w:t>
      </w:r>
    </w:p>
    <w:p w14:paraId="793604AB" w14:textId="77777777" w:rsidR="004D6753" w:rsidRDefault="004D6753" w:rsidP="004D6753">
      <w:pPr>
        <w:spacing w:after="0" w:line="240" w:lineRule="auto"/>
        <w:jc w:val="both"/>
        <w:rPr>
          <w:szCs w:val="24"/>
        </w:rPr>
      </w:pPr>
    </w:p>
    <w:p w14:paraId="7B0BFD8B" w14:textId="77777777" w:rsidR="004D6753" w:rsidRPr="004276A1" w:rsidRDefault="004D6753" w:rsidP="004D6753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Z dôvodu nastolenia rovnakých účinkov pri zistení nespôsobilosti v rámci technickej alebo emisnej kontroly je potrebné upraviť pozastavenie prevádzky vozidla aj v prípade, ak sa pri technickej alebo </w:t>
      </w:r>
      <w:r w:rsidRPr="004276A1">
        <w:rPr>
          <w:szCs w:val="24"/>
        </w:rPr>
        <w:lastRenderedPageBreak/>
        <w:t xml:space="preserve">emisnej kontrole zistí, že pre vozidlo nie je 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160AA4AD" w14:textId="77777777" w:rsidR="004D6753" w:rsidRPr="004276A1" w:rsidRDefault="004D6753" w:rsidP="004D6753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spojeným s vozidlom, kde nie je potrebné vykonávať kontrolu platnosti povinného zmluvného poistenia. Kontrola povinného zmluvného poistenia ostáva pri ostatných druhoch kontrol, kde sa určuje aj platnosť danej kontroly.</w:t>
      </w:r>
      <w:r w:rsidRPr="004276A1">
        <w:rPr>
          <w:szCs w:val="24"/>
        </w:rPr>
        <w:tab/>
      </w:r>
    </w:p>
    <w:p w14:paraId="6AC3F7F2" w14:textId="77777777" w:rsidR="004D6753" w:rsidRPr="004D6753" w:rsidRDefault="004D6753" w:rsidP="004D6753">
      <w:pPr>
        <w:spacing w:after="0" w:line="240" w:lineRule="auto"/>
        <w:jc w:val="both"/>
        <w:rPr>
          <w:szCs w:val="24"/>
        </w:rPr>
      </w:pPr>
    </w:p>
    <w:p w14:paraId="374B2051" w14:textId="77777777" w:rsidR="00F62BB1" w:rsidRPr="004276A1" w:rsidRDefault="00F62BB1" w:rsidP="00F62BB1">
      <w:pPr>
        <w:spacing w:after="0" w:line="240" w:lineRule="auto"/>
        <w:ind w:left="284" w:hanging="284"/>
        <w:contextualSpacing/>
        <w:jc w:val="both"/>
        <w:rPr>
          <w:szCs w:val="24"/>
        </w:rPr>
      </w:pPr>
    </w:p>
    <w:p w14:paraId="58238C1B" w14:textId="77777777" w:rsidR="00F62BB1" w:rsidRPr="004276A1" w:rsidRDefault="00F62BB1" w:rsidP="00F62BB1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 w:rsidRPr="004276A1">
        <w:rPr>
          <w:szCs w:val="24"/>
        </w:rPr>
        <w:t>V čl. III sa za bod 9 vkladá nový bod 10, ktorý znie:</w:t>
      </w:r>
    </w:p>
    <w:p w14:paraId="66C2C8FD" w14:textId="77777777" w:rsidR="00F62BB1" w:rsidRPr="004276A1" w:rsidRDefault="00F62BB1" w:rsidP="00F62BB1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 xml:space="preserve">„10. V § 121 odsek 1 znie: </w:t>
      </w:r>
    </w:p>
    <w:p w14:paraId="59A5824D" w14:textId="77777777" w:rsidR="00F62BB1" w:rsidRPr="004276A1" w:rsidRDefault="00F62BB1" w:rsidP="00F62BB1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szCs w:val="24"/>
        </w:rPr>
      </w:pPr>
      <w:r w:rsidRPr="004276A1">
        <w:rPr>
          <w:szCs w:val="24"/>
        </w:rPr>
        <w:t>„(1) Ak je pri emisnej kontrole vozidlo hodnotené ako „nespôsobilé na prevádzku v cestnej premávke“ podľa § 119 ods. 5, prevádzka vozidla sa pozastaví podľa § 47.“.“.</w:t>
      </w:r>
    </w:p>
    <w:p w14:paraId="3D84AF7F" w14:textId="77777777" w:rsidR="00F62BB1" w:rsidRPr="004276A1" w:rsidRDefault="00F62BB1" w:rsidP="00F62BB1">
      <w:pPr>
        <w:pStyle w:val="Odsekzoznamu"/>
        <w:tabs>
          <w:tab w:val="left" w:pos="851"/>
        </w:tabs>
        <w:spacing w:after="0" w:line="240" w:lineRule="auto"/>
        <w:ind w:left="284"/>
        <w:jc w:val="both"/>
        <w:rPr>
          <w:szCs w:val="24"/>
        </w:rPr>
      </w:pPr>
    </w:p>
    <w:p w14:paraId="264D67B7" w14:textId="77777777" w:rsidR="00F62BB1" w:rsidRPr="004276A1" w:rsidRDefault="00F62BB1" w:rsidP="00F62BB1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>Nasledujúci bod  sa primerane prečísluje.</w:t>
      </w:r>
    </w:p>
    <w:p w14:paraId="0290A363" w14:textId="77777777" w:rsidR="00F62BB1" w:rsidRPr="004276A1" w:rsidRDefault="00F62BB1" w:rsidP="00F62BB1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01D8C085" w14:textId="77777777" w:rsidR="00F62BB1" w:rsidRPr="004276A1" w:rsidRDefault="00F62BB1" w:rsidP="00F62BB1">
      <w:pPr>
        <w:pStyle w:val="Odsekzoznamu"/>
        <w:spacing w:after="0" w:line="240" w:lineRule="auto"/>
        <w:ind w:left="426"/>
        <w:jc w:val="both"/>
        <w:rPr>
          <w:szCs w:val="24"/>
        </w:rPr>
      </w:pPr>
      <w:r w:rsidRPr="004276A1">
        <w:rPr>
          <w:szCs w:val="24"/>
        </w:rPr>
        <w:t xml:space="preserve">Účinnosť tohto bodu sa navrhuje od 1. </w:t>
      </w:r>
      <w:r>
        <w:rPr>
          <w:szCs w:val="24"/>
        </w:rPr>
        <w:t>októbra</w:t>
      </w:r>
      <w:r w:rsidRPr="004276A1">
        <w:rPr>
          <w:szCs w:val="24"/>
        </w:rPr>
        <w:t xml:space="preserve"> 2026.</w:t>
      </w:r>
    </w:p>
    <w:p w14:paraId="735E6098" w14:textId="77777777" w:rsidR="00F62BB1" w:rsidRPr="004276A1" w:rsidRDefault="00F62BB1" w:rsidP="00F62BB1">
      <w:pPr>
        <w:pStyle w:val="Odsekzoznamu"/>
        <w:spacing w:after="0" w:line="240" w:lineRule="auto"/>
        <w:ind w:left="426"/>
        <w:jc w:val="both"/>
        <w:rPr>
          <w:szCs w:val="24"/>
        </w:rPr>
      </w:pPr>
    </w:p>
    <w:p w14:paraId="25A2E061" w14:textId="77777777" w:rsidR="00F62BB1" w:rsidRPr="004276A1" w:rsidRDefault="00F62BB1" w:rsidP="00F62BB1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Z dôvodu nastolenia rovnakých účinkov pri zistení nespôsobilosti v rámci technickej alebo emisnej kontroly je potrebné upraviť pozastavenie prevádzky vozidla aj v prípade, ak sa pri technickej alebo emisnej kontrole zistí, že pre vozidlo nie je uzatvorené povinné zmluvné poistenie zodpovednosti. Ak vozidlo bude z tohto dôvodu pri emisnej alebo technickej kontrole hodnotené ako „nespôsobilé na prevádzku v cestnej premávke“, jeho prevádzka bude pozastavená a bude sa ďalej postupovať podľa § 47 zákona č. 106/2018 Z. z. o prevádzke vozidiel v cestnej premávke ako pri ostatných dôvodoch nespôsobilosti na prevádzku. </w:t>
      </w:r>
    </w:p>
    <w:p w14:paraId="7486A507" w14:textId="77777777" w:rsidR="00F62BB1" w:rsidRPr="004276A1" w:rsidRDefault="00F62BB1" w:rsidP="00F62BB1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 xml:space="preserve">Navrhuje sa zároveň vypustiť kontrola PZP pri technickej kontrole zvláštnej a emisnej kontrole zvláštnej. Pri týchto typoch kontrol sa neurčuje platnosť a slúži iba na zistenie chýb na vozidle pre prevádzkovateľa vozidla, alebo táto kontrola slúži na vykonanie určitého administratívneho úkonu </w:t>
      </w:r>
      <w:r w:rsidRPr="004276A1">
        <w:rPr>
          <w:szCs w:val="24"/>
        </w:rPr>
        <w:lastRenderedPageBreak/>
        <w:t>spojeným s vozidlom, kde nie je potrebné vykonávať kontrolu platnosti povinného zmluvného poistenia. Kontrola povinného zmluvného poistenia ostáva pri ostatných druhoch kontrol, kde sa určuje aj platnosť danej kontroly.</w:t>
      </w:r>
      <w:r w:rsidRPr="004276A1">
        <w:rPr>
          <w:szCs w:val="24"/>
        </w:rPr>
        <w:tab/>
      </w:r>
    </w:p>
    <w:p w14:paraId="6C75FBCB" w14:textId="77777777" w:rsidR="00F62BB1" w:rsidRDefault="00F62BB1" w:rsidP="00F62BB1">
      <w:pPr>
        <w:spacing w:after="0" w:line="240" w:lineRule="auto"/>
        <w:contextualSpacing/>
        <w:jc w:val="both"/>
        <w:rPr>
          <w:szCs w:val="24"/>
        </w:rPr>
      </w:pPr>
      <w:r w:rsidRPr="004276A1">
        <w:rPr>
          <w:szCs w:val="24"/>
        </w:rPr>
        <w:t xml:space="preserve"> </w:t>
      </w:r>
    </w:p>
    <w:p w14:paraId="05499D80" w14:textId="77777777" w:rsidR="00F62BB1" w:rsidRDefault="00F62BB1" w:rsidP="00F62BB1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 w:rsidRPr="00D961EC">
        <w:rPr>
          <w:szCs w:val="24"/>
        </w:rPr>
        <w:t xml:space="preserve">Čl. I body 6 až 8, § 25 ods. 13 v bode 12 a bod 13 nadobúdajú účinnosť 1. </w:t>
      </w:r>
      <w:r>
        <w:rPr>
          <w:szCs w:val="24"/>
        </w:rPr>
        <w:t>októbra</w:t>
      </w:r>
      <w:r w:rsidRPr="00D961EC">
        <w:rPr>
          <w:szCs w:val="24"/>
        </w:rPr>
        <w:t xml:space="preserve"> 2026, čo sa premietne do ustanovenia  o účinnosti návrhu zákona.</w:t>
      </w:r>
    </w:p>
    <w:p w14:paraId="742BE9A0" w14:textId="77777777" w:rsidR="00F62BB1" w:rsidRDefault="00F62BB1" w:rsidP="00F62BB1">
      <w:pPr>
        <w:spacing w:after="0" w:line="240" w:lineRule="auto"/>
        <w:contextualSpacing/>
        <w:jc w:val="both"/>
        <w:rPr>
          <w:szCs w:val="24"/>
        </w:rPr>
      </w:pPr>
    </w:p>
    <w:p w14:paraId="6A5D2B21" w14:textId="77777777" w:rsidR="00F62BB1" w:rsidRDefault="00F62BB1" w:rsidP="00F62BB1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>V súlade s deklarovaným úmyslom, aby jednotlivé kroky, ktoré sú vo vládnom návrhu zákona navrhované, na seba časovo logicky nadväzovali, je potrebné, aby aj ustanovenia v čl. I o objektívnej zodpovednosti a o poskytovaní informácií technickým službám nadobudli účinnosť až v neskoršom dátume.</w:t>
      </w:r>
    </w:p>
    <w:p w14:paraId="134C7ED6" w14:textId="77777777" w:rsidR="00F62BB1" w:rsidRDefault="00F62BB1" w:rsidP="00F62BB1">
      <w:pPr>
        <w:spacing w:after="0" w:line="240" w:lineRule="auto"/>
        <w:contextualSpacing/>
        <w:jc w:val="both"/>
        <w:rPr>
          <w:szCs w:val="24"/>
        </w:rPr>
      </w:pPr>
    </w:p>
    <w:p w14:paraId="78AA9628" w14:textId="77777777" w:rsidR="00F62BB1" w:rsidRDefault="00F62BB1" w:rsidP="00F62BB1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szCs w:val="24"/>
        </w:rPr>
      </w:pPr>
      <w:r w:rsidRPr="00D961EC">
        <w:rPr>
          <w:szCs w:val="24"/>
        </w:rPr>
        <w:t xml:space="preserve">V čl. IV sa slová „1. mája“ nahrádzajú slovami „1. </w:t>
      </w:r>
      <w:r>
        <w:rPr>
          <w:szCs w:val="24"/>
        </w:rPr>
        <w:t>augusta</w:t>
      </w:r>
      <w:r w:rsidRPr="00D961EC">
        <w:rPr>
          <w:szCs w:val="24"/>
        </w:rPr>
        <w:t xml:space="preserve">“ a slová „1. júla“ sa nahrádzajú slovami „1. </w:t>
      </w:r>
      <w:r>
        <w:rPr>
          <w:szCs w:val="24"/>
        </w:rPr>
        <w:t>októbra</w:t>
      </w:r>
      <w:r w:rsidRPr="00D961EC">
        <w:rPr>
          <w:szCs w:val="24"/>
        </w:rPr>
        <w:t>“.“.</w:t>
      </w:r>
    </w:p>
    <w:p w14:paraId="434F6222" w14:textId="77777777" w:rsidR="00F62BB1" w:rsidRPr="004276A1" w:rsidRDefault="00F62BB1" w:rsidP="00F62BB1">
      <w:pPr>
        <w:spacing w:after="0" w:line="240" w:lineRule="auto"/>
        <w:contextualSpacing/>
        <w:jc w:val="both"/>
        <w:rPr>
          <w:szCs w:val="24"/>
        </w:rPr>
      </w:pPr>
    </w:p>
    <w:p w14:paraId="2EF3714D" w14:textId="77777777" w:rsidR="00F62BB1" w:rsidRPr="004276A1" w:rsidRDefault="00F62BB1" w:rsidP="00F62BB1">
      <w:pPr>
        <w:spacing w:after="0" w:line="240" w:lineRule="auto"/>
        <w:ind w:left="3969"/>
        <w:contextualSpacing/>
        <w:jc w:val="both"/>
        <w:rPr>
          <w:szCs w:val="24"/>
        </w:rPr>
      </w:pPr>
      <w:r w:rsidRPr="004276A1">
        <w:rPr>
          <w:szCs w:val="24"/>
        </w:rPr>
        <w:t>Vzhľadom na zachovanie všetkých lehôt vyplývajúcich zo štandardného legislatívneho procesu, je potrebn</w:t>
      </w:r>
      <w:r>
        <w:rPr>
          <w:szCs w:val="24"/>
        </w:rPr>
        <w:t>é posunúť nadobudnutie oboch účinností</w:t>
      </w:r>
      <w:r w:rsidRPr="004276A1">
        <w:rPr>
          <w:szCs w:val="24"/>
        </w:rPr>
        <w:t xml:space="preserve"> o jeden mesiac.</w:t>
      </w:r>
    </w:p>
    <w:p w14:paraId="560B4105" w14:textId="77777777" w:rsidR="00F62BB1" w:rsidRPr="005A16D9" w:rsidRDefault="00F62BB1" w:rsidP="0056771A">
      <w:pPr>
        <w:rPr>
          <w:b/>
          <w:bCs/>
          <w:color w:val="000000" w:themeColor="text1"/>
          <w:szCs w:val="24"/>
        </w:rPr>
      </w:pPr>
    </w:p>
    <w:sectPr w:rsidR="00F62BB1" w:rsidRPr="005A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EF8"/>
    <w:multiLevelType w:val="hybridMultilevel"/>
    <w:tmpl w:val="D9448D86"/>
    <w:lvl w:ilvl="0" w:tplc="E4507C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0548C0"/>
    <w:multiLevelType w:val="hybridMultilevel"/>
    <w:tmpl w:val="34341DC8"/>
    <w:lvl w:ilvl="0" w:tplc="D5FE0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329A"/>
    <w:multiLevelType w:val="hybridMultilevel"/>
    <w:tmpl w:val="5F440BBC"/>
    <w:lvl w:ilvl="0" w:tplc="A7201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5272"/>
    <w:multiLevelType w:val="hybridMultilevel"/>
    <w:tmpl w:val="0540C3CA"/>
    <w:lvl w:ilvl="0" w:tplc="D2520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9847771"/>
    <w:multiLevelType w:val="hybridMultilevel"/>
    <w:tmpl w:val="83805A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 w16cid:durableId="90865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358539">
    <w:abstractNumId w:val="13"/>
  </w:num>
  <w:num w:numId="3" w16cid:durableId="303050760">
    <w:abstractNumId w:val="0"/>
  </w:num>
  <w:num w:numId="4" w16cid:durableId="1829592426">
    <w:abstractNumId w:val="11"/>
  </w:num>
  <w:num w:numId="5" w16cid:durableId="1919439112">
    <w:abstractNumId w:val="7"/>
  </w:num>
  <w:num w:numId="6" w16cid:durableId="1924682473">
    <w:abstractNumId w:val="6"/>
  </w:num>
  <w:num w:numId="7" w16cid:durableId="995230163">
    <w:abstractNumId w:val="10"/>
  </w:num>
  <w:num w:numId="8" w16cid:durableId="1899198216">
    <w:abstractNumId w:val="14"/>
  </w:num>
  <w:num w:numId="9" w16cid:durableId="1865705213">
    <w:abstractNumId w:val="15"/>
  </w:num>
  <w:num w:numId="10" w16cid:durableId="432358328">
    <w:abstractNumId w:val="4"/>
  </w:num>
  <w:num w:numId="11" w16cid:durableId="822742754">
    <w:abstractNumId w:val="9"/>
  </w:num>
  <w:num w:numId="12" w16cid:durableId="61102728">
    <w:abstractNumId w:val="1"/>
  </w:num>
  <w:num w:numId="13" w16cid:durableId="1565094531">
    <w:abstractNumId w:val="2"/>
  </w:num>
  <w:num w:numId="14" w16cid:durableId="1805809259">
    <w:abstractNumId w:val="8"/>
  </w:num>
  <w:num w:numId="15" w16cid:durableId="275019236">
    <w:abstractNumId w:val="5"/>
  </w:num>
  <w:num w:numId="16" w16cid:durableId="44901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C8B"/>
    <w:rsid w:val="0008109D"/>
    <w:rsid w:val="00093929"/>
    <w:rsid w:val="000943D0"/>
    <w:rsid w:val="000A72A6"/>
    <w:rsid w:val="000C6E11"/>
    <w:rsid w:val="000D3CB3"/>
    <w:rsid w:val="000D6798"/>
    <w:rsid w:val="000E30E2"/>
    <w:rsid w:val="00100860"/>
    <w:rsid w:val="00113ED7"/>
    <w:rsid w:val="00124A08"/>
    <w:rsid w:val="0016254C"/>
    <w:rsid w:val="00210C52"/>
    <w:rsid w:val="00210F86"/>
    <w:rsid w:val="00231090"/>
    <w:rsid w:val="0024461B"/>
    <w:rsid w:val="00251F1D"/>
    <w:rsid w:val="00267416"/>
    <w:rsid w:val="002770DF"/>
    <w:rsid w:val="002933CB"/>
    <w:rsid w:val="002D06BE"/>
    <w:rsid w:val="002D4BB7"/>
    <w:rsid w:val="002E206A"/>
    <w:rsid w:val="002E56D8"/>
    <w:rsid w:val="003238EC"/>
    <w:rsid w:val="00327427"/>
    <w:rsid w:val="00351DC0"/>
    <w:rsid w:val="00361745"/>
    <w:rsid w:val="003652DA"/>
    <w:rsid w:val="00365ACF"/>
    <w:rsid w:val="0037772C"/>
    <w:rsid w:val="003B610A"/>
    <w:rsid w:val="003D7EF4"/>
    <w:rsid w:val="004400F9"/>
    <w:rsid w:val="0048576A"/>
    <w:rsid w:val="00486248"/>
    <w:rsid w:val="004865E3"/>
    <w:rsid w:val="00495D43"/>
    <w:rsid w:val="004B714A"/>
    <w:rsid w:val="004C571B"/>
    <w:rsid w:val="004C6088"/>
    <w:rsid w:val="004D20EA"/>
    <w:rsid w:val="004D6753"/>
    <w:rsid w:val="004F5C11"/>
    <w:rsid w:val="00501E53"/>
    <w:rsid w:val="00505D02"/>
    <w:rsid w:val="0051183A"/>
    <w:rsid w:val="00531796"/>
    <w:rsid w:val="0055586F"/>
    <w:rsid w:val="00562682"/>
    <w:rsid w:val="00562F37"/>
    <w:rsid w:val="0056461F"/>
    <w:rsid w:val="0056771A"/>
    <w:rsid w:val="00586F4B"/>
    <w:rsid w:val="00596447"/>
    <w:rsid w:val="005964B7"/>
    <w:rsid w:val="005A16D9"/>
    <w:rsid w:val="005A300B"/>
    <w:rsid w:val="005C1DC6"/>
    <w:rsid w:val="005C75E0"/>
    <w:rsid w:val="00632FB0"/>
    <w:rsid w:val="00645C9C"/>
    <w:rsid w:val="00674761"/>
    <w:rsid w:val="00684C89"/>
    <w:rsid w:val="00685D1C"/>
    <w:rsid w:val="006B6E3B"/>
    <w:rsid w:val="006C2A9E"/>
    <w:rsid w:val="006C43F5"/>
    <w:rsid w:val="006C4A44"/>
    <w:rsid w:val="006D61CF"/>
    <w:rsid w:val="00736BA8"/>
    <w:rsid w:val="007436E6"/>
    <w:rsid w:val="007455D8"/>
    <w:rsid w:val="0075059C"/>
    <w:rsid w:val="007634B9"/>
    <w:rsid w:val="007D7CF0"/>
    <w:rsid w:val="007F4D61"/>
    <w:rsid w:val="007F51A4"/>
    <w:rsid w:val="00820305"/>
    <w:rsid w:val="00820DF8"/>
    <w:rsid w:val="0082115B"/>
    <w:rsid w:val="00821C63"/>
    <w:rsid w:val="00824ABB"/>
    <w:rsid w:val="00853FF3"/>
    <w:rsid w:val="00857149"/>
    <w:rsid w:val="00873EB9"/>
    <w:rsid w:val="008A7F41"/>
    <w:rsid w:val="008B1F3F"/>
    <w:rsid w:val="008B53C6"/>
    <w:rsid w:val="008E1862"/>
    <w:rsid w:val="008F514A"/>
    <w:rsid w:val="00997D05"/>
    <w:rsid w:val="009E24F1"/>
    <w:rsid w:val="00A05127"/>
    <w:rsid w:val="00A11DAC"/>
    <w:rsid w:val="00A41337"/>
    <w:rsid w:val="00A8177F"/>
    <w:rsid w:val="00AC2AEB"/>
    <w:rsid w:val="00AF1F4C"/>
    <w:rsid w:val="00B0282D"/>
    <w:rsid w:val="00B05BCC"/>
    <w:rsid w:val="00B17964"/>
    <w:rsid w:val="00B22203"/>
    <w:rsid w:val="00B71DA9"/>
    <w:rsid w:val="00B9242B"/>
    <w:rsid w:val="00BA0B63"/>
    <w:rsid w:val="00BB200D"/>
    <w:rsid w:val="00BB3F1F"/>
    <w:rsid w:val="00BD0F52"/>
    <w:rsid w:val="00BE0C2D"/>
    <w:rsid w:val="00BF7377"/>
    <w:rsid w:val="00C02641"/>
    <w:rsid w:val="00C10451"/>
    <w:rsid w:val="00CB17C2"/>
    <w:rsid w:val="00CB223A"/>
    <w:rsid w:val="00CC0843"/>
    <w:rsid w:val="00CD0178"/>
    <w:rsid w:val="00CE2DFF"/>
    <w:rsid w:val="00CE7146"/>
    <w:rsid w:val="00CF3138"/>
    <w:rsid w:val="00D107A5"/>
    <w:rsid w:val="00D21A00"/>
    <w:rsid w:val="00D23454"/>
    <w:rsid w:val="00D64948"/>
    <w:rsid w:val="00D672CF"/>
    <w:rsid w:val="00D70F13"/>
    <w:rsid w:val="00D90559"/>
    <w:rsid w:val="00D92888"/>
    <w:rsid w:val="00DC42F5"/>
    <w:rsid w:val="00DD49B4"/>
    <w:rsid w:val="00DF3F7F"/>
    <w:rsid w:val="00E327B0"/>
    <w:rsid w:val="00E80831"/>
    <w:rsid w:val="00E879C6"/>
    <w:rsid w:val="00E970A9"/>
    <w:rsid w:val="00EA26B1"/>
    <w:rsid w:val="00ED5EB2"/>
    <w:rsid w:val="00EF1B09"/>
    <w:rsid w:val="00EF7736"/>
    <w:rsid w:val="00F211DC"/>
    <w:rsid w:val="00F54E47"/>
    <w:rsid w:val="00F55CC7"/>
    <w:rsid w:val="00F62BB1"/>
    <w:rsid w:val="00F86FEF"/>
    <w:rsid w:val="00F93E52"/>
    <w:rsid w:val="00F94890"/>
    <w:rsid w:val="00FB3D7C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D287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3D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56</cp:revision>
  <dcterms:created xsi:type="dcterms:W3CDTF">2024-11-21T13:50:00Z</dcterms:created>
  <dcterms:modified xsi:type="dcterms:W3CDTF">2026-04-13T12:29:00Z</dcterms:modified>
</cp:coreProperties>
</file>