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9E90" w14:textId="77777777" w:rsidR="00325DAB" w:rsidRPr="00D84897" w:rsidRDefault="00493B8D">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D84897">
        <w:rPr>
          <w:rFonts w:ascii="Times New Roman" w:hAnsi="Times New Roman"/>
          <w:b/>
          <w:color w:val="000000"/>
          <w:sz w:val="44"/>
          <w:lang w:val="sk-SK"/>
        </w:rPr>
        <w:t>36/2005 Z. z.</w:t>
      </w:r>
    </w:p>
    <w:p w14:paraId="2BC5C218" w14:textId="77777777" w:rsidR="00325DAB" w:rsidRPr="00D84897" w:rsidRDefault="00493B8D">
      <w:pPr>
        <w:spacing w:before="269" w:after="269"/>
        <w:ind w:left="120"/>
        <w:jc w:val="center"/>
        <w:rPr>
          <w:lang w:val="sk-SK"/>
        </w:rPr>
      </w:pPr>
      <w:r w:rsidRPr="00D84897">
        <w:rPr>
          <w:rFonts w:ascii="Times New Roman" w:hAnsi="Times New Roman"/>
          <w:b/>
          <w:color w:val="000000"/>
          <w:lang w:val="sk-SK"/>
        </w:rPr>
        <w:t xml:space="preserve">Časová verzia predpisu účinná od 01.08.2025 </w:t>
      </w:r>
    </w:p>
    <w:bookmarkEnd w:id="0"/>
    <w:p w14:paraId="5CB3ED02" w14:textId="77777777" w:rsidR="00325DAB" w:rsidRPr="00D84897" w:rsidRDefault="00325DAB">
      <w:pPr>
        <w:spacing w:after="0"/>
        <w:ind w:left="120"/>
        <w:rPr>
          <w:lang w:val="sk-SK"/>
        </w:rPr>
      </w:pPr>
    </w:p>
    <w:p w14:paraId="7D983AD7" w14:textId="77777777" w:rsidR="00325DAB" w:rsidRPr="00D84897" w:rsidRDefault="00493B8D">
      <w:pPr>
        <w:pBdr>
          <w:bottom w:val="none" w:sz="0" w:space="15" w:color="auto"/>
        </w:pBdr>
        <w:spacing w:after="0" w:line="264" w:lineRule="auto"/>
        <w:ind w:left="120"/>
        <w:jc w:val="center"/>
        <w:rPr>
          <w:lang w:val="sk-SK"/>
        </w:rPr>
      </w:pPr>
      <w:bookmarkStart w:id="5" w:name="predpis.oznacenie"/>
      <w:r w:rsidRPr="00D84897">
        <w:rPr>
          <w:rFonts w:ascii="Times New Roman" w:hAnsi="Times New Roman"/>
          <w:color w:val="000000"/>
          <w:sz w:val="34"/>
          <w:lang w:val="sk-SK"/>
        </w:rPr>
        <w:t xml:space="preserve"> 36 </w:t>
      </w:r>
    </w:p>
    <w:bookmarkEnd w:id="5"/>
    <w:p w14:paraId="5416577F" w14:textId="77777777" w:rsidR="00325DAB" w:rsidRPr="00D84897" w:rsidRDefault="00325DAB">
      <w:pPr>
        <w:spacing w:after="0"/>
        <w:ind w:left="120"/>
        <w:rPr>
          <w:lang w:val="sk-SK"/>
        </w:rPr>
      </w:pPr>
    </w:p>
    <w:p w14:paraId="782773AE" w14:textId="77777777" w:rsidR="00325DAB" w:rsidRPr="00D84897" w:rsidRDefault="00493B8D">
      <w:pPr>
        <w:spacing w:after="0" w:line="264" w:lineRule="auto"/>
        <w:ind w:left="120"/>
        <w:jc w:val="center"/>
        <w:rPr>
          <w:lang w:val="sk-SK"/>
        </w:rPr>
      </w:pPr>
      <w:bookmarkStart w:id="6" w:name="predpis.typ"/>
      <w:r w:rsidRPr="00D84897">
        <w:rPr>
          <w:rFonts w:ascii="Times New Roman" w:hAnsi="Times New Roman"/>
          <w:b/>
          <w:color w:val="000000"/>
          <w:lang w:val="sk-SK"/>
        </w:rPr>
        <w:t xml:space="preserve"> ZÁKON </w:t>
      </w:r>
    </w:p>
    <w:bookmarkEnd w:id="6"/>
    <w:p w14:paraId="1C8DE488" w14:textId="77777777" w:rsidR="00325DAB" w:rsidRPr="00D84897" w:rsidRDefault="00325DAB">
      <w:pPr>
        <w:spacing w:after="0"/>
        <w:ind w:left="120"/>
        <w:rPr>
          <w:lang w:val="sk-SK"/>
        </w:rPr>
      </w:pPr>
    </w:p>
    <w:p w14:paraId="0A84F4B9" w14:textId="77777777" w:rsidR="00325DAB" w:rsidRPr="00D84897" w:rsidRDefault="00493B8D">
      <w:pPr>
        <w:spacing w:after="0" w:line="264" w:lineRule="auto"/>
        <w:ind w:left="120"/>
        <w:jc w:val="center"/>
        <w:rPr>
          <w:lang w:val="sk-SK"/>
        </w:rPr>
      </w:pPr>
      <w:bookmarkStart w:id="7" w:name="predpis.datum"/>
      <w:r w:rsidRPr="00D84897">
        <w:rPr>
          <w:rFonts w:ascii="Times New Roman" w:hAnsi="Times New Roman"/>
          <w:color w:val="494949"/>
          <w:sz w:val="21"/>
          <w:lang w:val="sk-SK"/>
        </w:rPr>
        <w:t xml:space="preserve"> z 19. januára 2005 </w:t>
      </w:r>
    </w:p>
    <w:bookmarkEnd w:id="7"/>
    <w:p w14:paraId="29AD2357" w14:textId="77777777" w:rsidR="00325DAB" w:rsidRPr="00D84897" w:rsidRDefault="00325DAB">
      <w:pPr>
        <w:spacing w:after="0"/>
        <w:ind w:left="120"/>
        <w:rPr>
          <w:lang w:val="sk-SK"/>
        </w:rPr>
      </w:pPr>
    </w:p>
    <w:p w14:paraId="72319B0B" w14:textId="77777777" w:rsidR="00325DAB" w:rsidRPr="00D84897" w:rsidRDefault="00493B8D">
      <w:pPr>
        <w:pBdr>
          <w:bottom w:val="single" w:sz="8" w:space="8" w:color="EFEFEF"/>
        </w:pBdr>
        <w:spacing w:after="0" w:line="264" w:lineRule="auto"/>
        <w:ind w:left="120"/>
        <w:jc w:val="center"/>
        <w:rPr>
          <w:lang w:val="sk-SK"/>
        </w:rPr>
      </w:pPr>
      <w:bookmarkStart w:id="8" w:name="predpis.nadpis"/>
      <w:r w:rsidRPr="00D84897">
        <w:rPr>
          <w:rFonts w:ascii="Times New Roman" w:hAnsi="Times New Roman"/>
          <w:b/>
          <w:color w:val="000000"/>
          <w:lang w:val="sk-SK"/>
        </w:rPr>
        <w:t xml:space="preserve"> o rodine a o zmene a doplnení niektorých zákonov </w:t>
      </w:r>
    </w:p>
    <w:bookmarkEnd w:id="8"/>
    <w:p w14:paraId="7415D80C" w14:textId="77777777" w:rsidR="00325DAB" w:rsidRPr="00D84897" w:rsidRDefault="00493B8D">
      <w:pPr>
        <w:spacing w:after="0"/>
        <w:ind w:left="120"/>
        <w:rPr>
          <w:lang w:val="sk-SK"/>
        </w:rPr>
      </w:pPr>
      <w:r w:rsidRPr="00D84897">
        <w:rPr>
          <w:rFonts w:ascii="Times New Roman" w:hAnsi="Times New Roman"/>
          <w:color w:val="000000"/>
          <w:lang w:val="sk-SK"/>
        </w:rPr>
        <w:t xml:space="preserve"> </w:t>
      </w:r>
      <w:bookmarkStart w:id="9" w:name="predpis.text"/>
      <w:r w:rsidRPr="00D84897">
        <w:rPr>
          <w:rFonts w:ascii="Times New Roman" w:hAnsi="Times New Roman"/>
          <w:color w:val="000000"/>
          <w:lang w:val="sk-SK"/>
        </w:rPr>
        <w:t xml:space="preserve">Národná rada Slovenskej republiky sa uzniesla na tomto zákone: </w:t>
      </w:r>
      <w:bookmarkEnd w:id="9"/>
    </w:p>
    <w:p w14:paraId="050E4983" w14:textId="77777777" w:rsidR="00D84897" w:rsidRPr="00D84897" w:rsidRDefault="00493B8D">
      <w:pPr>
        <w:spacing w:after="0" w:line="264" w:lineRule="auto"/>
        <w:ind w:left="195"/>
        <w:rPr>
          <w:rFonts w:ascii="Times New Roman" w:hAnsi="Times New Roman"/>
          <w:color w:val="000000"/>
          <w:lang w:val="sk-SK"/>
        </w:rPr>
      </w:pPr>
      <w:bookmarkStart w:id="10" w:name="predpis.clanok-1.oznacenie"/>
      <w:bookmarkStart w:id="11" w:name="predpis.clanok-1"/>
      <w:r w:rsidRPr="00D84897">
        <w:rPr>
          <w:rFonts w:ascii="Times New Roman" w:hAnsi="Times New Roman"/>
          <w:color w:val="000000"/>
          <w:lang w:val="sk-SK"/>
        </w:rPr>
        <w:t xml:space="preserve"> </w:t>
      </w:r>
    </w:p>
    <w:p w14:paraId="1026D187" w14:textId="77777777" w:rsidR="00325DAB" w:rsidRPr="00D84897" w:rsidRDefault="00493B8D">
      <w:pPr>
        <w:spacing w:after="0" w:line="264" w:lineRule="auto"/>
        <w:ind w:left="195"/>
        <w:rPr>
          <w:lang w:val="es-ES"/>
        </w:rPr>
      </w:pPr>
      <w:r w:rsidRPr="00D84897">
        <w:rPr>
          <w:rFonts w:ascii="Times New Roman" w:hAnsi="Times New Roman"/>
          <w:color w:val="000000"/>
          <w:lang w:val="es-ES"/>
        </w:rPr>
        <w:t xml:space="preserve">Čl. I </w:t>
      </w:r>
    </w:p>
    <w:p w14:paraId="3C40DE97" w14:textId="77777777" w:rsidR="00325DAB" w:rsidRDefault="00493B8D">
      <w:pPr>
        <w:spacing w:after="0" w:line="264" w:lineRule="auto"/>
        <w:ind w:left="270"/>
        <w:rPr>
          <w:rFonts w:ascii="Times New Roman" w:hAnsi="Times New Roman"/>
          <w:color w:val="000000"/>
          <w:lang w:val="es-ES"/>
        </w:rPr>
      </w:pPr>
      <w:bookmarkStart w:id="12" w:name="predpis.clanok-1.skupinaElementov-zaklad"/>
      <w:bookmarkEnd w:id="10"/>
      <w:r w:rsidRPr="00D84897">
        <w:rPr>
          <w:rFonts w:ascii="Times New Roman" w:hAnsi="Times New Roman"/>
          <w:color w:val="000000"/>
          <w:lang w:val="es-ES"/>
        </w:rPr>
        <w:t xml:space="preserve"> Základné zásady </w:t>
      </w:r>
    </w:p>
    <w:p w14:paraId="1FA829B0" w14:textId="77777777" w:rsidR="00D84897" w:rsidRPr="00E239C0" w:rsidRDefault="00D84897" w:rsidP="00D84897">
      <w:pPr>
        <w:spacing w:after="0" w:line="264" w:lineRule="auto"/>
        <w:rPr>
          <w:rFonts w:ascii="Times New Roman" w:hAnsi="Times New Roman" w:cs="Times New Roman"/>
          <w:color w:val="000000"/>
          <w:lang w:val="es-ES"/>
        </w:rPr>
      </w:pPr>
    </w:p>
    <w:p w14:paraId="11540ED2" w14:textId="2EBA9676" w:rsidR="00D84897" w:rsidRPr="00E239C0" w:rsidRDefault="00D84897" w:rsidP="00D84897">
      <w:pPr>
        <w:spacing w:after="0" w:line="264" w:lineRule="auto"/>
        <w:jc w:val="center"/>
        <w:rPr>
          <w:rFonts w:ascii="Times New Roman" w:hAnsi="Times New Roman" w:cs="Times New Roman"/>
          <w:b/>
          <w:color w:val="000000"/>
          <w:lang w:val="es-ES"/>
        </w:rPr>
      </w:pPr>
      <w:r w:rsidRPr="00E239C0">
        <w:rPr>
          <w:rFonts w:ascii="Times New Roman" w:hAnsi="Times New Roman" w:cs="Times New Roman"/>
          <w:b/>
          <w:color w:val="000000"/>
          <w:lang w:val="es-ES"/>
        </w:rPr>
        <w:t xml:space="preserve">Čl. 1 </w:t>
      </w:r>
      <w:proofErr w:type="spellStart"/>
      <w:r w:rsidRPr="00E239C0">
        <w:rPr>
          <w:rFonts w:ascii="Times New Roman" w:hAnsi="Times New Roman" w:cs="Times New Roman"/>
          <w:b/>
          <w:color w:val="000000"/>
          <w:lang w:val="es-ES"/>
        </w:rPr>
        <w:t>a</w:t>
      </w:r>
      <w:r w:rsidR="00F73A13">
        <w:rPr>
          <w:rFonts w:ascii="Times New Roman" w:hAnsi="Times New Roman" w:cs="Times New Roman"/>
          <w:b/>
          <w:color w:val="000000"/>
          <w:lang w:val="es-ES"/>
        </w:rPr>
        <w:t>ž</w:t>
      </w:r>
      <w:proofErr w:type="spellEnd"/>
      <w:r w:rsidRPr="00E239C0">
        <w:rPr>
          <w:rFonts w:ascii="Times New Roman" w:hAnsi="Times New Roman" w:cs="Times New Roman"/>
          <w:b/>
          <w:color w:val="000000"/>
          <w:lang w:val="es-ES"/>
        </w:rPr>
        <w:t xml:space="preserve"> </w:t>
      </w:r>
      <w:r w:rsidR="00F73A13">
        <w:rPr>
          <w:rFonts w:ascii="Times New Roman" w:hAnsi="Times New Roman" w:cs="Times New Roman"/>
          <w:b/>
          <w:color w:val="000000"/>
          <w:lang w:val="es-ES"/>
        </w:rPr>
        <w:t>5</w:t>
      </w:r>
      <w:r w:rsidRPr="00E239C0">
        <w:rPr>
          <w:rFonts w:ascii="Times New Roman" w:hAnsi="Times New Roman" w:cs="Times New Roman"/>
          <w:b/>
          <w:color w:val="000000"/>
          <w:lang w:val="es-ES"/>
        </w:rPr>
        <w:t xml:space="preserve"> </w:t>
      </w:r>
      <w:proofErr w:type="spellStart"/>
      <w:r w:rsidRPr="00E239C0">
        <w:rPr>
          <w:rFonts w:ascii="Times New Roman" w:hAnsi="Times New Roman" w:cs="Times New Roman"/>
          <w:b/>
          <w:color w:val="000000"/>
          <w:lang w:val="es-ES"/>
        </w:rPr>
        <w:t>bez</w:t>
      </w:r>
      <w:proofErr w:type="spellEnd"/>
      <w:r w:rsidRPr="00E239C0">
        <w:rPr>
          <w:rFonts w:ascii="Times New Roman" w:hAnsi="Times New Roman" w:cs="Times New Roman"/>
          <w:b/>
          <w:color w:val="000000"/>
          <w:lang w:val="es-ES"/>
        </w:rPr>
        <w:t xml:space="preserve"> </w:t>
      </w:r>
      <w:proofErr w:type="spellStart"/>
      <w:r w:rsidRPr="00E239C0">
        <w:rPr>
          <w:rFonts w:ascii="Times New Roman" w:hAnsi="Times New Roman" w:cs="Times New Roman"/>
          <w:b/>
          <w:color w:val="000000"/>
          <w:lang w:val="es-ES"/>
        </w:rPr>
        <w:t>zmien</w:t>
      </w:r>
      <w:proofErr w:type="spellEnd"/>
    </w:p>
    <w:p w14:paraId="60C94582" w14:textId="77777777" w:rsidR="00325DAB" w:rsidRPr="00E239C0" w:rsidRDefault="00493B8D">
      <w:pPr>
        <w:spacing w:before="300" w:after="0" w:line="264" w:lineRule="auto"/>
        <w:ind w:left="270"/>
        <w:rPr>
          <w:rFonts w:ascii="Times New Roman" w:hAnsi="Times New Roman" w:cs="Times New Roman"/>
        </w:rPr>
      </w:pPr>
      <w:bookmarkStart w:id="13" w:name="predpis.clanok-1.cast-prva.oznacenie"/>
      <w:bookmarkStart w:id="14" w:name="predpis.clanok-1.cast-prva"/>
      <w:bookmarkEnd w:id="12"/>
      <w:r w:rsidRPr="00E239C0">
        <w:rPr>
          <w:rFonts w:ascii="Times New Roman" w:hAnsi="Times New Roman" w:cs="Times New Roman"/>
          <w:color w:val="000000"/>
        </w:rPr>
        <w:t xml:space="preserve">PRVÁ ČASŤ </w:t>
      </w:r>
    </w:p>
    <w:p w14:paraId="247C8769" w14:textId="77777777" w:rsidR="00325DAB" w:rsidRDefault="00493B8D">
      <w:pPr>
        <w:spacing w:after="0" w:line="264" w:lineRule="auto"/>
        <w:ind w:left="270"/>
      </w:pPr>
      <w:bookmarkStart w:id="15" w:name="predpis.clanok-1.cast-prva.nadpis"/>
      <w:bookmarkEnd w:id="13"/>
      <w:r>
        <w:rPr>
          <w:rFonts w:ascii="Times New Roman" w:hAnsi="Times New Roman"/>
          <w:b/>
          <w:color w:val="000000"/>
        </w:rPr>
        <w:t xml:space="preserve"> MANŽELSTVO </w:t>
      </w:r>
    </w:p>
    <w:p w14:paraId="5863924C" w14:textId="5064F35A" w:rsidR="00325DAB" w:rsidRPr="00D84897" w:rsidRDefault="00493B8D" w:rsidP="00D84897">
      <w:pPr>
        <w:spacing w:before="225" w:after="225" w:line="264" w:lineRule="auto"/>
        <w:jc w:val="center"/>
        <w:rPr>
          <w:lang w:val="sk-SK"/>
        </w:rPr>
      </w:pPr>
      <w:bookmarkStart w:id="16" w:name="predpis.clanok-1.cast-prva.hlava-prva"/>
      <w:bookmarkStart w:id="17" w:name="paragraf-1.oznacenie"/>
      <w:bookmarkStart w:id="18" w:name="paragraf-1"/>
      <w:bookmarkEnd w:id="15"/>
      <w:r w:rsidRPr="00D84897">
        <w:rPr>
          <w:rFonts w:ascii="Times New Roman" w:hAnsi="Times New Roman"/>
          <w:b/>
          <w:color w:val="000000"/>
          <w:lang w:val="sk-SK"/>
        </w:rPr>
        <w:t xml:space="preserve">§ 1 </w:t>
      </w:r>
      <w:r w:rsidR="00D84897" w:rsidRPr="00D84897">
        <w:rPr>
          <w:rFonts w:ascii="Times New Roman" w:hAnsi="Times New Roman"/>
          <w:b/>
          <w:color w:val="000000"/>
          <w:lang w:val="sk-SK"/>
        </w:rPr>
        <w:t xml:space="preserve">až § </w:t>
      </w:r>
      <w:r w:rsidR="00A8156D">
        <w:rPr>
          <w:rFonts w:ascii="Times New Roman" w:hAnsi="Times New Roman"/>
          <w:b/>
          <w:color w:val="000000"/>
          <w:lang w:val="sk-SK"/>
        </w:rPr>
        <w:t>61</w:t>
      </w:r>
      <w:r w:rsidR="00D84897" w:rsidRPr="00D84897">
        <w:rPr>
          <w:rFonts w:ascii="Times New Roman" w:hAnsi="Times New Roman"/>
          <w:b/>
          <w:color w:val="000000"/>
          <w:lang w:val="sk-SK"/>
        </w:rPr>
        <w:t xml:space="preserve"> bez zmien</w:t>
      </w:r>
    </w:p>
    <w:p w14:paraId="33B40B82" w14:textId="77777777" w:rsidR="00A8156D" w:rsidRDefault="00A8156D">
      <w:pPr>
        <w:spacing w:before="300" w:after="0" w:line="264" w:lineRule="auto"/>
        <w:ind w:left="270"/>
        <w:rPr>
          <w:rFonts w:ascii="Times New Roman" w:hAnsi="Times New Roman"/>
          <w:b/>
          <w:color w:val="000000"/>
          <w:lang w:val="sk-SK"/>
        </w:rPr>
      </w:pPr>
      <w:bookmarkStart w:id="19" w:name="predpis.clanok-1.cast-tretia.oznacenie"/>
      <w:bookmarkStart w:id="20" w:name="predpis.clanok-1.cast-tretia"/>
      <w:bookmarkEnd w:id="14"/>
      <w:bookmarkEnd w:id="16"/>
      <w:bookmarkEnd w:id="17"/>
      <w:bookmarkEnd w:id="18"/>
    </w:p>
    <w:p w14:paraId="416A9885" w14:textId="752F53F0" w:rsidR="00325DAB" w:rsidRDefault="00493B8D">
      <w:pPr>
        <w:spacing w:before="300" w:after="0" w:line="264" w:lineRule="auto"/>
        <w:ind w:left="270"/>
      </w:pPr>
      <w:r>
        <w:rPr>
          <w:rFonts w:ascii="Times New Roman" w:hAnsi="Times New Roman"/>
          <w:color w:val="000000"/>
        </w:rPr>
        <w:t xml:space="preserve">TRETIA ČASŤ </w:t>
      </w:r>
    </w:p>
    <w:p w14:paraId="3169F584" w14:textId="77777777" w:rsidR="00325DAB" w:rsidRDefault="00493B8D" w:rsidP="00D84897">
      <w:pPr>
        <w:spacing w:after="0" w:line="264" w:lineRule="auto"/>
        <w:ind w:left="270"/>
      </w:pPr>
      <w:bookmarkStart w:id="21" w:name="predpis.clanok-1.cast-tretia.nadpis"/>
      <w:bookmarkEnd w:id="19"/>
      <w:r>
        <w:rPr>
          <w:rFonts w:ascii="Times New Roman" w:hAnsi="Times New Roman"/>
          <w:b/>
          <w:color w:val="000000"/>
        </w:rPr>
        <w:t xml:space="preserve"> VÝŽIVNÉ </w:t>
      </w:r>
      <w:bookmarkStart w:id="22" w:name="predpis.clanok-1.cast-tretia.hlava-prva"/>
      <w:bookmarkEnd w:id="21"/>
    </w:p>
    <w:p w14:paraId="723FAE98" w14:textId="77777777" w:rsidR="00F73A13" w:rsidRDefault="00F73A13" w:rsidP="00D84897">
      <w:pPr>
        <w:spacing w:before="225" w:after="225" w:line="264" w:lineRule="auto"/>
        <w:jc w:val="center"/>
        <w:rPr>
          <w:rFonts w:ascii="Times New Roman" w:hAnsi="Times New Roman"/>
          <w:b/>
          <w:color w:val="000000"/>
        </w:rPr>
      </w:pPr>
      <w:bookmarkStart w:id="23" w:name="paragraf-62.oznacenie"/>
      <w:bookmarkStart w:id="24" w:name="paragraf-62"/>
    </w:p>
    <w:p w14:paraId="48FCA291" w14:textId="2BB8F946" w:rsidR="00325DAB" w:rsidRDefault="00493B8D" w:rsidP="00D84897">
      <w:pPr>
        <w:spacing w:before="225" w:after="225" w:line="264" w:lineRule="auto"/>
        <w:jc w:val="center"/>
      </w:pPr>
      <w:r>
        <w:rPr>
          <w:rFonts w:ascii="Times New Roman" w:hAnsi="Times New Roman"/>
          <w:b/>
          <w:color w:val="000000"/>
        </w:rPr>
        <w:t>§ 62</w:t>
      </w:r>
    </w:p>
    <w:p w14:paraId="1EF577CF" w14:textId="77777777" w:rsidR="00325DAB" w:rsidRPr="00D84897" w:rsidRDefault="00493B8D" w:rsidP="00D84897">
      <w:pPr>
        <w:spacing w:before="225" w:after="225" w:line="264" w:lineRule="auto"/>
        <w:jc w:val="both"/>
        <w:rPr>
          <w:lang w:val="sk-SK"/>
        </w:rPr>
      </w:pPr>
      <w:bookmarkStart w:id="25" w:name="paragraf-62.odsek-1.oznacenie"/>
      <w:bookmarkStart w:id="26" w:name="paragraf-62.odsek-1"/>
      <w:bookmarkEnd w:id="23"/>
      <w:r w:rsidRPr="00D84897">
        <w:rPr>
          <w:rFonts w:ascii="Times New Roman" w:hAnsi="Times New Roman"/>
          <w:color w:val="000000"/>
          <w:lang w:val="sk-SK"/>
        </w:rPr>
        <w:t xml:space="preserve">(1) </w:t>
      </w:r>
      <w:bookmarkStart w:id="27" w:name="paragraf-62.odsek-1.text"/>
      <w:bookmarkEnd w:id="25"/>
      <w:r w:rsidRPr="00D84897">
        <w:rPr>
          <w:rFonts w:ascii="Times New Roman" w:hAnsi="Times New Roman"/>
          <w:color w:val="000000"/>
          <w:lang w:val="sk-SK"/>
        </w:rPr>
        <w:t xml:space="preserve">Plnenie vyživovacej povinnosti rodičov k deťom je ich zákonná povinnosť, ktorá trvá do času, kým deti nie sú schopné samé sa živiť. </w:t>
      </w:r>
      <w:bookmarkEnd w:id="27"/>
    </w:p>
    <w:p w14:paraId="4A01FF97" w14:textId="77777777" w:rsidR="00325DAB" w:rsidRPr="00D84897" w:rsidRDefault="00493B8D" w:rsidP="00D84897">
      <w:pPr>
        <w:spacing w:before="225" w:after="225" w:line="264" w:lineRule="auto"/>
        <w:jc w:val="both"/>
        <w:rPr>
          <w:rFonts w:ascii="Times New Roman" w:hAnsi="Times New Roman"/>
          <w:color w:val="000000"/>
          <w:lang w:val="sk-SK"/>
        </w:rPr>
      </w:pPr>
      <w:bookmarkStart w:id="28" w:name="paragraf-62.odsek-2.oznacenie"/>
      <w:bookmarkStart w:id="29" w:name="paragraf-62.odsek-2"/>
      <w:bookmarkEnd w:id="26"/>
      <w:r w:rsidRPr="00D84897">
        <w:rPr>
          <w:rFonts w:ascii="Times New Roman" w:hAnsi="Times New Roman"/>
          <w:color w:val="000000"/>
          <w:lang w:val="sk-SK"/>
        </w:rPr>
        <w:t xml:space="preserve">(2) </w:t>
      </w:r>
      <w:bookmarkStart w:id="30" w:name="paragraf-62.odsek-2.text"/>
      <w:bookmarkEnd w:id="28"/>
      <w:r w:rsidRPr="00D84897">
        <w:rPr>
          <w:rFonts w:ascii="Times New Roman" w:hAnsi="Times New Roman"/>
          <w:color w:val="000000"/>
          <w:lang w:val="sk-SK"/>
        </w:rPr>
        <w:t xml:space="preserve">Obaja rodičia prispievajú na výživu svojich detí podľa svojich schopností, možností a majetkových pomerov. Dieťa má právo podieľať sa na životnej úrovni rodičov. </w:t>
      </w:r>
      <w:bookmarkEnd w:id="30"/>
    </w:p>
    <w:p w14:paraId="49B710F5" w14:textId="77777777" w:rsidR="00D84897" w:rsidRPr="00D84897" w:rsidRDefault="00D84897" w:rsidP="00D84897">
      <w:pPr>
        <w:spacing w:after="160" w:line="259" w:lineRule="auto"/>
        <w:jc w:val="both"/>
        <w:rPr>
          <w:rFonts w:ascii="Times New Roman" w:hAnsi="Times New Roman" w:cs="Times New Roman"/>
          <w:lang w:val="sk-SK"/>
        </w:rPr>
      </w:pPr>
      <w:r w:rsidRPr="00D84897">
        <w:rPr>
          <w:rFonts w:ascii="Times New Roman" w:hAnsi="Times New Roman" w:cs="Times New Roman"/>
          <w:lang w:val="sk-SK"/>
        </w:rPr>
        <w:t xml:space="preserve">(3) Každý rodič bez ohľadu na svoje schopnosti, možnosti a majetkové pomery je povinný plniť svoju vyživovaciu povinnosť v minimálnom rozsahu vo výške </w:t>
      </w:r>
      <w:r w:rsidRPr="00D84897">
        <w:rPr>
          <w:rFonts w:ascii="Times New Roman" w:hAnsi="Times New Roman" w:cs="Times New Roman"/>
          <w:strike/>
          <w:color w:val="FF0000"/>
          <w:lang w:val="sk-SK"/>
        </w:rPr>
        <w:t>30 % zo</w:t>
      </w:r>
      <w:r w:rsidRPr="00D84897">
        <w:rPr>
          <w:rFonts w:ascii="Times New Roman" w:hAnsi="Times New Roman" w:cs="Times New Roman"/>
          <w:color w:val="FF0000"/>
          <w:lang w:val="sk-SK"/>
        </w:rPr>
        <w:t xml:space="preserve"> </w:t>
      </w:r>
      <w:r w:rsidRPr="00D84897">
        <w:rPr>
          <w:rFonts w:ascii="Times New Roman" w:hAnsi="Times New Roman" w:cs="Times New Roman"/>
          <w:lang w:val="sk-SK"/>
        </w:rPr>
        <w:t>sumy životného minima na nezaopatrené neplnoleté dieťa alebo na nezaopatrené dieťa podľa osobitného zákona.</w:t>
      </w:r>
      <w:r w:rsidRPr="00D84897">
        <w:rPr>
          <w:rFonts w:ascii="Times New Roman" w:hAnsi="Times New Roman" w:cs="Times New Roman"/>
          <w:vertAlign w:val="superscript"/>
          <w:lang w:val="sk-SK"/>
        </w:rPr>
        <w:t>13</w:t>
      </w:r>
      <w:r w:rsidRPr="00D84897">
        <w:rPr>
          <w:rFonts w:ascii="Times New Roman" w:hAnsi="Times New Roman" w:cs="Times New Roman"/>
          <w:lang w:val="sk-SK"/>
        </w:rPr>
        <w:t>)</w:t>
      </w:r>
    </w:p>
    <w:p w14:paraId="0F125D53" w14:textId="77777777" w:rsidR="00325DAB" w:rsidRPr="00D84897" w:rsidRDefault="00493B8D" w:rsidP="00D84897">
      <w:pPr>
        <w:spacing w:before="225" w:after="225" w:line="264" w:lineRule="auto"/>
        <w:jc w:val="both"/>
        <w:rPr>
          <w:lang w:val="sk-SK"/>
        </w:rPr>
      </w:pPr>
      <w:bookmarkStart w:id="31" w:name="paragraf-62.odsek-4.oznacenie"/>
      <w:bookmarkStart w:id="32" w:name="paragraf-62.odsek-4"/>
      <w:bookmarkEnd w:id="29"/>
      <w:r w:rsidRPr="00D84897">
        <w:rPr>
          <w:rFonts w:ascii="Times New Roman" w:hAnsi="Times New Roman"/>
          <w:color w:val="000000"/>
          <w:lang w:val="sk-SK"/>
        </w:rPr>
        <w:t xml:space="preserve">(4) </w:t>
      </w:r>
      <w:bookmarkStart w:id="33" w:name="paragraf-62.odsek-4.text"/>
      <w:bookmarkEnd w:id="31"/>
      <w:r w:rsidRPr="00D84897">
        <w:rPr>
          <w:rFonts w:ascii="Times New Roman" w:hAnsi="Times New Roman"/>
          <w:color w:val="000000"/>
          <w:lang w:val="sk-SK"/>
        </w:rPr>
        <w:t xml:space="preserve">Pri určení rozsahu vyživovacej povinnosti súd prihliada na to, ktorý z rodičov a v akej miere sa o dieťa osobne stará. Ak rodičia žijú spolu, prihliadne súd aj na starostlivosť rodičov o domácnosť. </w:t>
      </w:r>
      <w:bookmarkEnd w:id="33"/>
    </w:p>
    <w:p w14:paraId="4E92F638" w14:textId="77777777" w:rsidR="00325DAB" w:rsidRPr="00D84897" w:rsidRDefault="00493B8D" w:rsidP="00D84897">
      <w:pPr>
        <w:spacing w:before="225" w:after="225" w:line="264" w:lineRule="auto"/>
        <w:jc w:val="both"/>
        <w:rPr>
          <w:lang w:val="sk-SK"/>
        </w:rPr>
      </w:pPr>
      <w:bookmarkStart w:id="34" w:name="paragraf-62.odsek-5.oznacenie"/>
      <w:bookmarkStart w:id="35" w:name="paragraf-62.odsek-5"/>
      <w:bookmarkEnd w:id="32"/>
      <w:r w:rsidRPr="00D84897">
        <w:rPr>
          <w:rFonts w:ascii="Times New Roman" w:hAnsi="Times New Roman"/>
          <w:color w:val="000000"/>
          <w:lang w:val="sk-SK"/>
        </w:rPr>
        <w:lastRenderedPageBreak/>
        <w:t xml:space="preserve">(5) </w:t>
      </w:r>
      <w:bookmarkStart w:id="36" w:name="paragraf-62.odsek-5.text"/>
      <w:bookmarkEnd w:id="34"/>
      <w:r w:rsidRPr="00D84897">
        <w:rPr>
          <w:rFonts w:ascii="Times New Roman" w:hAnsi="Times New Roman"/>
          <w:color w:val="000000"/>
          <w:lang w:val="sk-SK"/>
        </w:rPr>
        <w:t xml:space="preserve">Výživné má prednosť pred inými výdavkami rodičov. Pri skúmaní schopností, možností a majetkových pomerov povinného rodiča súd neberie do úvahy výdavky povinného rodiča, ktoré nie je nevyhnutné vynaložiť. </w:t>
      </w:r>
      <w:bookmarkEnd w:id="36"/>
    </w:p>
    <w:p w14:paraId="76FC9D9A" w14:textId="77777777" w:rsidR="00325DAB" w:rsidRPr="00D84897" w:rsidRDefault="00493B8D" w:rsidP="00D84897">
      <w:pPr>
        <w:spacing w:before="225" w:after="225" w:line="264" w:lineRule="auto"/>
        <w:jc w:val="both"/>
        <w:rPr>
          <w:lang w:val="sk-SK"/>
        </w:rPr>
      </w:pPr>
      <w:bookmarkStart w:id="37" w:name="paragraf-62.odsek-6.oznacenie"/>
      <w:bookmarkStart w:id="38" w:name="paragraf-62.odsek-6"/>
      <w:bookmarkEnd w:id="35"/>
      <w:r w:rsidRPr="00D84897">
        <w:rPr>
          <w:rFonts w:ascii="Times New Roman" w:hAnsi="Times New Roman"/>
          <w:color w:val="000000"/>
          <w:lang w:val="sk-SK"/>
        </w:rPr>
        <w:t xml:space="preserve">(6) </w:t>
      </w:r>
      <w:bookmarkStart w:id="39" w:name="paragraf-62.odsek-6.text"/>
      <w:bookmarkEnd w:id="37"/>
      <w:r w:rsidRPr="00D84897">
        <w:rPr>
          <w:rFonts w:ascii="Times New Roman" w:hAnsi="Times New Roman"/>
          <w:color w:val="000000"/>
          <w:lang w:val="sk-SK"/>
        </w:rPr>
        <w:t xml:space="preserve">Ak je maloleté dieťa zverené do striedavej osobnej starostlivosti rodičov, súd pri určení výživného prihliadne na dĺžku striedavej osobnej starostlivosti každého rodiča alebo súd môže rozhodnúť aj tak, že počas trvania striedavej osobnej starostlivosti rodičov výživné neurčuje. </w:t>
      </w:r>
      <w:bookmarkEnd w:id="39"/>
    </w:p>
    <w:p w14:paraId="5437264A" w14:textId="77777777" w:rsidR="00325DAB" w:rsidRPr="00D84897" w:rsidRDefault="00493B8D" w:rsidP="00D84897">
      <w:pPr>
        <w:spacing w:before="225" w:after="225" w:line="264" w:lineRule="auto"/>
        <w:jc w:val="both"/>
        <w:rPr>
          <w:lang w:val="sk-SK"/>
        </w:rPr>
      </w:pPr>
      <w:bookmarkStart w:id="40" w:name="paragraf-62.odsek-7.oznacenie"/>
      <w:bookmarkStart w:id="41" w:name="paragraf-62.odsek-7"/>
      <w:bookmarkEnd w:id="38"/>
      <w:r w:rsidRPr="00D84897">
        <w:rPr>
          <w:rFonts w:ascii="Times New Roman" w:hAnsi="Times New Roman"/>
          <w:color w:val="000000"/>
          <w:lang w:val="sk-SK"/>
        </w:rPr>
        <w:t xml:space="preserve">(7) </w:t>
      </w:r>
      <w:bookmarkStart w:id="42" w:name="paragraf-62.odsek-7.text"/>
      <w:bookmarkEnd w:id="40"/>
      <w:r w:rsidRPr="00D84897">
        <w:rPr>
          <w:rFonts w:ascii="Times New Roman" w:hAnsi="Times New Roman"/>
          <w:color w:val="000000"/>
          <w:lang w:val="sk-SK"/>
        </w:rPr>
        <w:t xml:space="preserve">Ak je maloleté dieťa zverené do spoločnej osobnej starostlivosti obidvoch rodičov, súd môže schváliť dohodu rodičov o výške výživného alebo môže rozhodnúť aj tak, že počas trvania spoločnej osobnej starostlivosti obidvoch rodičov výživné neurčuje. </w:t>
      </w:r>
      <w:bookmarkEnd w:id="42"/>
    </w:p>
    <w:p w14:paraId="254FDAC9" w14:textId="77777777" w:rsidR="00F73A13" w:rsidRDefault="00F73A13" w:rsidP="00D84897">
      <w:pPr>
        <w:spacing w:before="225" w:after="225" w:line="264" w:lineRule="auto"/>
        <w:jc w:val="center"/>
        <w:rPr>
          <w:rFonts w:ascii="Times New Roman" w:hAnsi="Times New Roman"/>
          <w:b/>
          <w:color w:val="000000"/>
        </w:rPr>
      </w:pPr>
      <w:bookmarkStart w:id="43" w:name="paragraf-63.oznacenie"/>
      <w:bookmarkStart w:id="44" w:name="paragraf-63"/>
      <w:bookmarkEnd w:id="24"/>
      <w:bookmarkEnd w:id="41"/>
    </w:p>
    <w:p w14:paraId="62C4BCC6" w14:textId="2D0B4B2D" w:rsidR="00325DAB" w:rsidRDefault="00493B8D" w:rsidP="00D84897">
      <w:pPr>
        <w:spacing w:before="225" w:after="225" w:line="264" w:lineRule="auto"/>
        <w:jc w:val="center"/>
      </w:pPr>
      <w:r>
        <w:rPr>
          <w:rFonts w:ascii="Times New Roman" w:hAnsi="Times New Roman"/>
          <w:b/>
          <w:color w:val="000000"/>
        </w:rPr>
        <w:t>§ 63</w:t>
      </w:r>
      <w:r w:rsidR="00F73A13">
        <w:rPr>
          <w:rFonts w:ascii="Times New Roman" w:hAnsi="Times New Roman"/>
          <w:b/>
          <w:color w:val="000000"/>
        </w:rPr>
        <w:t xml:space="preserve"> </w:t>
      </w:r>
      <w:proofErr w:type="spellStart"/>
      <w:r w:rsidR="00F73A13">
        <w:rPr>
          <w:rFonts w:ascii="Times New Roman" w:hAnsi="Times New Roman"/>
          <w:b/>
          <w:color w:val="000000"/>
        </w:rPr>
        <w:t>až</w:t>
      </w:r>
      <w:proofErr w:type="spellEnd"/>
      <w:r w:rsidR="00F73A13">
        <w:rPr>
          <w:rFonts w:ascii="Times New Roman" w:hAnsi="Times New Roman"/>
          <w:b/>
          <w:color w:val="000000"/>
        </w:rPr>
        <w:t xml:space="preserve"> § 120 bez </w:t>
      </w:r>
      <w:proofErr w:type="spellStart"/>
      <w:r w:rsidR="00F73A13">
        <w:rPr>
          <w:rFonts w:ascii="Times New Roman" w:hAnsi="Times New Roman"/>
          <w:b/>
          <w:color w:val="000000"/>
        </w:rPr>
        <w:t>zmien</w:t>
      </w:r>
      <w:proofErr w:type="spellEnd"/>
    </w:p>
    <w:p w14:paraId="7C2EF784" w14:textId="7398556D" w:rsidR="00325DAB" w:rsidRPr="00493B8D" w:rsidRDefault="00325DAB" w:rsidP="00493B8D">
      <w:pPr>
        <w:spacing w:after="0" w:line="264" w:lineRule="auto"/>
        <w:rPr>
          <w:lang w:val="sk-SK"/>
        </w:rPr>
      </w:pPr>
      <w:bookmarkStart w:id="45" w:name="predpis"/>
      <w:bookmarkEnd w:id="1"/>
      <w:bookmarkEnd w:id="2"/>
      <w:bookmarkEnd w:id="3"/>
      <w:bookmarkEnd w:id="4"/>
      <w:bookmarkEnd w:id="11"/>
      <w:bookmarkEnd w:id="20"/>
      <w:bookmarkEnd w:id="22"/>
      <w:bookmarkEnd w:id="43"/>
      <w:bookmarkEnd w:id="44"/>
      <w:bookmarkEnd w:id="45"/>
    </w:p>
    <w:sectPr w:rsidR="00325DAB" w:rsidRPr="00493B8D">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AB"/>
    <w:rsid w:val="00075968"/>
    <w:rsid w:val="00325DAB"/>
    <w:rsid w:val="00415C59"/>
    <w:rsid w:val="00493B8D"/>
    <w:rsid w:val="005C1154"/>
    <w:rsid w:val="008E425D"/>
    <w:rsid w:val="00A8156D"/>
    <w:rsid w:val="00C53D39"/>
    <w:rsid w:val="00CF4E69"/>
    <w:rsid w:val="00D84897"/>
    <w:rsid w:val="00E239C0"/>
    <w:rsid w:val="00F73A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C4A5"/>
  <w15:docId w15:val="{3B59C807-5AAC-4BB8-8F2C-689E2B67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99"/>
    <w:rsid w:val="00A81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7D3D7-5490-4F2B-9198-F3EEF34E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288</Words>
  <Characters>1562</Characters>
  <Application>Microsoft Office Word</Application>
  <DocSecurity>0</DocSecurity>
  <Lines>44</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Zuzana Budská</cp:lastModifiedBy>
  <cp:revision>7</cp:revision>
  <dcterms:created xsi:type="dcterms:W3CDTF">2026-03-26T09:45:00Z</dcterms:created>
  <dcterms:modified xsi:type="dcterms:W3CDTF">2026-03-27T08:42:00Z</dcterms:modified>
</cp:coreProperties>
</file>