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5D19" w14:textId="77777777" w:rsidR="00291CE4" w:rsidRPr="000E6ACB" w:rsidRDefault="00291CE4" w:rsidP="00291CE4">
      <w:pPr>
        <w:pStyle w:val="Normlnywebov"/>
        <w:spacing w:before="0" w:beforeAutospacing="0" w:after="0" w:afterAutospacing="0"/>
        <w:jc w:val="center"/>
        <w:rPr>
          <w:b/>
          <w:caps/>
          <w:spacing w:val="30"/>
        </w:rPr>
      </w:pPr>
      <w:r w:rsidRPr="000E6ACB">
        <w:rPr>
          <w:b/>
          <w:caps/>
          <w:spacing w:val="30"/>
        </w:rPr>
        <w:t>Doložka zlučiteľnosti</w:t>
      </w:r>
    </w:p>
    <w:p w14:paraId="6B5662D1" w14:textId="77777777" w:rsidR="00291CE4" w:rsidRPr="000E6ACB" w:rsidRDefault="00291CE4" w:rsidP="00291CE4">
      <w:pPr>
        <w:pBdr>
          <w:bottom w:val="single" w:sz="4" w:space="1" w:color="auto"/>
        </w:pBdr>
        <w:jc w:val="center"/>
        <w:rPr>
          <w:b/>
        </w:rPr>
      </w:pPr>
      <w:r w:rsidRPr="000E6ACB">
        <w:rPr>
          <w:b/>
        </w:rPr>
        <w:t>návrhu zákona s právom Európskej únie</w:t>
      </w:r>
    </w:p>
    <w:p w14:paraId="6C19EADA" w14:textId="77777777" w:rsidR="00291CE4" w:rsidRPr="000E6ACB" w:rsidRDefault="00291CE4" w:rsidP="00291CE4">
      <w:pPr>
        <w:jc w:val="center"/>
        <w:rPr>
          <w:b/>
        </w:rPr>
      </w:pPr>
    </w:p>
    <w:p w14:paraId="3953A202" w14:textId="77777777" w:rsidR="00291CE4" w:rsidRPr="000E6ACB" w:rsidRDefault="00291CE4" w:rsidP="00291CE4">
      <w:pPr>
        <w:jc w:val="center"/>
        <w:rPr>
          <w:b/>
        </w:rPr>
      </w:pPr>
    </w:p>
    <w:tbl>
      <w:tblPr>
        <w:tblW w:w="9202" w:type="dxa"/>
        <w:tblLayout w:type="fixed"/>
        <w:tblLook w:val="04A0" w:firstRow="1" w:lastRow="0" w:firstColumn="1" w:lastColumn="0" w:noHBand="0" w:noVBand="1"/>
      </w:tblPr>
      <w:tblGrid>
        <w:gridCol w:w="426"/>
        <w:gridCol w:w="8776"/>
      </w:tblGrid>
      <w:tr w:rsidR="00291CE4" w:rsidRPr="000E6ACB" w14:paraId="005019AB" w14:textId="77777777" w:rsidTr="00BF4C5D">
        <w:tc>
          <w:tcPr>
            <w:tcW w:w="426" w:type="dxa"/>
          </w:tcPr>
          <w:p w14:paraId="587B0775" w14:textId="77777777" w:rsidR="00291CE4" w:rsidRPr="000E6ACB" w:rsidRDefault="00291CE4" w:rsidP="00BF4C5D">
            <w:pPr>
              <w:tabs>
                <w:tab w:val="left" w:pos="360"/>
              </w:tabs>
              <w:rPr>
                <w:b/>
              </w:rPr>
            </w:pPr>
            <w:r w:rsidRPr="000E6ACB">
              <w:rPr>
                <w:b/>
              </w:rPr>
              <w:t>1.</w:t>
            </w:r>
          </w:p>
        </w:tc>
        <w:tc>
          <w:tcPr>
            <w:tcW w:w="8776" w:type="dxa"/>
          </w:tcPr>
          <w:p w14:paraId="02DA0074" w14:textId="77777777" w:rsidR="00291CE4" w:rsidRPr="000E6ACB" w:rsidRDefault="00291CE4" w:rsidP="00BF4C5D">
            <w:pPr>
              <w:tabs>
                <w:tab w:val="left" w:pos="360"/>
              </w:tabs>
              <w:jc w:val="both"/>
            </w:pPr>
            <w:r w:rsidRPr="000E6ACB">
              <w:rPr>
                <w:b/>
              </w:rPr>
              <w:t>Navrhovateľ zákona:</w:t>
            </w:r>
            <w:r w:rsidRPr="000E6ACB">
              <w:t xml:space="preserve"> poslanci Národnej rady Slovenskej republiky.</w:t>
            </w:r>
          </w:p>
        </w:tc>
      </w:tr>
      <w:tr w:rsidR="00291CE4" w:rsidRPr="000E6ACB" w14:paraId="5766444F" w14:textId="77777777" w:rsidTr="00BF4C5D">
        <w:tc>
          <w:tcPr>
            <w:tcW w:w="426" w:type="dxa"/>
          </w:tcPr>
          <w:p w14:paraId="1BF55917" w14:textId="77777777" w:rsidR="00291CE4" w:rsidRPr="000E6ACB" w:rsidRDefault="00291CE4" w:rsidP="00BF4C5D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2E679906" w14:textId="77777777" w:rsidR="00291CE4" w:rsidRPr="000E6ACB" w:rsidRDefault="00291CE4" w:rsidP="00BF4C5D">
            <w:pPr>
              <w:tabs>
                <w:tab w:val="left" w:pos="360"/>
              </w:tabs>
            </w:pPr>
          </w:p>
        </w:tc>
      </w:tr>
      <w:tr w:rsidR="00291CE4" w:rsidRPr="000E6ACB" w14:paraId="6D3DEF7A" w14:textId="77777777" w:rsidTr="00BF4C5D">
        <w:tc>
          <w:tcPr>
            <w:tcW w:w="426" w:type="dxa"/>
          </w:tcPr>
          <w:p w14:paraId="09576F55" w14:textId="77777777" w:rsidR="00291CE4" w:rsidRPr="000E6ACB" w:rsidRDefault="00291CE4" w:rsidP="00BF4C5D">
            <w:pPr>
              <w:tabs>
                <w:tab w:val="left" w:pos="360"/>
              </w:tabs>
              <w:rPr>
                <w:b/>
              </w:rPr>
            </w:pPr>
            <w:r w:rsidRPr="000E6ACB">
              <w:rPr>
                <w:b/>
              </w:rPr>
              <w:t>2.</w:t>
            </w:r>
          </w:p>
        </w:tc>
        <w:tc>
          <w:tcPr>
            <w:tcW w:w="8776" w:type="dxa"/>
          </w:tcPr>
          <w:p w14:paraId="7A56C12E" w14:textId="77777777" w:rsidR="00291CE4" w:rsidRPr="000E6ACB" w:rsidRDefault="00291CE4" w:rsidP="00BF4C5D">
            <w:pPr>
              <w:tabs>
                <w:tab w:val="left" w:pos="360"/>
              </w:tabs>
              <w:jc w:val="both"/>
            </w:pPr>
            <w:r w:rsidRPr="000E6ACB">
              <w:rPr>
                <w:b/>
              </w:rPr>
              <w:t>Názov návrhu zákona:</w:t>
            </w:r>
            <w:r w:rsidRPr="000E6ACB">
              <w:t xml:space="preserve"> Zákon, ktorým sa mení a dopĺňa zákon Národnej rady Slovenskej republiky č. 36/2005 Z. z. o  rodine  a o zmene a doplnení niektorých zákonov v znení neskorších predpisov </w:t>
            </w:r>
            <w:r w:rsidRPr="000E6ACB">
              <w:fldChar w:fldCharType="begin"/>
            </w:r>
            <w:r w:rsidRPr="000E6ACB">
              <w:instrText xml:space="preserve"> DOCPROPERTY  FSC#SKEDITIONSLOVLEX@103.510:plnynazovpredpis2  \* MERGEFORMAT </w:instrText>
            </w:r>
            <w:r w:rsidRPr="000E6ACB">
              <w:fldChar w:fldCharType="end"/>
            </w:r>
            <w:r w:rsidRPr="000E6ACB">
              <w:fldChar w:fldCharType="begin"/>
            </w:r>
            <w:r w:rsidRPr="000E6ACB">
              <w:instrText xml:space="preserve"> DOCPROPERTY  FSC#SKEDITIONSLOVLEX@103.510:plnynazovpredpis3  \* MERGEFORMAT </w:instrText>
            </w:r>
            <w:r w:rsidRPr="000E6ACB">
              <w:fldChar w:fldCharType="end"/>
            </w:r>
          </w:p>
        </w:tc>
      </w:tr>
      <w:tr w:rsidR="00291CE4" w:rsidRPr="000E6ACB" w14:paraId="38B44D21" w14:textId="77777777" w:rsidTr="00BF4C5D">
        <w:tc>
          <w:tcPr>
            <w:tcW w:w="426" w:type="dxa"/>
          </w:tcPr>
          <w:p w14:paraId="7C191F91" w14:textId="77777777" w:rsidR="00291CE4" w:rsidRPr="000E6ACB" w:rsidRDefault="00291CE4" w:rsidP="00BF4C5D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6ADCEE71" w14:textId="77777777" w:rsidR="00291CE4" w:rsidRPr="000E6ACB" w:rsidRDefault="00291CE4" w:rsidP="00BF4C5D">
            <w:pPr>
              <w:tabs>
                <w:tab w:val="left" w:pos="360"/>
              </w:tabs>
            </w:pPr>
          </w:p>
        </w:tc>
      </w:tr>
      <w:tr w:rsidR="00291CE4" w:rsidRPr="000E6ACB" w14:paraId="29AA8679" w14:textId="77777777" w:rsidTr="00BF4C5D">
        <w:tc>
          <w:tcPr>
            <w:tcW w:w="426" w:type="dxa"/>
          </w:tcPr>
          <w:p w14:paraId="77FFAA00" w14:textId="77777777" w:rsidR="00291CE4" w:rsidRPr="000E6ACB" w:rsidRDefault="00291CE4" w:rsidP="00BF4C5D">
            <w:pPr>
              <w:tabs>
                <w:tab w:val="left" w:pos="360"/>
              </w:tabs>
              <w:rPr>
                <w:b/>
              </w:rPr>
            </w:pPr>
            <w:r w:rsidRPr="000E6ACB">
              <w:rPr>
                <w:b/>
              </w:rPr>
              <w:t>3.</w:t>
            </w:r>
          </w:p>
        </w:tc>
        <w:tc>
          <w:tcPr>
            <w:tcW w:w="8776" w:type="dxa"/>
          </w:tcPr>
          <w:p w14:paraId="2629B8FD" w14:textId="77777777" w:rsidR="00291CE4" w:rsidRPr="000E6ACB" w:rsidRDefault="00291CE4" w:rsidP="00BF4C5D">
            <w:pPr>
              <w:spacing w:line="360" w:lineRule="auto"/>
              <w:ind w:left="426" w:hanging="426"/>
              <w:jc w:val="both"/>
            </w:pPr>
            <w:r w:rsidRPr="000E6ACB">
              <w:rPr>
                <w:b/>
              </w:rPr>
              <w:t xml:space="preserve">Predmet návrhu zákona: </w:t>
            </w:r>
            <w:r w:rsidRPr="000E6ACB">
              <w:t xml:space="preserve">Je v súlade s právnou úpravou Európskej únie; </w:t>
            </w:r>
          </w:p>
        </w:tc>
      </w:tr>
      <w:tr w:rsidR="00291CE4" w:rsidRPr="00FB788E" w14:paraId="4C4F8A69" w14:textId="77777777" w:rsidTr="00BF4C5D">
        <w:tc>
          <w:tcPr>
            <w:tcW w:w="426" w:type="dxa"/>
          </w:tcPr>
          <w:p w14:paraId="0DF58B27" w14:textId="77777777" w:rsidR="00291CE4" w:rsidRPr="00FB788E" w:rsidRDefault="00291CE4" w:rsidP="00BF4C5D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1FE81DAE" w14:textId="77777777" w:rsidR="00291CE4" w:rsidRPr="00FB788E" w:rsidRDefault="00291CE4" w:rsidP="00291CE4">
            <w:pPr>
              <w:pStyle w:val="Odsekzoznamu"/>
              <w:numPr>
                <w:ilvl w:val="0"/>
                <w:numId w:val="1"/>
              </w:numPr>
              <w:rPr>
                <w:rStyle w:val="apple-converted-space"/>
                <w:rFonts w:eastAsiaTheme="majorEastAsia"/>
                <w:color w:val="0A0A0A"/>
                <w:shd w:val="clear" w:color="auto" w:fill="FFFFFF"/>
              </w:rPr>
            </w:pPr>
            <w:r w:rsidRPr="00FB788E">
              <w:rPr>
                <w:rStyle w:val="Zvraznenie"/>
                <w:rFonts w:eastAsiaTheme="majorEastAsia"/>
                <w:color w:val="0A0A0A"/>
              </w:rPr>
              <w:t>Primárne právo:</w:t>
            </w:r>
            <w:r w:rsidRPr="00FB788E">
              <w:rPr>
                <w:rStyle w:val="apple-converted-space"/>
                <w:rFonts w:eastAsiaTheme="majorEastAsia"/>
                <w:color w:val="0A0A0A"/>
                <w:shd w:val="clear" w:color="auto" w:fill="FFFFFF"/>
              </w:rPr>
              <w:t> </w:t>
            </w:r>
          </w:p>
          <w:p w14:paraId="26C74CC4" w14:textId="77777777" w:rsidR="00291CE4" w:rsidRPr="00FB788E" w:rsidRDefault="00291CE4" w:rsidP="00BF4C5D">
            <w:pPr>
              <w:pStyle w:val="Odsekzoznamu"/>
              <w:ind w:left="396"/>
              <w:rPr>
                <w:color w:val="0A0A0A"/>
                <w:shd w:val="clear" w:color="auto" w:fill="FFFFFF"/>
              </w:rPr>
            </w:pPr>
          </w:p>
          <w:p w14:paraId="46D8C9A7" w14:textId="77777777" w:rsidR="00291CE4" w:rsidRPr="00FB788E" w:rsidRDefault="00291CE4" w:rsidP="00BF4C5D">
            <w:pPr>
              <w:pStyle w:val="Odsekzoznamu"/>
              <w:ind w:left="396"/>
              <w:jc w:val="both"/>
              <w:rPr>
                <w:color w:val="000000"/>
              </w:rPr>
            </w:pPr>
            <w:r w:rsidRPr="00FB788E">
              <w:rPr>
                <w:color w:val="0A0A0A"/>
                <w:shd w:val="clear" w:color="auto" w:fill="FFFFFF"/>
              </w:rPr>
              <w:t>Zmluva o fungovaní Európskej únie</w:t>
            </w:r>
          </w:p>
          <w:p w14:paraId="05BCEC54" w14:textId="77777777" w:rsidR="00291CE4" w:rsidRPr="00FB788E" w:rsidRDefault="00291CE4" w:rsidP="00291CE4">
            <w:pPr>
              <w:pStyle w:val="df3vjf"/>
              <w:numPr>
                <w:ilvl w:val="0"/>
                <w:numId w:val="1"/>
              </w:numPr>
              <w:spacing w:before="0" w:beforeAutospacing="0" w:after="180" w:afterAutospacing="0" w:line="360" w:lineRule="atLeast"/>
              <w:rPr>
                <w:rStyle w:val="apple-converted-space"/>
                <w:rFonts w:eastAsiaTheme="majorEastAsia"/>
                <w:color w:val="0A0A0A"/>
              </w:rPr>
            </w:pPr>
            <w:r w:rsidRPr="00FB788E">
              <w:rPr>
                <w:rStyle w:val="Zvraznenie"/>
                <w:rFonts w:eastAsiaTheme="majorEastAsia"/>
                <w:color w:val="0A0A0A"/>
              </w:rPr>
              <w:t>Sekundárne právo:</w:t>
            </w:r>
            <w:r w:rsidRPr="00FB788E">
              <w:rPr>
                <w:rStyle w:val="apple-converted-space"/>
                <w:rFonts w:eastAsiaTheme="majorEastAsia"/>
                <w:color w:val="0A0A0A"/>
              </w:rPr>
              <w:t> </w:t>
            </w:r>
          </w:p>
          <w:p w14:paraId="3BC31221" w14:textId="77777777" w:rsidR="00291CE4" w:rsidRPr="00FB788E" w:rsidRDefault="00291CE4" w:rsidP="00BF4C5D">
            <w:pPr>
              <w:pStyle w:val="df3vjf"/>
              <w:spacing w:before="0" w:beforeAutospacing="0" w:after="180" w:afterAutospacing="0" w:line="360" w:lineRule="atLeast"/>
              <w:ind w:left="396"/>
              <w:jc w:val="both"/>
              <w:rPr>
                <w:rFonts w:eastAsiaTheme="majorEastAsia"/>
                <w:color w:val="0A0A0A"/>
              </w:rPr>
            </w:pPr>
            <w:r w:rsidRPr="00FB788E">
              <w:rPr>
                <w:rStyle w:val="Vrazn"/>
                <w:rFonts w:eastAsiaTheme="majorEastAsia"/>
                <w:color w:val="0A0A0A"/>
              </w:rPr>
              <w:t>Nariadenie Rady (ES) č. 4/2009</w:t>
            </w:r>
            <w:r w:rsidRPr="00FB788E">
              <w:rPr>
                <w:rStyle w:val="apple-converted-space"/>
                <w:rFonts w:eastAsiaTheme="majorEastAsia"/>
                <w:color w:val="0A0A0A"/>
                <w:shd w:val="clear" w:color="auto" w:fill="FFFFFF"/>
              </w:rPr>
              <w:t> </w:t>
            </w:r>
            <w:r w:rsidRPr="00FB788E">
              <w:rPr>
                <w:color w:val="0A0A0A"/>
                <w:shd w:val="clear" w:color="auto" w:fill="FFFFFF"/>
              </w:rPr>
              <w:t>o právomoci, rozhodnom práve, uznávaní a výkone rozhodnutí a o spolupráci vo veciach vyživovacej povinnosti.</w:t>
            </w:r>
          </w:p>
          <w:p w14:paraId="459B5DFF" w14:textId="77777777" w:rsidR="00291CE4" w:rsidRPr="00FB788E" w:rsidRDefault="00291CE4" w:rsidP="00291CE4">
            <w:pPr>
              <w:pStyle w:val="Odsekzoznamu"/>
              <w:numPr>
                <w:ilvl w:val="0"/>
                <w:numId w:val="1"/>
              </w:numPr>
              <w:rPr>
                <w:color w:val="000000"/>
              </w:rPr>
            </w:pPr>
            <w:r w:rsidRPr="00FB788E">
              <w:rPr>
                <w:color w:val="000000"/>
              </w:rPr>
              <w:t>nie je upravený v judikatúre Súdneho dvora Európskej únie.</w:t>
            </w:r>
          </w:p>
          <w:p w14:paraId="7471C997" w14:textId="77777777" w:rsidR="00291CE4" w:rsidRPr="00FB788E" w:rsidRDefault="00291CE4" w:rsidP="00BF4C5D">
            <w:pPr>
              <w:pStyle w:val="Odsekzoznamu"/>
              <w:ind w:left="396"/>
              <w:rPr>
                <w:color w:val="000000"/>
              </w:rPr>
            </w:pPr>
          </w:p>
        </w:tc>
      </w:tr>
    </w:tbl>
    <w:p w14:paraId="227DAEFF" w14:textId="77777777" w:rsidR="00291CE4" w:rsidRPr="000E6ACB" w:rsidRDefault="00291CE4" w:rsidP="00291CE4">
      <w:pPr>
        <w:ind w:left="567" w:hanging="567"/>
        <w:jc w:val="both"/>
        <w:rPr>
          <w:b/>
          <w:bCs/>
        </w:rPr>
      </w:pPr>
      <w:r w:rsidRPr="000E6ACB">
        <w:rPr>
          <w:b/>
          <w:bCs/>
        </w:rPr>
        <w:t>4.</w:t>
      </w:r>
      <w:r w:rsidRPr="000E6ACB">
        <w:rPr>
          <w:b/>
          <w:bCs/>
        </w:rPr>
        <w:tab/>
        <w:t>Záväzky slovenskej republiky k EÚ</w:t>
      </w:r>
    </w:p>
    <w:p w14:paraId="4AAF1FBD" w14:textId="77777777" w:rsidR="00291CE4" w:rsidRPr="000E6ACB" w:rsidRDefault="00291CE4" w:rsidP="00291CE4">
      <w:pPr>
        <w:jc w:val="both"/>
        <w:rPr>
          <w:b/>
          <w:bCs/>
        </w:rPr>
      </w:pPr>
    </w:p>
    <w:p w14:paraId="3B616ADB" w14:textId="77777777" w:rsidR="00291CE4" w:rsidRDefault="00291CE4" w:rsidP="00291CE4">
      <w:pPr>
        <w:pStyle w:val="Odsekzoznamu"/>
        <w:numPr>
          <w:ilvl w:val="0"/>
          <w:numId w:val="2"/>
        </w:numPr>
        <w:spacing w:line="360" w:lineRule="atLeast"/>
        <w:jc w:val="both"/>
        <w:rPr>
          <w:color w:val="0A0A0A"/>
        </w:rPr>
      </w:pPr>
      <w:r w:rsidRPr="000E6ACB">
        <w:rPr>
          <w:rStyle w:val="Vrazn"/>
          <w:rFonts w:eastAsiaTheme="majorEastAsia"/>
          <w:color w:val="0A0A0A"/>
        </w:rPr>
        <w:t>Lehota na transpozíciu smernice alebo lehota na prijatie opatrení na vykonanie nariadenia alebo rozhodnutia:</w:t>
      </w:r>
    </w:p>
    <w:p w14:paraId="234D1B31" w14:textId="77777777" w:rsidR="00291CE4" w:rsidRPr="000E6ACB" w:rsidRDefault="00291CE4" w:rsidP="00291CE4">
      <w:pPr>
        <w:pStyle w:val="Odsekzoznamu"/>
        <w:spacing w:line="360" w:lineRule="atLeast"/>
        <w:ind w:left="1007"/>
        <w:jc w:val="both"/>
        <w:rPr>
          <w:color w:val="0A0A0A"/>
        </w:rPr>
      </w:pPr>
      <w:r w:rsidRPr="000E6ACB">
        <w:rPr>
          <w:color w:val="0A0A0A"/>
        </w:rPr>
        <w:t>Bezpredmetné (návrh zákona netransponuje smernice EÚ).</w:t>
      </w:r>
    </w:p>
    <w:p w14:paraId="6018F327" w14:textId="77777777" w:rsidR="00291CE4" w:rsidRPr="00744989" w:rsidRDefault="00291CE4" w:rsidP="00291CE4">
      <w:pPr>
        <w:pStyle w:val="Odsekzoznamu"/>
        <w:numPr>
          <w:ilvl w:val="0"/>
          <w:numId w:val="2"/>
        </w:numPr>
        <w:spacing w:line="360" w:lineRule="atLeast"/>
        <w:jc w:val="both"/>
        <w:rPr>
          <w:rStyle w:val="Vrazn"/>
          <w:b w:val="0"/>
          <w:bCs w:val="0"/>
          <w:color w:val="0A0A0A"/>
        </w:rPr>
      </w:pPr>
      <w:r w:rsidRPr="000E6ACB">
        <w:rPr>
          <w:rStyle w:val="Vrazn"/>
          <w:rFonts w:eastAsiaTheme="majorEastAsia"/>
          <w:color w:val="0A0A0A"/>
        </w:rPr>
        <w:t>Informácia o konaní o porušení zmlúv podľa čl. 258 až 260 Zmluvy o fungovaní Európskej únie:</w:t>
      </w:r>
    </w:p>
    <w:p w14:paraId="3834FC88" w14:textId="77777777" w:rsidR="00291CE4" w:rsidRPr="000E6ACB" w:rsidRDefault="00291CE4" w:rsidP="00291CE4">
      <w:pPr>
        <w:pStyle w:val="Odsekzoznamu"/>
        <w:spacing w:line="360" w:lineRule="atLeast"/>
        <w:ind w:left="1007"/>
        <w:jc w:val="both"/>
        <w:rPr>
          <w:color w:val="0A0A0A"/>
        </w:rPr>
      </w:pPr>
      <w:r w:rsidRPr="000E6ACB">
        <w:rPr>
          <w:color w:val="0A0A0A"/>
        </w:rPr>
        <w:t>Proti Slovenskej republike nie je v danej oblasti vedené žiadne konanie.</w:t>
      </w:r>
    </w:p>
    <w:p w14:paraId="63C8AD51" w14:textId="77777777" w:rsidR="00291CE4" w:rsidRPr="000E6ACB" w:rsidRDefault="00291CE4" w:rsidP="00291CE4">
      <w:pPr>
        <w:spacing w:line="360" w:lineRule="atLeast"/>
        <w:ind w:left="993" w:hanging="426"/>
        <w:jc w:val="both"/>
        <w:rPr>
          <w:color w:val="0A0A0A"/>
        </w:rPr>
      </w:pPr>
      <w:r w:rsidRPr="000E6ACB">
        <w:rPr>
          <w:rStyle w:val="Vrazn"/>
          <w:rFonts w:eastAsiaTheme="majorEastAsia"/>
          <w:color w:val="0A0A0A"/>
        </w:rPr>
        <w:t xml:space="preserve">c) </w:t>
      </w:r>
      <w:r w:rsidRPr="000E6ACB">
        <w:rPr>
          <w:rStyle w:val="Vrazn"/>
          <w:rFonts w:eastAsiaTheme="majorEastAsia"/>
          <w:color w:val="0A0A0A"/>
        </w:rPr>
        <w:tab/>
        <w:t>Informácia o právnych predpisoch, v ktorých sú uvádzané smernice transponované:</w:t>
      </w:r>
      <w:r w:rsidRPr="000E6ACB">
        <w:rPr>
          <w:color w:val="0A0A0A"/>
        </w:rPr>
        <w:br/>
        <w:t>Bezpredmetné</w:t>
      </w:r>
    </w:p>
    <w:p w14:paraId="24ADFA4F" w14:textId="77777777" w:rsidR="00291CE4" w:rsidRPr="000E6ACB" w:rsidRDefault="00291CE4" w:rsidP="00291CE4">
      <w:pPr>
        <w:jc w:val="both"/>
        <w:rPr>
          <w:b/>
          <w:bCs/>
        </w:rPr>
      </w:pPr>
    </w:p>
    <w:p w14:paraId="4168622B" w14:textId="77777777" w:rsidR="00291CE4" w:rsidRPr="000E6ACB" w:rsidRDefault="00291CE4" w:rsidP="00291CE4">
      <w:pPr>
        <w:jc w:val="both"/>
        <w:rPr>
          <w:b/>
          <w:bCs/>
        </w:rPr>
      </w:pPr>
      <w:r w:rsidRPr="000E6ACB">
        <w:rPr>
          <w:b/>
          <w:bCs/>
        </w:rPr>
        <w:t>5.</w:t>
      </w:r>
      <w:r w:rsidRPr="000E6ACB">
        <w:rPr>
          <w:b/>
          <w:bCs/>
        </w:rPr>
        <w:tab/>
        <w:t>Stupeň zlučiteľnosti návrhu zákona s právom EÚ</w:t>
      </w:r>
    </w:p>
    <w:p w14:paraId="5C8AF1AC" w14:textId="77777777" w:rsidR="00291CE4" w:rsidRPr="000E6ACB" w:rsidRDefault="00291CE4" w:rsidP="00291CE4">
      <w:pPr>
        <w:jc w:val="both"/>
        <w:rPr>
          <w:b/>
          <w:bCs/>
        </w:rPr>
      </w:pPr>
    </w:p>
    <w:p w14:paraId="59663C75" w14:textId="77777777" w:rsidR="00291CE4" w:rsidRPr="000E6ACB" w:rsidRDefault="00291CE4" w:rsidP="00291CE4">
      <w:pPr>
        <w:ind w:left="708"/>
        <w:jc w:val="both"/>
        <w:rPr>
          <w:b/>
          <w:bCs/>
        </w:rPr>
      </w:pPr>
      <w:r w:rsidRPr="000E6ACB">
        <w:rPr>
          <w:rStyle w:val="Vrazn"/>
          <w:rFonts w:eastAsiaTheme="majorEastAsia"/>
          <w:color w:val="0A0A0A"/>
        </w:rPr>
        <w:t>Úplný.</w:t>
      </w:r>
      <w:r w:rsidRPr="000E6ACB">
        <w:rPr>
          <w:color w:val="0A0A0A"/>
        </w:rPr>
        <w:br/>
      </w:r>
      <w:r w:rsidRPr="000E6ACB">
        <w:rPr>
          <w:color w:val="0A0A0A"/>
          <w:shd w:val="clear" w:color="auto" w:fill="FFFFFF"/>
        </w:rPr>
        <w:t>(Problematika rodinného práva</w:t>
      </w:r>
      <w:r>
        <w:rPr>
          <w:color w:val="0A0A0A"/>
          <w:shd w:val="clear" w:color="auto" w:fill="FFFFFF"/>
        </w:rPr>
        <w:t xml:space="preserve"> </w:t>
      </w:r>
      <w:r w:rsidRPr="000E6ACB">
        <w:rPr>
          <w:color w:val="0A0A0A"/>
          <w:shd w:val="clear" w:color="auto" w:fill="FFFFFF"/>
        </w:rPr>
        <w:t>a výživného patrí do výlučnej kompetencie členských štátov EÚ, pričom návrh rešpektuje všeobecné zásady ochrany práv dieťaťa a rodiny zakotvené v Charte základných práv EÚ.)</w:t>
      </w:r>
    </w:p>
    <w:p w14:paraId="422A40B3" w14:textId="77777777" w:rsidR="00291CE4" w:rsidRPr="000E6ACB" w:rsidRDefault="00291CE4" w:rsidP="00291CE4">
      <w:pPr>
        <w:jc w:val="both"/>
        <w:rPr>
          <w:b/>
          <w:bCs/>
        </w:rPr>
      </w:pPr>
    </w:p>
    <w:p w14:paraId="6A00F7F4" w14:textId="77777777" w:rsidR="00291CE4" w:rsidRPr="000E6ACB" w:rsidRDefault="00291CE4" w:rsidP="00291CE4"/>
    <w:p w14:paraId="00121DE0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6543"/>
    <w:multiLevelType w:val="hybridMultilevel"/>
    <w:tmpl w:val="644ACD64"/>
    <w:lvl w:ilvl="0" w:tplc="8B0E325C">
      <w:start w:val="1"/>
      <w:numFmt w:val="lowerLetter"/>
      <w:lvlText w:val="%1)"/>
      <w:lvlJc w:val="left"/>
      <w:pPr>
        <w:ind w:left="396" w:hanging="360"/>
      </w:pPr>
      <w:rPr>
        <w:rFonts w:ascii="Times New Roman" w:eastAsia="Times New Roman" w:hAnsi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16" w:hanging="360"/>
      </w:pPr>
    </w:lvl>
    <w:lvl w:ilvl="2" w:tplc="041B001B" w:tentative="1">
      <w:start w:val="1"/>
      <w:numFmt w:val="lowerRoman"/>
      <w:lvlText w:val="%3."/>
      <w:lvlJc w:val="right"/>
      <w:pPr>
        <w:ind w:left="1836" w:hanging="180"/>
      </w:pPr>
    </w:lvl>
    <w:lvl w:ilvl="3" w:tplc="041B000F" w:tentative="1">
      <w:start w:val="1"/>
      <w:numFmt w:val="decimal"/>
      <w:lvlText w:val="%4."/>
      <w:lvlJc w:val="left"/>
      <w:pPr>
        <w:ind w:left="2556" w:hanging="360"/>
      </w:pPr>
    </w:lvl>
    <w:lvl w:ilvl="4" w:tplc="041B0019" w:tentative="1">
      <w:start w:val="1"/>
      <w:numFmt w:val="lowerLetter"/>
      <w:lvlText w:val="%5."/>
      <w:lvlJc w:val="left"/>
      <w:pPr>
        <w:ind w:left="3276" w:hanging="360"/>
      </w:pPr>
    </w:lvl>
    <w:lvl w:ilvl="5" w:tplc="041B001B" w:tentative="1">
      <w:start w:val="1"/>
      <w:numFmt w:val="lowerRoman"/>
      <w:lvlText w:val="%6."/>
      <w:lvlJc w:val="right"/>
      <w:pPr>
        <w:ind w:left="3996" w:hanging="180"/>
      </w:pPr>
    </w:lvl>
    <w:lvl w:ilvl="6" w:tplc="041B000F" w:tentative="1">
      <w:start w:val="1"/>
      <w:numFmt w:val="decimal"/>
      <w:lvlText w:val="%7."/>
      <w:lvlJc w:val="left"/>
      <w:pPr>
        <w:ind w:left="4716" w:hanging="360"/>
      </w:pPr>
    </w:lvl>
    <w:lvl w:ilvl="7" w:tplc="041B0019" w:tentative="1">
      <w:start w:val="1"/>
      <w:numFmt w:val="lowerLetter"/>
      <w:lvlText w:val="%8."/>
      <w:lvlJc w:val="left"/>
      <w:pPr>
        <w:ind w:left="5436" w:hanging="360"/>
      </w:pPr>
    </w:lvl>
    <w:lvl w:ilvl="8" w:tplc="041B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33C373B1"/>
    <w:multiLevelType w:val="hybridMultilevel"/>
    <w:tmpl w:val="A412E01A"/>
    <w:lvl w:ilvl="0" w:tplc="49A8072C">
      <w:start w:val="1"/>
      <w:numFmt w:val="lowerLetter"/>
      <w:lvlText w:val="%1)"/>
      <w:lvlJc w:val="left"/>
      <w:pPr>
        <w:ind w:left="1007" w:hanging="440"/>
      </w:pPr>
      <w:rPr>
        <w:rFonts w:eastAsiaTheme="majorEastAsia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9443423">
    <w:abstractNumId w:val="0"/>
  </w:num>
  <w:num w:numId="2" w16cid:durableId="13141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E4"/>
    <w:rsid w:val="00291CE4"/>
    <w:rsid w:val="004359B1"/>
    <w:rsid w:val="006B0361"/>
    <w:rsid w:val="00C25996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10C4"/>
  <w15:chartTrackingRefBased/>
  <w15:docId w15:val="{88CC2A7C-9D3F-43B6-BE41-8E90FAEB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1CE4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91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91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1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91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1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1C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91C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91C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91C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1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91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1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91C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1C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1C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91C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91C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91CE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91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91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91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91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91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91CE4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291CE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91CE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91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91CE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91CE4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rsid w:val="00291CE4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291CE4"/>
  </w:style>
  <w:style w:type="character" w:styleId="Zvraznenie">
    <w:name w:val="Emphasis"/>
    <w:basedOn w:val="Predvolenpsmoodseku"/>
    <w:uiPriority w:val="20"/>
    <w:qFormat/>
    <w:rsid w:val="00291CE4"/>
    <w:rPr>
      <w:i/>
      <w:iCs/>
    </w:rPr>
  </w:style>
  <w:style w:type="character" w:customStyle="1" w:styleId="apple-converted-space">
    <w:name w:val="apple-converted-space"/>
    <w:basedOn w:val="Predvolenpsmoodseku"/>
    <w:rsid w:val="00291CE4"/>
  </w:style>
  <w:style w:type="character" w:styleId="Vrazn">
    <w:name w:val="Strong"/>
    <w:basedOn w:val="Predvolenpsmoodseku"/>
    <w:uiPriority w:val="22"/>
    <w:qFormat/>
    <w:rsid w:val="00291CE4"/>
    <w:rPr>
      <w:b/>
      <w:bCs/>
    </w:rPr>
  </w:style>
  <w:style w:type="paragraph" w:customStyle="1" w:styleId="df3vjf">
    <w:name w:val="df3vjf"/>
    <w:basedOn w:val="Normlny"/>
    <w:rsid w:val="00291C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Klenovská, Petra</dc:creator>
  <cp:keywords/>
  <dc:description/>
  <cp:lastModifiedBy>Klenovská, Petra</cp:lastModifiedBy>
  <cp:revision>1</cp:revision>
  <dcterms:created xsi:type="dcterms:W3CDTF">2026-03-31T11:45:00Z</dcterms:created>
  <dcterms:modified xsi:type="dcterms:W3CDTF">2026-03-31T11:46:00Z</dcterms:modified>
</cp:coreProperties>
</file>