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19809" w14:textId="77777777" w:rsidR="003D543E" w:rsidRPr="00A929B7" w:rsidRDefault="003D543E" w:rsidP="003D543E">
      <w:pPr>
        <w:spacing w:line="276" w:lineRule="auto"/>
        <w:jc w:val="center"/>
        <w:rPr>
          <w:b/>
          <w:spacing w:val="30"/>
        </w:rPr>
      </w:pPr>
      <w:r w:rsidRPr="00A929B7">
        <w:rPr>
          <w:b/>
          <w:spacing w:val="30"/>
        </w:rPr>
        <w:t>DÔVODOVÁ SPRÁVA</w:t>
      </w:r>
    </w:p>
    <w:p w14:paraId="3E427D17" w14:textId="77777777" w:rsidR="003D543E" w:rsidRPr="00A929B7" w:rsidRDefault="003D543E" w:rsidP="003D543E">
      <w:pPr>
        <w:spacing w:line="276" w:lineRule="auto"/>
        <w:ind w:firstLine="709"/>
        <w:jc w:val="both"/>
        <w:rPr>
          <w:b/>
        </w:rPr>
      </w:pPr>
    </w:p>
    <w:p w14:paraId="17C5C3E2" w14:textId="77777777" w:rsidR="003D543E" w:rsidRPr="00A929B7" w:rsidRDefault="003D543E" w:rsidP="003D543E">
      <w:pPr>
        <w:spacing w:line="276" w:lineRule="auto"/>
        <w:jc w:val="both"/>
        <w:rPr>
          <w:b/>
        </w:rPr>
      </w:pPr>
      <w:r>
        <w:rPr>
          <w:b/>
        </w:rPr>
        <w:t>A. Všeobecná časť</w:t>
      </w:r>
    </w:p>
    <w:p w14:paraId="18F8777E" w14:textId="77777777" w:rsidR="003D543E" w:rsidRDefault="003D543E" w:rsidP="003D543E">
      <w:pPr>
        <w:spacing w:line="276" w:lineRule="auto"/>
        <w:ind w:firstLine="708"/>
        <w:jc w:val="both"/>
      </w:pPr>
    </w:p>
    <w:p w14:paraId="0F0CCDB4" w14:textId="77777777" w:rsidR="003D543E" w:rsidRDefault="003D543E" w:rsidP="003D543E">
      <w:pPr>
        <w:spacing w:line="276" w:lineRule="auto"/>
        <w:ind w:firstLine="708"/>
        <w:jc w:val="both"/>
      </w:pPr>
      <w:r>
        <w:t xml:space="preserve">Na rokovanie Národnej rady Slovenskej republiky sa predkladá poslanecký návrh </w:t>
      </w:r>
      <w:r w:rsidRPr="00333B5E">
        <w:rPr>
          <w:rStyle w:val="awspan"/>
          <w:rFonts w:eastAsiaTheme="majorEastAsia"/>
        </w:rPr>
        <w:t>poslancov</w:t>
      </w:r>
      <w:r w:rsidRPr="00333B5E">
        <w:rPr>
          <w:rStyle w:val="awspan"/>
          <w:rFonts w:eastAsiaTheme="majorEastAsia"/>
          <w:spacing w:val="36"/>
        </w:rPr>
        <w:t xml:space="preserve"> </w:t>
      </w:r>
      <w:r w:rsidRPr="00333B5E">
        <w:rPr>
          <w:rStyle w:val="awspan"/>
          <w:rFonts w:eastAsiaTheme="majorEastAsia"/>
        </w:rPr>
        <w:t>Národnej</w:t>
      </w:r>
      <w:r w:rsidRPr="00333B5E">
        <w:rPr>
          <w:rStyle w:val="awspan"/>
          <w:rFonts w:eastAsiaTheme="majorEastAsia"/>
          <w:spacing w:val="36"/>
        </w:rPr>
        <w:t xml:space="preserve"> </w:t>
      </w:r>
      <w:r w:rsidRPr="00333B5E">
        <w:rPr>
          <w:rStyle w:val="awspan"/>
          <w:rFonts w:eastAsiaTheme="majorEastAsia"/>
        </w:rPr>
        <w:t>rady</w:t>
      </w:r>
      <w:r w:rsidRPr="00333B5E">
        <w:rPr>
          <w:rStyle w:val="awspan"/>
          <w:rFonts w:eastAsiaTheme="majorEastAsia"/>
          <w:spacing w:val="36"/>
        </w:rPr>
        <w:t xml:space="preserve"> </w:t>
      </w:r>
      <w:r w:rsidRPr="0079700A">
        <w:rPr>
          <w:rStyle w:val="awspan"/>
          <w:rFonts w:eastAsiaTheme="majorEastAsia"/>
        </w:rPr>
        <w:t>Slovenskej</w:t>
      </w:r>
      <w:r w:rsidRPr="0079700A">
        <w:rPr>
          <w:rStyle w:val="awspan"/>
          <w:rFonts w:eastAsiaTheme="majorEastAsia"/>
          <w:spacing w:val="36"/>
        </w:rPr>
        <w:t xml:space="preserve"> </w:t>
      </w:r>
      <w:r w:rsidRPr="0079700A">
        <w:rPr>
          <w:rStyle w:val="awspan"/>
          <w:rFonts w:eastAsiaTheme="majorEastAsia"/>
        </w:rPr>
        <w:t xml:space="preserve">republiky Milana </w:t>
      </w:r>
      <w:proofErr w:type="spellStart"/>
      <w:r w:rsidRPr="0079700A">
        <w:rPr>
          <w:rStyle w:val="awspan"/>
          <w:rFonts w:eastAsiaTheme="majorEastAsia"/>
        </w:rPr>
        <w:t>Garaja</w:t>
      </w:r>
      <w:proofErr w:type="spellEnd"/>
      <w:r w:rsidRPr="0079700A">
        <w:rPr>
          <w:rStyle w:val="awspan"/>
          <w:rFonts w:eastAsiaTheme="majorEastAsia"/>
        </w:rPr>
        <w:t>, Dagmar Kramplovej, Andreja Danka a</w:t>
      </w:r>
      <w:r>
        <w:rPr>
          <w:rStyle w:val="awspan"/>
          <w:rFonts w:eastAsiaTheme="majorEastAsia"/>
        </w:rPr>
        <w:t xml:space="preserve"> Romana </w:t>
      </w:r>
      <w:proofErr w:type="spellStart"/>
      <w:r>
        <w:rPr>
          <w:rStyle w:val="awspan"/>
          <w:rFonts w:eastAsiaTheme="majorEastAsia"/>
        </w:rPr>
        <w:t>Michelka</w:t>
      </w:r>
      <w:proofErr w:type="spellEnd"/>
      <w:r w:rsidRPr="0079700A">
        <w:t xml:space="preserve"> na vydanie zákona, ktorým sa mení a dopĺňa zákon č. 595/2003 Z. z. o dani z príjmov v znení neskorších predpisov</w:t>
      </w:r>
      <w:r>
        <w:t xml:space="preserve">. </w:t>
      </w:r>
    </w:p>
    <w:p w14:paraId="793C3D51" w14:textId="77777777" w:rsidR="003D543E" w:rsidRDefault="003D543E" w:rsidP="003D543E">
      <w:pPr>
        <w:spacing w:line="276" w:lineRule="auto"/>
        <w:ind w:firstLine="708"/>
        <w:jc w:val="both"/>
      </w:pPr>
      <w:r w:rsidRPr="0090469D">
        <w:t>Predložený návrh zákona sleduje vecnú úpravu mechanizmu znižovania daňového bonusu na vyživované dieťa pri vyššom základe dane. Platná právna úprava v § 33 ods. 11 zákona o dani z príjmov vychádza z toho, že po prekročení zákonom ustanovenej príjmovej hranice sa nárok na daňový bonus na každé jedno vyživované dieťa znižuje o jednu desatinu rozdielu medzi základom dane a touto hranicou. Navrhovaná právna úprava ponecháva tento mechanizmus zachovaný pri prvom a druhom vyživovanom dieťati, avšak pri treťom a každom ďalšom vyživovanom dieťati ustanovuje miernejšie zníženie, a to o jednu tridsatinu tohto rozdielu. Súčasne sa výslovne ustanovuje pravidlo, podľa ktorého sa poradie vyživovaných detí určuje od najmladšieho vyživovaného dieťaťa po najstaršie.</w:t>
      </w:r>
    </w:p>
    <w:p w14:paraId="17093ED8" w14:textId="77777777" w:rsidR="003D543E" w:rsidRDefault="003D543E" w:rsidP="003D543E">
      <w:pPr>
        <w:spacing w:line="276" w:lineRule="auto"/>
        <w:ind w:firstLine="708"/>
        <w:jc w:val="both"/>
      </w:pPr>
      <w:r w:rsidRPr="0090469D">
        <w:t>Cieľom návrhu zákona je zmierniť dopad redukčného mechanizmu na rodiny s väčším počtom vyživovaných detí, a to bez zmeny samotnej existencie daňového bonusu, bez zmeny príjmovej hranice rozhodnej pre zníženie nároku a bez zásahu do ostatných podmienok jeho uplatňovania. Návrh zákona preto nemení základnú koncepciu daňového bonusu podľa § 33 zákona o dani z príjmov, ale upravuje len vnútorné nastavenie znižovania nároku v presne vymedzenom rozsahu.</w:t>
      </w:r>
    </w:p>
    <w:p w14:paraId="58BCA608" w14:textId="77777777" w:rsidR="003D543E" w:rsidRDefault="003D543E" w:rsidP="003D543E">
      <w:pPr>
        <w:spacing w:line="276" w:lineRule="auto"/>
        <w:ind w:firstLine="708"/>
        <w:jc w:val="both"/>
      </w:pPr>
      <w:r w:rsidRPr="0090469D">
        <w:t>Návrh zákona sa vecne viaže výlučne na zákon o dani z príjmov a nevyžaduje sprievodnú novelizáciu ďalších zákonov. Dotknutými subjektmi sú najmä daňovníci uplatňujúci si daňový bonus na vyživované dieťa a subjekty zabezpečujúce jeho uplatnenie a vysporiadanie. Návrh zákona nevytvára nový daňový inštitút ani nové oznamovacie povinnosti.</w:t>
      </w:r>
    </w:p>
    <w:p w14:paraId="583A5846" w14:textId="77777777" w:rsidR="003D543E" w:rsidRDefault="003D543E" w:rsidP="003D543E">
      <w:pPr>
        <w:spacing w:line="276" w:lineRule="auto"/>
        <w:ind w:firstLine="708"/>
        <w:jc w:val="both"/>
      </w:pPr>
      <w:r w:rsidRPr="008C7C80">
        <w:t xml:space="preserve">Predložený návrh zákona má negatívny vplyv na rozpočet verejnej správy, pretože pri časti dotknutých daňovníkov zmierňuje rozsah redukcie daňového bonusu po prekročení príjmového limitu. Predložený návrh zákona má pozitívne sociálne vplyvy, pretože zachováva vyšší rozsah daňového zvýhodnenia pri treťom a každom ďalšom vyživovanom dieťati v rodinách, na ktoré dopadá mechanizmus znižovania nároku. </w:t>
      </w:r>
    </w:p>
    <w:p w14:paraId="51594753" w14:textId="77777777" w:rsidR="003D543E" w:rsidRDefault="003D543E" w:rsidP="003D543E">
      <w:pPr>
        <w:spacing w:line="276" w:lineRule="auto"/>
        <w:ind w:firstLine="708"/>
        <w:jc w:val="both"/>
      </w:pPr>
      <w:r w:rsidRPr="008C7C80">
        <w:t xml:space="preserve">Návrh zákona je v súlade s Ústavou Slovenskej republiky, s ústavnými zákonmi, s nálezmi Ústavného súdu Slovenskej republiky, so zákonmi a ostatnými všeobecne záväznými právnymi predpismi, s medzinárodnými zmluvami a inými medzinárodnými dokumentmi, ktorými je Slovenská republika viazaná, a s právom Európskej únie. </w:t>
      </w:r>
    </w:p>
    <w:p w14:paraId="69122972" w14:textId="77777777" w:rsidR="003D543E" w:rsidRDefault="003D543E" w:rsidP="003D543E">
      <w:pPr>
        <w:spacing w:line="276" w:lineRule="auto"/>
        <w:ind w:firstLine="708"/>
        <w:jc w:val="both"/>
      </w:pPr>
      <w:r w:rsidRPr="008C7C80">
        <w:t>Navrhovaná účinnosť sa ustanovuje na 1. január 2027 z dôvodu väzby na začiatok zdaňovacieho obdobia a potreby zabezpečiť jednoznačné uplatnenie novej právnej úpravy pri mesačnom uplatňovaní daňového bonusu</w:t>
      </w:r>
      <w:r>
        <w:t xml:space="preserve"> </w:t>
      </w:r>
      <w:r w:rsidRPr="008C7C80">
        <w:t>a pri podaní daňového priznania za rok 2027.</w:t>
      </w:r>
    </w:p>
    <w:p w14:paraId="78CCE2A3" w14:textId="77777777" w:rsidR="003D543E" w:rsidRDefault="003D543E" w:rsidP="003D543E">
      <w:pPr>
        <w:pStyle w:val="Normlnywebov"/>
        <w:spacing w:before="0" w:beforeAutospacing="0" w:after="120" w:afterAutospacing="0" w:line="276" w:lineRule="auto"/>
        <w:jc w:val="both"/>
        <w:rPr>
          <w:b/>
        </w:rPr>
      </w:pPr>
    </w:p>
    <w:p w14:paraId="671F7A74" w14:textId="77777777" w:rsidR="003D543E" w:rsidRDefault="003D543E" w:rsidP="003D543E">
      <w:pPr>
        <w:pStyle w:val="Normlnywebov"/>
        <w:spacing w:before="0" w:beforeAutospacing="0" w:after="120" w:afterAutospacing="0" w:line="276" w:lineRule="auto"/>
        <w:jc w:val="both"/>
        <w:rPr>
          <w:b/>
        </w:rPr>
      </w:pPr>
    </w:p>
    <w:p w14:paraId="3DA99C11" w14:textId="77777777" w:rsidR="003D543E" w:rsidRDefault="003D543E" w:rsidP="003D543E">
      <w:pPr>
        <w:pStyle w:val="Normlnywebov"/>
        <w:spacing w:before="0" w:beforeAutospacing="0" w:after="120" w:afterAutospacing="0" w:line="276" w:lineRule="auto"/>
        <w:jc w:val="both"/>
        <w:rPr>
          <w:b/>
        </w:rPr>
      </w:pPr>
    </w:p>
    <w:p w14:paraId="2ED50F8B" w14:textId="77777777" w:rsidR="003D543E" w:rsidRPr="00B26DCA" w:rsidRDefault="003D543E" w:rsidP="003D543E">
      <w:pPr>
        <w:pStyle w:val="Normlnywebov"/>
        <w:spacing w:before="0" w:beforeAutospacing="0" w:after="0" w:afterAutospacing="0" w:line="276" w:lineRule="auto"/>
        <w:jc w:val="both"/>
      </w:pPr>
      <w:r w:rsidRPr="00B26DCA">
        <w:rPr>
          <w:b/>
        </w:rPr>
        <w:t>B. Osobitná časť</w:t>
      </w:r>
    </w:p>
    <w:p w14:paraId="3EC21965" w14:textId="77777777" w:rsidR="003D543E" w:rsidRPr="00B26DCA" w:rsidRDefault="003D543E" w:rsidP="003D543E">
      <w:pPr>
        <w:spacing w:line="276" w:lineRule="auto"/>
        <w:jc w:val="both"/>
      </w:pPr>
    </w:p>
    <w:p w14:paraId="3754FFA0" w14:textId="77777777" w:rsidR="003D543E" w:rsidRPr="00B26DCA" w:rsidRDefault="003D543E" w:rsidP="003D543E">
      <w:pPr>
        <w:spacing w:line="276" w:lineRule="auto"/>
        <w:jc w:val="both"/>
        <w:rPr>
          <w:b/>
        </w:rPr>
      </w:pPr>
      <w:r w:rsidRPr="00B26DCA">
        <w:rPr>
          <w:b/>
        </w:rPr>
        <w:t>K Čl. I</w:t>
      </w:r>
    </w:p>
    <w:p w14:paraId="52DF5EFC" w14:textId="77777777" w:rsidR="003D543E" w:rsidRPr="00B26DCA" w:rsidRDefault="003D543E" w:rsidP="003D543E">
      <w:pPr>
        <w:spacing w:line="276" w:lineRule="auto"/>
        <w:jc w:val="both"/>
        <w:rPr>
          <w:b/>
        </w:rPr>
      </w:pPr>
    </w:p>
    <w:p w14:paraId="5E4BDCC9" w14:textId="77777777" w:rsidR="003D543E" w:rsidRPr="00B26DCA" w:rsidRDefault="003D543E" w:rsidP="003D543E">
      <w:pPr>
        <w:spacing w:line="276" w:lineRule="auto"/>
        <w:jc w:val="both"/>
        <w:rPr>
          <w:b/>
        </w:rPr>
      </w:pPr>
      <w:r w:rsidRPr="00B26DCA">
        <w:rPr>
          <w:b/>
        </w:rPr>
        <w:t>K bodu 1</w:t>
      </w:r>
    </w:p>
    <w:p w14:paraId="1F61F2CC" w14:textId="77777777" w:rsidR="003D543E" w:rsidRPr="0090469D" w:rsidRDefault="003D543E" w:rsidP="003D543E">
      <w:pPr>
        <w:pStyle w:val="Normlnywebov"/>
        <w:spacing w:before="0" w:beforeAutospacing="0" w:after="0" w:afterAutospacing="0" w:line="276" w:lineRule="auto"/>
        <w:ind w:firstLine="709"/>
        <w:jc w:val="both"/>
        <w:rPr>
          <w:rStyle w:val="awspan"/>
          <w:rFonts w:eastAsiaTheme="majorEastAsia"/>
        </w:rPr>
      </w:pPr>
      <w:r w:rsidRPr="0090469D">
        <w:rPr>
          <w:rStyle w:val="awspan"/>
          <w:rFonts w:eastAsiaTheme="majorEastAsia"/>
        </w:rPr>
        <w:t>Navrhuje sa úprava § 33 ods. 11 zákona o dani z príjmov, ktorý upravuje znižovanie nároku na daňový bonus na vyživované dieťa pri vyššom základe dane. Doterajšia právna úprava vychádza z jednotného mechanizmu, podľa ktorého sa nárok na daňový bonus znižuje na každé vyživované dieťa rovnakou mierou, bez zohľadnenia poradia vyživovaných detí.</w:t>
      </w:r>
    </w:p>
    <w:p w14:paraId="0BAC458B" w14:textId="77777777" w:rsidR="003D543E" w:rsidRPr="0090469D" w:rsidRDefault="003D543E" w:rsidP="003D543E">
      <w:pPr>
        <w:pStyle w:val="Normlnywebov"/>
        <w:spacing w:before="0" w:beforeAutospacing="0" w:after="0" w:afterAutospacing="0" w:line="276" w:lineRule="auto"/>
        <w:ind w:firstLine="709"/>
        <w:jc w:val="both"/>
        <w:rPr>
          <w:rStyle w:val="awspan"/>
          <w:rFonts w:eastAsiaTheme="majorEastAsia"/>
        </w:rPr>
      </w:pPr>
      <w:r w:rsidRPr="0090469D">
        <w:rPr>
          <w:rStyle w:val="awspan"/>
          <w:rFonts w:eastAsiaTheme="majorEastAsia"/>
        </w:rPr>
        <w:t>Navrhovaná úprava ponecháva doterajší rozsah zníženia pri prvom a druhom vyživovanom dieťati, pri ktorých sa nárok na daňový bonus aj naďalej znižuje o jednu desatinu rozdielu medzi základom dane a zákonom ustanovenou hranicou. Vo vzťahu k tretiemu a každému ďalšiemu vyživovanému dieťaťu sa ustanovuje miernejší režim, podľa ktorého sa nárok na daňový bonus znižuje o jednu tridsatinu tohto rozdielu.</w:t>
      </w:r>
    </w:p>
    <w:p w14:paraId="6AF49945" w14:textId="77777777" w:rsidR="003D543E" w:rsidRPr="0090469D" w:rsidRDefault="003D543E" w:rsidP="003D543E">
      <w:pPr>
        <w:pStyle w:val="Normlnywebov"/>
        <w:spacing w:before="0" w:beforeAutospacing="0" w:after="0" w:afterAutospacing="0" w:line="276" w:lineRule="auto"/>
        <w:ind w:firstLine="709"/>
        <w:jc w:val="both"/>
        <w:rPr>
          <w:rStyle w:val="awspan"/>
          <w:rFonts w:eastAsiaTheme="majorEastAsia"/>
        </w:rPr>
      </w:pPr>
      <w:r w:rsidRPr="0090469D">
        <w:rPr>
          <w:rStyle w:val="awspan"/>
          <w:rFonts w:eastAsiaTheme="majorEastAsia"/>
        </w:rPr>
        <w:t>Účelom navrhovanej zmeny je zmierniť dosah redukčného mechanizmu na daňovníkov, ktorí si uplatňujú daňový bonus na väčší počet vyživovaných detí. Návrh nemení samotnú existenciu daňového bonusu, príjmovú hranicu rozhodnú pre zníženie nároku ani ostatné zákonné podmienky jeho uplatnenia. Mení sa výlučne intenzita znižovania nároku pri treťom a každom ďalšom vyživovanom dieťati.</w:t>
      </w:r>
    </w:p>
    <w:p w14:paraId="44A8D99D" w14:textId="77777777" w:rsidR="003D543E" w:rsidRPr="0090469D" w:rsidRDefault="003D543E" w:rsidP="003D543E">
      <w:pPr>
        <w:pStyle w:val="Normlnywebov"/>
        <w:spacing w:before="0" w:beforeAutospacing="0" w:after="0" w:afterAutospacing="0" w:line="276" w:lineRule="auto"/>
        <w:ind w:firstLine="709"/>
        <w:jc w:val="both"/>
        <w:rPr>
          <w:rStyle w:val="awspan"/>
          <w:rFonts w:eastAsiaTheme="majorEastAsia"/>
        </w:rPr>
      </w:pPr>
      <w:r w:rsidRPr="0090469D">
        <w:rPr>
          <w:rStyle w:val="awspan"/>
          <w:rFonts w:eastAsiaTheme="majorEastAsia"/>
        </w:rPr>
        <w:t>Súčasťou navrhovanej úpravy je aj výslovné ustanovenie pravidla, podľa ktorého sa poradie vyživovaných detí určuje od najmladšieho vyživovaného dieťaťa po najstaršie. Cieľom tejto časti úpravy je odstrániť možné aplikačné nejasnosti pri určovaní poradia vyživovaných detí v prípadoch, keď sa v priebehu zdaňovacieho obdobia mení veková štruktúra alebo počet vyživovaných detí. Výslovné zákonné pravidlo zároveň vytvára jednoznačný základ pre mesačné uplatňovanie daňového bonusu aj pre jeho následné ročné vysporiadanie.</w:t>
      </w:r>
    </w:p>
    <w:p w14:paraId="1CB12518" w14:textId="77777777" w:rsidR="003D543E" w:rsidRPr="009A1DBC" w:rsidRDefault="003D543E" w:rsidP="003D543E">
      <w:pPr>
        <w:pStyle w:val="Normlnywebov"/>
        <w:spacing w:before="0" w:beforeAutospacing="0" w:after="0" w:afterAutospacing="0" w:line="276" w:lineRule="auto"/>
        <w:ind w:firstLine="709"/>
        <w:jc w:val="both"/>
        <w:rPr>
          <w:rStyle w:val="awspan"/>
          <w:rFonts w:eastAsiaTheme="majorEastAsia"/>
        </w:rPr>
      </w:pPr>
      <w:r w:rsidRPr="0090469D">
        <w:rPr>
          <w:rStyle w:val="awspan"/>
          <w:rFonts w:eastAsiaTheme="majorEastAsia"/>
        </w:rPr>
        <w:t>Navrhovaná úprava tak zachováva systematiku existujúceho ustanovenia § 33 zákona o dani z príjmov, avšak diferencovanejším spôsobom upravuje znižovanie nároku v prípadoch, na ktoré dopadá príjmový limit.</w:t>
      </w:r>
    </w:p>
    <w:p w14:paraId="52E8C104" w14:textId="77777777" w:rsidR="003D543E" w:rsidRDefault="003D543E" w:rsidP="003D543E">
      <w:pPr>
        <w:pStyle w:val="Normlnywebov"/>
        <w:spacing w:before="0" w:beforeAutospacing="0" w:after="0" w:afterAutospacing="0" w:line="276" w:lineRule="auto"/>
        <w:jc w:val="both"/>
        <w:rPr>
          <w:rStyle w:val="awspan"/>
          <w:rFonts w:eastAsiaTheme="majorEastAsia"/>
          <w:b/>
          <w:bCs/>
        </w:rPr>
      </w:pPr>
    </w:p>
    <w:p w14:paraId="4641923D" w14:textId="77777777" w:rsidR="003D543E" w:rsidRPr="009A1DBC" w:rsidRDefault="003D543E" w:rsidP="003D543E">
      <w:pPr>
        <w:pStyle w:val="Normlnywebov"/>
        <w:spacing w:before="0" w:beforeAutospacing="0" w:after="0" w:afterAutospacing="0" w:line="276" w:lineRule="auto"/>
        <w:jc w:val="both"/>
        <w:rPr>
          <w:rStyle w:val="awspan"/>
          <w:rFonts w:eastAsiaTheme="majorEastAsia"/>
          <w:b/>
          <w:bCs/>
        </w:rPr>
      </w:pPr>
      <w:r w:rsidRPr="009A1DBC">
        <w:rPr>
          <w:rStyle w:val="awspan"/>
          <w:rFonts w:eastAsiaTheme="majorEastAsia"/>
          <w:b/>
          <w:bCs/>
        </w:rPr>
        <w:t>K bodu 2</w:t>
      </w:r>
    </w:p>
    <w:p w14:paraId="5C941B8E" w14:textId="77777777" w:rsidR="003D543E" w:rsidRPr="0090469D" w:rsidRDefault="003D543E" w:rsidP="003D543E">
      <w:pPr>
        <w:spacing w:line="276" w:lineRule="auto"/>
        <w:ind w:firstLine="708"/>
        <w:jc w:val="both"/>
        <w:rPr>
          <w:rStyle w:val="awspan"/>
          <w:rFonts w:eastAsiaTheme="majorEastAsia"/>
        </w:rPr>
      </w:pPr>
      <w:r w:rsidRPr="0090469D">
        <w:rPr>
          <w:rStyle w:val="awspan"/>
          <w:rFonts w:eastAsiaTheme="majorEastAsia"/>
        </w:rPr>
        <w:t>Navrhuje sa doplniť nové prechodné ustanovenie § 52zzz</w:t>
      </w:r>
      <w:r>
        <w:rPr>
          <w:rStyle w:val="awspan"/>
          <w:rFonts w:eastAsiaTheme="majorEastAsia"/>
        </w:rPr>
        <w:t>n</w:t>
      </w:r>
      <w:r w:rsidRPr="0090469D">
        <w:rPr>
          <w:rStyle w:val="awspan"/>
          <w:rFonts w:eastAsiaTheme="majorEastAsia"/>
        </w:rPr>
        <w:t>, ktorého účelom je jednoznačne upraviť prvé použitie právnej úpravy účinnej od 1. januára 2027.</w:t>
      </w:r>
    </w:p>
    <w:p w14:paraId="38F1F7EB" w14:textId="77777777" w:rsidR="003D543E" w:rsidRPr="0090469D" w:rsidRDefault="003D543E" w:rsidP="003D543E">
      <w:pPr>
        <w:spacing w:line="276" w:lineRule="auto"/>
        <w:ind w:firstLine="708"/>
        <w:jc w:val="both"/>
        <w:rPr>
          <w:rStyle w:val="awspan"/>
          <w:rFonts w:eastAsiaTheme="majorEastAsia"/>
        </w:rPr>
      </w:pPr>
      <w:r w:rsidRPr="0090469D">
        <w:rPr>
          <w:rStyle w:val="awspan"/>
          <w:rFonts w:eastAsiaTheme="majorEastAsia"/>
        </w:rPr>
        <w:t>V odseku 1 sa ustanovuje, že nárok na daňový bonus podľa § 33 ods. 11 v znení účinnom od 1. januára 2027 sa prvýkrát uplatní za kalendárny mesiac január 2027. Tým sa výslovne určuje prvý mesiac, od ktorého sa nová právna úprava použije pri priebežnom mesačnom uplatňovaní daňového bonusu.</w:t>
      </w:r>
    </w:p>
    <w:p w14:paraId="35C0CA56" w14:textId="77777777" w:rsidR="003D543E" w:rsidRPr="0090469D" w:rsidRDefault="003D543E" w:rsidP="003D543E">
      <w:pPr>
        <w:spacing w:line="276" w:lineRule="auto"/>
        <w:ind w:firstLine="708"/>
        <w:jc w:val="both"/>
        <w:rPr>
          <w:rStyle w:val="awspan"/>
          <w:rFonts w:eastAsiaTheme="majorEastAsia"/>
        </w:rPr>
      </w:pPr>
      <w:r w:rsidRPr="0090469D">
        <w:rPr>
          <w:rStyle w:val="awspan"/>
          <w:rFonts w:eastAsiaTheme="majorEastAsia"/>
        </w:rPr>
        <w:t>V odseku 2 sa ustanovuje, že nové znenie § 33 ods. 11 sa prvýkrát použije pri vykonaní ročného zúčtovania alebo pri podaní daňového priznania za zdaňovacie obdobie 2027. Táto úprava je potrebná na zabezpečenie jednoznačnej nadväznosti medzi mesačným uplatňovaním daňového bonusu počas roka 2027 a jeho následným ročným vysporiadaním.</w:t>
      </w:r>
    </w:p>
    <w:p w14:paraId="401F2886" w14:textId="77777777" w:rsidR="003D543E" w:rsidRDefault="003D543E" w:rsidP="003D543E">
      <w:pPr>
        <w:spacing w:line="276" w:lineRule="auto"/>
        <w:ind w:firstLine="708"/>
        <w:jc w:val="both"/>
        <w:rPr>
          <w:b/>
        </w:rPr>
      </w:pPr>
      <w:r w:rsidRPr="0090469D">
        <w:rPr>
          <w:rStyle w:val="awspan"/>
          <w:rFonts w:eastAsiaTheme="majorEastAsia"/>
        </w:rPr>
        <w:t>Prechodné ustanovenie sleduje právnu istotu pri prvom roku účinnosti zákona a zabezpečuje, aby nevznikali pochybnosti o tom, podľa ktorého právneho režimu sa má postupovať pri mesačnom uplatňovaní nároku a pri jeho konečnom ročnom vysporiadaní.</w:t>
      </w:r>
    </w:p>
    <w:p w14:paraId="06626A02" w14:textId="77777777" w:rsidR="003D543E" w:rsidRDefault="003D543E" w:rsidP="003D543E">
      <w:pPr>
        <w:spacing w:line="276" w:lineRule="auto"/>
        <w:jc w:val="both"/>
        <w:rPr>
          <w:b/>
        </w:rPr>
      </w:pPr>
      <w:r w:rsidRPr="00B26DCA">
        <w:rPr>
          <w:b/>
        </w:rPr>
        <w:t>K Čl. I</w:t>
      </w:r>
      <w:r>
        <w:rPr>
          <w:b/>
        </w:rPr>
        <w:t>I</w:t>
      </w:r>
    </w:p>
    <w:p w14:paraId="08899397" w14:textId="77777777" w:rsidR="003D543E" w:rsidRPr="00B26DCA" w:rsidRDefault="003D543E" w:rsidP="003D543E">
      <w:pPr>
        <w:spacing w:line="276" w:lineRule="auto"/>
        <w:jc w:val="both"/>
        <w:rPr>
          <w:b/>
        </w:rPr>
      </w:pPr>
    </w:p>
    <w:p w14:paraId="20EFB890" w14:textId="77777777" w:rsidR="003D543E" w:rsidRDefault="003D543E" w:rsidP="003D543E">
      <w:pPr>
        <w:pStyle w:val="Normlnywebov"/>
        <w:spacing w:before="0" w:beforeAutospacing="0" w:after="0" w:afterAutospacing="0" w:line="276" w:lineRule="auto"/>
        <w:ind w:firstLine="708"/>
        <w:jc w:val="both"/>
        <w:rPr>
          <w:rStyle w:val="awspan"/>
          <w:rFonts w:eastAsiaTheme="majorEastAsia"/>
        </w:rPr>
      </w:pPr>
      <w:r w:rsidRPr="0090469D">
        <w:rPr>
          <w:rStyle w:val="awspan"/>
          <w:rFonts w:eastAsiaTheme="majorEastAsia"/>
        </w:rPr>
        <w:t>Navrhuje sa účinnosť zákona od 1. januára 2027. Navrhovaná účinnosť zodpovedá začiatku zdaňovacieho obdobia a umožňuje riadne premietnutie novej právnej úpravy do mesačného uplatňovania daňového bonusu, ako aj do ročného zúčtovania a daňového priznania za zdaňovacie obdobie 2027.</w:t>
      </w:r>
    </w:p>
    <w:p w14:paraId="27882256"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2C9A15A9"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2E3DB4C2"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104C5171"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5ADD2328"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709A9DD4"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76A5C838"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50FF1670"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650C9788"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2F1E3C3C"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35F99EFE"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44553DE8"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1534B9A3"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22C25937"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14E552E6"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3CA9F2B5"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5ED0E996"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0F9E058C"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3C478E79"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20317DCB"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25B39350"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7527313C" w14:textId="77777777" w:rsidR="003D543E" w:rsidRDefault="003D543E" w:rsidP="003D543E">
      <w:pPr>
        <w:pStyle w:val="Normlnywebov"/>
        <w:spacing w:before="0" w:beforeAutospacing="0" w:after="0" w:afterAutospacing="0" w:line="360" w:lineRule="auto"/>
        <w:ind w:firstLine="708"/>
        <w:jc w:val="both"/>
        <w:rPr>
          <w:rStyle w:val="awspan"/>
          <w:rFonts w:eastAsiaTheme="majorEastAsia"/>
        </w:rPr>
      </w:pPr>
    </w:p>
    <w:p w14:paraId="0F78867B" w14:textId="77777777" w:rsidR="00D9786F" w:rsidRDefault="00D9786F"/>
    <w:sectPr w:rsidR="00D97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w:panose1 w:val="020F0502020204030204"/>
    <w:charset w:val="EE"/>
    <w:family w:val="swiss"/>
    <w:pitch w:val="variable"/>
    <w:sig w:usb0="E4002EFF" w:usb1="C2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3E"/>
    <w:rsid w:val="002B55CB"/>
    <w:rsid w:val="003D543E"/>
    <w:rsid w:val="00D978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CD1F"/>
  <w15:chartTrackingRefBased/>
  <w15:docId w15:val="{2D7A7727-7ADE-475C-8B2D-61B65CCB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D543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3D543E"/>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Nadpis2">
    <w:name w:val="heading 2"/>
    <w:basedOn w:val="Normlny"/>
    <w:next w:val="Normlny"/>
    <w:link w:val="Nadpis2Char"/>
    <w:uiPriority w:val="9"/>
    <w:semiHidden/>
    <w:unhideWhenUsed/>
    <w:qFormat/>
    <w:rsid w:val="003D543E"/>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eastAsia="en-US"/>
    </w:rPr>
  </w:style>
  <w:style w:type="paragraph" w:styleId="Nadpis3">
    <w:name w:val="heading 3"/>
    <w:basedOn w:val="Normlny"/>
    <w:next w:val="Normlny"/>
    <w:link w:val="Nadpis3Char"/>
    <w:uiPriority w:val="9"/>
    <w:semiHidden/>
    <w:unhideWhenUsed/>
    <w:qFormat/>
    <w:rsid w:val="003D543E"/>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eastAsia="en-US"/>
    </w:rPr>
  </w:style>
  <w:style w:type="paragraph" w:styleId="Nadpis4">
    <w:name w:val="heading 4"/>
    <w:basedOn w:val="Normlny"/>
    <w:next w:val="Normlny"/>
    <w:link w:val="Nadpis4Char"/>
    <w:uiPriority w:val="9"/>
    <w:semiHidden/>
    <w:unhideWhenUsed/>
    <w:qFormat/>
    <w:rsid w:val="003D543E"/>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eastAsia="en-US"/>
    </w:rPr>
  </w:style>
  <w:style w:type="paragraph" w:styleId="Nadpis5">
    <w:name w:val="heading 5"/>
    <w:basedOn w:val="Normlny"/>
    <w:next w:val="Normlny"/>
    <w:link w:val="Nadpis5Char"/>
    <w:uiPriority w:val="9"/>
    <w:semiHidden/>
    <w:unhideWhenUsed/>
    <w:qFormat/>
    <w:rsid w:val="003D543E"/>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eastAsia="en-US"/>
    </w:rPr>
  </w:style>
  <w:style w:type="paragraph" w:styleId="Nadpis6">
    <w:name w:val="heading 6"/>
    <w:basedOn w:val="Normlny"/>
    <w:next w:val="Normlny"/>
    <w:link w:val="Nadpis6Char"/>
    <w:uiPriority w:val="9"/>
    <w:semiHidden/>
    <w:unhideWhenUsed/>
    <w:qFormat/>
    <w:rsid w:val="003D543E"/>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Nadpis7">
    <w:name w:val="heading 7"/>
    <w:basedOn w:val="Normlny"/>
    <w:next w:val="Normlny"/>
    <w:link w:val="Nadpis7Char"/>
    <w:uiPriority w:val="9"/>
    <w:semiHidden/>
    <w:unhideWhenUsed/>
    <w:qFormat/>
    <w:rsid w:val="003D543E"/>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Nadpis8">
    <w:name w:val="heading 8"/>
    <w:basedOn w:val="Normlny"/>
    <w:next w:val="Normlny"/>
    <w:link w:val="Nadpis8Char"/>
    <w:uiPriority w:val="9"/>
    <w:semiHidden/>
    <w:unhideWhenUsed/>
    <w:qFormat/>
    <w:rsid w:val="003D543E"/>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Nadpis9">
    <w:name w:val="heading 9"/>
    <w:basedOn w:val="Normlny"/>
    <w:next w:val="Normlny"/>
    <w:link w:val="Nadpis9Char"/>
    <w:uiPriority w:val="9"/>
    <w:semiHidden/>
    <w:unhideWhenUsed/>
    <w:qFormat/>
    <w:rsid w:val="003D543E"/>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D543E"/>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3D543E"/>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3D543E"/>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3D543E"/>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3D543E"/>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3D543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D543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D543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D543E"/>
    <w:rPr>
      <w:rFonts w:eastAsiaTheme="majorEastAsia" w:cstheme="majorBidi"/>
      <w:color w:val="272727" w:themeColor="text1" w:themeTint="D8"/>
    </w:rPr>
  </w:style>
  <w:style w:type="paragraph" w:styleId="Nzov">
    <w:name w:val="Title"/>
    <w:basedOn w:val="Normlny"/>
    <w:next w:val="Normlny"/>
    <w:link w:val="NzovChar"/>
    <w:uiPriority w:val="10"/>
    <w:qFormat/>
    <w:rsid w:val="003D543E"/>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3D543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D543E"/>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PodtitulChar">
    <w:name w:val="Podtitul Char"/>
    <w:basedOn w:val="Predvolenpsmoodseku"/>
    <w:link w:val="Podtitul"/>
    <w:uiPriority w:val="11"/>
    <w:rsid w:val="003D543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D543E"/>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ciaChar">
    <w:name w:val="Citácia Char"/>
    <w:basedOn w:val="Predvolenpsmoodseku"/>
    <w:link w:val="Citcia"/>
    <w:uiPriority w:val="29"/>
    <w:rsid w:val="003D543E"/>
    <w:rPr>
      <w:i/>
      <w:iCs/>
      <w:color w:val="404040" w:themeColor="text1" w:themeTint="BF"/>
    </w:rPr>
  </w:style>
  <w:style w:type="paragraph" w:styleId="Odsekzoznamu">
    <w:name w:val="List Paragraph"/>
    <w:basedOn w:val="Normlny"/>
    <w:uiPriority w:val="34"/>
    <w:qFormat/>
    <w:rsid w:val="003D543E"/>
    <w:pPr>
      <w:spacing w:after="160" w:line="259" w:lineRule="auto"/>
      <w:ind w:left="720"/>
      <w:contextualSpacing/>
    </w:pPr>
    <w:rPr>
      <w:rFonts w:asciiTheme="minorHAnsi" w:eastAsiaTheme="minorHAnsi" w:hAnsiTheme="minorHAnsi" w:cstheme="minorBidi"/>
      <w:sz w:val="22"/>
      <w:szCs w:val="22"/>
      <w:lang w:eastAsia="en-US"/>
    </w:rPr>
  </w:style>
  <w:style w:type="character" w:styleId="Intenzvnezvraznenie">
    <w:name w:val="Intense Emphasis"/>
    <w:basedOn w:val="Predvolenpsmoodseku"/>
    <w:uiPriority w:val="21"/>
    <w:qFormat/>
    <w:rsid w:val="003D543E"/>
    <w:rPr>
      <w:i/>
      <w:iCs/>
      <w:color w:val="2E74B5" w:themeColor="accent1" w:themeShade="BF"/>
    </w:rPr>
  </w:style>
  <w:style w:type="paragraph" w:styleId="Zvraznencitcia">
    <w:name w:val="Intense Quote"/>
    <w:basedOn w:val="Normlny"/>
    <w:next w:val="Normlny"/>
    <w:link w:val="ZvraznencitciaChar"/>
    <w:uiPriority w:val="30"/>
    <w:qFormat/>
    <w:rsid w:val="003D543E"/>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eastAsia="en-US"/>
    </w:rPr>
  </w:style>
  <w:style w:type="character" w:customStyle="1" w:styleId="ZvraznencitciaChar">
    <w:name w:val="Zvýraznená citácia Char"/>
    <w:basedOn w:val="Predvolenpsmoodseku"/>
    <w:link w:val="Zvraznencitcia"/>
    <w:uiPriority w:val="30"/>
    <w:rsid w:val="003D543E"/>
    <w:rPr>
      <w:i/>
      <w:iCs/>
      <w:color w:val="2E74B5" w:themeColor="accent1" w:themeShade="BF"/>
    </w:rPr>
  </w:style>
  <w:style w:type="character" w:styleId="Zvraznenodkaz">
    <w:name w:val="Intense Reference"/>
    <w:basedOn w:val="Predvolenpsmoodseku"/>
    <w:uiPriority w:val="32"/>
    <w:qFormat/>
    <w:rsid w:val="003D543E"/>
    <w:rPr>
      <w:b/>
      <w:bCs/>
      <w:smallCaps/>
      <w:color w:val="2E74B5" w:themeColor="accent1" w:themeShade="BF"/>
      <w:spacing w:val="5"/>
    </w:rPr>
  </w:style>
  <w:style w:type="paragraph" w:styleId="Normlnywebov">
    <w:name w:val="Normal (Web)"/>
    <w:basedOn w:val="Normlny"/>
    <w:uiPriority w:val="99"/>
    <w:rsid w:val="003D543E"/>
    <w:pPr>
      <w:spacing w:before="100" w:beforeAutospacing="1" w:after="100" w:afterAutospacing="1"/>
    </w:pPr>
  </w:style>
  <w:style w:type="character" w:customStyle="1" w:styleId="awspan">
    <w:name w:val="awspan"/>
    <w:rsid w:val="003D5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5182</Characters>
  <DocSecurity>0</DocSecurity>
  <Lines>43</Lines>
  <Paragraphs>12</Paragraphs>
  <ScaleCrop>false</ScaleCrop>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2026-03-27T17:03:00Z</dcterms:created>
  <dcterms:modified xsi:type="dcterms:W3CDTF">2026-03-27T17:04:00Z</dcterms:modified>
</cp:coreProperties>
</file>