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5711F5E0" w:rsidR="00386510" w:rsidRPr="00C4043A" w:rsidRDefault="00BB6162" w:rsidP="006833D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0000"/>
        </w:rPr>
      </w:pPr>
      <w:r w:rsidRPr="00C4043A">
        <w:rPr>
          <w:rFonts w:ascii="Palatino Linotype" w:eastAsia="Times New Roman" w:hAnsi="Palatino Linotype" w:cs="Times New Roman"/>
          <w:b/>
          <w:color w:val="000000"/>
        </w:rPr>
        <w:t>DÔVODOVÁ SPRÁVA</w:t>
      </w:r>
    </w:p>
    <w:p w14:paraId="00000003" w14:textId="77777777" w:rsidR="00386510" w:rsidRPr="00C4043A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00000004" w14:textId="77777777" w:rsidR="00386510" w:rsidRPr="00C4043A" w:rsidRDefault="00BB6162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  <w:r w:rsidRPr="00C4043A">
        <w:rPr>
          <w:rFonts w:ascii="Palatino Linotype" w:eastAsia="Times New Roman" w:hAnsi="Palatino Linotype" w:cs="Times New Roman"/>
          <w:b/>
          <w:color w:val="000000"/>
        </w:rPr>
        <w:t xml:space="preserve">A. VŠEOBECNÁ ČASŤ </w:t>
      </w:r>
    </w:p>
    <w:p w14:paraId="3161926F" w14:textId="77777777" w:rsidR="007838BE" w:rsidRPr="00C4043A" w:rsidRDefault="007838BE" w:rsidP="00872C88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left" w:pos="708"/>
        </w:tabs>
        <w:spacing w:after="0" w:line="276" w:lineRule="auto"/>
        <w:jc w:val="both"/>
        <w:rPr>
          <w:rFonts w:ascii="Palatino Linotype" w:eastAsia="Times New Roman" w:hAnsi="Palatino Linotype" w:cs="Times New Roman"/>
          <w:color w:val="000000"/>
        </w:rPr>
      </w:pPr>
    </w:p>
    <w:p w14:paraId="6EC772C1" w14:textId="0A7A863C" w:rsidR="006F7B9F" w:rsidRPr="00C95AD7" w:rsidRDefault="00E04FD2" w:rsidP="00C95AD7">
      <w:pPr>
        <w:tabs>
          <w:tab w:val="left" w:pos="1095"/>
        </w:tabs>
        <w:spacing w:before="120" w:after="120" w:line="276" w:lineRule="auto"/>
        <w:jc w:val="both"/>
        <w:rPr>
          <w:rFonts w:ascii="Palatino Linotype" w:eastAsia="Times New Roman" w:hAnsi="Palatino Linotype" w:cs="Times New Roman"/>
        </w:rPr>
      </w:pPr>
      <w:bookmarkStart w:id="0" w:name="_Hlk112060754"/>
      <w:bookmarkStart w:id="1" w:name="_Hlk118722197"/>
      <w:r w:rsidRPr="00C95AD7">
        <w:rPr>
          <w:rFonts w:ascii="Palatino Linotype" w:eastAsia="Times New Roman" w:hAnsi="Palatino Linotype" w:cs="Times New Roman"/>
        </w:rPr>
        <w:t>Návrh zákona</w:t>
      </w:r>
      <w:bookmarkEnd w:id="0"/>
      <w:r w:rsidRPr="00C95AD7">
        <w:rPr>
          <w:rFonts w:ascii="Palatino Linotype" w:eastAsia="Times New Roman" w:hAnsi="Palatino Linotype" w:cs="Times New Roman"/>
        </w:rPr>
        <w:t xml:space="preserve">, ktorým sa mení zákon </w:t>
      </w:r>
      <w:r w:rsidR="00C30334">
        <w:rPr>
          <w:rFonts w:ascii="Palatino Linotype" w:eastAsia="Times New Roman" w:hAnsi="Palatino Linotype" w:cs="Times New Roman"/>
        </w:rPr>
        <w:t>č. 30/2019 Z. z.</w:t>
      </w:r>
      <w:r w:rsidR="008153C3" w:rsidRPr="00C95AD7">
        <w:rPr>
          <w:rFonts w:ascii="Palatino Linotype" w:eastAsia="Times New Roman" w:hAnsi="Palatino Linotype" w:cs="Times New Roman"/>
        </w:rPr>
        <w:t xml:space="preserve"> o hazardných hrách a o zmene a doplnení niektorých zákonov </w:t>
      </w:r>
      <w:r w:rsidRPr="00C95AD7">
        <w:rPr>
          <w:rFonts w:ascii="Palatino Linotype" w:eastAsia="Times New Roman" w:hAnsi="Palatino Linotype" w:cs="Times New Roman"/>
        </w:rPr>
        <w:t xml:space="preserve">(ďalej len „návrh zákona“) </w:t>
      </w:r>
      <w:r w:rsidR="006F7B9F" w:rsidRPr="00C95AD7">
        <w:rPr>
          <w:rFonts w:ascii="Palatino Linotype" w:eastAsia="Times New Roman" w:hAnsi="Palatino Linotype" w:cs="Times New Roman"/>
        </w:rPr>
        <w:t>predklad</w:t>
      </w:r>
      <w:r w:rsidRPr="00C95AD7">
        <w:rPr>
          <w:rFonts w:ascii="Palatino Linotype" w:eastAsia="Times New Roman" w:hAnsi="Palatino Linotype" w:cs="Times New Roman"/>
        </w:rPr>
        <w:t>ajú</w:t>
      </w:r>
      <w:r w:rsidR="00AE0A03" w:rsidRPr="00C95AD7">
        <w:rPr>
          <w:rFonts w:ascii="Palatino Linotype" w:eastAsia="Times New Roman" w:hAnsi="Palatino Linotype" w:cs="Times New Roman"/>
        </w:rPr>
        <w:t xml:space="preserve"> poslan</w:t>
      </w:r>
      <w:r w:rsidRPr="00C95AD7">
        <w:rPr>
          <w:rFonts w:ascii="Palatino Linotype" w:eastAsia="Times New Roman" w:hAnsi="Palatino Linotype" w:cs="Times New Roman"/>
        </w:rPr>
        <w:t>ci</w:t>
      </w:r>
      <w:r w:rsidR="006F7B9F" w:rsidRPr="00C95AD7">
        <w:rPr>
          <w:rFonts w:ascii="Palatino Linotype" w:eastAsia="Times New Roman" w:hAnsi="Palatino Linotype" w:cs="Times New Roman"/>
        </w:rPr>
        <w:t xml:space="preserve"> Národnej rady Slovenskej republiky</w:t>
      </w:r>
      <w:r w:rsidR="00922152" w:rsidRPr="00C95AD7">
        <w:rPr>
          <w:rFonts w:ascii="Palatino Linotype" w:eastAsia="Times New Roman" w:hAnsi="Palatino Linotype" w:cs="Times New Roman"/>
        </w:rPr>
        <w:t xml:space="preserve"> </w:t>
      </w:r>
      <w:r w:rsidR="001C585B" w:rsidRPr="001C585B">
        <w:rPr>
          <w:rFonts w:ascii="Palatino Linotype" w:eastAsia="Times New Roman" w:hAnsi="Palatino Linotype" w:cs="Times New Roman"/>
        </w:rPr>
        <w:t>Marián ČAUČÍK, Andr</w:t>
      </w:r>
      <w:r w:rsidR="001C585B">
        <w:rPr>
          <w:rFonts w:ascii="Palatino Linotype" w:eastAsia="Times New Roman" w:hAnsi="Palatino Linotype" w:cs="Times New Roman"/>
        </w:rPr>
        <w:t>ea</w:t>
      </w:r>
      <w:r w:rsidR="001C585B" w:rsidRPr="001C585B">
        <w:rPr>
          <w:rFonts w:ascii="Palatino Linotype" w:eastAsia="Times New Roman" w:hAnsi="Palatino Linotype" w:cs="Times New Roman"/>
        </w:rPr>
        <w:t xml:space="preserve"> TURČANOV</w:t>
      </w:r>
      <w:r w:rsidR="001C585B">
        <w:rPr>
          <w:rFonts w:ascii="Palatino Linotype" w:eastAsia="Times New Roman" w:hAnsi="Palatino Linotype" w:cs="Times New Roman"/>
        </w:rPr>
        <w:t>Á</w:t>
      </w:r>
      <w:r w:rsidR="001C585B" w:rsidRPr="001C585B">
        <w:rPr>
          <w:rFonts w:ascii="Palatino Linotype" w:eastAsia="Times New Roman" w:hAnsi="Palatino Linotype" w:cs="Times New Roman"/>
        </w:rPr>
        <w:t>, Branislav ŠKRIPEK a Jozef HAJK</w:t>
      </w:r>
      <w:r w:rsidR="001C585B">
        <w:rPr>
          <w:rFonts w:ascii="Palatino Linotype" w:eastAsia="Times New Roman" w:hAnsi="Palatino Linotype" w:cs="Times New Roman"/>
        </w:rPr>
        <w:t>O</w:t>
      </w:r>
      <w:r w:rsidR="00F71E63" w:rsidRPr="00C95AD7">
        <w:rPr>
          <w:rFonts w:ascii="Palatino Linotype" w:eastAsia="Times New Roman" w:hAnsi="Palatino Linotype" w:cs="Times New Roman"/>
        </w:rPr>
        <w:t>.</w:t>
      </w:r>
    </w:p>
    <w:p w14:paraId="37754AFA" w14:textId="11F5198C" w:rsidR="00DE0EE4" w:rsidRDefault="005F6371" w:rsidP="005F6371">
      <w:pPr>
        <w:jc w:val="both"/>
        <w:rPr>
          <w:rFonts w:ascii="Palatino Linotype" w:eastAsia="Times New Roman" w:hAnsi="Palatino Linotype" w:cs="Arial"/>
          <w:color w:val="222222"/>
          <w:shd w:val="clear" w:color="auto" w:fill="FFFFFF"/>
        </w:rPr>
      </w:pPr>
      <w:r w:rsidRPr="005F6371">
        <w:rPr>
          <w:rFonts w:ascii="Palatino Linotype" w:eastAsia="Times New Roman" w:hAnsi="Palatino Linotype" w:cs="Arial"/>
          <w:color w:val="222222"/>
          <w:shd w:val="clear" w:color="auto" w:fill="FFFFFF"/>
        </w:rPr>
        <w:t>Navrhovaná úprava výšky odvodu z hazardných hier vychádza z potreby reagovať na vývoj trhu a na rozdielnu mieru rizika jednotlivých foriem hazardu. Cieľom návrhu nie je plošné zvyšovanie odvodového zaťaženia bez rozlíšenia, ale nastavenie systému, ktorý zohľadňuje reálny charakter jednotlivých typov hier, ich spoločenský dopad a ich ekonomickú štruktúru.</w:t>
      </w:r>
      <w:r w:rsidRPr="005F6371">
        <w:rPr>
          <w:rFonts w:ascii="Palatino Linotype" w:eastAsia="Times New Roman" w:hAnsi="Palatino Linotype" w:cs="Arial"/>
          <w:color w:val="222222"/>
        </w:rPr>
        <w:br/>
      </w:r>
      <w:r w:rsidRPr="005F6371">
        <w:rPr>
          <w:rFonts w:ascii="Palatino Linotype" w:eastAsia="Times New Roman" w:hAnsi="Palatino Linotype" w:cs="Arial"/>
          <w:color w:val="222222"/>
        </w:rPr>
        <w:br/>
      </w:r>
      <w:r w:rsidRPr="005F6371">
        <w:rPr>
          <w:rFonts w:ascii="Palatino Linotype" w:eastAsia="Times New Roman" w:hAnsi="Palatino Linotype" w:cs="Arial"/>
          <w:color w:val="222222"/>
          <w:shd w:val="clear" w:color="auto" w:fill="FFFFFF"/>
        </w:rPr>
        <w:t>Z tohto dôvodu sa navrhuje nezvyšovať</w:t>
      </w:r>
      <w:r>
        <w:rPr>
          <w:rFonts w:ascii="Palatino Linotype" w:eastAsia="Times New Roman" w:hAnsi="Palatino Linotype" w:cs="Arial"/>
          <w:color w:val="222222"/>
          <w:shd w:val="clear" w:color="auto" w:fill="FFFFFF"/>
        </w:rPr>
        <w:t>, resp. le</w:t>
      </w:r>
      <w:r w:rsidR="00DE0EE4">
        <w:rPr>
          <w:rFonts w:ascii="Palatino Linotype" w:eastAsia="Times New Roman" w:hAnsi="Palatino Linotype" w:cs="Arial"/>
          <w:color w:val="222222"/>
          <w:shd w:val="clear" w:color="auto" w:fill="FFFFFF"/>
        </w:rPr>
        <w:t>n</w:t>
      </w:r>
      <w:r>
        <w:rPr>
          <w:rFonts w:ascii="Palatino Linotype" w:eastAsia="Times New Roman" w:hAnsi="Palatino Linotype" w:cs="Arial"/>
          <w:color w:val="222222"/>
          <w:shd w:val="clear" w:color="auto" w:fill="FFFFFF"/>
        </w:rPr>
        <w:t xml:space="preserve"> mierne zvyšovať </w:t>
      </w:r>
      <w:r w:rsidRPr="005F6371">
        <w:rPr>
          <w:rFonts w:ascii="Palatino Linotype" w:eastAsia="Times New Roman" w:hAnsi="Palatino Linotype" w:cs="Arial"/>
          <w:color w:val="222222"/>
          <w:shd w:val="clear" w:color="auto" w:fill="FFFFFF"/>
        </w:rPr>
        <w:t>odvodové zaťaženie pri charitatívnych lotériách</w:t>
      </w:r>
      <w:r>
        <w:rPr>
          <w:rFonts w:ascii="Palatino Linotype" w:eastAsia="Times New Roman" w:hAnsi="Palatino Linotype" w:cs="Arial"/>
          <w:color w:val="222222"/>
          <w:shd w:val="clear" w:color="auto" w:fill="FFFFFF"/>
        </w:rPr>
        <w:t xml:space="preserve"> a pri stávkach na dostihy</w:t>
      </w:r>
      <w:r w:rsidRPr="005F6371">
        <w:rPr>
          <w:rFonts w:ascii="Palatino Linotype" w:eastAsia="Times New Roman" w:hAnsi="Palatino Linotype" w:cs="Arial"/>
          <w:color w:val="222222"/>
          <w:shd w:val="clear" w:color="auto" w:fill="FFFFFF"/>
        </w:rPr>
        <w:t>. Tieto formy hazardu predstavujú špecifickú kategóriu, ktorá sa svojím charakterom, dynamikou aj dopadmi odlišuje od komerčných foriem hazardu, najmä od internetových kasín a kurzových stávok. Ide o menej intenzívne formy hazardu, ktoré sú spravidla viazané na komunitné prostredie a nevyznačujú sa vysokou frekvenciou hry ani agresívnym marketingom.</w:t>
      </w:r>
    </w:p>
    <w:p w14:paraId="60DBE19B" w14:textId="29CA2A58" w:rsidR="001F02BF" w:rsidRPr="005F6371" w:rsidRDefault="005F6371" w:rsidP="005F6371">
      <w:pPr>
        <w:jc w:val="both"/>
        <w:rPr>
          <w:rFonts w:ascii="Palatino Linotype" w:eastAsia="Times New Roman" w:hAnsi="Palatino Linotype" w:cs="Times New Roman"/>
        </w:rPr>
      </w:pPr>
      <w:r w:rsidRPr="005F6371">
        <w:rPr>
          <w:rFonts w:ascii="Palatino Linotype" w:eastAsia="Times New Roman" w:hAnsi="Palatino Linotype" w:cs="Arial"/>
          <w:color w:val="222222"/>
        </w:rPr>
        <w:br/>
      </w:r>
      <w:r w:rsidRPr="005F6371">
        <w:rPr>
          <w:rFonts w:ascii="Palatino Linotype" w:eastAsia="Times New Roman" w:hAnsi="Palatino Linotype" w:cs="Arial"/>
          <w:color w:val="222222"/>
          <w:shd w:val="clear" w:color="auto" w:fill="FFFFFF"/>
        </w:rPr>
        <w:t xml:space="preserve">Pri charitatívnych lotériách je zároveň potrebné zohľadniť ich verejnoprospešný rozmer. Výnosy z týchto hier sú čiastočne smerované na podporu verejnoprospešných aktivít. Zvýšenie odvodového zaťaženia by v tomto prípade nemalo len </w:t>
      </w:r>
      <w:proofErr w:type="spellStart"/>
      <w:r w:rsidRPr="005F6371">
        <w:rPr>
          <w:rFonts w:ascii="Palatino Linotype" w:eastAsia="Times New Roman" w:hAnsi="Palatino Linotype" w:cs="Arial"/>
          <w:color w:val="222222"/>
          <w:shd w:val="clear" w:color="auto" w:fill="FFFFFF"/>
        </w:rPr>
        <w:t>fiskálny</w:t>
      </w:r>
      <w:proofErr w:type="spellEnd"/>
      <w:r w:rsidRPr="005F6371">
        <w:rPr>
          <w:rFonts w:ascii="Palatino Linotype" w:eastAsia="Times New Roman" w:hAnsi="Palatino Linotype" w:cs="Arial"/>
          <w:color w:val="222222"/>
          <w:shd w:val="clear" w:color="auto" w:fill="FFFFFF"/>
        </w:rPr>
        <w:t xml:space="preserve"> dopad, ale mohlo by priamo znížiť objem prostriedkov, ktoré smerujú na verejnoprospešné účely.</w:t>
      </w:r>
      <w:r w:rsidRPr="005F6371">
        <w:rPr>
          <w:rFonts w:ascii="Palatino Linotype" w:eastAsia="Times New Roman" w:hAnsi="Palatino Linotype" w:cs="Arial"/>
          <w:color w:val="222222"/>
        </w:rPr>
        <w:br/>
      </w:r>
      <w:r w:rsidRPr="005F6371">
        <w:rPr>
          <w:rFonts w:ascii="Palatino Linotype" w:eastAsia="Times New Roman" w:hAnsi="Palatino Linotype" w:cs="Arial"/>
          <w:color w:val="222222"/>
        </w:rPr>
        <w:br/>
      </w:r>
      <w:r w:rsidRPr="005F6371">
        <w:rPr>
          <w:rFonts w:ascii="Palatino Linotype" w:eastAsia="Times New Roman" w:hAnsi="Palatino Linotype" w:cs="Arial"/>
          <w:color w:val="222222"/>
          <w:shd w:val="clear" w:color="auto" w:fill="FFFFFF"/>
        </w:rPr>
        <w:t>Navrhovaný prístup tak sleduje princíp proporcionality a diferencovanej regulácie. Zvyšovanie odvodového zaťaženia sa má sústrediť najmä na tie segmenty trhu, ktoré vykazujú najvyšší objem finančných tokov, najvyššiu dynamiku rastu a zároveň predstavujú najvyššie riziko z pohľadu ochrany jednotlivcov a ich rodín. Naopak, pri menej rizikových a spoločensky špecifických formách hazardu je odôvodnené zachovať stabilné a predvídateľné regulačné prostredie.</w:t>
      </w:r>
      <w:r w:rsidR="00AE0A03" w:rsidRPr="00C95AD7">
        <w:rPr>
          <w:rFonts w:ascii="Palatino Linotype" w:hAnsi="Palatino Linotype"/>
        </w:rPr>
        <w:tab/>
      </w:r>
    </w:p>
    <w:p w14:paraId="0681F57D" w14:textId="7955B692" w:rsidR="00B63A0B" w:rsidRPr="00C95AD7" w:rsidRDefault="00B63A0B" w:rsidP="00C95AD7">
      <w:pPr>
        <w:tabs>
          <w:tab w:val="left" w:pos="708"/>
        </w:tabs>
        <w:spacing w:after="120" w:line="276" w:lineRule="auto"/>
        <w:jc w:val="both"/>
        <w:rPr>
          <w:rFonts w:ascii="Palatino Linotype" w:eastAsia="Times New Roman" w:hAnsi="Palatino Linotype" w:cs="Times New Roman"/>
        </w:rPr>
      </w:pPr>
      <w:r w:rsidRPr="00C4043A">
        <w:rPr>
          <w:rFonts w:ascii="Palatino Linotype" w:eastAsia="Times New Roman" w:hAnsi="Palatino Linotype" w:cs="Times New Roman"/>
        </w:rPr>
        <w:t xml:space="preserve">Návrh zákona </w:t>
      </w:r>
      <w:r w:rsidR="00AB1268" w:rsidRPr="00C4043A">
        <w:rPr>
          <w:rFonts w:ascii="Palatino Linotype" w:eastAsia="Times New Roman" w:hAnsi="Palatino Linotype" w:cs="Times New Roman"/>
        </w:rPr>
        <w:t xml:space="preserve">má </w:t>
      </w:r>
      <w:r w:rsidR="004E0F11" w:rsidRPr="00C4043A">
        <w:rPr>
          <w:rFonts w:ascii="Palatino Linotype" w:eastAsia="Times New Roman" w:hAnsi="Palatino Linotype" w:cs="Times New Roman"/>
        </w:rPr>
        <w:t>pozitívne</w:t>
      </w:r>
      <w:r w:rsidRPr="00C4043A">
        <w:rPr>
          <w:rFonts w:ascii="Palatino Linotype" w:eastAsia="Times New Roman" w:hAnsi="Palatino Linotype" w:cs="Times New Roman"/>
        </w:rPr>
        <w:t xml:space="preserve"> sociálne vplyvy</w:t>
      </w:r>
      <w:r w:rsidR="00032B0A">
        <w:rPr>
          <w:rFonts w:ascii="Palatino Linotype" w:eastAsia="Times New Roman" w:hAnsi="Palatino Linotype" w:cs="Times New Roman"/>
        </w:rPr>
        <w:t xml:space="preserve">, pozitívny vplyv na </w:t>
      </w:r>
      <w:r w:rsidR="00032B0A" w:rsidRPr="00C22FB5">
        <w:rPr>
          <w:rFonts w:ascii="Palatino Linotype" w:eastAsia="Times New Roman" w:hAnsi="Palatino Linotype" w:cs="Times New Roman"/>
        </w:rPr>
        <w:t>manželstvo, rodičovstvo a</w:t>
      </w:r>
      <w:r w:rsidR="005F6371">
        <w:rPr>
          <w:rFonts w:ascii="Palatino Linotype" w:eastAsia="Times New Roman" w:hAnsi="Palatino Linotype" w:cs="Times New Roman"/>
        </w:rPr>
        <w:t> </w:t>
      </w:r>
      <w:r w:rsidR="00032B0A" w:rsidRPr="00C22FB5">
        <w:rPr>
          <w:rFonts w:ascii="Palatino Linotype" w:eastAsia="Times New Roman" w:hAnsi="Palatino Linotype" w:cs="Times New Roman"/>
        </w:rPr>
        <w:t>rodinu</w:t>
      </w:r>
      <w:r w:rsidR="005F6371">
        <w:rPr>
          <w:rFonts w:ascii="Palatino Linotype" w:eastAsia="Times New Roman" w:hAnsi="Palatino Linotype" w:cs="Times New Roman"/>
        </w:rPr>
        <w:t xml:space="preserve">, </w:t>
      </w:r>
      <w:r w:rsidR="005F6371" w:rsidRPr="00C4043A">
        <w:rPr>
          <w:rFonts w:ascii="Palatino Linotype" w:eastAsia="Times New Roman" w:hAnsi="Palatino Linotype" w:cs="Times New Roman"/>
        </w:rPr>
        <w:t>rozpočet verejnej správy</w:t>
      </w:r>
      <w:r w:rsidR="009276D9" w:rsidRPr="00C4043A">
        <w:rPr>
          <w:rFonts w:ascii="Palatino Linotype" w:eastAsia="Times New Roman" w:hAnsi="Palatino Linotype" w:cs="Times New Roman"/>
        </w:rPr>
        <w:t xml:space="preserve"> a</w:t>
      </w:r>
      <w:r w:rsidR="005F6371">
        <w:rPr>
          <w:rFonts w:ascii="Palatino Linotype" w:eastAsia="Times New Roman" w:hAnsi="Palatino Linotype" w:cs="Times New Roman"/>
        </w:rPr>
        <w:t>ko aj na</w:t>
      </w:r>
      <w:r w:rsidR="009276D9" w:rsidRPr="00C4043A">
        <w:rPr>
          <w:rFonts w:ascii="Palatino Linotype" w:eastAsia="Times New Roman" w:hAnsi="Palatino Linotype" w:cs="Times New Roman"/>
        </w:rPr>
        <w:t xml:space="preserve"> vplyvy na služby verejnej správy pre občana</w:t>
      </w:r>
      <w:r w:rsidR="009B0D93" w:rsidRPr="00C4043A">
        <w:rPr>
          <w:rFonts w:ascii="Palatino Linotype" w:eastAsia="Times New Roman" w:hAnsi="Palatino Linotype" w:cs="Times New Roman"/>
        </w:rPr>
        <w:t>.</w:t>
      </w:r>
      <w:r w:rsidR="00C02CF5" w:rsidRPr="00C4043A">
        <w:rPr>
          <w:rFonts w:ascii="Palatino Linotype" w:eastAsia="Times New Roman" w:hAnsi="Palatino Linotype" w:cs="Times New Roman"/>
        </w:rPr>
        <w:t xml:space="preserve"> </w:t>
      </w:r>
      <w:r w:rsidR="00C02CF5" w:rsidRPr="00C22FB5">
        <w:rPr>
          <w:rFonts w:ascii="Palatino Linotype" w:eastAsia="Times New Roman" w:hAnsi="Palatino Linotype" w:cs="Times New Roman"/>
        </w:rPr>
        <w:t>N</w:t>
      </w:r>
      <w:r w:rsidR="00DF0474" w:rsidRPr="00C22FB5">
        <w:rPr>
          <w:rFonts w:ascii="Palatino Linotype" w:eastAsia="Times New Roman" w:hAnsi="Palatino Linotype" w:cs="Times New Roman"/>
        </w:rPr>
        <w:t xml:space="preserve">ávrh zákona má  </w:t>
      </w:r>
      <w:r w:rsidR="005F6371">
        <w:rPr>
          <w:rFonts w:ascii="Palatino Linotype" w:eastAsia="Times New Roman" w:hAnsi="Palatino Linotype" w:cs="Times New Roman"/>
        </w:rPr>
        <w:t xml:space="preserve">negatívny rozpočtový </w:t>
      </w:r>
      <w:r w:rsidR="00DF0474" w:rsidRPr="00C22FB5">
        <w:rPr>
          <w:rFonts w:ascii="Palatino Linotype" w:eastAsia="Times New Roman" w:hAnsi="Palatino Linotype" w:cs="Times New Roman"/>
        </w:rPr>
        <w:t>vplyv</w:t>
      </w:r>
      <w:r w:rsidR="009276D9" w:rsidRPr="00C22FB5">
        <w:rPr>
          <w:rFonts w:ascii="Palatino Linotype" w:eastAsia="Times New Roman" w:hAnsi="Palatino Linotype" w:cs="Times New Roman"/>
        </w:rPr>
        <w:t xml:space="preserve"> </w:t>
      </w:r>
      <w:r w:rsidR="00C22FB5" w:rsidRPr="00C22FB5">
        <w:rPr>
          <w:rFonts w:ascii="Palatino Linotype" w:eastAsia="Times New Roman" w:hAnsi="Palatino Linotype" w:cs="Times New Roman"/>
        </w:rPr>
        <w:t>na</w:t>
      </w:r>
      <w:r w:rsidR="00AE1574" w:rsidRPr="00C4043A">
        <w:rPr>
          <w:rFonts w:ascii="Palatino Linotype" w:eastAsia="Times New Roman" w:hAnsi="Palatino Linotype" w:cs="Times New Roman"/>
        </w:rPr>
        <w:t xml:space="preserve"> </w:t>
      </w:r>
      <w:r w:rsidR="00195FF4" w:rsidRPr="00C4043A">
        <w:rPr>
          <w:rFonts w:ascii="Palatino Linotype" w:eastAsia="Times New Roman" w:hAnsi="Palatino Linotype" w:cs="Times New Roman"/>
        </w:rPr>
        <w:t>podnikateľské prostredie</w:t>
      </w:r>
      <w:r w:rsidR="005F6371">
        <w:rPr>
          <w:rFonts w:ascii="Palatino Linotype" w:eastAsia="Times New Roman" w:hAnsi="Palatino Linotype" w:cs="Times New Roman"/>
        </w:rPr>
        <w:t xml:space="preserve"> vo sfére hazardu</w:t>
      </w:r>
      <w:r w:rsidR="00195FF4" w:rsidRPr="00C4043A">
        <w:rPr>
          <w:rFonts w:ascii="Palatino Linotype" w:eastAsia="Times New Roman" w:hAnsi="Palatino Linotype" w:cs="Times New Roman"/>
        </w:rPr>
        <w:t xml:space="preserve">, </w:t>
      </w:r>
      <w:r w:rsidR="005F6371">
        <w:rPr>
          <w:rFonts w:ascii="Palatino Linotype" w:eastAsia="Times New Roman" w:hAnsi="Palatino Linotype" w:cs="Times New Roman"/>
        </w:rPr>
        <w:t xml:space="preserve">a žiaden vplyv </w:t>
      </w:r>
      <w:proofErr w:type="spellStart"/>
      <w:r w:rsidR="005F6371">
        <w:rPr>
          <w:rFonts w:ascii="Palatino Linotype" w:eastAsia="Times New Roman" w:hAnsi="Palatino Linotype" w:cs="Times New Roman"/>
        </w:rPr>
        <w:t>na</w:t>
      </w:r>
      <w:r w:rsidRPr="00C4043A">
        <w:rPr>
          <w:rFonts w:ascii="Palatino Linotype" w:eastAsia="Times New Roman" w:hAnsi="Palatino Linotype" w:cs="Times New Roman"/>
        </w:rPr>
        <w:t>informatizáciu</w:t>
      </w:r>
      <w:proofErr w:type="spellEnd"/>
      <w:r w:rsidRPr="00C4043A">
        <w:rPr>
          <w:rFonts w:ascii="Palatino Linotype" w:eastAsia="Times New Roman" w:hAnsi="Palatino Linotype" w:cs="Times New Roman"/>
        </w:rPr>
        <w:t xml:space="preserve"> spoločnosti</w:t>
      </w:r>
      <w:r w:rsidR="00E579F6" w:rsidRPr="00C4043A">
        <w:rPr>
          <w:rFonts w:ascii="Palatino Linotype" w:eastAsia="Times New Roman" w:hAnsi="Palatino Linotype" w:cs="Times New Roman"/>
        </w:rPr>
        <w:t xml:space="preserve"> a</w:t>
      </w:r>
      <w:r w:rsidRPr="00C4043A">
        <w:rPr>
          <w:rFonts w:ascii="Palatino Linotype" w:eastAsia="Times New Roman" w:hAnsi="Palatino Linotype" w:cs="Times New Roman"/>
        </w:rPr>
        <w:t xml:space="preserve"> životné  prostredie. </w:t>
      </w:r>
    </w:p>
    <w:p w14:paraId="6DD14886" w14:textId="6884E81F" w:rsidR="009A375B" w:rsidRPr="00C4043A" w:rsidRDefault="009A375B" w:rsidP="00C95AD7">
      <w:pPr>
        <w:shd w:val="clear" w:color="auto" w:fill="FFFFFF"/>
        <w:spacing w:after="120" w:line="276" w:lineRule="auto"/>
        <w:jc w:val="both"/>
        <w:rPr>
          <w:rFonts w:ascii="Palatino Linotype" w:eastAsia="Times New Roman" w:hAnsi="Palatino Linotype" w:cs="Open Sans"/>
        </w:rPr>
      </w:pPr>
      <w:r w:rsidRPr="00C4043A">
        <w:rPr>
          <w:rFonts w:ascii="Palatino Linotype" w:eastAsia="Times New Roman" w:hAnsi="Palatino Linotype" w:cs="Times New Roman"/>
        </w:rPr>
        <w:t>Návrh zákona je v súlade s Ústavou Slovenskej republiky, ústavnými zákonmi a nálezmi Ústavného súdu Slovenskej republiky, medzinárodnými zml</w:t>
      </w:r>
      <w:r w:rsidR="00AE0A03" w:rsidRPr="00C4043A">
        <w:rPr>
          <w:rFonts w:ascii="Palatino Linotype" w:eastAsia="Times New Roman" w:hAnsi="Palatino Linotype" w:cs="Times New Roman"/>
        </w:rPr>
        <w:t>uvami a medzinárodnými dokument</w:t>
      </w:r>
      <w:r w:rsidRPr="00C4043A">
        <w:rPr>
          <w:rFonts w:ascii="Palatino Linotype" w:eastAsia="Times New Roman" w:hAnsi="Palatino Linotype" w:cs="Times New Roman"/>
        </w:rPr>
        <w:t>mi, ktorými je Slovenská republika viazaná, zákonmi a s právom Európskej únie.</w:t>
      </w:r>
    </w:p>
    <w:bookmarkEnd w:id="1"/>
    <w:p w14:paraId="237E7756" w14:textId="77777777" w:rsidR="00A77F33" w:rsidRPr="00C4043A" w:rsidRDefault="00A77F33" w:rsidP="00A77F3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</w:rPr>
      </w:pPr>
    </w:p>
    <w:p w14:paraId="0518D10C" w14:textId="3AF4282F" w:rsidR="00C95AD7" w:rsidRDefault="00C95AD7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3B56CC81" w14:textId="77777777" w:rsidR="00032B0A" w:rsidRDefault="00032B0A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0000000E" w14:textId="27E486EC" w:rsidR="00386510" w:rsidRPr="00C4043A" w:rsidRDefault="00BB6162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  <w:r w:rsidRPr="00C4043A">
        <w:rPr>
          <w:rFonts w:ascii="Palatino Linotype" w:eastAsia="Times New Roman" w:hAnsi="Palatino Linotype" w:cs="Times New Roman"/>
          <w:b/>
          <w:color w:val="000000"/>
        </w:rPr>
        <w:t>B. OSOBITNÁ ČASŤ</w:t>
      </w:r>
    </w:p>
    <w:p w14:paraId="55DAC92C" w14:textId="77777777" w:rsidR="006833D9" w:rsidRPr="00C4043A" w:rsidRDefault="006833D9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00000010" w14:textId="2DE8C503" w:rsidR="00386510" w:rsidRPr="00C4043A" w:rsidRDefault="00BB6162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  <w:r w:rsidRPr="00C4043A">
        <w:rPr>
          <w:rFonts w:ascii="Palatino Linotype" w:eastAsia="Times New Roman" w:hAnsi="Palatino Linotype" w:cs="Times New Roman"/>
          <w:b/>
          <w:color w:val="000000"/>
        </w:rPr>
        <w:t>K Čl. I</w:t>
      </w:r>
    </w:p>
    <w:p w14:paraId="04A7AF1E" w14:textId="77777777" w:rsidR="00F84F84" w:rsidRPr="00F84F84" w:rsidRDefault="00F84F84" w:rsidP="00F1346C">
      <w:pPr>
        <w:spacing w:after="120" w:line="276" w:lineRule="auto"/>
        <w:jc w:val="both"/>
        <w:rPr>
          <w:rFonts w:ascii="Palatino Linotype" w:eastAsia="Times New Roman" w:hAnsi="Palatino Linotype" w:cs="Times New Roman"/>
          <w:color w:val="000000"/>
        </w:rPr>
      </w:pPr>
      <w:r w:rsidRPr="00F84F84">
        <w:rPr>
          <w:rFonts w:ascii="Palatino Linotype" w:eastAsia="Times New Roman" w:hAnsi="Palatino Linotype" w:cs="Times New Roman"/>
          <w:color w:val="000000"/>
        </w:rPr>
        <w:t>K bodu 1:</w:t>
      </w:r>
    </w:p>
    <w:p w14:paraId="2FF5CF1E" w14:textId="77777777" w:rsidR="00F84F84" w:rsidRPr="00F84F84" w:rsidRDefault="00F84F84" w:rsidP="00F1346C">
      <w:pPr>
        <w:spacing w:after="120" w:line="276" w:lineRule="auto"/>
        <w:jc w:val="both"/>
        <w:rPr>
          <w:rFonts w:ascii="Palatino Linotype" w:eastAsia="Times New Roman" w:hAnsi="Palatino Linotype" w:cs="Times New Roman"/>
          <w:color w:val="000000"/>
        </w:rPr>
      </w:pPr>
      <w:r w:rsidRPr="00F84F84">
        <w:rPr>
          <w:rFonts w:ascii="Palatino Linotype" w:eastAsia="Times New Roman" w:hAnsi="Palatino Linotype" w:cs="Times New Roman"/>
          <w:color w:val="000000"/>
        </w:rPr>
        <w:t>Navrhovanou úpravou sa zvyšuje sadzba odvodu pri hazardnej hre podľa § 71 ods. 1 písm. a) z 15 % na 37 %. Cieľom je zosúladiť výšku odvodu s ekonomickou výnosnosťou tohto segmentu hazardu, ktorý patrí medzi najdynamickejšie rastúce formy hazardných hier a zároveň predstavuje zvýšené riziko z pohľadu ochrany hráčov.</w:t>
      </w:r>
    </w:p>
    <w:p w14:paraId="041774BD" w14:textId="77777777" w:rsidR="00F84F84" w:rsidRPr="00F84F84" w:rsidRDefault="00F84F84" w:rsidP="00F1346C">
      <w:pPr>
        <w:spacing w:after="120" w:line="276" w:lineRule="auto"/>
        <w:jc w:val="both"/>
        <w:rPr>
          <w:rFonts w:ascii="Palatino Linotype" w:eastAsia="Times New Roman" w:hAnsi="Palatino Linotype" w:cs="Times New Roman"/>
          <w:color w:val="000000"/>
        </w:rPr>
      </w:pPr>
    </w:p>
    <w:p w14:paraId="12E62B0A" w14:textId="77777777" w:rsidR="00F84F84" w:rsidRPr="00F84F84" w:rsidRDefault="00F84F84" w:rsidP="00F1346C">
      <w:pPr>
        <w:spacing w:after="120" w:line="276" w:lineRule="auto"/>
        <w:jc w:val="both"/>
        <w:rPr>
          <w:rFonts w:ascii="Palatino Linotype" w:eastAsia="Times New Roman" w:hAnsi="Palatino Linotype" w:cs="Times New Roman"/>
          <w:color w:val="000000"/>
        </w:rPr>
      </w:pPr>
      <w:r w:rsidRPr="00F84F84">
        <w:rPr>
          <w:rFonts w:ascii="Palatino Linotype" w:eastAsia="Times New Roman" w:hAnsi="Palatino Linotype" w:cs="Times New Roman"/>
          <w:color w:val="000000"/>
        </w:rPr>
        <w:t>K bodu 2:</w:t>
      </w:r>
    </w:p>
    <w:p w14:paraId="230DD0D6" w14:textId="77777777" w:rsidR="00F84F84" w:rsidRPr="00F84F84" w:rsidRDefault="00F84F84" w:rsidP="00F1346C">
      <w:pPr>
        <w:spacing w:after="120" w:line="276" w:lineRule="auto"/>
        <w:jc w:val="both"/>
        <w:rPr>
          <w:rFonts w:ascii="Palatino Linotype" w:eastAsia="Times New Roman" w:hAnsi="Palatino Linotype" w:cs="Times New Roman"/>
          <w:color w:val="000000"/>
        </w:rPr>
      </w:pPr>
      <w:r w:rsidRPr="00F84F84">
        <w:rPr>
          <w:rFonts w:ascii="Palatino Linotype" w:eastAsia="Times New Roman" w:hAnsi="Palatino Linotype" w:cs="Times New Roman"/>
          <w:color w:val="000000"/>
        </w:rPr>
        <w:t xml:space="preserve">Navrhuje sa zvýšenie sadzby odvodu podľa § 71 ods. 1 písm. b) z 15 % na 37 %. Ide o úpravu sledujúcu princíp rovnakého zaťaženia porovnateľných foriem hazardu, pričom sa zohľadňuje ich vysoká miera </w:t>
      </w:r>
      <w:proofErr w:type="spellStart"/>
      <w:r w:rsidRPr="00F84F84">
        <w:rPr>
          <w:rFonts w:ascii="Palatino Linotype" w:eastAsia="Times New Roman" w:hAnsi="Palatino Linotype" w:cs="Times New Roman"/>
          <w:color w:val="000000"/>
        </w:rPr>
        <w:t>profitability</w:t>
      </w:r>
      <w:proofErr w:type="spellEnd"/>
      <w:r w:rsidRPr="00F84F84">
        <w:rPr>
          <w:rFonts w:ascii="Palatino Linotype" w:eastAsia="Times New Roman" w:hAnsi="Palatino Linotype" w:cs="Times New Roman"/>
          <w:color w:val="000000"/>
        </w:rPr>
        <w:t xml:space="preserve"> a spoločenských rizík.</w:t>
      </w:r>
    </w:p>
    <w:p w14:paraId="6411700A" w14:textId="77777777" w:rsidR="00F84F84" w:rsidRPr="00F84F84" w:rsidRDefault="00F84F84" w:rsidP="00F1346C">
      <w:pPr>
        <w:spacing w:after="120" w:line="276" w:lineRule="auto"/>
        <w:jc w:val="both"/>
        <w:rPr>
          <w:rFonts w:ascii="Palatino Linotype" w:eastAsia="Times New Roman" w:hAnsi="Palatino Linotype" w:cs="Times New Roman"/>
          <w:color w:val="000000"/>
        </w:rPr>
      </w:pPr>
    </w:p>
    <w:p w14:paraId="0C0428B8" w14:textId="77777777" w:rsidR="00F84F84" w:rsidRPr="00F84F84" w:rsidRDefault="00F84F84" w:rsidP="00F1346C">
      <w:pPr>
        <w:spacing w:after="120" w:line="276" w:lineRule="auto"/>
        <w:jc w:val="both"/>
        <w:rPr>
          <w:rFonts w:ascii="Palatino Linotype" w:eastAsia="Times New Roman" w:hAnsi="Palatino Linotype" w:cs="Times New Roman"/>
          <w:color w:val="000000"/>
        </w:rPr>
      </w:pPr>
      <w:r w:rsidRPr="00F84F84">
        <w:rPr>
          <w:rFonts w:ascii="Palatino Linotype" w:eastAsia="Times New Roman" w:hAnsi="Palatino Linotype" w:cs="Times New Roman"/>
          <w:color w:val="000000"/>
        </w:rPr>
        <w:t>K bodu 3:</w:t>
      </w:r>
    </w:p>
    <w:p w14:paraId="169AE2B4" w14:textId="77777777" w:rsidR="00F84F84" w:rsidRPr="00F84F84" w:rsidRDefault="00F84F84" w:rsidP="00F1346C">
      <w:pPr>
        <w:spacing w:after="120" w:line="276" w:lineRule="auto"/>
        <w:jc w:val="both"/>
        <w:rPr>
          <w:rFonts w:ascii="Palatino Linotype" w:eastAsia="Times New Roman" w:hAnsi="Palatino Linotype" w:cs="Times New Roman"/>
          <w:color w:val="000000"/>
        </w:rPr>
      </w:pPr>
      <w:r w:rsidRPr="00F84F84">
        <w:rPr>
          <w:rFonts w:ascii="Palatino Linotype" w:eastAsia="Times New Roman" w:hAnsi="Palatino Linotype" w:cs="Times New Roman"/>
          <w:color w:val="000000"/>
        </w:rPr>
        <w:t>Zvyšuje sa sadzba odvodu podľa § 71 ods. 1 písm. c) z 20 % na 37 %. Navrhovaná zmena reflektuje potrebu posilniť regulačné a fiškálne nástroje pri hazardných hrách s vyššou intenzitou a frekvenciou účasti hráčov.</w:t>
      </w:r>
    </w:p>
    <w:p w14:paraId="4EF7CE49" w14:textId="77777777" w:rsidR="00F84F84" w:rsidRPr="00F84F84" w:rsidRDefault="00F84F84" w:rsidP="00F1346C">
      <w:pPr>
        <w:spacing w:after="120" w:line="276" w:lineRule="auto"/>
        <w:jc w:val="both"/>
        <w:rPr>
          <w:rFonts w:ascii="Palatino Linotype" w:eastAsia="Times New Roman" w:hAnsi="Palatino Linotype" w:cs="Times New Roman"/>
          <w:color w:val="000000"/>
        </w:rPr>
      </w:pPr>
    </w:p>
    <w:p w14:paraId="13B19785" w14:textId="77777777" w:rsidR="00F84F84" w:rsidRPr="00F84F84" w:rsidRDefault="00F84F84" w:rsidP="00F1346C">
      <w:pPr>
        <w:spacing w:after="120" w:line="276" w:lineRule="auto"/>
        <w:jc w:val="both"/>
        <w:rPr>
          <w:rFonts w:ascii="Palatino Linotype" w:eastAsia="Times New Roman" w:hAnsi="Palatino Linotype" w:cs="Times New Roman"/>
          <w:color w:val="000000"/>
        </w:rPr>
      </w:pPr>
      <w:r w:rsidRPr="00F84F84">
        <w:rPr>
          <w:rFonts w:ascii="Palatino Linotype" w:eastAsia="Times New Roman" w:hAnsi="Palatino Linotype" w:cs="Times New Roman"/>
          <w:color w:val="000000"/>
        </w:rPr>
        <w:t>K bodu 4:</w:t>
      </w:r>
    </w:p>
    <w:p w14:paraId="1F0E8A5B" w14:textId="77777777" w:rsidR="00F84F84" w:rsidRPr="00F84F84" w:rsidRDefault="00F84F84" w:rsidP="00F1346C">
      <w:pPr>
        <w:spacing w:after="120" w:line="276" w:lineRule="auto"/>
        <w:jc w:val="both"/>
        <w:rPr>
          <w:rFonts w:ascii="Palatino Linotype" w:eastAsia="Times New Roman" w:hAnsi="Palatino Linotype" w:cs="Times New Roman"/>
          <w:color w:val="000000"/>
        </w:rPr>
      </w:pPr>
      <w:r w:rsidRPr="00F84F84">
        <w:rPr>
          <w:rFonts w:ascii="Palatino Linotype" w:eastAsia="Times New Roman" w:hAnsi="Palatino Linotype" w:cs="Times New Roman"/>
          <w:color w:val="000000"/>
        </w:rPr>
        <w:t>V § 71 ods. 1 písm. d) sa sadzba odvodu zvyšuje z 20 % na 37 %. Úprava sleduje cieľ zvýšiť verejné príjmy z ekonomicky významného segmentu hazardného trhu a zároveň prispieť k obmedzeniu negatívnych sociálnych dopadov.</w:t>
      </w:r>
    </w:p>
    <w:p w14:paraId="0BDE9203" w14:textId="77777777" w:rsidR="00F84F84" w:rsidRPr="00F84F84" w:rsidRDefault="00F84F84" w:rsidP="00F1346C">
      <w:pPr>
        <w:spacing w:after="120" w:line="276" w:lineRule="auto"/>
        <w:jc w:val="both"/>
        <w:rPr>
          <w:rFonts w:ascii="Palatino Linotype" w:eastAsia="Times New Roman" w:hAnsi="Palatino Linotype" w:cs="Times New Roman"/>
          <w:color w:val="000000"/>
        </w:rPr>
      </w:pPr>
    </w:p>
    <w:p w14:paraId="74944578" w14:textId="77777777" w:rsidR="00F84F84" w:rsidRPr="00F84F84" w:rsidRDefault="00F84F84" w:rsidP="00F1346C">
      <w:pPr>
        <w:spacing w:after="120" w:line="276" w:lineRule="auto"/>
        <w:jc w:val="both"/>
        <w:rPr>
          <w:rFonts w:ascii="Palatino Linotype" w:eastAsia="Times New Roman" w:hAnsi="Palatino Linotype" w:cs="Times New Roman"/>
          <w:color w:val="000000"/>
        </w:rPr>
      </w:pPr>
      <w:r w:rsidRPr="00F84F84">
        <w:rPr>
          <w:rFonts w:ascii="Palatino Linotype" w:eastAsia="Times New Roman" w:hAnsi="Palatino Linotype" w:cs="Times New Roman"/>
          <w:color w:val="000000"/>
        </w:rPr>
        <w:t>K bodu 5:</w:t>
      </w:r>
    </w:p>
    <w:p w14:paraId="7739F843" w14:textId="77777777" w:rsidR="00F84F84" w:rsidRPr="00F84F84" w:rsidRDefault="00F84F84" w:rsidP="00F1346C">
      <w:pPr>
        <w:spacing w:after="120" w:line="276" w:lineRule="auto"/>
        <w:jc w:val="both"/>
        <w:rPr>
          <w:rFonts w:ascii="Palatino Linotype" w:eastAsia="Times New Roman" w:hAnsi="Palatino Linotype" w:cs="Times New Roman"/>
          <w:color w:val="000000"/>
        </w:rPr>
      </w:pPr>
      <w:r w:rsidRPr="00F84F84">
        <w:rPr>
          <w:rFonts w:ascii="Palatino Linotype" w:eastAsia="Times New Roman" w:hAnsi="Palatino Linotype" w:cs="Times New Roman"/>
          <w:color w:val="000000"/>
        </w:rPr>
        <w:t>Navrhuje sa zvýšenie sadzieb v § 71 ods. 1 písm. e), a to z 4,5 % na 30 % a z 0,5 % na 7 %. Ide o výraznejšiu úpravu, ktorá reaguje na doteraz relatívne nízke odvodové zaťaženie tejto formy hazardu, pričom sa zohľadňuje jej rastúci ekonomický význam a dostupnosť.</w:t>
      </w:r>
    </w:p>
    <w:p w14:paraId="05F6234C" w14:textId="77777777" w:rsidR="00F84F84" w:rsidRPr="00F84F84" w:rsidRDefault="00F84F84" w:rsidP="00F1346C">
      <w:pPr>
        <w:spacing w:after="120" w:line="276" w:lineRule="auto"/>
        <w:jc w:val="both"/>
        <w:rPr>
          <w:rFonts w:ascii="Palatino Linotype" w:eastAsia="Times New Roman" w:hAnsi="Palatino Linotype" w:cs="Times New Roman"/>
          <w:color w:val="000000"/>
        </w:rPr>
      </w:pPr>
    </w:p>
    <w:p w14:paraId="4EB4BEF3" w14:textId="77777777" w:rsidR="00F84F84" w:rsidRPr="00F84F84" w:rsidRDefault="00F84F84" w:rsidP="00F1346C">
      <w:pPr>
        <w:spacing w:after="120" w:line="276" w:lineRule="auto"/>
        <w:jc w:val="both"/>
        <w:rPr>
          <w:rFonts w:ascii="Palatino Linotype" w:eastAsia="Times New Roman" w:hAnsi="Palatino Linotype" w:cs="Times New Roman"/>
          <w:color w:val="000000"/>
        </w:rPr>
      </w:pPr>
      <w:r w:rsidRPr="00F84F84">
        <w:rPr>
          <w:rFonts w:ascii="Palatino Linotype" w:eastAsia="Times New Roman" w:hAnsi="Palatino Linotype" w:cs="Times New Roman"/>
          <w:color w:val="000000"/>
        </w:rPr>
        <w:t>K bodu 6:</w:t>
      </w:r>
    </w:p>
    <w:p w14:paraId="070E4DCB" w14:textId="77777777" w:rsidR="00F84F84" w:rsidRPr="00F84F84" w:rsidRDefault="00F84F84" w:rsidP="00F1346C">
      <w:pPr>
        <w:spacing w:after="120" w:line="276" w:lineRule="auto"/>
        <w:jc w:val="both"/>
        <w:rPr>
          <w:rFonts w:ascii="Palatino Linotype" w:eastAsia="Times New Roman" w:hAnsi="Palatino Linotype" w:cs="Times New Roman"/>
          <w:color w:val="000000"/>
        </w:rPr>
      </w:pPr>
      <w:r w:rsidRPr="00F84F84">
        <w:rPr>
          <w:rFonts w:ascii="Palatino Linotype" w:eastAsia="Times New Roman" w:hAnsi="Palatino Linotype" w:cs="Times New Roman"/>
          <w:color w:val="000000"/>
        </w:rPr>
        <w:t>V § 71 ods. 1 písm. f) sa sadzba odvodu zvyšuje zo 4 % na 37 %. Táto zmena predstavuje zásadné zosilnenie regulačného rámca pri hazardných hrách, ktoré boli doteraz zaťažené výrazne nižšou sadzbou v porovnaní s inými formami hazardu.</w:t>
      </w:r>
    </w:p>
    <w:p w14:paraId="4ACB0C3C" w14:textId="77777777" w:rsidR="00F84F84" w:rsidRPr="00F84F84" w:rsidRDefault="00F84F84" w:rsidP="00F1346C">
      <w:pPr>
        <w:spacing w:after="120" w:line="276" w:lineRule="auto"/>
        <w:jc w:val="both"/>
        <w:rPr>
          <w:rFonts w:ascii="Palatino Linotype" w:eastAsia="Times New Roman" w:hAnsi="Palatino Linotype" w:cs="Times New Roman"/>
          <w:color w:val="000000"/>
        </w:rPr>
      </w:pPr>
    </w:p>
    <w:p w14:paraId="6AA12912" w14:textId="77777777" w:rsidR="00F84F84" w:rsidRPr="00F84F84" w:rsidRDefault="00F84F84" w:rsidP="00F1346C">
      <w:pPr>
        <w:spacing w:after="120" w:line="276" w:lineRule="auto"/>
        <w:jc w:val="both"/>
        <w:rPr>
          <w:rFonts w:ascii="Palatino Linotype" w:eastAsia="Times New Roman" w:hAnsi="Palatino Linotype" w:cs="Times New Roman"/>
          <w:color w:val="000000"/>
        </w:rPr>
      </w:pPr>
      <w:r w:rsidRPr="00F84F84">
        <w:rPr>
          <w:rFonts w:ascii="Palatino Linotype" w:eastAsia="Times New Roman" w:hAnsi="Palatino Linotype" w:cs="Times New Roman"/>
          <w:color w:val="000000"/>
        </w:rPr>
        <w:t>K bodu 7:</w:t>
      </w:r>
    </w:p>
    <w:p w14:paraId="43B1781F" w14:textId="77777777" w:rsidR="00F84F84" w:rsidRPr="00F84F84" w:rsidRDefault="00F84F84" w:rsidP="00F1346C">
      <w:pPr>
        <w:spacing w:after="120" w:line="276" w:lineRule="auto"/>
        <w:jc w:val="both"/>
        <w:rPr>
          <w:rFonts w:ascii="Palatino Linotype" w:eastAsia="Times New Roman" w:hAnsi="Palatino Linotype" w:cs="Times New Roman"/>
          <w:color w:val="000000"/>
        </w:rPr>
      </w:pPr>
      <w:r w:rsidRPr="00F84F84">
        <w:rPr>
          <w:rFonts w:ascii="Palatino Linotype" w:eastAsia="Times New Roman" w:hAnsi="Palatino Linotype" w:cs="Times New Roman"/>
          <w:color w:val="000000"/>
        </w:rPr>
        <w:t>Navrhuje sa zvýšenie sadzby odvodu podľa § 71 ods. 1 písm. h) zo 6 % na 13 %. Ide o miernejšie zvýšenie, ktoré zohľadňuje špecifický charakter tejto formy hazardu a jej nižšiu rizikovosť v porovnaní s inými segmentmi.</w:t>
      </w:r>
    </w:p>
    <w:p w14:paraId="0A5A1C46" w14:textId="77777777" w:rsidR="00F84F84" w:rsidRPr="00F84F84" w:rsidRDefault="00F84F84" w:rsidP="00F1346C">
      <w:pPr>
        <w:spacing w:after="120" w:line="276" w:lineRule="auto"/>
        <w:jc w:val="both"/>
        <w:rPr>
          <w:rFonts w:ascii="Palatino Linotype" w:eastAsia="Times New Roman" w:hAnsi="Palatino Linotype" w:cs="Times New Roman"/>
          <w:color w:val="000000"/>
        </w:rPr>
      </w:pPr>
    </w:p>
    <w:p w14:paraId="3DFB6932" w14:textId="77777777" w:rsidR="00F84F84" w:rsidRPr="00F84F84" w:rsidRDefault="00F84F84" w:rsidP="00F1346C">
      <w:pPr>
        <w:spacing w:after="120" w:line="276" w:lineRule="auto"/>
        <w:jc w:val="both"/>
        <w:rPr>
          <w:rFonts w:ascii="Palatino Linotype" w:eastAsia="Times New Roman" w:hAnsi="Palatino Linotype" w:cs="Times New Roman"/>
          <w:color w:val="000000"/>
        </w:rPr>
      </w:pPr>
      <w:r w:rsidRPr="00F84F84">
        <w:rPr>
          <w:rFonts w:ascii="Palatino Linotype" w:eastAsia="Times New Roman" w:hAnsi="Palatino Linotype" w:cs="Times New Roman"/>
          <w:color w:val="000000"/>
        </w:rPr>
        <w:t>K bodu 8:</w:t>
      </w:r>
    </w:p>
    <w:p w14:paraId="70FF6CBE" w14:textId="77777777" w:rsidR="00F84F84" w:rsidRPr="00F84F84" w:rsidRDefault="00F84F84" w:rsidP="00F1346C">
      <w:pPr>
        <w:spacing w:after="120" w:line="276" w:lineRule="auto"/>
        <w:jc w:val="both"/>
        <w:rPr>
          <w:rFonts w:ascii="Palatino Linotype" w:eastAsia="Times New Roman" w:hAnsi="Palatino Linotype" w:cs="Times New Roman"/>
          <w:color w:val="000000"/>
        </w:rPr>
      </w:pPr>
      <w:r w:rsidRPr="00F84F84">
        <w:rPr>
          <w:rFonts w:ascii="Palatino Linotype" w:eastAsia="Times New Roman" w:hAnsi="Palatino Linotype" w:cs="Times New Roman"/>
          <w:color w:val="000000"/>
        </w:rPr>
        <w:t>V § 71 ods. 1 písm. i) sa sadzba odvodu zvyšuje z 1 % na 8 %. Navrhovaná úprava reaguje na doterajšie neprimerane nízke odvodové zaťaženie a sleduje cieľ jeho priblíženia k ostatným formám hazardných hier.</w:t>
      </w:r>
    </w:p>
    <w:p w14:paraId="11FB9D1A" w14:textId="77777777" w:rsidR="00F84F84" w:rsidRPr="00F84F84" w:rsidRDefault="00F84F84" w:rsidP="00F1346C">
      <w:pPr>
        <w:spacing w:after="120" w:line="276" w:lineRule="auto"/>
        <w:jc w:val="both"/>
        <w:rPr>
          <w:rFonts w:ascii="Palatino Linotype" w:eastAsia="Times New Roman" w:hAnsi="Palatino Linotype" w:cs="Times New Roman"/>
          <w:color w:val="000000"/>
        </w:rPr>
      </w:pPr>
    </w:p>
    <w:p w14:paraId="7CC6AD75" w14:textId="77777777" w:rsidR="00F84F84" w:rsidRPr="00F84F84" w:rsidRDefault="00F84F84" w:rsidP="00F1346C">
      <w:pPr>
        <w:spacing w:after="120" w:line="276" w:lineRule="auto"/>
        <w:jc w:val="both"/>
        <w:rPr>
          <w:rFonts w:ascii="Palatino Linotype" w:eastAsia="Times New Roman" w:hAnsi="Palatino Linotype" w:cs="Times New Roman"/>
          <w:color w:val="000000"/>
        </w:rPr>
      </w:pPr>
      <w:r w:rsidRPr="00F84F84">
        <w:rPr>
          <w:rFonts w:ascii="Palatino Linotype" w:eastAsia="Times New Roman" w:hAnsi="Palatino Linotype" w:cs="Times New Roman"/>
          <w:color w:val="000000"/>
        </w:rPr>
        <w:t>K bodu 9:</w:t>
      </w:r>
    </w:p>
    <w:p w14:paraId="6CF9587D" w14:textId="77777777" w:rsidR="00F84F84" w:rsidRPr="00F84F84" w:rsidRDefault="00F84F84" w:rsidP="00F1346C">
      <w:pPr>
        <w:spacing w:after="120" w:line="276" w:lineRule="auto"/>
        <w:jc w:val="both"/>
        <w:rPr>
          <w:rFonts w:ascii="Palatino Linotype" w:eastAsia="Times New Roman" w:hAnsi="Palatino Linotype" w:cs="Times New Roman"/>
          <w:color w:val="000000"/>
        </w:rPr>
      </w:pPr>
      <w:r w:rsidRPr="00F84F84">
        <w:rPr>
          <w:rFonts w:ascii="Palatino Linotype" w:eastAsia="Times New Roman" w:hAnsi="Palatino Linotype" w:cs="Times New Roman"/>
          <w:color w:val="000000"/>
        </w:rPr>
        <w:t>Navrhuje sa zvýšenie sadzieb v § 71 ods. 1 písm. j), a to z 5,5 % na 37 % a z 0,5 % na 6 %. Cieľom je odstrániť disproporcie v odvodovom zaťažení a reflektovať vysokú mieru výnosnosti tohto segmentu hazardu.</w:t>
      </w:r>
    </w:p>
    <w:p w14:paraId="34C49E55" w14:textId="77777777" w:rsidR="00F84F84" w:rsidRPr="00F84F84" w:rsidRDefault="00F84F84" w:rsidP="00F1346C">
      <w:pPr>
        <w:spacing w:after="120" w:line="276" w:lineRule="auto"/>
        <w:jc w:val="both"/>
        <w:rPr>
          <w:rFonts w:ascii="Palatino Linotype" w:eastAsia="Times New Roman" w:hAnsi="Palatino Linotype" w:cs="Times New Roman"/>
          <w:color w:val="000000"/>
        </w:rPr>
      </w:pPr>
    </w:p>
    <w:p w14:paraId="75FB0482" w14:textId="77777777" w:rsidR="00F84F84" w:rsidRPr="00F84F84" w:rsidRDefault="00F84F84" w:rsidP="00F1346C">
      <w:pPr>
        <w:spacing w:after="120" w:line="276" w:lineRule="auto"/>
        <w:jc w:val="both"/>
        <w:rPr>
          <w:rFonts w:ascii="Palatino Linotype" w:eastAsia="Times New Roman" w:hAnsi="Palatino Linotype" w:cs="Times New Roman"/>
          <w:color w:val="000000"/>
        </w:rPr>
      </w:pPr>
      <w:r w:rsidRPr="00F84F84">
        <w:rPr>
          <w:rFonts w:ascii="Palatino Linotype" w:eastAsia="Times New Roman" w:hAnsi="Palatino Linotype" w:cs="Times New Roman"/>
          <w:color w:val="000000"/>
        </w:rPr>
        <w:t>K bodu 10:</w:t>
      </w:r>
    </w:p>
    <w:p w14:paraId="39E8E311" w14:textId="77777777" w:rsidR="00F84F84" w:rsidRPr="00F84F84" w:rsidRDefault="00F84F84" w:rsidP="00F1346C">
      <w:pPr>
        <w:spacing w:after="120" w:line="276" w:lineRule="auto"/>
        <w:jc w:val="both"/>
        <w:rPr>
          <w:rFonts w:ascii="Palatino Linotype" w:eastAsia="Times New Roman" w:hAnsi="Palatino Linotype" w:cs="Times New Roman"/>
          <w:color w:val="000000"/>
        </w:rPr>
      </w:pPr>
      <w:r w:rsidRPr="00F84F84">
        <w:rPr>
          <w:rFonts w:ascii="Palatino Linotype" w:eastAsia="Times New Roman" w:hAnsi="Palatino Linotype" w:cs="Times New Roman"/>
          <w:color w:val="000000"/>
        </w:rPr>
        <w:t>V § 71 ods. 1 písm. k) sa sadzba odvodu zvyšuje z 27 % na 37 %. Ide o úpravu smerujúcu k zjednoteniu sadzieb pri hlavných komerčných formách hazardu na úroveň, ktorá lepšie odráža ich ekonomický potenciál.</w:t>
      </w:r>
    </w:p>
    <w:p w14:paraId="365BD61F" w14:textId="77777777" w:rsidR="00F84F84" w:rsidRPr="00F84F84" w:rsidRDefault="00F84F84" w:rsidP="00F1346C">
      <w:pPr>
        <w:spacing w:after="120" w:line="276" w:lineRule="auto"/>
        <w:jc w:val="both"/>
        <w:rPr>
          <w:rFonts w:ascii="Palatino Linotype" w:eastAsia="Times New Roman" w:hAnsi="Palatino Linotype" w:cs="Times New Roman"/>
          <w:color w:val="000000"/>
        </w:rPr>
      </w:pPr>
    </w:p>
    <w:p w14:paraId="7C324005" w14:textId="77777777" w:rsidR="00F84F84" w:rsidRPr="00F84F84" w:rsidRDefault="00F84F84" w:rsidP="00F1346C">
      <w:pPr>
        <w:spacing w:after="120" w:line="276" w:lineRule="auto"/>
        <w:jc w:val="both"/>
        <w:rPr>
          <w:rFonts w:ascii="Palatino Linotype" w:eastAsia="Times New Roman" w:hAnsi="Palatino Linotype" w:cs="Times New Roman"/>
          <w:color w:val="000000"/>
        </w:rPr>
      </w:pPr>
      <w:r w:rsidRPr="00F84F84">
        <w:rPr>
          <w:rFonts w:ascii="Palatino Linotype" w:eastAsia="Times New Roman" w:hAnsi="Palatino Linotype" w:cs="Times New Roman"/>
          <w:color w:val="000000"/>
        </w:rPr>
        <w:t>K bodu 11:</w:t>
      </w:r>
    </w:p>
    <w:p w14:paraId="1F587258" w14:textId="2ECEFB13" w:rsidR="00236753" w:rsidRPr="00F84F84" w:rsidRDefault="00F84F84" w:rsidP="00F1346C">
      <w:pPr>
        <w:spacing w:after="120" w:line="276" w:lineRule="auto"/>
        <w:jc w:val="both"/>
        <w:rPr>
          <w:rFonts w:ascii="Palatino Linotype" w:eastAsia="Times New Roman" w:hAnsi="Palatino Linotype" w:cs="Times New Roman"/>
          <w:color w:val="000000"/>
        </w:rPr>
      </w:pPr>
      <w:r w:rsidRPr="00F84F84">
        <w:rPr>
          <w:rFonts w:ascii="Palatino Linotype" w:eastAsia="Times New Roman" w:hAnsi="Palatino Linotype" w:cs="Times New Roman"/>
          <w:color w:val="000000"/>
        </w:rPr>
        <w:t>Navrhuje sa zvýšenie sadzby odvodu podľa § 71 ods. 1 písm. l) z 22 % na 37 %. Cieľom je zabezpečiť konzistentnosť odvodového zaťaženia naprieč jednotlivými formami hazardných hier a posilniť príjmovú stránku verejných rozpočtov.</w:t>
      </w:r>
    </w:p>
    <w:p w14:paraId="69D05910" w14:textId="6086BC6C" w:rsidR="00E04FD2" w:rsidRPr="00C4043A" w:rsidRDefault="00E04FD2" w:rsidP="00872C88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Palatino Linotype" w:hAnsi="Palatino Linotype"/>
          <w:color w:val="000000"/>
        </w:rPr>
      </w:pPr>
    </w:p>
    <w:p w14:paraId="6D258F8E" w14:textId="1AD51868" w:rsidR="00F5232F" w:rsidRPr="00C4043A" w:rsidRDefault="00F5232F" w:rsidP="00872C88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Palatino Linotype" w:hAnsi="Palatino Linotype"/>
          <w:b/>
          <w:bCs/>
          <w:color w:val="000000"/>
        </w:rPr>
      </w:pPr>
      <w:r w:rsidRPr="00C4043A">
        <w:rPr>
          <w:rStyle w:val="awspan"/>
          <w:rFonts w:ascii="Palatino Linotype" w:hAnsi="Palatino Linotype"/>
          <w:b/>
          <w:bCs/>
          <w:color w:val="000000"/>
        </w:rPr>
        <w:t>K Čl. II</w:t>
      </w:r>
    </w:p>
    <w:p w14:paraId="00000029" w14:textId="09CA46B2" w:rsidR="00386510" w:rsidRPr="00C4043A" w:rsidRDefault="00BB6162" w:rsidP="00872C88">
      <w:pPr>
        <w:tabs>
          <w:tab w:val="left" w:pos="708"/>
        </w:tabs>
        <w:spacing w:before="120" w:after="0" w:line="276" w:lineRule="auto"/>
        <w:jc w:val="both"/>
        <w:rPr>
          <w:rFonts w:ascii="Palatino Linotype" w:hAnsi="Palatino Linotype"/>
          <w:color w:val="000000"/>
        </w:rPr>
      </w:pPr>
      <w:r w:rsidRPr="00C4043A">
        <w:rPr>
          <w:rFonts w:ascii="Palatino Linotype" w:eastAsia="Times New Roman" w:hAnsi="Palatino Linotype" w:cs="Times New Roman"/>
          <w:color w:val="000000"/>
        </w:rPr>
        <w:t>Navrhuje sa účinnosť návrhu zákona</w:t>
      </w:r>
      <w:r w:rsidRPr="00C4043A">
        <w:rPr>
          <w:rFonts w:ascii="Palatino Linotype" w:eastAsia="Times New Roman" w:hAnsi="Palatino Linotype" w:cs="Times New Roman"/>
        </w:rPr>
        <w:t xml:space="preserve"> </w:t>
      </w:r>
      <w:r w:rsidR="00BA0A65" w:rsidRPr="00441CC9">
        <w:rPr>
          <w:rFonts w:ascii="Palatino Linotype" w:eastAsia="Times New Roman" w:hAnsi="Palatino Linotype" w:cs="Times New Roman"/>
        </w:rPr>
        <w:t>od</w:t>
      </w:r>
      <w:r w:rsidR="00AE0A03" w:rsidRPr="00441CC9">
        <w:rPr>
          <w:rFonts w:ascii="Palatino Linotype" w:eastAsia="Times New Roman" w:hAnsi="Palatino Linotype" w:cs="Times New Roman"/>
        </w:rPr>
        <w:t xml:space="preserve"> </w:t>
      </w:r>
      <w:r w:rsidRPr="00441CC9">
        <w:rPr>
          <w:rFonts w:ascii="Palatino Linotype" w:eastAsia="Times New Roman" w:hAnsi="Palatino Linotype" w:cs="Times New Roman"/>
        </w:rPr>
        <w:t xml:space="preserve">1. </w:t>
      </w:r>
      <w:r w:rsidR="00236753" w:rsidRPr="00441CC9">
        <w:rPr>
          <w:rFonts w:ascii="Palatino Linotype" w:eastAsia="Times New Roman" w:hAnsi="Palatino Linotype" w:cs="Times New Roman"/>
        </w:rPr>
        <w:t>septembra</w:t>
      </w:r>
      <w:r w:rsidRPr="00441CC9">
        <w:rPr>
          <w:rFonts w:ascii="Palatino Linotype" w:eastAsia="Times New Roman" w:hAnsi="Palatino Linotype" w:cs="Times New Roman"/>
        </w:rPr>
        <w:t xml:space="preserve"> 202</w:t>
      </w:r>
      <w:r w:rsidR="00236753" w:rsidRPr="00441CC9">
        <w:rPr>
          <w:rFonts w:ascii="Palatino Linotype" w:eastAsia="Times New Roman" w:hAnsi="Palatino Linotype" w:cs="Times New Roman"/>
        </w:rPr>
        <w:t>6</w:t>
      </w:r>
      <w:r w:rsidRPr="00441CC9">
        <w:rPr>
          <w:rFonts w:ascii="Palatino Linotype" w:eastAsia="Times New Roman" w:hAnsi="Palatino Linotype" w:cs="Times New Roman"/>
          <w:color w:val="000000"/>
        </w:rPr>
        <w:t>.</w:t>
      </w:r>
      <w:r w:rsidRPr="00C4043A">
        <w:rPr>
          <w:rFonts w:ascii="Palatino Linotype" w:eastAsia="Times New Roman" w:hAnsi="Palatino Linotype" w:cs="Times New Roman"/>
          <w:color w:val="000000"/>
        </w:rPr>
        <w:t xml:space="preserve"> </w:t>
      </w:r>
    </w:p>
    <w:p w14:paraId="0000002A" w14:textId="77777777" w:rsidR="00386510" w:rsidRPr="00C4043A" w:rsidRDefault="00386510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76" w:lineRule="auto"/>
        <w:jc w:val="both"/>
        <w:rPr>
          <w:rFonts w:ascii="Palatino Linotype" w:eastAsia="Times New Roman" w:hAnsi="Palatino Linotype" w:cs="Times New Roman"/>
          <w:color w:val="000000"/>
        </w:rPr>
      </w:pPr>
    </w:p>
    <w:p w14:paraId="741D39B6" w14:textId="4365F342" w:rsidR="00A11232" w:rsidRPr="00C4043A" w:rsidRDefault="00A11232" w:rsidP="00872C88">
      <w:pPr>
        <w:tabs>
          <w:tab w:val="left" w:pos="6015"/>
        </w:tabs>
        <w:spacing w:line="276" w:lineRule="auto"/>
        <w:rPr>
          <w:rFonts w:ascii="Palatino Linotype" w:hAnsi="Palatino Linotype" w:cs="Book Antiqua"/>
          <w:b/>
          <w:bCs/>
          <w:caps/>
          <w:spacing w:val="30"/>
        </w:rPr>
      </w:pPr>
    </w:p>
    <w:p w14:paraId="552CDCCD" w14:textId="77777777" w:rsidR="00E4327A" w:rsidRDefault="00E4327A">
      <w:pPr>
        <w:rPr>
          <w:rFonts w:ascii="Book Antiqua" w:hAnsi="Book Antiqua" w:cs="Book Antiqua"/>
          <w:b/>
          <w:bCs/>
          <w:caps/>
          <w:spacing w:val="30"/>
        </w:rPr>
      </w:pPr>
      <w:r>
        <w:rPr>
          <w:rFonts w:ascii="Book Antiqua" w:hAnsi="Book Antiqua" w:cs="Book Antiqua"/>
          <w:b/>
          <w:bCs/>
          <w:caps/>
          <w:spacing w:val="30"/>
        </w:rPr>
        <w:br w:type="page"/>
      </w:r>
    </w:p>
    <w:p w14:paraId="2700FBFD" w14:textId="31639A8D" w:rsidR="003B2158" w:rsidRPr="00C4043A" w:rsidRDefault="003B2158" w:rsidP="00C1796F">
      <w:pPr>
        <w:tabs>
          <w:tab w:val="left" w:pos="6015"/>
        </w:tabs>
        <w:spacing w:before="120" w:after="0" w:line="276" w:lineRule="auto"/>
        <w:jc w:val="center"/>
        <w:rPr>
          <w:rFonts w:ascii="Palatino Linotype" w:hAnsi="Palatino Linotype"/>
        </w:rPr>
      </w:pPr>
      <w:r w:rsidRPr="00C4043A">
        <w:rPr>
          <w:rFonts w:ascii="Palatino Linotype" w:hAnsi="Palatino Linotype" w:cs="Book Antiqua"/>
          <w:b/>
          <w:bCs/>
          <w:caps/>
          <w:spacing w:val="30"/>
        </w:rPr>
        <w:lastRenderedPageBreak/>
        <w:t>DOLOŽKA ZLUČITEĽNOSTI</w:t>
      </w:r>
    </w:p>
    <w:p w14:paraId="6BCFEF60" w14:textId="77777777" w:rsidR="003B2158" w:rsidRPr="00C4043A" w:rsidRDefault="003B2158" w:rsidP="00872C88">
      <w:pPr>
        <w:pStyle w:val="Normlnywebov1"/>
        <w:spacing w:before="120" w:after="0" w:line="276" w:lineRule="auto"/>
        <w:jc w:val="center"/>
        <w:rPr>
          <w:rFonts w:ascii="Palatino Linotype" w:hAnsi="Palatino Linotype"/>
          <w:sz w:val="22"/>
          <w:szCs w:val="22"/>
        </w:rPr>
      </w:pPr>
      <w:r w:rsidRPr="00C4043A">
        <w:rPr>
          <w:rFonts w:ascii="Palatino Linotype" w:hAnsi="Palatino Linotype" w:cs="Book Antiqua"/>
          <w:b/>
          <w:bCs/>
          <w:sz w:val="22"/>
          <w:szCs w:val="22"/>
        </w:rPr>
        <w:t>návrhu zákona</w:t>
      </w:r>
      <w:r w:rsidRPr="00C4043A">
        <w:rPr>
          <w:rFonts w:ascii="Palatino Linotype" w:hAnsi="Palatino Linotype" w:cs="Book Antiqua"/>
          <w:sz w:val="22"/>
          <w:szCs w:val="22"/>
        </w:rPr>
        <w:t xml:space="preserve"> </w:t>
      </w:r>
      <w:r w:rsidRPr="00C4043A">
        <w:rPr>
          <w:rFonts w:ascii="Palatino Linotype" w:hAnsi="Palatino Linotype" w:cs="Book Antiqua"/>
          <w:b/>
          <w:bCs/>
          <w:sz w:val="22"/>
          <w:szCs w:val="22"/>
        </w:rPr>
        <w:t>s právom Európskej únie</w:t>
      </w:r>
    </w:p>
    <w:p w14:paraId="231F273E" w14:textId="77777777" w:rsidR="003B2158" w:rsidRPr="00C4043A" w:rsidRDefault="003B2158" w:rsidP="00872C88">
      <w:pPr>
        <w:pStyle w:val="Normlnywebov1"/>
        <w:spacing w:before="120" w:after="0" w:line="276" w:lineRule="auto"/>
        <w:jc w:val="both"/>
        <w:rPr>
          <w:rFonts w:ascii="Palatino Linotype" w:hAnsi="Palatino Linotype"/>
          <w:sz w:val="22"/>
          <w:szCs w:val="22"/>
        </w:rPr>
      </w:pPr>
      <w:r w:rsidRPr="00C4043A">
        <w:rPr>
          <w:rFonts w:ascii="Palatino Linotype" w:hAnsi="Palatino Linotype" w:cs="Book Antiqua"/>
          <w:sz w:val="22"/>
          <w:szCs w:val="22"/>
        </w:rPr>
        <w:t> </w:t>
      </w:r>
    </w:p>
    <w:p w14:paraId="09D308FF" w14:textId="34F5B02A" w:rsidR="000C622B" w:rsidRPr="00C4043A" w:rsidRDefault="003B2158" w:rsidP="000C622B">
      <w:pPr>
        <w:tabs>
          <w:tab w:val="left" w:pos="1095"/>
        </w:tabs>
        <w:spacing w:before="120" w:after="0" w:line="276" w:lineRule="auto"/>
        <w:jc w:val="both"/>
        <w:rPr>
          <w:rFonts w:ascii="Palatino Linotype" w:hAnsi="Palatino Linotype" w:cs="Open Sans"/>
          <w:color w:val="000000"/>
          <w:shd w:val="clear" w:color="auto" w:fill="FFFFFF"/>
        </w:rPr>
      </w:pPr>
      <w:r w:rsidRPr="00C4043A">
        <w:rPr>
          <w:rFonts w:ascii="Palatino Linotype" w:hAnsi="Palatino Linotype" w:cs="Book Antiqua"/>
          <w:b/>
          <w:bCs/>
        </w:rPr>
        <w:t>1. Navrhovateľ zákona:</w:t>
      </w:r>
      <w:r w:rsidRPr="00C4043A">
        <w:rPr>
          <w:rFonts w:ascii="Palatino Linotype" w:hAnsi="Palatino Linotype" w:cs="Book Antiqua"/>
        </w:rPr>
        <w:t xml:space="preserve"> </w:t>
      </w:r>
      <w:r w:rsidR="00AE0A03" w:rsidRPr="00C4043A">
        <w:rPr>
          <w:rFonts w:ascii="Palatino Linotype" w:hAnsi="Palatino Linotype" w:cs="Book Antiqua"/>
        </w:rPr>
        <w:t>poslan</w:t>
      </w:r>
      <w:r w:rsidR="006B5026" w:rsidRPr="00C4043A">
        <w:rPr>
          <w:rFonts w:ascii="Palatino Linotype" w:hAnsi="Palatino Linotype" w:cs="Book Antiqua"/>
        </w:rPr>
        <w:t>ci</w:t>
      </w:r>
      <w:r w:rsidR="00BA0A65" w:rsidRPr="00C4043A">
        <w:rPr>
          <w:rFonts w:ascii="Palatino Linotype" w:hAnsi="Palatino Linotype" w:cs="Book Antiqua"/>
        </w:rPr>
        <w:t xml:space="preserve"> </w:t>
      </w:r>
      <w:r w:rsidR="00802C5B" w:rsidRPr="00C4043A">
        <w:rPr>
          <w:rFonts w:ascii="Palatino Linotype" w:hAnsi="Palatino Linotype"/>
        </w:rPr>
        <w:t>Národnej rady Slovenskej republiky</w:t>
      </w:r>
      <w:r w:rsidR="00CC77C3" w:rsidRPr="00C4043A">
        <w:rPr>
          <w:rFonts w:ascii="Palatino Linotype" w:hAnsi="Palatino Linotype"/>
        </w:rPr>
        <w:t xml:space="preserve"> </w:t>
      </w:r>
      <w:r w:rsidR="00802D3B" w:rsidRPr="001C585B">
        <w:rPr>
          <w:rFonts w:ascii="Palatino Linotype" w:eastAsia="Times New Roman" w:hAnsi="Palatino Linotype" w:cs="Times New Roman"/>
        </w:rPr>
        <w:t>Marián ČAUČÍK, Andr</w:t>
      </w:r>
      <w:r w:rsidR="00802D3B">
        <w:rPr>
          <w:rFonts w:ascii="Palatino Linotype" w:eastAsia="Times New Roman" w:hAnsi="Palatino Linotype" w:cs="Times New Roman"/>
        </w:rPr>
        <w:t>ea</w:t>
      </w:r>
      <w:r w:rsidR="00802D3B" w:rsidRPr="001C585B">
        <w:rPr>
          <w:rFonts w:ascii="Palatino Linotype" w:eastAsia="Times New Roman" w:hAnsi="Palatino Linotype" w:cs="Times New Roman"/>
        </w:rPr>
        <w:t xml:space="preserve"> TURČANOV</w:t>
      </w:r>
      <w:r w:rsidR="00802D3B">
        <w:rPr>
          <w:rFonts w:ascii="Palatino Linotype" w:eastAsia="Times New Roman" w:hAnsi="Palatino Linotype" w:cs="Times New Roman"/>
        </w:rPr>
        <w:t>Á</w:t>
      </w:r>
      <w:r w:rsidR="00802D3B" w:rsidRPr="001C585B">
        <w:rPr>
          <w:rFonts w:ascii="Palatino Linotype" w:eastAsia="Times New Roman" w:hAnsi="Palatino Linotype" w:cs="Times New Roman"/>
        </w:rPr>
        <w:t>, Branislav ŠKRIPEK a Jozef HAJK</w:t>
      </w:r>
      <w:r w:rsidR="00802D3B">
        <w:rPr>
          <w:rFonts w:ascii="Palatino Linotype" w:eastAsia="Times New Roman" w:hAnsi="Palatino Linotype" w:cs="Times New Roman"/>
        </w:rPr>
        <w:t>O</w:t>
      </w:r>
      <w:r w:rsidR="00802D3B" w:rsidRPr="00C95AD7">
        <w:rPr>
          <w:rFonts w:ascii="Palatino Linotype" w:eastAsia="Times New Roman" w:hAnsi="Palatino Linotype" w:cs="Times New Roman"/>
        </w:rPr>
        <w:t>.</w:t>
      </w:r>
    </w:p>
    <w:p w14:paraId="66BBC018" w14:textId="4F65301F" w:rsidR="003B2158" w:rsidRPr="00C4043A" w:rsidRDefault="003B2158" w:rsidP="009B0D9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u w:val="single"/>
        </w:rPr>
      </w:pPr>
    </w:p>
    <w:p w14:paraId="22B3019D" w14:textId="353E8BBD" w:rsidR="00F5232F" w:rsidRPr="00C4043A" w:rsidRDefault="003B2158" w:rsidP="00872C88">
      <w:pPr>
        <w:spacing w:before="120" w:after="0" w:line="276" w:lineRule="auto"/>
        <w:jc w:val="both"/>
        <w:rPr>
          <w:rFonts w:ascii="Palatino Linotype" w:hAnsi="Palatino Linotype" w:cs="Open Sans"/>
          <w:color w:val="000000"/>
          <w:shd w:val="clear" w:color="auto" w:fill="FFFFFF"/>
        </w:rPr>
      </w:pPr>
      <w:r w:rsidRPr="00C4043A">
        <w:rPr>
          <w:rFonts w:ascii="Palatino Linotype" w:hAnsi="Palatino Linotype" w:cs="Book Antiqua"/>
          <w:b/>
          <w:bCs/>
        </w:rPr>
        <w:t>2. Názov návrhu právneho predpisu:</w:t>
      </w:r>
      <w:r w:rsidRPr="00C4043A">
        <w:rPr>
          <w:rFonts w:ascii="Palatino Linotype" w:hAnsi="Palatino Linotype" w:cs="Book Antiqua"/>
          <w:b/>
        </w:rPr>
        <w:t xml:space="preserve"> </w:t>
      </w:r>
      <w:r w:rsidR="000C622B" w:rsidRPr="00C4043A">
        <w:rPr>
          <w:rFonts w:ascii="Palatino Linotype" w:eastAsia="Times New Roman" w:hAnsi="Palatino Linotype" w:cs="Times New Roman"/>
          <w:color w:val="000000"/>
        </w:rPr>
        <w:t xml:space="preserve">  </w:t>
      </w:r>
      <w:r w:rsidR="000C622B" w:rsidRPr="00C4043A">
        <w:rPr>
          <w:rFonts w:ascii="Palatino Linotype" w:hAnsi="Palatino Linotype"/>
        </w:rPr>
        <w:t xml:space="preserve">návrh </w:t>
      </w:r>
      <w:r w:rsidR="000C622B" w:rsidRPr="00C4043A">
        <w:rPr>
          <w:rFonts w:ascii="Palatino Linotype" w:hAnsi="Palatino Linotype"/>
          <w:bCs/>
        </w:rPr>
        <w:t xml:space="preserve">zákona, </w:t>
      </w:r>
      <w:r w:rsidR="000C622B" w:rsidRPr="00C4043A">
        <w:rPr>
          <w:rFonts w:ascii="Palatino Linotype" w:hAnsi="Palatino Linotype"/>
        </w:rPr>
        <w:t xml:space="preserve">ktorým sa mení  zákon </w:t>
      </w:r>
      <w:r w:rsidR="00C30334">
        <w:rPr>
          <w:rFonts w:ascii="Palatino Linotype" w:eastAsia="Times New Roman" w:hAnsi="Palatino Linotype" w:cs="Times New Roman"/>
        </w:rPr>
        <w:t>č. 30/2019 Z. z.</w:t>
      </w:r>
      <w:r w:rsidR="00E441FF" w:rsidRPr="00C95AD7">
        <w:rPr>
          <w:rFonts w:ascii="Palatino Linotype" w:eastAsia="Times New Roman" w:hAnsi="Palatino Linotype" w:cs="Times New Roman"/>
        </w:rPr>
        <w:t xml:space="preserve"> o hazardných hrách a o zmene a doplnení niektorých zákonov</w:t>
      </w:r>
      <w:r w:rsidR="000C622B" w:rsidRPr="00C4043A">
        <w:rPr>
          <w:rFonts w:ascii="Palatino Linotype" w:hAnsi="Palatino Linotype" w:cs="Open Sans"/>
          <w:color w:val="000000"/>
          <w:shd w:val="clear" w:color="auto" w:fill="FFFFFF"/>
        </w:rPr>
        <w:t xml:space="preserve"> </w:t>
      </w:r>
    </w:p>
    <w:p w14:paraId="04203ECD" w14:textId="741FE268" w:rsidR="00F5232F" w:rsidRPr="00C4043A" w:rsidRDefault="00F5232F" w:rsidP="00872C88">
      <w:pPr>
        <w:spacing w:before="120" w:after="0" w:line="276" w:lineRule="auto"/>
        <w:jc w:val="both"/>
        <w:rPr>
          <w:rFonts w:ascii="Palatino Linotype" w:hAnsi="Palatino Linotype" w:cs="Open Sans"/>
          <w:color w:val="000000"/>
          <w:shd w:val="clear" w:color="auto" w:fill="FFFFFF"/>
        </w:rPr>
      </w:pPr>
      <w:r w:rsidRPr="00C4043A">
        <w:rPr>
          <w:rFonts w:ascii="Palatino Linotype" w:hAnsi="Palatino Linotype" w:cs="Times New Roman"/>
          <w:b/>
          <w:bCs/>
          <w:color w:val="000000"/>
        </w:rPr>
        <w:t>3. Predmet návrhu zákona:</w:t>
      </w:r>
    </w:p>
    <w:p w14:paraId="6415F877" w14:textId="77777777" w:rsidR="00F5232F" w:rsidRPr="00C4043A" w:rsidRDefault="00F5232F" w:rsidP="00872C88">
      <w:pPr>
        <w:spacing w:before="120" w:after="0" w:line="276" w:lineRule="auto"/>
        <w:rPr>
          <w:rFonts w:ascii="Palatino Linotype" w:hAnsi="Palatino Linotype" w:cs="Times New Roman"/>
          <w:color w:val="000000"/>
          <w:sz w:val="27"/>
          <w:szCs w:val="27"/>
        </w:rPr>
      </w:pPr>
      <w:r w:rsidRPr="00C4043A">
        <w:rPr>
          <w:rFonts w:ascii="Palatino Linotype" w:hAnsi="Palatino Linotype" w:cs="Times New Roman"/>
          <w:color w:val="000000"/>
        </w:rPr>
        <w:t>a) nie je upravený v primárnom práve Európskej únie,</w:t>
      </w:r>
    </w:p>
    <w:p w14:paraId="39E9DDB3" w14:textId="77777777" w:rsidR="00F5232F" w:rsidRPr="00C4043A" w:rsidRDefault="00F5232F" w:rsidP="00872C88">
      <w:pPr>
        <w:spacing w:before="120" w:after="0" w:line="276" w:lineRule="auto"/>
        <w:rPr>
          <w:rFonts w:ascii="Palatino Linotype" w:hAnsi="Palatino Linotype" w:cs="Times New Roman"/>
          <w:color w:val="000000"/>
          <w:sz w:val="27"/>
          <w:szCs w:val="27"/>
        </w:rPr>
      </w:pPr>
      <w:r w:rsidRPr="00C4043A">
        <w:rPr>
          <w:rFonts w:ascii="Palatino Linotype" w:hAnsi="Palatino Linotype" w:cs="Times New Roman"/>
          <w:color w:val="000000"/>
        </w:rPr>
        <w:t>b) nie je upravený v sekundárnom práve Európskej únie,</w:t>
      </w:r>
    </w:p>
    <w:p w14:paraId="6B20CC2F" w14:textId="054AC2AE" w:rsidR="00F5232F" w:rsidRPr="00C4043A" w:rsidRDefault="00F5232F" w:rsidP="00872C88">
      <w:pPr>
        <w:spacing w:before="120" w:after="0" w:line="276" w:lineRule="auto"/>
        <w:rPr>
          <w:rFonts w:ascii="Palatino Linotype" w:hAnsi="Palatino Linotype" w:cs="Times New Roman"/>
          <w:color w:val="000000"/>
        </w:rPr>
      </w:pPr>
      <w:r w:rsidRPr="00C4043A">
        <w:rPr>
          <w:rFonts w:ascii="Palatino Linotype" w:hAnsi="Palatino Linotype" w:cs="Times New Roman"/>
          <w:color w:val="000000"/>
        </w:rPr>
        <w:t xml:space="preserve">c) nie je obsiahnutý v judikatúre Súdneho dvora Európskej únie. </w:t>
      </w:r>
    </w:p>
    <w:p w14:paraId="21CB441C" w14:textId="77777777" w:rsidR="000D7AAE" w:rsidRPr="00C4043A" w:rsidRDefault="000D7AAE" w:rsidP="00872C88">
      <w:pPr>
        <w:spacing w:before="120" w:after="0" w:line="276" w:lineRule="auto"/>
        <w:rPr>
          <w:rFonts w:ascii="Palatino Linotype" w:hAnsi="Palatino Linotype" w:cs="Times New Roman"/>
          <w:b/>
          <w:bCs/>
          <w:color w:val="000000"/>
        </w:rPr>
      </w:pPr>
    </w:p>
    <w:p w14:paraId="644623D4" w14:textId="2E0F7369" w:rsidR="00F5232F" w:rsidRPr="00C4043A" w:rsidRDefault="00F5232F" w:rsidP="00872C88">
      <w:pPr>
        <w:spacing w:before="120" w:after="0" w:line="276" w:lineRule="auto"/>
        <w:jc w:val="both"/>
        <w:rPr>
          <w:rFonts w:ascii="Palatino Linotype" w:hAnsi="Palatino Linotype" w:cs="Times New Roman"/>
          <w:color w:val="000000"/>
          <w:sz w:val="27"/>
          <w:szCs w:val="27"/>
        </w:rPr>
      </w:pPr>
      <w:r w:rsidRPr="00C4043A">
        <w:rPr>
          <w:rFonts w:ascii="Palatino Linotype" w:hAnsi="Palatino Linotype" w:cs="Times New Roman"/>
          <w:b/>
          <w:bCs/>
          <w:color w:val="000000"/>
        </w:rPr>
        <w:t>Vzhľadom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na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to,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že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predmet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návrhu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zákona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nie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je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upravený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v práve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Európskej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únie,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je bezpredmetné vyjadrovať sa k bodom 4. a 5.</w:t>
      </w:r>
    </w:p>
    <w:p w14:paraId="1C912BAB" w14:textId="77777777" w:rsidR="009A375B" w:rsidRPr="00AE0A03" w:rsidRDefault="009A375B" w:rsidP="00872C88">
      <w:pPr>
        <w:pStyle w:val="Normlnywebov"/>
        <w:spacing w:before="120" w:line="276" w:lineRule="auto"/>
        <w:ind w:left="720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14:paraId="2277E3E2" w14:textId="71E8AF59" w:rsidR="003B2158" w:rsidRPr="00B14A4C" w:rsidRDefault="003B2158" w:rsidP="00872C88">
      <w:pPr>
        <w:pStyle w:val="Normlnywebov"/>
        <w:spacing w:before="100" w:beforeAutospacing="1" w:after="100" w:afterAutospacing="1" w:line="276" w:lineRule="auto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069BD947" w14:textId="23EB3AA8" w:rsidR="00A75AE5" w:rsidRPr="00B14A4C" w:rsidRDefault="00A75AE5" w:rsidP="00872C88">
      <w:pPr>
        <w:pStyle w:val="Normlnywebov"/>
        <w:spacing w:before="100" w:beforeAutospacing="1" w:after="100" w:afterAutospacing="1" w:line="276" w:lineRule="auto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12360BE9" w14:textId="3E73AB0F" w:rsidR="00A75AE5" w:rsidRPr="00B14A4C" w:rsidRDefault="00A75AE5" w:rsidP="00A75AE5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767627E0" w14:textId="2DE4BCE1" w:rsidR="00A75AE5" w:rsidRPr="00B14A4C" w:rsidRDefault="00A75AE5" w:rsidP="00A75AE5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3B2ECAFF" w14:textId="0D2E6884" w:rsidR="00A75AE5" w:rsidRPr="00B14A4C" w:rsidRDefault="00A75AE5" w:rsidP="00A75AE5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486C3531" w14:textId="77777777" w:rsidR="00A75AE5" w:rsidRPr="00B14A4C" w:rsidRDefault="00A75AE5" w:rsidP="00A75AE5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11F8319A" w14:textId="13EAE425" w:rsidR="003B2158" w:rsidRPr="00B14A4C" w:rsidRDefault="003B2158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353F188A" w14:textId="0E00AC29" w:rsidR="00A75AE5" w:rsidRDefault="00A75AE5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4AD94708" w14:textId="0C86E935" w:rsidR="000D7AAE" w:rsidRDefault="000D7AAE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2EAD4DED" w14:textId="4993555D" w:rsidR="000D7AAE" w:rsidRDefault="000D7AAE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343EA994" w14:textId="62FC4F9B" w:rsidR="000D7AAE" w:rsidRDefault="000D7AAE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0486DA09" w14:textId="44672DE3" w:rsidR="000D7AAE" w:rsidRDefault="000D7AAE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0488B262" w14:textId="05C2FE7F" w:rsidR="00824413" w:rsidRDefault="00824413" w:rsidP="003B2158">
      <w:pPr>
        <w:rPr>
          <w:rFonts w:ascii="Book Antiqua" w:hAnsi="Book Antiqua" w:cs="Book Antiqua"/>
          <w:b/>
          <w:bCs/>
          <w:caps/>
          <w:spacing w:val="30"/>
        </w:rPr>
      </w:pPr>
    </w:p>
    <w:p w14:paraId="4A586933" w14:textId="77777777" w:rsidR="005F6371" w:rsidRDefault="005F6371" w:rsidP="003B2158">
      <w:pPr>
        <w:rPr>
          <w:rFonts w:ascii="Book Antiqua" w:hAnsi="Book Antiqua" w:cs="Book Antiqua"/>
          <w:b/>
          <w:bCs/>
          <w:caps/>
          <w:spacing w:val="30"/>
        </w:rPr>
      </w:pPr>
    </w:p>
    <w:p w14:paraId="10E1D2AC" w14:textId="2C2D265F" w:rsidR="000B1836" w:rsidRPr="00C4043A" w:rsidRDefault="000B1836" w:rsidP="000B1836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</w:rPr>
      </w:pPr>
      <w:r w:rsidRPr="00C4043A">
        <w:rPr>
          <w:rFonts w:ascii="Palatino Linotype" w:eastAsia="Times New Roman" w:hAnsi="Palatino Linotype" w:cs="Times New Roman"/>
          <w:b/>
        </w:rPr>
        <w:lastRenderedPageBreak/>
        <w:t>Doložka vybraných vplyvov</w:t>
      </w:r>
    </w:p>
    <w:p w14:paraId="425BD44B" w14:textId="47D66697" w:rsidR="000B1836" w:rsidRPr="00C4043A" w:rsidRDefault="000B1836" w:rsidP="000B1836">
      <w:pPr>
        <w:spacing w:after="200" w:line="276" w:lineRule="auto"/>
        <w:ind w:left="426"/>
        <w:contextualSpacing/>
        <w:rPr>
          <w:rFonts w:ascii="Palatino Linotype" w:hAnsi="Palatino Linotype" w:cs="Times New Roman"/>
          <w:b/>
        </w:rPr>
      </w:pPr>
    </w:p>
    <w:p w14:paraId="072A94C3" w14:textId="77777777" w:rsidR="006833D9" w:rsidRPr="00C4043A" w:rsidRDefault="006833D9" w:rsidP="000B1836">
      <w:pPr>
        <w:spacing w:after="200" w:line="276" w:lineRule="auto"/>
        <w:ind w:left="426"/>
        <w:contextualSpacing/>
        <w:rPr>
          <w:rFonts w:ascii="Palatino Linotype" w:hAnsi="Palatino Linotype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284"/>
        <w:gridCol w:w="254"/>
        <w:gridCol w:w="1133"/>
        <w:gridCol w:w="547"/>
        <w:gridCol w:w="1297"/>
      </w:tblGrid>
      <w:tr w:rsidR="000B1836" w:rsidRPr="00C4043A" w14:paraId="1A0E3331" w14:textId="77777777" w:rsidTr="003B7B2C">
        <w:tc>
          <w:tcPr>
            <w:tcW w:w="9180" w:type="dxa"/>
            <w:gridSpan w:val="8"/>
            <w:tcBorders>
              <w:bottom w:val="single" w:sz="4" w:space="0" w:color="FFFFFF"/>
            </w:tcBorders>
            <w:shd w:val="clear" w:color="auto" w:fill="E2E2E2"/>
          </w:tcPr>
          <w:p w14:paraId="57EC29D8" w14:textId="77777777" w:rsidR="000B1836" w:rsidRPr="00C4043A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C4043A">
              <w:rPr>
                <w:rFonts w:ascii="Palatino Linotype" w:eastAsia="Calibri" w:hAnsi="Palatino Linotype" w:cs="Times New Roman"/>
                <w:b/>
              </w:rPr>
              <w:t>Základné údaje</w:t>
            </w:r>
          </w:p>
        </w:tc>
      </w:tr>
      <w:tr w:rsidR="000B1836" w:rsidRPr="00C4043A" w14:paraId="67CEAAF9" w14:textId="77777777" w:rsidTr="003B7B2C">
        <w:tc>
          <w:tcPr>
            <w:tcW w:w="9180" w:type="dxa"/>
            <w:gridSpan w:val="8"/>
            <w:tcBorders>
              <w:bottom w:val="single" w:sz="4" w:space="0" w:color="FFFFFF"/>
            </w:tcBorders>
            <w:shd w:val="clear" w:color="auto" w:fill="E2E2E2"/>
          </w:tcPr>
          <w:p w14:paraId="2DCE8B9C" w14:textId="77777777" w:rsidR="000B1836" w:rsidRPr="00C4043A" w:rsidRDefault="000B1836" w:rsidP="003B7B2C">
            <w:pPr>
              <w:spacing w:after="200" w:line="276" w:lineRule="auto"/>
              <w:ind w:left="142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C4043A">
              <w:rPr>
                <w:rFonts w:ascii="Palatino Linotype" w:eastAsia="Calibri" w:hAnsi="Palatino Linotype" w:cs="Times New Roman"/>
                <w:b/>
              </w:rPr>
              <w:t>Názov návrhu zákona</w:t>
            </w:r>
          </w:p>
        </w:tc>
      </w:tr>
      <w:tr w:rsidR="000B1836" w:rsidRPr="00C4043A" w14:paraId="69496BE5" w14:textId="77777777" w:rsidTr="003B7B2C">
        <w:tc>
          <w:tcPr>
            <w:tcW w:w="9180" w:type="dxa"/>
            <w:gridSpan w:val="8"/>
            <w:tcBorders>
              <w:top w:val="single" w:sz="4" w:space="0" w:color="FFFFFF"/>
              <w:bottom w:val="single" w:sz="4" w:space="0" w:color="auto"/>
            </w:tcBorders>
          </w:tcPr>
          <w:p w14:paraId="5C7AACF0" w14:textId="03FDDE4E" w:rsidR="000B1836" w:rsidRPr="00C4043A" w:rsidRDefault="000C622B" w:rsidP="00C30334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color w:val="000000"/>
              </w:rPr>
              <w:t xml:space="preserve">  </w:t>
            </w:r>
            <w:r w:rsidRPr="00C4043A">
              <w:rPr>
                <w:rFonts w:ascii="Palatino Linotype" w:hAnsi="Palatino Linotype"/>
              </w:rPr>
              <w:t xml:space="preserve">Návrh </w:t>
            </w:r>
            <w:r w:rsidRPr="00C4043A">
              <w:rPr>
                <w:rFonts w:ascii="Palatino Linotype" w:hAnsi="Palatino Linotype"/>
                <w:bCs/>
              </w:rPr>
              <w:t xml:space="preserve">zákona, </w:t>
            </w:r>
            <w:r w:rsidRPr="00C4043A">
              <w:rPr>
                <w:rFonts w:ascii="Palatino Linotype" w:hAnsi="Palatino Linotype"/>
              </w:rPr>
              <w:t xml:space="preserve">ktorým sa mení  zákon </w:t>
            </w:r>
            <w:r w:rsidR="00C30334">
              <w:rPr>
                <w:rFonts w:ascii="Palatino Linotype" w:eastAsia="Times New Roman" w:hAnsi="Palatino Linotype" w:cs="Times New Roman"/>
              </w:rPr>
              <w:t xml:space="preserve">č. 30/2019 Z. z. </w:t>
            </w:r>
            <w:r w:rsidR="00E441FF" w:rsidRPr="00C95AD7">
              <w:rPr>
                <w:rFonts w:ascii="Palatino Linotype" w:eastAsia="Times New Roman" w:hAnsi="Palatino Linotype" w:cs="Times New Roman"/>
              </w:rPr>
              <w:t>o hazardných hrách a o zmene a doplnení niektorých zákonov</w:t>
            </w:r>
          </w:p>
        </w:tc>
      </w:tr>
      <w:tr w:rsidR="000B1836" w:rsidRPr="00C4043A" w14:paraId="32CB9D53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40BD21EF" w14:textId="77777777" w:rsidR="000B1836" w:rsidRPr="00C4043A" w:rsidRDefault="000B1836" w:rsidP="003B7B2C">
            <w:pPr>
              <w:spacing w:after="200" w:line="276" w:lineRule="auto"/>
              <w:ind w:left="142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C4043A">
              <w:rPr>
                <w:rFonts w:ascii="Palatino Linotype" w:eastAsia="Calibri" w:hAnsi="Palatino Linotype" w:cs="Times New Roman"/>
                <w:b/>
              </w:rPr>
              <w:t>Navrhovateľ</w:t>
            </w:r>
          </w:p>
        </w:tc>
      </w:tr>
      <w:tr w:rsidR="000B1836" w:rsidRPr="00C4043A" w14:paraId="511F15F0" w14:textId="77777777" w:rsidTr="003B7B2C"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649E71" w14:textId="11824470" w:rsidR="000B1836" w:rsidRPr="00C4043A" w:rsidRDefault="000C622B" w:rsidP="00EB5866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  <w:r w:rsidRPr="00C4043A">
              <w:rPr>
                <w:rFonts w:ascii="Palatino Linotype" w:hAnsi="Palatino Linotype" w:cs="Book Antiqua"/>
              </w:rPr>
              <w:t xml:space="preserve">poslanci </w:t>
            </w:r>
            <w:r w:rsidRPr="00C4043A">
              <w:rPr>
                <w:rFonts w:ascii="Palatino Linotype" w:hAnsi="Palatino Linotype"/>
              </w:rPr>
              <w:t xml:space="preserve">Národnej rady Slovenskej republiky </w:t>
            </w:r>
            <w:r w:rsidR="00802D3B" w:rsidRPr="001C585B">
              <w:rPr>
                <w:rFonts w:ascii="Palatino Linotype" w:eastAsia="Times New Roman" w:hAnsi="Palatino Linotype" w:cs="Times New Roman"/>
              </w:rPr>
              <w:t>Marián ČAUČÍK, Andr</w:t>
            </w:r>
            <w:r w:rsidR="00802D3B">
              <w:rPr>
                <w:rFonts w:ascii="Palatino Linotype" w:eastAsia="Times New Roman" w:hAnsi="Palatino Linotype" w:cs="Times New Roman"/>
              </w:rPr>
              <w:t>ea</w:t>
            </w:r>
            <w:r w:rsidR="00802D3B" w:rsidRPr="001C585B">
              <w:rPr>
                <w:rFonts w:ascii="Palatino Linotype" w:eastAsia="Times New Roman" w:hAnsi="Palatino Linotype" w:cs="Times New Roman"/>
              </w:rPr>
              <w:t xml:space="preserve"> TURČANOV</w:t>
            </w:r>
            <w:r w:rsidR="00802D3B">
              <w:rPr>
                <w:rFonts w:ascii="Palatino Linotype" w:eastAsia="Times New Roman" w:hAnsi="Palatino Linotype" w:cs="Times New Roman"/>
              </w:rPr>
              <w:t>Á</w:t>
            </w:r>
            <w:r w:rsidR="00802D3B" w:rsidRPr="001C585B">
              <w:rPr>
                <w:rFonts w:ascii="Palatino Linotype" w:eastAsia="Times New Roman" w:hAnsi="Palatino Linotype" w:cs="Times New Roman"/>
              </w:rPr>
              <w:t>, Branislav ŠKRIPEK a Jozef HAJK</w:t>
            </w:r>
            <w:r w:rsidR="00802D3B">
              <w:rPr>
                <w:rFonts w:ascii="Palatino Linotype" w:eastAsia="Times New Roman" w:hAnsi="Palatino Linotype" w:cs="Times New Roman"/>
              </w:rPr>
              <w:t>O</w:t>
            </w:r>
            <w:r w:rsidR="00802D3B" w:rsidRPr="00C95AD7">
              <w:rPr>
                <w:rFonts w:ascii="Palatino Linotype" w:eastAsia="Times New Roman" w:hAnsi="Palatino Linotype" w:cs="Times New Roman"/>
              </w:rPr>
              <w:t>.</w:t>
            </w:r>
          </w:p>
        </w:tc>
      </w:tr>
      <w:tr w:rsidR="000B1836" w:rsidRPr="00C4043A" w14:paraId="0B72F44D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0997D91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</w:p>
        </w:tc>
      </w:tr>
      <w:tr w:rsidR="000B1836" w:rsidRPr="00C4043A" w14:paraId="75EF2CF6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412F288" w14:textId="77777777" w:rsidR="000B1836" w:rsidRPr="00C4043A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C4043A">
              <w:rPr>
                <w:rFonts w:ascii="Palatino Linotype" w:eastAsia="Calibri" w:hAnsi="Palatino Linotype" w:cs="Times New Roman"/>
                <w:b/>
              </w:rPr>
              <w:t>Definovanie problému</w:t>
            </w:r>
          </w:p>
        </w:tc>
      </w:tr>
      <w:tr w:rsidR="000B1836" w:rsidRPr="00C4043A" w14:paraId="739652A9" w14:textId="77777777" w:rsidTr="003B7B2C">
        <w:trPr>
          <w:trHeight w:val="718"/>
        </w:trPr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DE926" w14:textId="4D6791D0" w:rsidR="000B1836" w:rsidRPr="00C4043A" w:rsidRDefault="003B07AE" w:rsidP="00E441FF">
            <w:pPr>
              <w:jc w:val="both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iCs/>
                <w:lang w:eastAsia="sk-SK"/>
              </w:rPr>
              <w:t>V</w:t>
            </w:r>
            <w:r w:rsidR="000B1836" w:rsidRPr="00C4043A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 aktuálnej právnej úprav</w:t>
            </w:r>
            <w:r w:rsidR="00022EE4" w:rsidRPr="00C4043A">
              <w:rPr>
                <w:rFonts w:ascii="Palatino Linotype" w:eastAsia="Times New Roman" w:hAnsi="Palatino Linotype" w:cs="Times New Roman"/>
                <w:iCs/>
                <w:lang w:eastAsia="sk-SK"/>
              </w:rPr>
              <w:t>e zákona o</w:t>
            </w:r>
            <w:r w:rsidR="00E441FF" w:rsidRPr="00C95AD7">
              <w:rPr>
                <w:rFonts w:ascii="Palatino Linotype" w:eastAsia="Times New Roman" w:hAnsi="Palatino Linotype" w:cs="Times New Roman"/>
              </w:rPr>
              <w:t xml:space="preserve"> </w:t>
            </w:r>
            <w:r w:rsidR="00E441FF">
              <w:rPr>
                <w:rFonts w:ascii="Palatino Linotype" w:eastAsia="Times New Roman" w:hAnsi="Palatino Linotype" w:cs="Times New Roman"/>
              </w:rPr>
              <w:t>h</w:t>
            </w:r>
            <w:r w:rsidR="00E441FF" w:rsidRPr="00C95AD7">
              <w:rPr>
                <w:rFonts w:ascii="Palatino Linotype" w:eastAsia="Times New Roman" w:hAnsi="Palatino Linotype" w:cs="Times New Roman"/>
              </w:rPr>
              <w:t>azardných hrách</w:t>
            </w:r>
            <w:r w:rsidR="00022EE4" w:rsidRPr="00C4043A">
              <w:rPr>
                <w:rFonts w:ascii="Palatino Linotype" w:hAnsi="Palatino Linotype"/>
              </w:rPr>
              <w:t> </w:t>
            </w:r>
            <w:r w:rsidR="005F6371">
              <w:rPr>
                <w:rFonts w:ascii="Palatino Linotype" w:hAnsi="Palatino Linotype"/>
              </w:rPr>
              <w:t xml:space="preserve">sú stanovené rôzne a často neprimerane nízke percentá odvodov za hazardné hry pri tak výnosnom odvetví podnikanie s mnohými negatívnymi </w:t>
            </w:r>
            <w:proofErr w:type="spellStart"/>
            <w:r w:rsidR="005F6371">
              <w:rPr>
                <w:rFonts w:ascii="Palatino Linotype" w:hAnsi="Palatino Linotype"/>
              </w:rPr>
              <w:t>externalitami</w:t>
            </w:r>
            <w:proofErr w:type="spellEnd"/>
            <w:r w:rsidR="005F6371">
              <w:rPr>
                <w:rFonts w:ascii="Palatino Linotype" w:hAnsi="Palatino Linotype"/>
              </w:rPr>
              <w:t xml:space="preserve"> na spoločnosť. </w:t>
            </w:r>
          </w:p>
        </w:tc>
      </w:tr>
      <w:tr w:rsidR="000B1836" w:rsidRPr="00C4043A" w14:paraId="0DA559CA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8EE00E6" w14:textId="77777777" w:rsidR="000B1836" w:rsidRPr="00C4043A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C4043A">
              <w:rPr>
                <w:rFonts w:ascii="Palatino Linotype" w:eastAsia="Calibri" w:hAnsi="Palatino Linotype" w:cs="Times New Roman"/>
                <w:b/>
              </w:rPr>
              <w:t>Ciele a výsledný stav</w:t>
            </w:r>
          </w:p>
        </w:tc>
      </w:tr>
      <w:tr w:rsidR="000B1836" w:rsidRPr="00C4043A" w14:paraId="05A0D149" w14:textId="77777777" w:rsidTr="003B7B2C">
        <w:trPr>
          <w:trHeight w:val="741"/>
        </w:trPr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CD7F7" w14:textId="6D58950C" w:rsidR="00B359B8" w:rsidRPr="00C4043A" w:rsidRDefault="00B359B8" w:rsidP="003B7B2C">
            <w:pPr>
              <w:jc w:val="both"/>
              <w:rPr>
                <w:rFonts w:ascii="Palatino Linotype" w:eastAsia="Times New Roman" w:hAnsi="Palatino Linotype" w:cs="Times New Roman"/>
                <w:iCs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iCs/>
                <w:lang w:eastAsia="sk-SK"/>
              </w:rPr>
              <w:t>Cieľom navrhovanej právnej úpravy je</w:t>
            </w:r>
            <w:r w:rsidR="00E441FF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 zvýšenie </w:t>
            </w:r>
            <w:r w:rsidR="005F6371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odvodu pri takmer všetkých formách hazardných hier. </w:t>
            </w:r>
            <w:r w:rsidR="00E441FF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 </w:t>
            </w:r>
          </w:p>
          <w:p w14:paraId="179C4276" w14:textId="77777777" w:rsidR="00B359B8" w:rsidRPr="00C4043A" w:rsidRDefault="00B359B8" w:rsidP="003B7B2C">
            <w:pPr>
              <w:jc w:val="both"/>
              <w:rPr>
                <w:rFonts w:ascii="Palatino Linotype" w:eastAsia="Times New Roman" w:hAnsi="Palatino Linotype" w:cs="Times New Roman"/>
                <w:iCs/>
                <w:lang w:eastAsia="sk-SK"/>
              </w:rPr>
            </w:pPr>
          </w:p>
          <w:p w14:paraId="0BE259EF" w14:textId="0418557D" w:rsidR="000B1836" w:rsidRPr="00C4043A" w:rsidRDefault="00B359B8" w:rsidP="00022EE4">
            <w:pPr>
              <w:jc w:val="both"/>
              <w:rPr>
                <w:rFonts w:ascii="Palatino Linotype" w:eastAsia="Times New Roman" w:hAnsi="Palatino Linotype" w:cs="Times New Roman"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iCs/>
                <w:lang w:eastAsia="sk-SK"/>
              </w:rPr>
              <w:t>Pozitívom</w:t>
            </w:r>
            <w:r w:rsidR="000B1836" w:rsidRPr="00C4043A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 navrhovanej úpravy </w:t>
            </w:r>
            <w:r w:rsidR="00E441FF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je </w:t>
            </w:r>
            <w:r w:rsidR="00E441FF" w:rsidRPr="00C95AD7">
              <w:rPr>
                <w:rFonts w:ascii="Palatino Linotype" w:hAnsi="Palatino Linotype"/>
              </w:rPr>
              <w:t>ochran</w:t>
            </w:r>
            <w:r w:rsidR="00E441FF">
              <w:rPr>
                <w:rFonts w:ascii="Palatino Linotype" w:hAnsi="Palatino Linotype"/>
              </w:rPr>
              <w:t>a</w:t>
            </w:r>
            <w:r w:rsidR="00E441FF" w:rsidRPr="00C95AD7">
              <w:rPr>
                <w:rFonts w:ascii="Palatino Linotype" w:hAnsi="Palatino Linotype"/>
              </w:rPr>
              <w:t xml:space="preserve"> verejného zdravia, posilň</w:t>
            </w:r>
            <w:r w:rsidR="00E441FF">
              <w:rPr>
                <w:rFonts w:ascii="Palatino Linotype" w:hAnsi="Palatino Linotype"/>
              </w:rPr>
              <w:t>ovanie</w:t>
            </w:r>
            <w:r w:rsidR="00E441FF" w:rsidRPr="00C95AD7">
              <w:rPr>
                <w:rFonts w:ascii="Palatino Linotype" w:hAnsi="Palatino Linotype"/>
              </w:rPr>
              <w:t xml:space="preserve"> prevenci</w:t>
            </w:r>
            <w:r w:rsidR="00E441FF">
              <w:rPr>
                <w:rFonts w:ascii="Palatino Linotype" w:hAnsi="Palatino Linotype"/>
              </w:rPr>
              <w:t>e</w:t>
            </w:r>
            <w:r w:rsidR="00E441FF" w:rsidRPr="00C95AD7">
              <w:rPr>
                <w:rFonts w:ascii="Palatino Linotype" w:hAnsi="Palatino Linotype"/>
              </w:rPr>
              <w:t xml:space="preserve"> negatívnych spoločenských javov a zvyš</w:t>
            </w:r>
            <w:r w:rsidR="00E441FF">
              <w:rPr>
                <w:rFonts w:ascii="Palatino Linotype" w:hAnsi="Palatino Linotype"/>
              </w:rPr>
              <w:t>ovanie</w:t>
            </w:r>
            <w:r w:rsidR="00E441FF" w:rsidRPr="00C95AD7">
              <w:rPr>
                <w:rFonts w:ascii="Palatino Linotype" w:hAnsi="Palatino Linotype"/>
              </w:rPr>
              <w:t xml:space="preserve"> ochra</w:t>
            </w:r>
            <w:r w:rsidR="00E441FF">
              <w:rPr>
                <w:rFonts w:ascii="Palatino Linotype" w:hAnsi="Palatino Linotype"/>
              </w:rPr>
              <w:t xml:space="preserve">ny </w:t>
            </w:r>
            <w:r w:rsidR="00E441FF" w:rsidRPr="00C95AD7">
              <w:rPr>
                <w:rFonts w:ascii="Palatino Linotype" w:hAnsi="Palatino Linotype"/>
              </w:rPr>
              <w:t>zraniteľných skupín pred škodlivými vplyvmi hazardných hier</w:t>
            </w:r>
            <w:r w:rsidR="00C4043A" w:rsidRPr="00C4043A">
              <w:rPr>
                <w:rFonts w:ascii="Palatino Linotype" w:eastAsia="Times New Roman" w:hAnsi="Palatino Linotype" w:cs="Times New Roman"/>
                <w:iCs/>
                <w:lang w:eastAsia="sk-SK"/>
              </w:rPr>
              <w:t>.</w:t>
            </w:r>
          </w:p>
        </w:tc>
      </w:tr>
      <w:tr w:rsidR="000B1836" w:rsidRPr="00C4043A" w14:paraId="0B91C109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5899E7C" w14:textId="77777777" w:rsidR="000B1836" w:rsidRPr="00C4043A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C4043A">
              <w:rPr>
                <w:rFonts w:ascii="Palatino Linotype" w:eastAsia="Calibri" w:hAnsi="Palatino Linotype" w:cs="Times New Roman"/>
                <w:b/>
              </w:rPr>
              <w:t>Dotknuté subjekty</w:t>
            </w:r>
          </w:p>
        </w:tc>
      </w:tr>
      <w:tr w:rsidR="000B1836" w:rsidRPr="00C4043A" w14:paraId="32F9AD14" w14:textId="77777777" w:rsidTr="003B7B2C"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71C68" w14:textId="2F45A4EE" w:rsidR="000B1836" w:rsidRPr="00C4043A" w:rsidRDefault="000B1836" w:rsidP="00022EE4">
            <w:pPr>
              <w:rPr>
                <w:rFonts w:ascii="Palatino Linotype" w:eastAsia="Times New Roman" w:hAnsi="Palatino Linotype" w:cs="Times New Roman"/>
                <w:iCs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Návrh zákona sa týka všetkých </w:t>
            </w:r>
            <w:r w:rsidR="00E441FF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prevádzok herní a kasín </w:t>
            </w:r>
            <w:r w:rsidR="005F6371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a ďalších foriem hazardných hier </w:t>
            </w:r>
            <w:r w:rsidRPr="00C4043A">
              <w:rPr>
                <w:rFonts w:ascii="Palatino Linotype" w:eastAsia="Times New Roman" w:hAnsi="Palatino Linotype" w:cs="Times New Roman"/>
                <w:iCs/>
                <w:lang w:eastAsia="sk-SK"/>
              </w:rPr>
              <w:t>v Slovenskej republike.</w:t>
            </w:r>
          </w:p>
        </w:tc>
      </w:tr>
      <w:tr w:rsidR="000B1836" w:rsidRPr="00C4043A" w14:paraId="386B803D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F71B64D" w14:textId="77777777" w:rsidR="000B1836" w:rsidRPr="00C4043A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C4043A">
              <w:rPr>
                <w:rFonts w:ascii="Palatino Linotype" w:eastAsia="Calibri" w:hAnsi="Palatino Linotype" w:cs="Times New Roman"/>
                <w:b/>
              </w:rPr>
              <w:t>Alternatívne riešenia</w:t>
            </w:r>
          </w:p>
        </w:tc>
      </w:tr>
      <w:tr w:rsidR="000B1836" w:rsidRPr="00C4043A" w14:paraId="08224EC4" w14:textId="77777777" w:rsidTr="004C0058">
        <w:trPr>
          <w:trHeight w:val="931"/>
        </w:trPr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B018F" w14:textId="379D3D6F" w:rsidR="000B1836" w:rsidRPr="00CB050B" w:rsidRDefault="000B1836" w:rsidP="00E441FF">
            <w:pPr>
              <w:jc w:val="both"/>
              <w:rPr>
                <w:rFonts w:ascii="Palatino Linotype" w:eastAsia="Times New Roman" w:hAnsi="Palatino Linotype" w:cs="Times New Roman"/>
              </w:rPr>
            </w:pPr>
            <w:r w:rsidRPr="00C4043A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Nulový variant by znamenal, že </w:t>
            </w:r>
            <w:r w:rsidR="005F6371">
              <w:rPr>
                <w:rFonts w:ascii="Palatino Linotype" w:eastAsia="Times New Roman" w:hAnsi="Palatino Linotype" w:cs="Times New Roman"/>
                <w:iCs/>
                <w:lang w:eastAsia="sk-SK"/>
              </w:rPr>
              <w:t>zisky prevádzkovateľov hazardných hier by naďalej neúmerne zvyšovali, pričom štát by za vlastné rozpočtové prostriedky musel čeliť rastúcim negatívnym spoločenským dôsledkom, rozpadu rodín, ,masívnemu zadlžovaniu, kriminalite a pod.</w:t>
            </w:r>
          </w:p>
        </w:tc>
      </w:tr>
      <w:tr w:rsidR="000B1836" w:rsidRPr="00C4043A" w14:paraId="2027F251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7346589" w14:textId="77777777" w:rsidR="000B1836" w:rsidRPr="00C4043A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C4043A">
              <w:rPr>
                <w:rFonts w:ascii="Palatino Linotype" w:eastAsia="Calibri" w:hAnsi="Palatino Linotype" w:cs="Times New Roman"/>
                <w:b/>
              </w:rPr>
              <w:t>Vykonávacie predpisy</w:t>
            </w:r>
          </w:p>
        </w:tc>
      </w:tr>
      <w:tr w:rsidR="000B1836" w:rsidRPr="00C4043A" w14:paraId="70E00E7B" w14:textId="77777777" w:rsidTr="003B7B2C"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7D416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iCs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iCs/>
                <w:lang w:eastAsia="sk-SK"/>
              </w:rPr>
              <w:t>Navrhovaná právna úprava nepredpokladá prijatie alebo zmenu už existujúcich vykonávacích predpisov.</w:t>
            </w:r>
          </w:p>
        </w:tc>
      </w:tr>
      <w:tr w:rsidR="000B1836" w:rsidRPr="00C4043A" w14:paraId="193DAC19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E987141" w14:textId="77777777" w:rsidR="000B1836" w:rsidRPr="00C4043A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C4043A">
              <w:rPr>
                <w:rFonts w:ascii="Palatino Linotype" w:eastAsia="Calibri" w:hAnsi="Palatino Linotype" w:cs="Times New Roman"/>
                <w:b/>
              </w:rPr>
              <w:t xml:space="preserve">Transpozícia práva EÚ </w:t>
            </w:r>
          </w:p>
        </w:tc>
      </w:tr>
      <w:tr w:rsidR="000B1836" w:rsidRPr="00C4043A" w14:paraId="103E80CE" w14:textId="77777777" w:rsidTr="003B7B2C">
        <w:trPr>
          <w:trHeight w:val="157"/>
        </w:trPr>
        <w:tc>
          <w:tcPr>
            <w:tcW w:w="918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6DFFFA9E" w14:textId="77777777" w:rsidR="000B1836" w:rsidRPr="00C4043A" w:rsidRDefault="000B1836" w:rsidP="003B7B2C">
            <w:pPr>
              <w:jc w:val="both"/>
              <w:rPr>
                <w:rFonts w:ascii="Palatino Linotype" w:eastAsia="Times New Roman" w:hAnsi="Palatino Linotype" w:cs="Times New Roman"/>
                <w:iCs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iCs/>
                <w:lang w:eastAsia="sk-SK"/>
              </w:rPr>
              <w:t>Neaplikuje sa v tomto prípade.</w:t>
            </w:r>
          </w:p>
        </w:tc>
      </w:tr>
      <w:tr w:rsidR="000B1836" w:rsidRPr="00C4043A" w14:paraId="556AECE8" w14:textId="77777777" w:rsidTr="003B7B2C">
        <w:trPr>
          <w:trHeight w:val="248"/>
        </w:trPr>
        <w:tc>
          <w:tcPr>
            <w:tcW w:w="918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0069F" w14:textId="77777777" w:rsidR="000B1836" w:rsidRPr="00C4043A" w:rsidRDefault="000B1836" w:rsidP="003B7B2C">
            <w:pPr>
              <w:jc w:val="center"/>
              <w:rPr>
                <w:rFonts w:ascii="Palatino Linotype" w:eastAsia="Times New Roman" w:hAnsi="Palatino Linotype" w:cs="Times New Roman"/>
                <w:lang w:eastAsia="sk-SK"/>
              </w:rPr>
            </w:pPr>
          </w:p>
        </w:tc>
      </w:tr>
      <w:tr w:rsidR="000B1836" w:rsidRPr="00C4043A" w14:paraId="264B3788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20F76BF" w14:textId="77777777" w:rsidR="000B1836" w:rsidRPr="00C4043A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C4043A">
              <w:rPr>
                <w:rFonts w:ascii="Palatino Linotype" w:eastAsia="Calibri" w:hAnsi="Palatino Linotype" w:cs="Times New Roman"/>
                <w:b/>
              </w:rPr>
              <w:t>Preskúmanie účelnosti</w:t>
            </w:r>
          </w:p>
        </w:tc>
      </w:tr>
      <w:tr w:rsidR="000B1836" w:rsidRPr="00C4043A" w14:paraId="1EF33243" w14:textId="77777777" w:rsidTr="003B7B2C"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E3473" w14:textId="7572CC12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iCs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iCs/>
                <w:lang w:eastAsia="sk-SK"/>
              </w:rPr>
              <w:t>Navrhujeme preskúmanie účinnosti a účelnosti a zároveň vyhodnotenie vplyvov tejt</w:t>
            </w:r>
            <w:r w:rsidR="00022EE4" w:rsidRPr="00C4043A">
              <w:rPr>
                <w:rFonts w:ascii="Palatino Linotype" w:eastAsia="Times New Roman" w:hAnsi="Palatino Linotype" w:cs="Times New Roman"/>
                <w:iCs/>
                <w:lang w:eastAsia="sk-SK"/>
              </w:rPr>
              <w:t>o právnej úpravy po roku</w:t>
            </w:r>
            <w:r w:rsidRPr="00C4043A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 od jej prijatia.</w:t>
            </w:r>
          </w:p>
          <w:p w14:paraId="064EFAAB" w14:textId="5392209D" w:rsidR="000B1836" w:rsidRPr="00C4043A" w:rsidRDefault="000B1836" w:rsidP="005F6371">
            <w:pPr>
              <w:rPr>
                <w:rFonts w:ascii="Palatino Linotype" w:eastAsia="Times New Roman" w:hAnsi="Palatino Linotype" w:cs="Times New Roman"/>
                <w:iCs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Ako kritérium navrhujeme </w:t>
            </w:r>
            <w:r w:rsidR="005F6371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porovnať obrat a ziskovosť prevádzkovateľov rôznych typov hazardných hier. </w:t>
            </w:r>
          </w:p>
        </w:tc>
      </w:tr>
      <w:tr w:rsidR="000B1836" w:rsidRPr="00C4043A" w14:paraId="7C21EE85" w14:textId="77777777" w:rsidTr="003B7B2C">
        <w:trPr>
          <w:trHeight w:val="283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72DBFA65" w14:textId="77777777" w:rsidR="000B1836" w:rsidRPr="00C4043A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C4043A">
              <w:rPr>
                <w:rFonts w:ascii="Palatino Linotype" w:eastAsia="Calibri" w:hAnsi="Palatino Linotype" w:cs="Times New Roman"/>
                <w:b/>
              </w:rPr>
              <w:t>Vybrané vplyvy materiálu</w:t>
            </w:r>
          </w:p>
        </w:tc>
      </w:tr>
      <w:tr w:rsidR="000B1836" w:rsidRPr="00C4043A" w14:paraId="68E073C8" w14:textId="77777777" w:rsidTr="003B7B2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CC871DB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Vplyvy na rozpočet verejnej správy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0664125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70C4BD0A" w14:textId="40E0166E" w:rsidR="000B1836" w:rsidRPr="00C4043A" w:rsidRDefault="005F6371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6952AB5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394482E" w14:textId="193655EF" w:rsidR="000B1836" w:rsidRPr="00C4043A" w:rsidRDefault="005F6371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AA1F22A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1D40CD9" w14:textId="77777777" w:rsidR="000B1836" w:rsidRPr="00C4043A" w:rsidRDefault="000B1836" w:rsidP="003B7B2C">
                <w:pPr>
                  <w:ind w:left="-107" w:right="-108"/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EFDC7A1" w14:textId="77777777" w:rsidR="000B1836" w:rsidRPr="00C4043A" w:rsidRDefault="000B1836" w:rsidP="003B7B2C">
            <w:pPr>
              <w:ind w:left="34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Negatívne</w:t>
            </w:r>
          </w:p>
        </w:tc>
      </w:tr>
      <w:tr w:rsidR="000B1836" w:rsidRPr="00C4043A" w14:paraId="7ACC3C76" w14:textId="77777777" w:rsidTr="003B7B2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5C6A916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lang w:eastAsia="sk-SK"/>
              </w:rPr>
              <w:t xml:space="preserve">    z toho rozpočtovo zabezpečené vplyvy,         </w:t>
            </w:r>
          </w:p>
          <w:p w14:paraId="315153E9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lang w:eastAsia="sk-SK"/>
              </w:rPr>
              <w:lastRenderedPageBreak/>
              <w:t xml:space="preserve">    v prípade identifikovaného negatívneho </w:t>
            </w:r>
          </w:p>
          <w:p w14:paraId="180CDDD9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lang w:eastAsia="sk-SK"/>
              </w:rPr>
              <w:t xml:space="preserve">    vplyvu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40A79D42" w14:textId="77777777" w:rsidR="000B1836" w:rsidRPr="00C4043A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948B521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lang w:eastAsia="sk-SK"/>
              </w:rPr>
              <w:t>Áno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405798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559B01E" w14:textId="33791C03" w:rsidR="000B1836" w:rsidRPr="00C4043A" w:rsidRDefault="002364F9" w:rsidP="003B7B2C">
                <w:pPr>
                  <w:jc w:val="center"/>
                  <w:rPr>
                    <w:rFonts w:ascii="Palatino Linotype" w:eastAsia="Times New Roman" w:hAnsi="Palatino Linotype" w:cs="Times New Roman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CC655C7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lang w:eastAsia="sk-SK"/>
              </w:rPr>
              <w:t>Nie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FD575E8" w14:textId="77777777" w:rsidR="000B1836" w:rsidRPr="00C4043A" w:rsidRDefault="000B1836" w:rsidP="003B7B2C">
                <w:pPr>
                  <w:ind w:left="-107" w:right="-108"/>
                  <w:jc w:val="center"/>
                  <w:rPr>
                    <w:rFonts w:ascii="Palatino Linotype" w:eastAsia="Times New Roman" w:hAnsi="Palatino Linotype" w:cs="Times New Roman"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190B1E" w14:textId="77777777" w:rsidR="000B1836" w:rsidRPr="00C4043A" w:rsidRDefault="000B1836" w:rsidP="003B7B2C">
            <w:pPr>
              <w:ind w:left="34"/>
              <w:rPr>
                <w:rFonts w:ascii="Palatino Linotype" w:eastAsia="Times New Roman" w:hAnsi="Palatino Linotype" w:cs="Times New Roman"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lang w:eastAsia="sk-SK"/>
              </w:rPr>
              <w:t>Čiastočne</w:t>
            </w:r>
          </w:p>
        </w:tc>
      </w:tr>
      <w:tr w:rsidR="000B1836" w:rsidRPr="00C4043A" w14:paraId="5233ABE1" w14:textId="77777777" w:rsidTr="003B7B2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8386E69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5774309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77F06910" w14:textId="7A0D0922" w:rsidR="000B1836" w:rsidRPr="00C4043A" w:rsidRDefault="002364F9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CFB907C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035963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9E2C0AF" w14:textId="4A59E25E" w:rsidR="000B1836" w:rsidRPr="00C4043A" w:rsidRDefault="002364F9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B06D908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0C0F17B" w14:textId="77777777" w:rsidR="000B1836" w:rsidRPr="00C4043A" w:rsidRDefault="000B1836" w:rsidP="003B7B2C">
                <w:pPr>
                  <w:ind w:left="-107" w:right="-108"/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4FCD2E6" w14:textId="77777777" w:rsidR="000B1836" w:rsidRPr="00C4043A" w:rsidRDefault="000B1836" w:rsidP="003B7B2C">
            <w:pPr>
              <w:ind w:left="34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Negatívne</w:t>
            </w:r>
          </w:p>
        </w:tc>
      </w:tr>
      <w:tr w:rsidR="000B1836" w:rsidRPr="00C4043A" w14:paraId="7C8FE594" w14:textId="77777777" w:rsidTr="003B7B2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2355A6EA" w14:textId="77777777" w:rsidR="000B1836" w:rsidRPr="00C4043A" w:rsidRDefault="000B1836" w:rsidP="003B7B2C">
            <w:pPr>
              <w:ind w:left="171"/>
              <w:rPr>
                <w:rFonts w:ascii="Palatino Linotype" w:eastAsia="Times New Roman" w:hAnsi="Palatino Linotype" w:cs="Times New Roman"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lang w:eastAsia="sk-SK"/>
              </w:rPr>
              <w:t>z toho rozpočtovo zabezpečené vplyvy,</w:t>
            </w:r>
          </w:p>
          <w:p w14:paraId="27F1201F" w14:textId="77777777" w:rsidR="000B1836" w:rsidRPr="00C4043A" w:rsidRDefault="000B1836" w:rsidP="003B7B2C">
            <w:pPr>
              <w:ind w:left="171"/>
              <w:rPr>
                <w:rFonts w:ascii="Palatino Linotype" w:eastAsia="Times New Roman" w:hAnsi="Palatino Linotype" w:cs="Times New Roman"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686A192E" w14:textId="77777777" w:rsidR="000B1836" w:rsidRPr="00C4043A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954E455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lang w:eastAsia="sk-SK"/>
              </w:rPr>
              <w:t>Áno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-6382655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8C87CED" w14:textId="77777777" w:rsidR="000B1836" w:rsidRPr="00C4043A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E6D6717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lang w:eastAsia="sk-SK"/>
              </w:rPr>
              <w:t>Nie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618B2C6" w14:textId="77777777" w:rsidR="000B1836" w:rsidRPr="00C4043A" w:rsidRDefault="000B1836" w:rsidP="003B7B2C">
                <w:pPr>
                  <w:ind w:left="-107" w:right="-108"/>
                  <w:jc w:val="center"/>
                  <w:rPr>
                    <w:rFonts w:ascii="Palatino Linotype" w:eastAsia="Times New Roman" w:hAnsi="Palatino Linotype" w:cs="Times New Roman"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C8F3277" w14:textId="77777777" w:rsidR="000B1836" w:rsidRPr="00C4043A" w:rsidRDefault="000B1836" w:rsidP="003B7B2C">
            <w:pPr>
              <w:ind w:left="34"/>
              <w:rPr>
                <w:rFonts w:ascii="Palatino Linotype" w:eastAsia="Times New Roman" w:hAnsi="Palatino Linotype" w:cs="Times New Roman"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lang w:eastAsia="sk-SK"/>
              </w:rPr>
              <w:t>Čiastočne</w:t>
            </w:r>
          </w:p>
        </w:tc>
      </w:tr>
      <w:tr w:rsidR="000B1836" w:rsidRPr="00C4043A" w14:paraId="289A2123" w14:textId="77777777" w:rsidTr="003B7B2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767639D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Vplyvy na podnikateľské prostredie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46559D3" w14:textId="03317D65" w:rsidR="000B1836" w:rsidRPr="00C4043A" w:rsidRDefault="002364F9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F33BAB0" w14:textId="77777777" w:rsidR="000B1836" w:rsidRPr="00C4043A" w:rsidRDefault="000B1836" w:rsidP="003B7B2C">
            <w:pPr>
              <w:ind w:right="-108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203846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E8DACE8" w14:textId="608BB60E" w:rsidR="000B1836" w:rsidRPr="00C4043A" w:rsidRDefault="002364F9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C2F1840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5583987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5C20C2B" w14:textId="4F045385" w:rsidR="000B1836" w:rsidRPr="00C4043A" w:rsidRDefault="002364F9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0599AF3" w14:textId="77777777" w:rsidR="000B1836" w:rsidRPr="00C4043A" w:rsidRDefault="000B1836" w:rsidP="003B7B2C">
            <w:pPr>
              <w:ind w:left="54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Negatívne</w:t>
            </w:r>
          </w:p>
        </w:tc>
      </w:tr>
      <w:tr w:rsidR="000B1836" w:rsidRPr="00C4043A" w14:paraId="1FF3C256" w14:textId="77777777" w:rsidTr="003B7B2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BF612C8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lang w:eastAsia="sk-SK"/>
              </w:rPr>
              <w:t xml:space="preserve">   predpokladané vyčíslenie: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3B5F0A" w14:textId="77777777" w:rsidR="000B1836" w:rsidRPr="00C4043A" w:rsidRDefault="000B1836" w:rsidP="003B7B2C">
            <w:pPr>
              <w:jc w:val="center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</w:p>
        </w:tc>
        <w:tc>
          <w:tcPr>
            <w:tcW w:w="159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BA016A" w14:textId="77777777" w:rsidR="000B1836" w:rsidRPr="00C4043A" w:rsidRDefault="000B1836" w:rsidP="003B7B2C">
            <w:pPr>
              <w:ind w:right="-108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D4FFDF" w14:textId="77777777" w:rsidR="000B1836" w:rsidRPr="00C4043A" w:rsidRDefault="000B1836" w:rsidP="003B7B2C">
            <w:pPr>
              <w:jc w:val="center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68E8FA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</w:p>
        </w:tc>
        <w:tc>
          <w:tcPr>
            <w:tcW w:w="54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BE9CEE" w14:textId="77777777" w:rsidR="000B1836" w:rsidRPr="00C4043A" w:rsidRDefault="000B1836" w:rsidP="003B7B2C">
            <w:pPr>
              <w:jc w:val="center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735B3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</w:p>
        </w:tc>
      </w:tr>
      <w:tr w:rsidR="000B1836" w:rsidRPr="00C4043A" w14:paraId="08946DC7" w14:textId="77777777" w:rsidTr="003B7B2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5731A75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Sociálne vplyvy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BCAE3B5" w14:textId="77777777" w:rsidR="000B1836" w:rsidRPr="00C4043A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E4B22" w14:textId="77777777" w:rsidR="000B1836" w:rsidRPr="00C4043A" w:rsidRDefault="000B1836" w:rsidP="003B7B2C">
            <w:pPr>
              <w:ind w:right="-108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AE5098E" w14:textId="77777777" w:rsidR="000B1836" w:rsidRPr="00C4043A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AC5AE3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22794A7" w14:textId="77777777" w:rsidR="000B1836" w:rsidRPr="00C4043A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E8A81" w14:textId="77777777" w:rsidR="000B1836" w:rsidRPr="00C4043A" w:rsidRDefault="000B1836" w:rsidP="003B7B2C">
            <w:pPr>
              <w:ind w:left="54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Negatívne</w:t>
            </w:r>
          </w:p>
        </w:tc>
      </w:tr>
      <w:tr w:rsidR="000B1836" w:rsidRPr="00C4043A" w14:paraId="3EC9C61D" w14:textId="77777777" w:rsidTr="003B7B2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14428E2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Vplyvy na životné prostredie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EE14BC7" w14:textId="77777777" w:rsidR="000B1836" w:rsidRPr="00C4043A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24FDCA" w14:textId="77777777" w:rsidR="000B1836" w:rsidRPr="00C4043A" w:rsidRDefault="000B1836" w:rsidP="003B7B2C">
            <w:pPr>
              <w:ind w:right="-108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A2908D3" w14:textId="77777777" w:rsidR="000B1836" w:rsidRPr="00C4043A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444359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CD865C0" w14:textId="77777777" w:rsidR="000B1836" w:rsidRPr="00C4043A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46E57" w14:textId="77777777" w:rsidR="000B1836" w:rsidRPr="00C4043A" w:rsidRDefault="000B1836" w:rsidP="003B7B2C">
            <w:pPr>
              <w:ind w:left="54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Negatívne</w:t>
            </w:r>
          </w:p>
        </w:tc>
      </w:tr>
      <w:tr w:rsidR="000B1836" w:rsidRPr="00C4043A" w14:paraId="15180E39" w14:textId="77777777" w:rsidTr="003B7B2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DC21D73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Vplyvy na informatizáciu spoločnosti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AF0B996" w14:textId="77777777" w:rsidR="000B1836" w:rsidRPr="00C4043A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0CB684" w14:textId="77777777" w:rsidR="000B1836" w:rsidRPr="00C4043A" w:rsidRDefault="000B1836" w:rsidP="003B7B2C">
            <w:pPr>
              <w:ind w:right="-108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2C2A592" w14:textId="77777777" w:rsidR="000B1836" w:rsidRPr="00C4043A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68DB0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3864A30" w14:textId="77777777" w:rsidR="000B1836" w:rsidRPr="00C4043A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8CC08" w14:textId="77777777" w:rsidR="000B1836" w:rsidRPr="00C4043A" w:rsidRDefault="000B1836" w:rsidP="003B7B2C">
            <w:pPr>
              <w:ind w:left="54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0B1836" w:rsidRPr="00C4043A" w14:paraId="2F8EC81E" w14:textId="77777777" w:rsidTr="003B7B2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6E666D7" w14:textId="77777777" w:rsidR="000B1836" w:rsidRPr="00C4043A" w:rsidRDefault="000B1836" w:rsidP="003B7B2C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hAnsi="Palatino Linotype" w:cs="Times New Roman"/>
                <w:b/>
              </w:rPr>
              <w:t>Vplyvy na služby verejnej správy pre občana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04208B" w14:textId="77777777" w:rsidR="000B1836" w:rsidRPr="00C4043A" w:rsidRDefault="000B1836" w:rsidP="003B7B2C">
            <w:pPr>
              <w:spacing w:after="0" w:line="240" w:lineRule="auto"/>
              <w:rPr>
                <w:rFonts w:ascii="Palatino Linotype" w:eastAsia="MS Mincho" w:hAnsi="Palatino Linotype" w:cs="Times New Roman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61578E" w14:textId="77777777" w:rsidR="000B1836" w:rsidRPr="00C4043A" w:rsidRDefault="000B1836" w:rsidP="003B7B2C">
            <w:pPr>
              <w:spacing w:after="0" w:line="240" w:lineRule="auto"/>
              <w:ind w:right="-108"/>
              <w:rPr>
                <w:rFonts w:ascii="Palatino Linotype" w:eastAsia="Times New Roman" w:hAnsi="Palatino Linotype" w:cs="Times New Roman"/>
                <w:b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689B02" w14:textId="77777777" w:rsidR="000B1836" w:rsidRPr="00C4043A" w:rsidRDefault="000B1836" w:rsidP="003B7B2C">
            <w:pPr>
              <w:spacing w:after="0" w:line="240" w:lineRule="auto"/>
              <w:jc w:val="center"/>
              <w:rPr>
                <w:rFonts w:ascii="Palatino Linotype" w:eastAsia="MS Mincho" w:hAnsi="Palatino Linotype" w:cs="Times New Roman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0F6CF3" w14:textId="77777777" w:rsidR="000B1836" w:rsidRPr="00C4043A" w:rsidRDefault="000B1836" w:rsidP="003B7B2C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D37C39" w14:textId="77777777" w:rsidR="000B1836" w:rsidRPr="00C4043A" w:rsidRDefault="000B1836" w:rsidP="003B7B2C">
            <w:pPr>
              <w:spacing w:after="0" w:line="240" w:lineRule="auto"/>
              <w:jc w:val="center"/>
              <w:rPr>
                <w:rFonts w:ascii="Palatino Linotype" w:eastAsia="MS Mincho" w:hAnsi="Palatino Linotype" w:cs="Times New Roman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451574C" w14:textId="77777777" w:rsidR="000B1836" w:rsidRPr="00C4043A" w:rsidRDefault="000B1836" w:rsidP="003B7B2C">
            <w:pPr>
              <w:spacing w:after="0" w:line="240" w:lineRule="auto"/>
              <w:ind w:left="54"/>
              <w:rPr>
                <w:rFonts w:ascii="Palatino Linotype" w:eastAsia="Times New Roman" w:hAnsi="Palatino Linotype" w:cs="Times New Roman"/>
                <w:b/>
              </w:rPr>
            </w:pPr>
          </w:p>
        </w:tc>
      </w:tr>
      <w:tr w:rsidR="000B1836" w:rsidRPr="00C4043A" w14:paraId="4B641CB1" w14:textId="77777777" w:rsidTr="003B7B2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39FE1A5" w14:textId="77777777" w:rsidR="000B1836" w:rsidRPr="00C4043A" w:rsidRDefault="000B1836" w:rsidP="003B7B2C">
            <w:pPr>
              <w:spacing w:after="0" w:line="240" w:lineRule="auto"/>
              <w:rPr>
                <w:rFonts w:ascii="Palatino Linotype" w:hAnsi="Palatino Linotype" w:cs="Times New Roman"/>
                <w:b/>
              </w:rPr>
            </w:pP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20312157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77A03A00" w14:textId="1594BBBE" w:rsidR="000B1836" w:rsidRPr="00C4043A" w:rsidRDefault="00022EE4" w:rsidP="003B7B2C">
                <w:pPr>
                  <w:spacing w:after="0" w:line="240" w:lineRule="auto"/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8DE01A4" w14:textId="77777777" w:rsidR="000B1836" w:rsidRPr="00C4043A" w:rsidRDefault="000B1836" w:rsidP="003B7B2C">
            <w:pPr>
              <w:spacing w:after="0" w:line="240" w:lineRule="auto"/>
              <w:ind w:right="-108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75219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57F1E324" w14:textId="76FC0651" w:rsidR="000B1836" w:rsidRPr="00C4043A" w:rsidRDefault="00022EE4" w:rsidP="003B7B2C">
                <w:pPr>
                  <w:spacing w:after="0" w:line="240" w:lineRule="auto"/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5A3D1DD" w14:textId="77777777" w:rsidR="000B1836" w:rsidRPr="00C4043A" w:rsidRDefault="000B1836" w:rsidP="003B7B2C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28B6F9CE" w14:textId="77777777" w:rsidR="000B1836" w:rsidRPr="00C4043A" w:rsidRDefault="000B1836" w:rsidP="003B7B2C">
                <w:pPr>
                  <w:spacing w:after="0" w:line="240" w:lineRule="auto"/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E9A2AAE" w14:textId="77777777" w:rsidR="000B1836" w:rsidRPr="00C4043A" w:rsidRDefault="000B1836" w:rsidP="003B7B2C">
            <w:pPr>
              <w:spacing w:after="0" w:line="240" w:lineRule="auto"/>
              <w:ind w:left="54"/>
              <w:rPr>
                <w:rFonts w:ascii="Palatino Linotype" w:eastAsia="Times New Roman" w:hAnsi="Palatino Linotype" w:cs="Times New Roman"/>
                <w:b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0B1836" w:rsidRPr="00C4043A" w14:paraId="7D5C6734" w14:textId="77777777" w:rsidTr="003B7B2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AAD9714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</w:rPr>
              <w:t>Vplyvy na manželstvo, rodičovstvo, rodinu a deti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19772561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089BFDE" w14:textId="7FF13D41" w:rsidR="000B1836" w:rsidRPr="00C4043A" w:rsidRDefault="00E36DE4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928D2D" w14:textId="77777777" w:rsidR="000B1836" w:rsidRPr="00C4043A" w:rsidRDefault="000B1836" w:rsidP="003B7B2C">
            <w:pPr>
              <w:ind w:right="-108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025549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43ED5E8" w14:textId="377C6C48" w:rsidR="000B1836" w:rsidRPr="00C4043A" w:rsidRDefault="00E36DE4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A107F6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1BB4AAC" w14:textId="77777777" w:rsidR="000B1836" w:rsidRPr="00C4043A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C8E50" w14:textId="77777777" w:rsidR="000B1836" w:rsidRPr="00C4043A" w:rsidRDefault="000B1836" w:rsidP="003B7B2C">
            <w:pPr>
              <w:ind w:left="54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>Negatívne</w:t>
            </w:r>
          </w:p>
        </w:tc>
      </w:tr>
    </w:tbl>
    <w:p w14:paraId="5CF0356B" w14:textId="77777777" w:rsidR="000B1836" w:rsidRPr="00C4043A" w:rsidRDefault="000B1836" w:rsidP="000B1836">
      <w:pPr>
        <w:spacing w:after="0" w:line="240" w:lineRule="auto"/>
        <w:ind w:right="141"/>
        <w:rPr>
          <w:rFonts w:ascii="Palatino Linotype" w:eastAsia="Times New Roman" w:hAnsi="Palatino Linotype" w:cs="Times New Roman"/>
          <w:b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0B1836" w:rsidRPr="00C4043A" w14:paraId="19CD04B4" w14:textId="77777777" w:rsidTr="003B7B2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63E298F" w14:textId="77777777" w:rsidR="000B1836" w:rsidRPr="00C4043A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C4043A">
              <w:rPr>
                <w:rFonts w:ascii="Palatino Linotype" w:eastAsia="Calibri" w:hAnsi="Palatino Linotype" w:cs="Times New Roman"/>
                <w:b/>
              </w:rPr>
              <w:t>Poznámky</w:t>
            </w:r>
          </w:p>
        </w:tc>
      </w:tr>
      <w:tr w:rsidR="000B1836" w:rsidRPr="00C4043A" w14:paraId="51F90F46" w14:textId="77777777" w:rsidTr="003B7B2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2408" w14:textId="35691FB9" w:rsidR="00495A08" w:rsidRPr="00C4043A" w:rsidRDefault="00124B59" w:rsidP="00C4043A">
            <w:pPr>
              <w:tabs>
                <w:tab w:val="left" w:pos="708"/>
              </w:tabs>
              <w:spacing w:line="276" w:lineRule="auto"/>
              <w:jc w:val="both"/>
              <w:rPr>
                <w:rFonts w:ascii="Palatino Linotype" w:hAnsi="Palatino Linotype" w:cs="Times New Roman"/>
              </w:rPr>
            </w:pPr>
            <w:r w:rsidRPr="00C4043A">
              <w:rPr>
                <w:rFonts w:ascii="Palatino Linotype" w:eastAsia="Times New Roman" w:hAnsi="Palatino Linotype" w:cs="Times New Roman"/>
              </w:rPr>
              <w:t>Návrh zákona má pozitívne sociálne vplyvy</w:t>
            </w:r>
            <w:r w:rsidR="00E36DE4">
              <w:rPr>
                <w:rFonts w:ascii="Palatino Linotype" w:eastAsia="Times New Roman" w:hAnsi="Palatino Linotype" w:cs="Times New Roman"/>
              </w:rPr>
              <w:t>, pozitívny vplyv na manželstvo, rodičovstvo a</w:t>
            </w:r>
            <w:r w:rsidR="002364F9">
              <w:rPr>
                <w:rFonts w:ascii="Palatino Linotype" w:eastAsia="Times New Roman" w:hAnsi="Palatino Linotype" w:cs="Times New Roman"/>
              </w:rPr>
              <w:t> </w:t>
            </w:r>
            <w:r w:rsidR="00E36DE4">
              <w:rPr>
                <w:rFonts w:ascii="Palatino Linotype" w:eastAsia="Times New Roman" w:hAnsi="Palatino Linotype" w:cs="Times New Roman"/>
              </w:rPr>
              <w:t>rodinu</w:t>
            </w:r>
            <w:r w:rsidR="002364F9">
              <w:rPr>
                <w:rFonts w:ascii="Palatino Linotype" w:eastAsia="Times New Roman" w:hAnsi="Palatino Linotype" w:cs="Times New Roman"/>
              </w:rPr>
              <w:t>, pozitívny vplyv na rozpočet SR ako aj miest a </w:t>
            </w:r>
            <w:proofErr w:type="spellStart"/>
            <w:r w:rsidR="002364F9">
              <w:rPr>
                <w:rFonts w:ascii="Palatino Linotype" w:eastAsia="Times New Roman" w:hAnsi="Palatino Linotype" w:cs="Times New Roman"/>
              </w:rPr>
              <w:t>obncí</w:t>
            </w:r>
            <w:proofErr w:type="spellEnd"/>
            <w:r w:rsidR="002364F9">
              <w:rPr>
                <w:rFonts w:ascii="Palatino Linotype" w:eastAsia="Times New Roman" w:hAnsi="Palatino Linotype" w:cs="Times New Roman"/>
              </w:rPr>
              <w:t xml:space="preserve"> </w:t>
            </w:r>
            <w:r w:rsidR="009276D9" w:rsidRPr="00C4043A">
              <w:rPr>
                <w:rFonts w:ascii="Palatino Linotype" w:eastAsia="Times New Roman" w:hAnsi="Palatino Linotype" w:cs="Times New Roman"/>
              </w:rPr>
              <w:t>a nepriamo aj pozitívne</w:t>
            </w:r>
            <w:r w:rsidR="0057550C" w:rsidRPr="00C4043A">
              <w:rPr>
                <w:rFonts w:ascii="Palatino Linotype" w:eastAsia="Times New Roman" w:hAnsi="Palatino Linotype" w:cs="Times New Roman"/>
              </w:rPr>
              <w:t xml:space="preserve"> vplyv</w:t>
            </w:r>
            <w:r w:rsidR="009276D9" w:rsidRPr="00C4043A">
              <w:rPr>
                <w:rFonts w:ascii="Palatino Linotype" w:eastAsia="Times New Roman" w:hAnsi="Palatino Linotype" w:cs="Times New Roman"/>
              </w:rPr>
              <w:t>y na služby verejnej správy pre občana</w:t>
            </w:r>
            <w:r w:rsidRPr="00C4043A">
              <w:rPr>
                <w:rFonts w:ascii="Palatino Linotype" w:eastAsia="Times New Roman" w:hAnsi="Palatino Linotype" w:cs="Times New Roman"/>
              </w:rPr>
              <w:t>. N</w:t>
            </w:r>
            <w:r w:rsidR="0057550C" w:rsidRPr="00C4043A">
              <w:rPr>
                <w:rFonts w:ascii="Palatino Linotype" w:eastAsia="Times New Roman" w:hAnsi="Palatino Linotype" w:cs="Times New Roman"/>
              </w:rPr>
              <w:t>ávrh zákona nemá žiaden vplyv</w:t>
            </w:r>
            <w:r w:rsidRPr="00C4043A">
              <w:rPr>
                <w:rFonts w:ascii="Palatino Linotype" w:eastAsia="Times New Roman" w:hAnsi="Palatino Linotype" w:cs="Times New Roman"/>
              </w:rPr>
              <w:t xml:space="preserve"> podnikateľské prostredie, rozpočet verejnej správy, informatizáciu spoločnosti a na životné  prostredie. </w:t>
            </w:r>
          </w:p>
          <w:p w14:paraId="202F4F11" w14:textId="1F6D71E2" w:rsidR="000B1836" w:rsidRPr="00C4043A" w:rsidRDefault="000B1836" w:rsidP="00212ECE">
            <w:pPr>
              <w:jc w:val="both"/>
              <w:rPr>
                <w:rFonts w:ascii="Palatino Linotype" w:eastAsia="Calibri" w:hAnsi="Palatino Linotype" w:cs="Times New Roman"/>
              </w:rPr>
            </w:pPr>
          </w:p>
        </w:tc>
      </w:tr>
      <w:tr w:rsidR="000B1836" w:rsidRPr="00C4043A" w14:paraId="581B5F3A" w14:textId="77777777" w:rsidTr="003B7B2C">
        <w:tc>
          <w:tcPr>
            <w:tcW w:w="9176" w:type="dxa"/>
          </w:tcPr>
          <w:p w14:paraId="5ACBD0F0" w14:textId="77777777" w:rsidR="000B1836" w:rsidRPr="00C4043A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C4043A">
              <w:rPr>
                <w:rFonts w:ascii="Palatino Linotype" w:eastAsia="Calibri" w:hAnsi="Palatino Linotype" w:cs="Times New Roman"/>
                <w:b/>
              </w:rPr>
              <w:t xml:space="preserve">Kontakt na spracovateľa/súčinnosť </w:t>
            </w:r>
          </w:p>
        </w:tc>
      </w:tr>
      <w:tr w:rsidR="000B1836" w:rsidRPr="00C4043A" w14:paraId="702113DE" w14:textId="77777777" w:rsidTr="003B7B2C">
        <w:trPr>
          <w:trHeight w:val="586"/>
        </w:trPr>
        <w:tc>
          <w:tcPr>
            <w:tcW w:w="9176" w:type="dxa"/>
          </w:tcPr>
          <w:p w14:paraId="2D211E52" w14:textId="2382939C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i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Navrhovateľ spracoval návrh zákona v súčinnosti s odbornými tímami </w:t>
            </w:r>
            <w:r w:rsidR="0039779A" w:rsidRPr="00C4043A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Kresťanskodemokratického </w:t>
            </w:r>
            <w:r w:rsidRPr="00C4043A">
              <w:rPr>
                <w:rFonts w:ascii="Palatino Linotype" w:eastAsia="Times New Roman" w:hAnsi="Palatino Linotype" w:cs="Times New Roman"/>
                <w:iCs/>
                <w:lang w:eastAsia="sk-SK"/>
              </w:rPr>
              <w:t>hnutia.</w:t>
            </w: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 xml:space="preserve">               </w:t>
            </w:r>
          </w:p>
          <w:p w14:paraId="6A94F8FE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i/>
                <w:lang w:eastAsia="sk-SK"/>
              </w:rPr>
            </w:pPr>
          </w:p>
        </w:tc>
      </w:tr>
      <w:tr w:rsidR="000B1836" w:rsidRPr="00C4043A" w14:paraId="7A21A6CD" w14:textId="77777777" w:rsidTr="003B7B2C">
        <w:tc>
          <w:tcPr>
            <w:tcW w:w="9176" w:type="dxa"/>
          </w:tcPr>
          <w:p w14:paraId="4004258F" w14:textId="77777777" w:rsidR="000B1836" w:rsidRPr="00C4043A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C4043A">
              <w:rPr>
                <w:rFonts w:ascii="Palatino Linotype" w:eastAsia="Calibri" w:hAnsi="Palatino Linotype" w:cs="Times New Roman"/>
                <w:b/>
              </w:rPr>
              <w:t>Stanovisko gestorov</w:t>
            </w:r>
          </w:p>
        </w:tc>
      </w:tr>
      <w:tr w:rsidR="000B1836" w:rsidRPr="00C4043A" w14:paraId="180C5F1C" w14:textId="77777777" w:rsidTr="003B7B2C">
        <w:trPr>
          <w:trHeight w:val="401"/>
        </w:trPr>
        <w:tc>
          <w:tcPr>
            <w:tcW w:w="9176" w:type="dxa"/>
          </w:tcPr>
          <w:p w14:paraId="78090E17" w14:textId="52C705FB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i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i/>
                <w:lang w:eastAsia="sk-SK"/>
              </w:rPr>
              <w:t>Stanovisko Ministerstva financií SR</w:t>
            </w: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 xml:space="preserve">                                                      </w:t>
            </w:r>
            <w:sdt>
              <w:sdtPr>
                <w:rPr>
                  <w:rFonts w:ascii="Palatino Linotype" w:eastAsia="Times New Roman" w:hAnsi="Palatino Linotype" w:cs="Times New Roman"/>
                  <w:b/>
                </w:rPr>
                <w:id w:val="-16820389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☒</w:t>
                </w:r>
              </w:sdtContent>
            </w:sdt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 xml:space="preserve">     vyžiadané   </w:t>
            </w:r>
            <w:sdt>
              <w:sdtPr>
                <w:rPr>
                  <w:rFonts w:ascii="Palatino Linotype" w:eastAsia="Times New Roman" w:hAnsi="Palatino Linotype" w:cs="Times New Roman"/>
                  <w:b/>
                </w:rPr>
                <w:id w:val="28424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sdtContent>
            </w:sdt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 xml:space="preserve">  priložené</w:t>
            </w:r>
          </w:p>
          <w:p w14:paraId="1EAE68ED" w14:textId="257AEA5F" w:rsidR="000B1836" w:rsidRPr="00C4043A" w:rsidRDefault="000B1836" w:rsidP="009276D9">
            <w:pPr>
              <w:jc w:val="both"/>
              <w:rPr>
                <w:rFonts w:ascii="Palatino Linotype" w:eastAsia="Times New Roman" w:hAnsi="Palatino Linotype" w:cs="Times New Roman"/>
                <w:i/>
                <w:lang w:eastAsia="sk-SK"/>
              </w:rPr>
            </w:pPr>
            <w:r w:rsidRPr="00C4043A">
              <w:rPr>
                <w:rFonts w:ascii="Palatino Linotype" w:eastAsia="Times New Roman" w:hAnsi="Palatino Linotype" w:cs="Times New Roman"/>
                <w:i/>
                <w:lang w:eastAsia="sk-SK"/>
              </w:rPr>
              <w:t xml:space="preserve">Stanovisko Ministerstva hospodárstva SR                                         </w:t>
            </w:r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 xml:space="preserve">       </w:t>
            </w:r>
            <w:sdt>
              <w:sdtPr>
                <w:rPr>
                  <w:rFonts w:ascii="Palatino Linotype" w:eastAsia="Times New Roman" w:hAnsi="Palatino Linotype" w:cs="Times New Roman"/>
                  <w:b/>
                </w:rPr>
                <w:id w:val="135926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☒</w:t>
                </w:r>
              </w:sdtContent>
            </w:sdt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 xml:space="preserve">     vyžiadané  </w:t>
            </w:r>
            <w:sdt>
              <w:sdtPr>
                <w:rPr>
                  <w:rFonts w:ascii="Palatino Linotype" w:eastAsia="Times New Roman" w:hAnsi="Palatino Linotype" w:cs="Times New Roman"/>
                  <w:b/>
                </w:rPr>
                <w:id w:val="-207619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043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sdtContent>
            </w:sdt>
            <w:r w:rsidRPr="00C4043A">
              <w:rPr>
                <w:rFonts w:ascii="Palatino Linotype" w:eastAsia="Times New Roman" w:hAnsi="Palatino Linotype" w:cs="Times New Roman"/>
                <w:b/>
                <w:lang w:eastAsia="sk-SK"/>
              </w:rPr>
              <w:t xml:space="preserve">  priložené</w:t>
            </w:r>
          </w:p>
          <w:p w14:paraId="23FC105C" w14:textId="77777777" w:rsidR="000B1836" w:rsidRPr="00C4043A" w:rsidRDefault="000B1836" w:rsidP="003B7B2C">
            <w:pPr>
              <w:rPr>
                <w:rFonts w:ascii="Palatino Linotype" w:eastAsia="Times New Roman" w:hAnsi="Palatino Linotype" w:cs="Times New Roman"/>
                <w:bCs/>
                <w:i/>
                <w:iCs/>
                <w:lang w:eastAsia="sk-SK"/>
              </w:rPr>
            </w:pPr>
          </w:p>
        </w:tc>
      </w:tr>
    </w:tbl>
    <w:p w14:paraId="4AF09A6C" w14:textId="77777777" w:rsidR="000B1836" w:rsidRPr="00B14A4C" w:rsidRDefault="000B1836" w:rsidP="003B2158">
      <w:pPr>
        <w:rPr>
          <w:rFonts w:ascii="Book Antiqua" w:hAnsi="Book Antiqua" w:cs="Book Antiqua"/>
          <w:b/>
          <w:bCs/>
          <w:caps/>
          <w:spacing w:val="30"/>
        </w:rPr>
      </w:pPr>
    </w:p>
    <w:sectPr w:rsidR="000B1836" w:rsidRPr="00B14A4C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58CD7" w14:textId="77777777" w:rsidR="005755B2" w:rsidRDefault="005755B2" w:rsidP="00C97949">
      <w:pPr>
        <w:spacing w:after="0" w:line="240" w:lineRule="auto"/>
      </w:pPr>
      <w:r>
        <w:separator/>
      </w:r>
    </w:p>
  </w:endnote>
  <w:endnote w:type="continuationSeparator" w:id="0">
    <w:p w14:paraId="468C8899" w14:textId="77777777" w:rsidR="005755B2" w:rsidRDefault="005755B2" w:rsidP="00C97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0924427"/>
      <w:docPartObj>
        <w:docPartGallery w:val="Page Numbers (Bottom of Page)"/>
        <w:docPartUnique/>
      </w:docPartObj>
    </w:sdtPr>
    <w:sdtEndPr/>
    <w:sdtContent>
      <w:p w14:paraId="494A51FA" w14:textId="79FF23BC" w:rsidR="00C97949" w:rsidRDefault="00C9794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753">
          <w:rPr>
            <w:noProof/>
          </w:rPr>
          <w:t>3</w:t>
        </w:r>
        <w:r>
          <w:fldChar w:fldCharType="end"/>
        </w:r>
      </w:p>
    </w:sdtContent>
  </w:sdt>
  <w:p w14:paraId="4074F35F" w14:textId="77777777" w:rsidR="00C97949" w:rsidRDefault="00C979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F795B" w14:textId="77777777" w:rsidR="005755B2" w:rsidRDefault="005755B2" w:rsidP="00C97949">
      <w:pPr>
        <w:spacing w:after="0" w:line="240" w:lineRule="auto"/>
      </w:pPr>
      <w:r>
        <w:separator/>
      </w:r>
    </w:p>
  </w:footnote>
  <w:footnote w:type="continuationSeparator" w:id="0">
    <w:p w14:paraId="3064BCE1" w14:textId="77777777" w:rsidR="005755B2" w:rsidRDefault="005755B2" w:rsidP="00C97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123241"/>
    <w:multiLevelType w:val="hybridMultilevel"/>
    <w:tmpl w:val="6E9852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317CE"/>
    <w:multiLevelType w:val="hybridMultilevel"/>
    <w:tmpl w:val="8108A6E6"/>
    <w:lvl w:ilvl="0" w:tplc="F322E64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E125289"/>
    <w:multiLevelType w:val="hybridMultilevel"/>
    <w:tmpl w:val="3E78E55E"/>
    <w:lvl w:ilvl="0" w:tplc="766EBCD8">
      <w:start w:val="4"/>
      <w:numFmt w:val="decimal"/>
      <w:lvlText w:val="%1."/>
      <w:lvlJc w:val="left"/>
      <w:pPr>
        <w:ind w:left="420" w:hanging="360"/>
      </w:pPr>
      <w:rPr>
        <w:rFonts w:hint="default"/>
        <w:b/>
        <w:sz w:val="25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E185E32"/>
    <w:multiLevelType w:val="hybridMultilevel"/>
    <w:tmpl w:val="C05C3FCC"/>
    <w:lvl w:ilvl="0" w:tplc="29A06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3585780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2943116">
    <w:abstractNumId w:val="3"/>
  </w:num>
  <w:num w:numId="3" w16cid:durableId="426925890">
    <w:abstractNumId w:val="2"/>
  </w:num>
  <w:num w:numId="4" w16cid:durableId="2026786609">
    <w:abstractNumId w:val="4"/>
  </w:num>
  <w:num w:numId="5" w16cid:durableId="1429351393">
    <w:abstractNumId w:val="1"/>
  </w:num>
  <w:num w:numId="6" w16cid:durableId="9159379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510"/>
    <w:rsid w:val="00003D93"/>
    <w:rsid w:val="00011B96"/>
    <w:rsid w:val="00015936"/>
    <w:rsid w:val="00022EE4"/>
    <w:rsid w:val="00023FB8"/>
    <w:rsid w:val="000252FD"/>
    <w:rsid w:val="00032B0A"/>
    <w:rsid w:val="0004373E"/>
    <w:rsid w:val="00046726"/>
    <w:rsid w:val="00073ED5"/>
    <w:rsid w:val="000B1836"/>
    <w:rsid w:val="000C622B"/>
    <w:rsid w:val="000D0E98"/>
    <w:rsid w:val="000D7AAE"/>
    <w:rsid w:val="000E0BA2"/>
    <w:rsid w:val="00124B59"/>
    <w:rsid w:val="001338D5"/>
    <w:rsid w:val="00146DFF"/>
    <w:rsid w:val="00191F05"/>
    <w:rsid w:val="00195FF4"/>
    <w:rsid w:val="001A3650"/>
    <w:rsid w:val="001A762C"/>
    <w:rsid w:val="001B5702"/>
    <w:rsid w:val="001C585B"/>
    <w:rsid w:val="001C7D83"/>
    <w:rsid w:val="001D0220"/>
    <w:rsid w:val="001F02BF"/>
    <w:rsid w:val="00212ECE"/>
    <w:rsid w:val="002364F9"/>
    <w:rsid w:val="00236753"/>
    <w:rsid w:val="00255EB4"/>
    <w:rsid w:val="00263A5E"/>
    <w:rsid w:val="00314963"/>
    <w:rsid w:val="0032015D"/>
    <w:rsid w:val="00323127"/>
    <w:rsid w:val="00323776"/>
    <w:rsid w:val="00332D23"/>
    <w:rsid w:val="00334D0C"/>
    <w:rsid w:val="00360A1A"/>
    <w:rsid w:val="00381EC0"/>
    <w:rsid w:val="00386510"/>
    <w:rsid w:val="0038768A"/>
    <w:rsid w:val="0039779A"/>
    <w:rsid w:val="003B0237"/>
    <w:rsid w:val="003B07AE"/>
    <w:rsid w:val="003B2158"/>
    <w:rsid w:val="003B7BB5"/>
    <w:rsid w:val="003D3E6B"/>
    <w:rsid w:val="003E603C"/>
    <w:rsid w:val="00404AB4"/>
    <w:rsid w:val="004064CE"/>
    <w:rsid w:val="00417A49"/>
    <w:rsid w:val="00430AB9"/>
    <w:rsid w:val="00441CC9"/>
    <w:rsid w:val="004777CE"/>
    <w:rsid w:val="00491E60"/>
    <w:rsid w:val="00494300"/>
    <w:rsid w:val="00495A08"/>
    <w:rsid w:val="004B2AC7"/>
    <w:rsid w:val="004C0058"/>
    <w:rsid w:val="004D4247"/>
    <w:rsid w:val="004E0F11"/>
    <w:rsid w:val="004E491F"/>
    <w:rsid w:val="00511344"/>
    <w:rsid w:val="00517DFD"/>
    <w:rsid w:val="0057550C"/>
    <w:rsid w:val="005755B2"/>
    <w:rsid w:val="005E365D"/>
    <w:rsid w:val="005F0011"/>
    <w:rsid w:val="005F5C4B"/>
    <w:rsid w:val="005F6371"/>
    <w:rsid w:val="00623F5E"/>
    <w:rsid w:val="00632E26"/>
    <w:rsid w:val="006539EC"/>
    <w:rsid w:val="006540D6"/>
    <w:rsid w:val="006606D3"/>
    <w:rsid w:val="00662B02"/>
    <w:rsid w:val="006833D9"/>
    <w:rsid w:val="00687DAD"/>
    <w:rsid w:val="0069020B"/>
    <w:rsid w:val="006B5026"/>
    <w:rsid w:val="006D1C1F"/>
    <w:rsid w:val="006E1586"/>
    <w:rsid w:val="006F2637"/>
    <w:rsid w:val="006F7B9F"/>
    <w:rsid w:val="00722FF7"/>
    <w:rsid w:val="007253B8"/>
    <w:rsid w:val="007838BE"/>
    <w:rsid w:val="007D4164"/>
    <w:rsid w:val="008003F2"/>
    <w:rsid w:val="00802C5B"/>
    <w:rsid w:val="00802D3B"/>
    <w:rsid w:val="008153C3"/>
    <w:rsid w:val="00824413"/>
    <w:rsid w:val="008279A2"/>
    <w:rsid w:val="00840629"/>
    <w:rsid w:val="00843B6B"/>
    <w:rsid w:val="00844FFC"/>
    <w:rsid w:val="00861111"/>
    <w:rsid w:val="00872C88"/>
    <w:rsid w:val="008736B2"/>
    <w:rsid w:val="008756DD"/>
    <w:rsid w:val="008876B4"/>
    <w:rsid w:val="008A514F"/>
    <w:rsid w:val="008B1E22"/>
    <w:rsid w:val="008C18CD"/>
    <w:rsid w:val="00911A32"/>
    <w:rsid w:val="0092111D"/>
    <w:rsid w:val="00922152"/>
    <w:rsid w:val="009276D9"/>
    <w:rsid w:val="009301E4"/>
    <w:rsid w:val="0093231F"/>
    <w:rsid w:val="00962AEC"/>
    <w:rsid w:val="00964F40"/>
    <w:rsid w:val="00983F2C"/>
    <w:rsid w:val="0099219C"/>
    <w:rsid w:val="00993083"/>
    <w:rsid w:val="009A375B"/>
    <w:rsid w:val="009B0D93"/>
    <w:rsid w:val="009B13A4"/>
    <w:rsid w:val="009D60D8"/>
    <w:rsid w:val="00A10234"/>
    <w:rsid w:val="00A11232"/>
    <w:rsid w:val="00A12E27"/>
    <w:rsid w:val="00A51A9F"/>
    <w:rsid w:val="00A75AE5"/>
    <w:rsid w:val="00A76493"/>
    <w:rsid w:val="00A77F33"/>
    <w:rsid w:val="00A94421"/>
    <w:rsid w:val="00AB1268"/>
    <w:rsid w:val="00AE0A03"/>
    <w:rsid w:val="00AE1574"/>
    <w:rsid w:val="00AF0B6F"/>
    <w:rsid w:val="00B14A4C"/>
    <w:rsid w:val="00B16A7A"/>
    <w:rsid w:val="00B16F89"/>
    <w:rsid w:val="00B318A6"/>
    <w:rsid w:val="00B359B8"/>
    <w:rsid w:val="00B576F5"/>
    <w:rsid w:val="00B63A0B"/>
    <w:rsid w:val="00B72EF1"/>
    <w:rsid w:val="00B76A1E"/>
    <w:rsid w:val="00BA0A65"/>
    <w:rsid w:val="00BB6162"/>
    <w:rsid w:val="00BB6AD9"/>
    <w:rsid w:val="00BC4D1D"/>
    <w:rsid w:val="00BF73EB"/>
    <w:rsid w:val="00C02CF5"/>
    <w:rsid w:val="00C1796F"/>
    <w:rsid w:val="00C22FB5"/>
    <w:rsid w:val="00C27E0B"/>
    <w:rsid w:val="00C30334"/>
    <w:rsid w:val="00C4043A"/>
    <w:rsid w:val="00C41E3D"/>
    <w:rsid w:val="00C45583"/>
    <w:rsid w:val="00C50256"/>
    <w:rsid w:val="00C71033"/>
    <w:rsid w:val="00C73239"/>
    <w:rsid w:val="00C82282"/>
    <w:rsid w:val="00C95AD7"/>
    <w:rsid w:val="00C97949"/>
    <w:rsid w:val="00CA1C34"/>
    <w:rsid w:val="00CB050B"/>
    <w:rsid w:val="00CC08C0"/>
    <w:rsid w:val="00CC77C3"/>
    <w:rsid w:val="00D04475"/>
    <w:rsid w:val="00D12CA7"/>
    <w:rsid w:val="00D311BE"/>
    <w:rsid w:val="00D53140"/>
    <w:rsid w:val="00D6657D"/>
    <w:rsid w:val="00D753D0"/>
    <w:rsid w:val="00D77E2C"/>
    <w:rsid w:val="00DA7765"/>
    <w:rsid w:val="00DE0EE4"/>
    <w:rsid w:val="00DF0474"/>
    <w:rsid w:val="00DF0CE7"/>
    <w:rsid w:val="00DF1BCB"/>
    <w:rsid w:val="00DF2B12"/>
    <w:rsid w:val="00E01463"/>
    <w:rsid w:val="00E01592"/>
    <w:rsid w:val="00E04FD2"/>
    <w:rsid w:val="00E064DE"/>
    <w:rsid w:val="00E22E81"/>
    <w:rsid w:val="00E27B2F"/>
    <w:rsid w:val="00E36DE4"/>
    <w:rsid w:val="00E4327A"/>
    <w:rsid w:val="00E441FF"/>
    <w:rsid w:val="00E579F6"/>
    <w:rsid w:val="00E74B8A"/>
    <w:rsid w:val="00E76879"/>
    <w:rsid w:val="00EB20F0"/>
    <w:rsid w:val="00EB5866"/>
    <w:rsid w:val="00ED6DB9"/>
    <w:rsid w:val="00EE4BF0"/>
    <w:rsid w:val="00EF0792"/>
    <w:rsid w:val="00F069B1"/>
    <w:rsid w:val="00F1346C"/>
    <w:rsid w:val="00F5232F"/>
    <w:rsid w:val="00F6079B"/>
    <w:rsid w:val="00F63406"/>
    <w:rsid w:val="00F70678"/>
    <w:rsid w:val="00F71E63"/>
    <w:rsid w:val="00F77280"/>
    <w:rsid w:val="00F82401"/>
    <w:rsid w:val="00F84F84"/>
    <w:rsid w:val="00F87FA8"/>
    <w:rsid w:val="00F95639"/>
    <w:rsid w:val="00FB4833"/>
    <w:rsid w:val="00FD059A"/>
    <w:rsid w:val="00FE1125"/>
    <w:rsid w:val="00FE700D"/>
    <w:rsid w:val="00FF62EE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64BF"/>
  <w15:docId w15:val="{4FFF2162-3D57-4EAD-A795-34C02131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Hlavika">
    <w:name w:val="header"/>
    <w:basedOn w:val="Normlny"/>
    <w:link w:val="HlavikaChar"/>
    <w:uiPriority w:val="99"/>
    <w:unhideWhenUsed/>
    <w:rsid w:val="00C67808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HlavikaChar">
    <w:name w:val="Hlavička Char"/>
    <w:basedOn w:val="Predvolenpsmoodseku"/>
    <w:link w:val="Hlavika"/>
    <w:uiPriority w:val="99"/>
    <w:rsid w:val="00C67808"/>
    <w:rPr>
      <w:rFonts w:ascii="Calibri" w:eastAsia="Times New Roman" w:hAnsi="Calibri" w:cs="Times New Roman"/>
      <w:lang w:eastAsia="sk-SK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ywebov">
    <w:name w:val="Normal (Web)"/>
    <w:aliases w:val="webb"/>
    <w:basedOn w:val="Normlny"/>
    <w:uiPriority w:val="99"/>
    <w:unhideWhenUsed/>
    <w:qFormat/>
    <w:rsid w:val="003B215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lnywebov1">
    <w:name w:val="Normálny (webový)1"/>
    <w:basedOn w:val="Normlny"/>
    <w:qFormat/>
    <w:rsid w:val="003B215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Vchodzie">
    <w:name w:val="Vchodzie"/>
    <w:qFormat/>
    <w:rsid w:val="003B215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awspan">
    <w:name w:val="awspan"/>
    <w:basedOn w:val="Predvolenpsmoodseku"/>
    <w:rsid w:val="003B2158"/>
  </w:style>
  <w:style w:type="paragraph" w:styleId="Odsekzoznamu">
    <w:name w:val="List Paragraph"/>
    <w:basedOn w:val="Normlny"/>
    <w:uiPriority w:val="34"/>
    <w:qFormat/>
    <w:rsid w:val="0038768A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C97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97949"/>
  </w:style>
  <w:style w:type="character" w:styleId="Hypertextovprepojenie">
    <w:name w:val="Hyperlink"/>
    <w:basedOn w:val="Predvolenpsmoodseku"/>
    <w:uiPriority w:val="99"/>
    <w:semiHidden/>
    <w:unhideWhenUsed/>
    <w:rsid w:val="00B14A4C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AE0A03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0B183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0B1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43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327A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FF7EF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F7EF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F7EF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F7EF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F7E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2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1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2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4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3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662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787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1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4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3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2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4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2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21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9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0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3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0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2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4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3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31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0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7364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92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1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4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2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3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9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R2MAsypaoLD2dF1kMSo3aTt8tA==">AMUW2mV8T3UPxzVR1QV+g4ZGakYPVT7Uv8OtXQmV3WB/58sxqgc9Os9KOwfO+vKkM2fMK3FPBOyZWDtNAUfIFSrSgMPOGPfJ3W1PDQqMA9VcBdq696HeipM=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1407</Words>
  <Characters>8025</Characters>
  <Application>Microsoft Office Word</Application>
  <DocSecurity>0</DocSecurity>
  <Lines>66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Kožár</dc:creator>
  <cp:lastModifiedBy>Jozef Humensky</cp:lastModifiedBy>
  <cp:revision>9</cp:revision>
  <cp:lastPrinted>2024-01-10T13:55:00Z</cp:lastPrinted>
  <dcterms:created xsi:type="dcterms:W3CDTF">2026-03-26T23:10:00Z</dcterms:created>
  <dcterms:modified xsi:type="dcterms:W3CDTF">2026-03-30T10:08:00Z</dcterms:modified>
</cp:coreProperties>
</file>