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1916" w14:textId="77777777" w:rsidR="00A3273A" w:rsidRPr="00A929B7" w:rsidRDefault="00A3273A" w:rsidP="00A3273A">
      <w:pPr>
        <w:spacing w:line="276" w:lineRule="auto"/>
        <w:jc w:val="center"/>
        <w:rPr>
          <w:b/>
          <w:spacing w:val="30"/>
        </w:rPr>
      </w:pPr>
      <w:r w:rsidRPr="00A929B7">
        <w:rPr>
          <w:b/>
          <w:spacing w:val="30"/>
        </w:rPr>
        <w:t>DÔVODOVÁ SPRÁVA</w:t>
      </w:r>
    </w:p>
    <w:p w14:paraId="09A73D62" w14:textId="77777777" w:rsidR="00A3273A" w:rsidRPr="00A929B7" w:rsidRDefault="00A3273A" w:rsidP="00A3273A">
      <w:pPr>
        <w:spacing w:line="276" w:lineRule="auto"/>
        <w:ind w:firstLine="709"/>
        <w:jc w:val="both"/>
        <w:rPr>
          <w:b/>
        </w:rPr>
      </w:pPr>
    </w:p>
    <w:p w14:paraId="6FEA8AA7" w14:textId="77777777" w:rsidR="00A3273A" w:rsidRPr="00A929B7" w:rsidRDefault="00A3273A" w:rsidP="00A3273A">
      <w:pPr>
        <w:spacing w:line="276" w:lineRule="auto"/>
        <w:jc w:val="both"/>
        <w:rPr>
          <w:b/>
        </w:rPr>
      </w:pPr>
      <w:r>
        <w:rPr>
          <w:b/>
        </w:rPr>
        <w:t>A. Všeobecná časť</w:t>
      </w:r>
    </w:p>
    <w:p w14:paraId="13D60F66" w14:textId="77777777" w:rsidR="00A3273A" w:rsidRDefault="00A3273A" w:rsidP="00A3273A">
      <w:pPr>
        <w:spacing w:line="276" w:lineRule="auto"/>
        <w:ind w:firstLine="708"/>
        <w:jc w:val="both"/>
      </w:pPr>
    </w:p>
    <w:p w14:paraId="161970BB" w14:textId="77777777" w:rsidR="00A3273A" w:rsidRPr="00882F3C" w:rsidRDefault="00A3273A" w:rsidP="00A3273A">
      <w:pPr>
        <w:spacing w:line="276" w:lineRule="auto"/>
        <w:ind w:firstLine="708"/>
        <w:jc w:val="both"/>
      </w:pPr>
      <w:r w:rsidRPr="00333B5E">
        <w:t xml:space="preserve">Na rokovanie Národnej rady Slovenskej republiky sa predkladá návrh </w:t>
      </w:r>
      <w:r w:rsidRPr="00333B5E">
        <w:rPr>
          <w:rStyle w:val="awspan"/>
          <w:rFonts w:eastAsiaTheme="majorEastAsia"/>
        </w:rPr>
        <w:t>poslancov</w:t>
      </w:r>
      <w:r w:rsidRPr="00333B5E">
        <w:rPr>
          <w:rStyle w:val="awspan"/>
          <w:rFonts w:eastAsiaTheme="majorEastAsia"/>
          <w:spacing w:val="36"/>
        </w:rPr>
        <w:t xml:space="preserve"> </w:t>
      </w:r>
      <w:r w:rsidRPr="00333B5E">
        <w:rPr>
          <w:rStyle w:val="awspan"/>
          <w:rFonts w:eastAsiaTheme="majorEastAsia"/>
        </w:rPr>
        <w:t>Národnej</w:t>
      </w:r>
      <w:r w:rsidRPr="00333B5E">
        <w:rPr>
          <w:rStyle w:val="awspan"/>
          <w:rFonts w:eastAsiaTheme="majorEastAsia"/>
          <w:spacing w:val="36"/>
        </w:rPr>
        <w:t xml:space="preserve"> </w:t>
      </w:r>
      <w:r w:rsidRPr="00333B5E">
        <w:rPr>
          <w:rStyle w:val="awspan"/>
          <w:rFonts w:eastAsiaTheme="majorEastAsia"/>
        </w:rPr>
        <w:t>rady</w:t>
      </w:r>
      <w:r w:rsidRPr="00333B5E">
        <w:rPr>
          <w:rStyle w:val="awspan"/>
          <w:rFonts w:eastAsiaTheme="majorEastAsia"/>
          <w:spacing w:val="36"/>
        </w:rPr>
        <w:t xml:space="preserve"> </w:t>
      </w:r>
      <w:r w:rsidRPr="00333B5E">
        <w:rPr>
          <w:rStyle w:val="awspan"/>
          <w:rFonts w:eastAsiaTheme="majorEastAsia"/>
        </w:rPr>
        <w:t>Slovenskej</w:t>
      </w:r>
      <w:r w:rsidRPr="00333B5E">
        <w:rPr>
          <w:rStyle w:val="awspan"/>
          <w:rFonts w:eastAsiaTheme="majorEastAsia"/>
          <w:spacing w:val="36"/>
        </w:rPr>
        <w:t xml:space="preserve"> </w:t>
      </w:r>
      <w:r w:rsidRPr="00333B5E">
        <w:rPr>
          <w:rStyle w:val="awspan"/>
          <w:rFonts w:eastAsiaTheme="majorEastAsia"/>
        </w:rPr>
        <w:t xml:space="preserve">republiky </w:t>
      </w:r>
      <w:r>
        <w:rPr>
          <w:rStyle w:val="awspan"/>
          <w:rFonts w:eastAsiaTheme="majorEastAsia"/>
        </w:rPr>
        <w:t xml:space="preserve">Milana </w:t>
      </w:r>
      <w:proofErr w:type="spellStart"/>
      <w:r>
        <w:rPr>
          <w:rStyle w:val="awspan"/>
          <w:rFonts w:eastAsiaTheme="majorEastAsia"/>
        </w:rPr>
        <w:t>Garaja</w:t>
      </w:r>
      <w:proofErr w:type="spellEnd"/>
      <w:r>
        <w:rPr>
          <w:rStyle w:val="awspan"/>
          <w:rFonts w:eastAsiaTheme="majorEastAsia"/>
        </w:rPr>
        <w:t xml:space="preserve">, </w:t>
      </w:r>
      <w:r w:rsidRPr="00333B5E">
        <w:rPr>
          <w:rStyle w:val="awspan"/>
          <w:rFonts w:eastAsiaTheme="majorEastAsia"/>
        </w:rPr>
        <w:t>Dagmar Kramplovej, Andreja Danka a</w:t>
      </w:r>
      <w:r>
        <w:rPr>
          <w:rStyle w:val="awspan"/>
          <w:rFonts w:eastAsiaTheme="majorEastAsia"/>
        </w:rPr>
        <w:t xml:space="preserve"> Adama </w:t>
      </w:r>
      <w:proofErr w:type="spellStart"/>
      <w:r>
        <w:rPr>
          <w:rStyle w:val="awspan"/>
          <w:rFonts w:eastAsiaTheme="majorEastAsia"/>
        </w:rPr>
        <w:t>Lučanského</w:t>
      </w:r>
      <w:proofErr w:type="spellEnd"/>
      <w:r w:rsidRPr="00333B5E">
        <w:rPr>
          <w:rStyle w:val="awspan"/>
          <w:rFonts w:eastAsiaTheme="majorEastAsia"/>
        </w:rPr>
        <w:t xml:space="preserve"> </w:t>
      </w:r>
      <w:r w:rsidRPr="00333B5E">
        <w:t xml:space="preserve">na vydanie zákona, </w:t>
      </w:r>
      <w:r w:rsidRPr="00DD57F4">
        <w:t xml:space="preserve">ktorým sa mení a dopĺňa </w:t>
      </w:r>
      <w:r>
        <w:t xml:space="preserve">zákon </w:t>
      </w:r>
      <w:r w:rsidRPr="00DD57F4">
        <w:t>č. 582/2004 Z. z. o miestnych daniach a miestnom poplatku za komunálne odpady a drobné stavebné odpady v znení neskorších predpisov</w:t>
      </w:r>
      <w:r>
        <w:t>.</w:t>
      </w:r>
    </w:p>
    <w:p w14:paraId="69068402" w14:textId="77777777" w:rsidR="00A3273A" w:rsidRDefault="00A3273A" w:rsidP="00A3273A">
      <w:pPr>
        <w:autoSpaceDE w:val="0"/>
        <w:spacing w:line="276" w:lineRule="auto"/>
        <w:ind w:firstLine="709"/>
        <w:jc w:val="both"/>
      </w:pPr>
      <w:r>
        <w:t>Návrh zákona nadväzuje na platnú právnu úpravu dane z nehnuteľností a spresňuje zákonné podmienky, za ktorých môže obec vo všeobecne záväznom nariadení určiť osobitnú ročnú sadzbu dane. Úprava sa týka stavieb podľa § 10 ods. 1 písm. h), ak sa v nich nachádza prevádzka s predajnou plochou presahujúcou 500 m</w:t>
      </w:r>
      <w:r w:rsidRPr="00A61BF9">
        <w:rPr>
          <w:vertAlign w:val="superscript"/>
        </w:rPr>
        <w:t>2</w:t>
      </w:r>
      <w:r>
        <w:t xml:space="preserve"> alebo ak súčet predajných plôch viacerých prevádzok v tej istej stavbe presahuje 1500 m</w:t>
      </w:r>
      <w:r w:rsidRPr="00A61BF9">
        <w:rPr>
          <w:vertAlign w:val="superscript"/>
        </w:rPr>
        <w:t>2</w:t>
      </w:r>
      <w:r>
        <w:t>, a nebytových priestorov v bytových domoch, ak ich predajná plocha presahuje 500 m</w:t>
      </w:r>
      <w:r w:rsidRPr="00A61BF9">
        <w:rPr>
          <w:vertAlign w:val="superscript"/>
        </w:rPr>
        <w:t>2</w:t>
      </w:r>
      <w:r>
        <w:t>. Návrh zákona zároveň dopĺňa údaje uvádzané v daňovom priznaní tak, aby správca dane mal zákonný podklad na posúdenie splnenia podmienok osobitnej sadzby.</w:t>
      </w:r>
    </w:p>
    <w:p w14:paraId="3A0324E8" w14:textId="77777777" w:rsidR="00A3273A" w:rsidRDefault="00A3273A" w:rsidP="00A3273A">
      <w:pPr>
        <w:autoSpaceDE w:val="0"/>
        <w:spacing w:line="276" w:lineRule="auto"/>
        <w:ind w:firstLine="709"/>
        <w:jc w:val="both"/>
      </w:pPr>
      <w:r>
        <w:t>Dôvodom predloženia návrhu zákona je, že platná právna úprava neobsahuje výslovné zákonné kritérium viazané na rozsah predajnej plochy a koncentráciu veľkoplošného maloobchodu. Obec síce môže diferencovať sadzby dane podľa miestnych podmienok, zákon však výslovne neupravuje osobitný sadzobný režim pre veľkoplošné maloobchodné priestory ani osobitný rozsah údajov potrebných na jeho uplatnenie. V dôsledku toho zostávajú v jednej sadzobnej kategórii nehnuteľnosti, ktoré sú z hľadiska rozsahu maloobchodnej činnosti vecne neporovnateľné, a pri vyrubení dane absentuje jednoznačný údajový základ na posúdenie, či sú splnené podmienky na osobitnú sadzbu.</w:t>
      </w:r>
    </w:p>
    <w:p w14:paraId="25ABAC81" w14:textId="77777777" w:rsidR="00A3273A" w:rsidRDefault="00A3273A" w:rsidP="00A3273A">
      <w:pPr>
        <w:autoSpaceDE w:val="0"/>
        <w:spacing w:line="276" w:lineRule="auto"/>
        <w:ind w:firstLine="709"/>
        <w:jc w:val="both"/>
      </w:pPr>
      <w:r>
        <w:t>Cieľom návrhu zákona je vytvoriť výslovný zákonný rámec na osobitné zohľadnenie veľkoplošného maloobchodu v rámci existujúcej úpravy dane zo stavieb a dane z bytov. Tomu zodpovedá vymedzenie prevádzky a predajnej plochy, určenie priestorov, ktoré sa do predajnej plochy nezahŕňajú, a úprava vzťahu novej osobitnej sadzby k doterajším pravidlám násobku sadzieb. Návrh zákona nemení predmet dane ani základnú systematiku zákona o miestnych daniach. Precizuje podmienky výkonu daňovej právomoci obce a posilňuje právnu istotu pri správe dane.</w:t>
      </w:r>
    </w:p>
    <w:p w14:paraId="46058AA2" w14:textId="77777777" w:rsidR="00A3273A" w:rsidRPr="00295912" w:rsidRDefault="00A3273A" w:rsidP="00A3273A">
      <w:pPr>
        <w:autoSpaceDE w:val="0"/>
        <w:spacing w:line="276" w:lineRule="auto"/>
        <w:ind w:firstLine="709"/>
        <w:jc w:val="both"/>
      </w:pPr>
      <w:r>
        <w:t xml:space="preserve">Návrh zákona má </w:t>
      </w:r>
      <w:r w:rsidRPr="00BF0E25">
        <w:t xml:space="preserve">pozitívny vplyv na rozpočet verejnej správy, a to z dôvodu </w:t>
      </w:r>
      <w:r w:rsidRPr="00295912">
        <w:t>vytvorenia zákonného rámca pre určenie osobitnej ročnej sadzby dane pri vybraných veľkoplošných maloobchodných prevádzkach, čo môže viesť k zvýšeniu príjmov rozpočtov obcí. Návrh zákona má zároveň negatívny vplyv na podnikateľské prostredie, keďže pri dotknutých subjektoch môže dôjsť k zvýšeniu daňového zaťaženia a zároveň sa rozširuje rozsah údajov uvádzaných v daňovom priznaní. Návrh zákona nemá sociálne vplyvy, vplyvy na životné prostredie, vplyvy na informatizáciu spoločnosti, vplyvy na služby verejnej správy pre občana ani vplyvy na manželstvo, rodičovstvo a rodinu.</w:t>
      </w:r>
    </w:p>
    <w:p w14:paraId="5DA4446A" w14:textId="77777777" w:rsidR="00A3273A" w:rsidRDefault="00A3273A" w:rsidP="00A3273A">
      <w:pPr>
        <w:pStyle w:val="Normlnywebov"/>
        <w:spacing w:before="0" w:beforeAutospacing="0" w:after="120" w:afterAutospacing="0" w:line="276" w:lineRule="auto"/>
        <w:ind w:firstLine="708"/>
        <w:jc w:val="both"/>
        <w:rPr>
          <w:b/>
        </w:rPr>
      </w:pPr>
      <w:r w:rsidRPr="00295912">
        <w:t xml:space="preserve">Návrh zákona je v súlade s Ústavou Slovenskej republiky, s ústavnými zákonmi, s nálezmi Ústavného súdu Slovenskej republiky, so zákonmi a ostatnými všeobecne záväznými právnymi predpismi, s medzinárodnými zmluvami a inými medzinárodnými dokumentmi, ktorými je Slovenská republika viazaná, a s právom Európskej únie. Navrhovaná účinnosť sa </w:t>
      </w:r>
      <w:r w:rsidRPr="00295912">
        <w:lastRenderedPageBreak/>
        <w:t xml:space="preserve">ustanovuje na 1. januára 2027 z dôvodu potreby primeranej </w:t>
      </w:r>
      <w:proofErr w:type="spellStart"/>
      <w:r w:rsidRPr="00295912">
        <w:t>legisvakancie</w:t>
      </w:r>
      <w:proofErr w:type="spellEnd"/>
      <w:r w:rsidRPr="00295912">
        <w:t>, potreby prijať alebo upraviť všeobecne záväzné nariadenia obcí pred začiatkom zdaňovacieho obdobia a potreby zabezpečiť, aby sa správcovia dane aj daňovníci mohli s novou úpravou oboznámiť a pripraviť na jej uplatňovanie v rámci ročného cyklu dane z nehnuteľností.</w:t>
      </w:r>
    </w:p>
    <w:p w14:paraId="01E16F01" w14:textId="77777777" w:rsidR="00A3273A" w:rsidRDefault="00A3273A" w:rsidP="00A3273A">
      <w:pPr>
        <w:pStyle w:val="Normlnywebov"/>
        <w:spacing w:before="0" w:beforeAutospacing="0" w:after="120" w:afterAutospacing="0" w:line="276" w:lineRule="auto"/>
        <w:jc w:val="both"/>
        <w:rPr>
          <w:b/>
        </w:rPr>
      </w:pPr>
    </w:p>
    <w:p w14:paraId="406C1A55" w14:textId="77777777" w:rsidR="00A3273A" w:rsidRDefault="00A3273A" w:rsidP="00A3273A">
      <w:pPr>
        <w:pStyle w:val="Normlnywebov"/>
        <w:spacing w:before="0" w:beforeAutospacing="0" w:after="120" w:afterAutospacing="0" w:line="276" w:lineRule="auto"/>
        <w:jc w:val="both"/>
        <w:rPr>
          <w:b/>
        </w:rPr>
      </w:pPr>
    </w:p>
    <w:p w14:paraId="0E3B05BA" w14:textId="77777777" w:rsidR="00A3273A" w:rsidRDefault="00A3273A" w:rsidP="00A3273A">
      <w:pPr>
        <w:pStyle w:val="Normlnywebov"/>
        <w:spacing w:before="0" w:beforeAutospacing="0" w:after="120" w:afterAutospacing="0" w:line="276" w:lineRule="auto"/>
        <w:jc w:val="both"/>
        <w:rPr>
          <w:b/>
        </w:rPr>
      </w:pPr>
    </w:p>
    <w:p w14:paraId="095768B2" w14:textId="77777777" w:rsidR="00A3273A" w:rsidRDefault="00A3273A" w:rsidP="00A3273A">
      <w:pPr>
        <w:pStyle w:val="Normlnywebov"/>
        <w:spacing w:before="0" w:beforeAutospacing="0" w:after="120" w:afterAutospacing="0" w:line="276" w:lineRule="auto"/>
        <w:jc w:val="both"/>
        <w:rPr>
          <w:b/>
        </w:rPr>
      </w:pPr>
    </w:p>
    <w:p w14:paraId="79582A03" w14:textId="77777777" w:rsidR="00A3273A" w:rsidRDefault="00A3273A" w:rsidP="00A3273A">
      <w:pPr>
        <w:pStyle w:val="Normlnywebov"/>
        <w:spacing w:before="0" w:beforeAutospacing="0" w:after="120" w:afterAutospacing="0" w:line="276" w:lineRule="auto"/>
        <w:jc w:val="both"/>
        <w:rPr>
          <w:b/>
        </w:rPr>
      </w:pPr>
    </w:p>
    <w:p w14:paraId="46509B84" w14:textId="77777777" w:rsidR="00A3273A" w:rsidRDefault="00A3273A" w:rsidP="00A3273A">
      <w:pPr>
        <w:pStyle w:val="Normlnywebov"/>
        <w:spacing w:before="0" w:beforeAutospacing="0" w:after="120" w:afterAutospacing="0" w:line="276" w:lineRule="auto"/>
        <w:jc w:val="both"/>
        <w:rPr>
          <w:b/>
        </w:rPr>
      </w:pPr>
    </w:p>
    <w:p w14:paraId="1D6AFC7C" w14:textId="77777777" w:rsidR="00A3273A" w:rsidRDefault="00A3273A" w:rsidP="00A3273A">
      <w:pPr>
        <w:pStyle w:val="Normlnywebov"/>
        <w:spacing w:before="0" w:beforeAutospacing="0" w:after="120" w:afterAutospacing="0" w:line="276" w:lineRule="auto"/>
        <w:jc w:val="both"/>
        <w:rPr>
          <w:b/>
        </w:rPr>
      </w:pPr>
    </w:p>
    <w:p w14:paraId="2C64D93F" w14:textId="77777777" w:rsidR="00A3273A" w:rsidRDefault="00A3273A" w:rsidP="00A3273A">
      <w:pPr>
        <w:pStyle w:val="Normlnywebov"/>
        <w:spacing w:before="0" w:beforeAutospacing="0" w:after="120" w:afterAutospacing="0" w:line="276" w:lineRule="auto"/>
        <w:jc w:val="both"/>
        <w:rPr>
          <w:b/>
        </w:rPr>
      </w:pPr>
    </w:p>
    <w:p w14:paraId="33EF0234" w14:textId="77777777" w:rsidR="00A3273A" w:rsidRDefault="00A3273A" w:rsidP="00A3273A">
      <w:pPr>
        <w:pStyle w:val="Normlnywebov"/>
        <w:spacing w:before="0" w:beforeAutospacing="0" w:after="120" w:afterAutospacing="0" w:line="276" w:lineRule="auto"/>
        <w:jc w:val="both"/>
        <w:rPr>
          <w:b/>
        </w:rPr>
      </w:pPr>
    </w:p>
    <w:p w14:paraId="73346732" w14:textId="77777777" w:rsidR="00A3273A" w:rsidRDefault="00A3273A" w:rsidP="00A3273A">
      <w:pPr>
        <w:pStyle w:val="Normlnywebov"/>
        <w:spacing w:before="0" w:beforeAutospacing="0" w:after="120" w:afterAutospacing="0" w:line="276" w:lineRule="auto"/>
        <w:jc w:val="both"/>
        <w:rPr>
          <w:b/>
        </w:rPr>
      </w:pPr>
    </w:p>
    <w:p w14:paraId="3C67CEFE" w14:textId="77777777" w:rsidR="00A3273A" w:rsidRDefault="00A3273A" w:rsidP="00A3273A">
      <w:pPr>
        <w:pStyle w:val="Normlnywebov"/>
        <w:spacing w:before="0" w:beforeAutospacing="0" w:after="120" w:afterAutospacing="0" w:line="276" w:lineRule="auto"/>
        <w:jc w:val="both"/>
        <w:rPr>
          <w:b/>
        </w:rPr>
      </w:pPr>
    </w:p>
    <w:p w14:paraId="757CBA6A" w14:textId="77777777" w:rsidR="00A3273A" w:rsidRDefault="00A3273A" w:rsidP="00A3273A">
      <w:pPr>
        <w:pStyle w:val="Normlnywebov"/>
        <w:spacing w:before="0" w:beforeAutospacing="0" w:after="120" w:afterAutospacing="0" w:line="276" w:lineRule="auto"/>
        <w:jc w:val="both"/>
        <w:rPr>
          <w:b/>
        </w:rPr>
      </w:pPr>
    </w:p>
    <w:p w14:paraId="4D087409" w14:textId="77777777" w:rsidR="00A3273A" w:rsidRDefault="00A3273A" w:rsidP="00A3273A">
      <w:pPr>
        <w:pStyle w:val="Normlnywebov"/>
        <w:spacing w:before="0" w:beforeAutospacing="0" w:after="120" w:afterAutospacing="0" w:line="276" w:lineRule="auto"/>
        <w:jc w:val="both"/>
        <w:rPr>
          <w:b/>
        </w:rPr>
      </w:pPr>
    </w:p>
    <w:p w14:paraId="58585D1A" w14:textId="77777777" w:rsidR="00A3273A" w:rsidRDefault="00A3273A" w:rsidP="00A3273A">
      <w:pPr>
        <w:pStyle w:val="Normlnywebov"/>
        <w:spacing w:before="0" w:beforeAutospacing="0" w:after="120" w:afterAutospacing="0" w:line="276" w:lineRule="auto"/>
        <w:jc w:val="both"/>
        <w:rPr>
          <w:b/>
        </w:rPr>
      </w:pPr>
    </w:p>
    <w:p w14:paraId="50F8947F" w14:textId="77777777" w:rsidR="00A3273A" w:rsidRDefault="00A3273A" w:rsidP="00A3273A">
      <w:pPr>
        <w:pStyle w:val="Normlnywebov"/>
        <w:spacing w:before="0" w:beforeAutospacing="0" w:after="120" w:afterAutospacing="0" w:line="276" w:lineRule="auto"/>
        <w:jc w:val="both"/>
        <w:rPr>
          <w:b/>
        </w:rPr>
      </w:pPr>
    </w:p>
    <w:p w14:paraId="6B65B51C" w14:textId="77777777" w:rsidR="00A3273A" w:rsidRDefault="00A3273A" w:rsidP="00A3273A">
      <w:pPr>
        <w:pStyle w:val="Normlnywebov"/>
        <w:spacing w:before="0" w:beforeAutospacing="0" w:after="120" w:afterAutospacing="0" w:line="276" w:lineRule="auto"/>
        <w:jc w:val="both"/>
        <w:rPr>
          <w:b/>
        </w:rPr>
      </w:pPr>
    </w:p>
    <w:p w14:paraId="37E1DF5F" w14:textId="77777777" w:rsidR="00A3273A" w:rsidRDefault="00A3273A" w:rsidP="00A3273A">
      <w:pPr>
        <w:pStyle w:val="Normlnywebov"/>
        <w:spacing w:before="0" w:beforeAutospacing="0" w:after="120" w:afterAutospacing="0" w:line="276" w:lineRule="auto"/>
        <w:jc w:val="both"/>
        <w:rPr>
          <w:b/>
        </w:rPr>
      </w:pPr>
    </w:p>
    <w:p w14:paraId="6F42FE13" w14:textId="77777777" w:rsidR="00A3273A" w:rsidRDefault="00A3273A" w:rsidP="00A3273A">
      <w:pPr>
        <w:pStyle w:val="Normlnywebov"/>
        <w:spacing w:before="0" w:beforeAutospacing="0" w:after="120" w:afterAutospacing="0" w:line="276" w:lineRule="auto"/>
        <w:jc w:val="both"/>
        <w:rPr>
          <w:b/>
        </w:rPr>
      </w:pPr>
    </w:p>
    <w:p w14:paraId="781A1270" w14:textId="77777777" w:rsidR="00A3273A" w:rsidRDefault="00A3273A" w:rsidP="00A3273A">
      <w:pPr>
        <w:pStyle w:val="Normlnywebov"/>
        <w:spacing w:before="0" w:beforeAutospacing="0" w:after="120" w:afterAutospacing="0" w:line="276" w:lineRule="auto"/>
        <w:jc w:val="both"/>
        <w:rPr>
          <w:b/>
        </w:rPr>
      </w:pPr>
    </w:p>
    <w:p w14:paraId="1B42567D" w14:textId="77777777" w:rsidR="00A3273A" w:rsidRDefault="00A3273A" w:rsidP="00A3273A">
      <w:pPr>
        <w:pStyle w:val="Normlnywebov"/>
        <w:spacing w:before="0" w:beforeAutospacing="0" w:after="120" w:afterAutospacing="0" w:line="276" w:lineRule="auto"/>
        <w:jc w:val="both"/>
        <w:rPr>
          <w:b/>
        </w:rPr>
      </w:pPr>
    </w:p>
    <w:p w14:paraId="5AFCC05E" w14:textId="77777777" w:rsidR="00A3273A" w:rsidRDefault="00A3273A" w:rsidP="00A3273A">
      <w:pPr>
        <w:pStyle w:val="Normlnywebov"/>
        <w:spacing w:before="0" w:beforeAutospacing="0" w:after="120" w:afterAutospacing="0" w:line="276" w:lineRule="auto"/>
        <w:jc w:val="both"/>
        <w:rPr>
          <w:b/>
        </w:rPr>
      </w:pPr>
    </w:p>
    <w:p w14:paraId="2D6CB083" w14:textId="77777777" w:rsidR="00A3273A" w:rsidRDefault="00A3273A" w:rsidP="00A3273A">
      <w:pPr>
        <w:pStyle w:val="Normlnywebov"/>
        <w:spacing w:before="0" w:beforeAutospacing="0" w:after="120" w:afterAutospacing="0" w:line="276" w:lineRule="auto"/>
        <w:jc w:val="both"/>
        <w:rPr>
          <w:b/>
        </w:rPr>
      </w:pPr>
    </w:p>
    <w:p w14:paraId="3DBC6DAD" w14:textId="77777777" w:rsidR="00A3273A" w:rsidRDefault="00A3273A" w:rsidP="00A3273A">
      <w:pPr>
        <w:pStyle w:val="Normlnywebov"/>
        <w:spacing w:before="0" w:beforeAutospacing="0" w:after="120" w:afterAutospacing="0" w:line="276" w:lineRule="auto"/>
        <w:jc w:val="both"/>
        <w:rPr>
          <w:b/>
        </w:rPr>
      </w:pPr>
    </w:p>
    <w:p w14:paraId="00C868C2" w14:textId="77777777" w:rsidR="00A3273A" w:rsidRDefault="00A3273A" w:rsidP="00A3273A">
      <w:pPr>
        <w:pStyle w:val="Normlnywebov"/>
        <w:spacing w:before="0" w:beforeAutospacing="0" w:after="120" w:afterAutospacing="0" w:line="276" w:lineRule="auto"/>
        <w:jc w:val="both"/>
        <w:rPr>
          <w:b/>
        </w:rPr>
      </w:pPr>
    </w:p>
    <w:p w14:paraId="236784F7" w14:textId="77777777" w:rsidR="00A3273A" w:rsidRDefault="00A3273A" w:rsidP="00A3273A">
      <w:pPr>
        <w:pStyle w:val="Normlnywebov"/>
        <w:spacing w:before="0" w:beforeAutospacing="0" w:after="120" w:afterAutospacing="0" w:line="276" w:lineRule="auto"/>
        <w:jc w:val="both"/>
        <w:rPr>
          <w:b/>
        </w:rPr>
      </w:pPr>
    </w:p>
    <w:p w14:paraId="5564AAD5" w14:textId="77777777" w:rsidR="00A3273A" w:rsidRDefault="00A3273A" w:rsidP="00A3273A">
      <w:pPr>
        <w:pStyle w:val="Normlnywebov"/>
        <w:spacing w:before="0" w:beforeAutospacing="0" w:after="120" w:afterAutospacing="0" w:line="276" w:lineRule="auto"/>
        <w:jc w:val="both"/>
        <w:rPr>
          <w:b/>
        </w:rPr>
      </w:pPr>
    </w:p>
    <w:p w14:paraId="11FA8E14" w14:textId="77777777" w:rsidR="00A3273A" w:rsidRDefault="00A3273A" w:rsidP="00A3273A">
      <w:pPr>
        <w:pStyle w:val="Normlnywebov"/>
        <w:spacing w:before="0" w:beforeAutospacing="0" w:after="120" w:afterAutospacing="0" w:line="276" w:lineRule="auto"/>
        <w:jc w:val="both"/>
        <w:rPr>
          <w:b/>
        </w:rPr>
      </w:pPr>
    </w:p>
    <w:p w14:paraId="54294538" w14:textId="77777777" w:rsidR="00A3273A" w:rsidRDefault="00A3273A" w:rsidP="00A3273A">
      <w:pPr>
        <w:pStyle w:val="Normlnywebov"/>
        <w:spacing w:before="0" w:beforeAutospacing="0" w:after="120" w:afterAutospacing="0" w:line="276" w:lineRule="auto"/>
        <w:jc w:val="both"/>
        <w:rPr>
          <w:b/>
        </w:rPr>
      </w:pPr>
    </w:p>
    <w:p w14:paraId="4E5158C6" w14:textId="77777777" w:rsidR="00A3273A" w:rsidRDefault="00A3273A" w:rsidP="00A3273A">
      <w:pPr>
        <w:pStyle w:val="Normlnywebov"/>
        <w:spacing w:before="0" w:beforeAutospacing="0" w:after="120" w:afterAutospacing="0" w:line="276" w:lineRule="auto"/>
        <w:jc w:val="both"/>
        <w:rPr>
          <w:b/>
        </w:rPr>
      </w:pPr>
    </w:p>
    <w:p w14:paraId="21C77F32" w14:textId="77777777" w:rsidR="00A3273A" w:rsidRPr="00B26DCA" w:rsidRDefault="00A3273A" w:rsidP="00A3273A">
      <w:pPr>
        <w:pStyle w:val="Normlnywebov"/>
        <w:spacing w:before="0" w:beforeAutospacing="0" w:after="0" w:afterAutospacing="0" w:line="276" w:lineRule="auto"/>
        <w:jc w:val="both"/>
      </w:pPr>
      <w:r w:rsidRPr="00B26DCA">
        <w:rPr>
          <w:b/>
        </w:rPr>
        <w:t>B. Osobitná časť</w:t>
      </w:r>
    </w:p>
    <w:p w14:paraId="7D675DC7" w14:textId="77777777" w:rsidR="00A3273A" w:rsidRPr="00B26DCA" w:rsidRDefault="00A3273A" w:rsidP="00A3273A">
      <w:pPr>
        <w:spacing w:line="276" w:lineRule="auto"/>
        <w:jc w:val="both"/>
      </w:pPr>
    </w:p>
    <w:p w14:paraId="0185997A" w14:textId="77777777" w:rsidR="00A3273A" w:rsidRPr="00B26DCA" w:rsidRDefault="00A3273A" w:rsidP="00A3273A">
      <w:pPr>
        <w:spacing w:line="276" w:lineRule="auto"/>
        <w:jc w:val="both"/>
        <w:rPr>
          <w:b/>
        </w:rPr>
      </w:pPr>
      <w:r w:rsidRPr="00B26DCA">
        <w:rPr>
          <w:b/>
        </w:rPr>
        <w:t>K Čl. I</w:t>
      </w:r>
    </w:p>
    <w:p w14:paraId="7D5D8C4C" w14:textId="77777777" w:rsidR="00A3273A" w:rsidRPr="00B26DCA" w:rsidRDefault="00A3273A" w:rsidP="00A3273A">
      <w:pPr>
        <w:spacing w:line="276" w:lineRule="auto"/>
        <w:jc w:val="both"/>
        <w:rPr>
          <w:b/>
        </w:rPr>
      </w:pPr>
    </w:p>
    <w:p w14:paraId="08DC3B8C" w14:textId="77777777" w:rsidR="00A3273A" w:rsidRPr="00B26DCA" w:rsidRDefault="00A3273A" w:rsidP="00A3273A">
      <w:pPr>
        <w:spacing w:line="276" w:lineRule="auto"/>
        <w:jc w:val="both"/>
        <w:rPr>
          <w:b/>
        </w:rPr>
      </w:pPr>
      <w:r w:rsidRPr="00B26DCA">
        <w:rPr>
          <w:b/>
        </w:rPr>
        <w:t>K </w:t>
      </w:r>
      <w:r>
        <w:rPr>
          <w:b/>
        </w:rPr>
        <w:t>bodom</w:t>
      </w:r>
      <w:r w:rsidRPr="00B26DCA">
        <w:rPr>
          <w:b/>
        </w:rPr>
        <w:t xml:space="preserve"> 1</w:t>
      </w:r>
      <w:r>
        <w:rPr>
          <w:b/>
        </w:rPr>
        <w:t xml:space="preserve"> a 2</w:t>
      </w:r>
    </w:p>
    <w:p w14:paraId="03E51326" w14:textId="77777777" w:rsidR="00A3273A" w:rsidRDefault="00A3273A" w:rsidP="00A3273A">
      <w:pPr>
        <w:spacing w:line="276" w:lineRule="auto"/>
        <w:ind w:firstLine="708"/>
        <w:jc w:val="both"/>
      </w:pPr>
      <w:r w:rsidRPr="00295912">
        <w:t xml:space="preserve">Bod 1 nadväzuje na vloženie nového odseku 7 do § 12 a zabezpečuje, aby sa na osobitnú ročnú sadzbu dane zo stavieb nevzťahovalo doterajšie pravidlo desaťnásobku najnižšej ročnej sadzby dane zo stavieb určenej správcom dane. Bez tejto výnimky by sa nová osobitná sadzba dostávala do kolízie s existujúcim sadzobným mechanizmom a jej samostatná úprava by strácala normatívny význam. </w:t>
      </w:r>
    </w:p>
    <w:p w14:paraId="061C4F82" w14:textId="77777777" w:rsidR="00A3273A" w:rsidRDefault="00A3273A" w:rsidP="00A3273A">
      <w:pPr>
        <w:spacing w:line="276" w:lineRule="auto"/>
        <w:ind w:firstLine="708"/>
        <w:jc w:val="both"/>
      </w:pPr>
      <w:r w:rsidRPr="00295912">
        <w:t xml:space="preserve">Bod 2 vytvára zákonný základ na určenie osobitnej ročnej sadzby dane zo stavieb pri stavbách podľa § 10 ods. 1 písm. h), ak ide o stavbu s veľkoplošnou maloobchodnou prevádzkou vymedzenou rozsahom predajnej plochy jednej prevádzky alebo súčtom predajných plôch viacerých prevádzok v tej istej stavbe. Zároveň sa na účely tejto osobitnej sadzby výslovne vymedzuje pojem prevádzka a pojem predajná plocha vrátane priestorov, ktoré sa do predajnej plochy nezapočítavajú. Účelom úpravy je vytvoriť dostatočne určité a objektívne kritériá pre výkon normotvornej pôsobnosti obce pri určovaní sadzby vo všeobecne záväznom nariadení a odstrániť aplikačné nejasnosti pri posudzovaní rozsahu maloobchodnej činnosti. </w:t>
      </w:r>
    </w:p>
    <w:p w14:paraId="0722D245" w14:textId="77777777" w:rsidR="00A3273A" w:rsidRDefault="00A3273A" w:rsidP="00A3273A">
      <w:pPr>
        <w:spacing w:line="276" w:lineRule="auto"/>
        <w:jc w:val="both"/>
        <w:rPr>
          <w:b/>
        </w:rPr>
      </w:pPr>
    </w:p>
    <w:p w14:paraId="5DE962B4" w14:textId="77777777" w:rsidR="00A3273A" w:rsidRPr="00B26DCA" w:rsidRDefault="00A3273A" w:rsidP="00A3273A">
      <w:pPr>
        <w:spacing w:line="276" w:lineRule="auto"/>
        <w:jc w:val="both"/>
        <w:rPr>
          <w:b/>
        </w:rPr>
      </w:pPr>
      <w:r w:rsidRPr="00B26DCA">
        <w:rPr>
          <w:b/>
        </w:rPr>
        <w:t>K </w:t>
      </w:r>
      <w:r>
        <w:rPr>
          <w:b/>
        </w:rPr>
        <w:t>bodom</w:t>
      </w:r>
      <w:r w:rsidRPr="00B26DCA">
        <w:rPr>
          <w:b/>
        </w:rPr>
        <w:t xml:space="preserve"> </w:t>
      </w:r>
      <w:r>
        <w:rPr>
          <w:b/>
        </w:rPr>
        <w:t>3 a 4</w:t>
      </w:r>
    </w:p>
    <w:p w14:paraId="5D7C71B9" w14:textId="77777777" w:rsidR="00A3273A" w:rsidRDefault="00A3273A" w:rsidP="00A3273A">
      <w:pPr>
        <w:spacing w:line="276" w:lineRule="auto"/>
        <w:ind w:firstLine="708"/>
        <w:jc w:val="both"/>
        <w:rPr>
          <w:bCs/>
        </w:rPr>
      </w:pPr>
      <w:r w:rsidRPr="00295912">
        <w:rPr>
          <w:bCs/>
        </w:rPr>
        <w:t>Body 3 a 4 predstavujú obsahovo zodpovedajúcu úpravu v časti zákona upravujúcej daň z bytov. Bod 3 zabezpečuje, aby sa na novú osobitnú ročnú sadzbu dane z bytov nevzťahovala doterajšia úprava maxima rozdielu medzi najvyššou a najnižšou sadzbou dane pri nebytových priestoroch v bytovom dome. Bod 4 vytvára zákonný základ na ustanovenie osobitnej ročnej sadzby dane z bytov za nebytový priestor v bytovom dome, ak slúži na predaj a vystavovanie tovaru a jeho predajná plocha presahuje 500 m</w:t>
      </w:r>
      <w:r w:rsidRPr="00295912">
        <w:rPr>
          <w:bCs/>
          <w:vertAlign w:val="superscript"/>
        </w:rPr>
        <w:t>2</w:t>
      </w:r>
      <w:r w:rsidRPr="00295912">
        <w:rPr>
          <w:bCs/>
        </w:rPr>
        <w:t xml:space="preserve">. Aj v </w:t>
      </w:r>
      <w:r>
        <w:rPr>
          <w:bCs/>
        </w:rPr>
        <w:t>uvedenej</w:t>
      </w:r>
      <w:r w:rsidRPr="00295912">
        <w:rPr>
          <w:bCs/>
        </w:rPr>
        <w:t xml:space="preserve"> časti sa výslovne vymedzuje predajná plocha a okruh priestorov, ktoré sa do nej nezapočítavajú, aby boli zákonné podmienky uplatnenia osobitnej sadzby určité a jednotne </w:t>
      </w:r>
      <w:proofErr w:type="spellStart"/>
      <w:r w:rsidRPr="00295912">
        <w:rPr>
          <w:bCs/>
        </w:rPr>
        <w:t>vykladateľné</w:t>
      </w:r>
      <w:proofErr w:type="spellEnd"/>
      <w:r w:rsidRPr="00295912">
        <w:rPr>
          <w:bCs/>
        </w:rPr>
        <w:t>. Upravuje sa tým situácia, keď sa veľkoplošná maloobchodná činnosť vykonáva v nebytovom priestore v bytovom dome, teda v režime dane z bytov a nie v režime dane zo stavieb.</w:t>
      </w:r>
    </w:p>
    <w:p w14:paraId="0A23BA59" w14:textId="77777777" w:rsidR="00A3273A" w:rsidRDefault="00A3273A" w:rsidP="00A3273A">
      <w:pPr>
        <w:spacing w:line="276" w:lineRule="auto"/>
        <w:jc w:val="both"/>
        <w:rPr>
          <w:b/>
        </w:rPr>
      </w:pPr>
    </w:p>
    <w:p w14:paraId="17B0B0A4" w14:textId="77777777" w:rsidR="00A3273A" w:rsidRPr="00B26DCA" w:rsidRDefault="00A3273A" w:rsidP="00A3273A">
      <w:pPr>
        <w:spacing w:line="276" w:lineRule="auto"/>
        <w:jc w:val="both"/>
        <w:rPr>
          <w:b/>
        </w:rPr>
      </w:pPr>
      <w:r w:rsidRPr="00B26DCA">
        <w:rPr>
          <w:b/>
        </w:rPr>
        <w:t>K </w:t>
      </w:r>
      <w:r>
        <w:rPr>
          <w:b/>
        </w:rPr>
        <w:t>bodom</w:t>
      </w:r>
      <w:r w:rsidRPr="00B26DCA">
        <w:rPr>
          <w:b/>
        </w:rPr>
        <w:t xml:space="preserve"> </w:t>
      </w:r>
      <w:r>
        <w:rPr>
          <w:b/>
        </w:rPr>
        <w:t>5 a 6</w:t>
      </w:r>
    </w:p>
    <w:p w14:paraId="707541EA" w14:textId="77777777" w:rsidR="00A3273A" w:rsidRDefault="00A3273A" w:rsidP="00A3273A">
      <w:pPr>
        <w:spacing w:line="276" w:lineRule="auto"/>
        <w:ind w:firstLine="708"/>
        <w:jc w:val="both"/>
      </w:pPr>
      <w:r w:rsidRPr="00295912">
        <w:t>Body 5 a 6 nadväzujú na novú úpravu osobitných sadzieb dane a zabezpečujú jej vykonateľnosť v správe dane. Bod 5 rozširuje okruh údajov rozhodujúcich pre správne vyrubenie dane o údaje týkajúce sa počtu prevádzok v stavbe a výmery predajnej plochy prevádzky alebo nebytového priestoru. Bod 6 túto všeobecnú úpravu konkretizuje na úrovni daňového priznania tým, že pri stavbe podľa § 10 ods. 1 písm. h) ukladá uvádzať počet prevádzok v stavbe a výmeru predajnej plochy každej prevádzky a pri nebytovom priestore v bytovom dome výmeru jeho predajnej plochy. Dôvodom tejto zmeny je zabezpečiť, aby správca dane disponoval zákonným údajovým základom na posúdenie, či sú splnené podmienky na uplatnenie osobitnej sadzby. Ide o procesnú nadväznosť na nové hmotnoprávne ustanovenia § 12 ods. 7 a § 16 ods. 4, bez ktorej by navrhovaná úprava nebola v daňovom konaní plnohodnotne vykonateľná</w:t>
      </w:r>
      <w:r w:rsidRPr="00D70840">
        <w:t xml:space="preserve">. </w:t>
      </w:r>
    </w:p>
    <w:p w14:paraId="5D6EB301" w14:textId="77777777" w:rsidR="00A3273A" w:rsidRDefault="00A3273A" w:rsidP="00A3273A">
      <w:pPr>
        <w:spacing w:line="276" w:lineRule="auto"/>
        <w:jc w:val="both"/>
      </w:pPr>
    </w:p>
    <w:p w14:paraId="7AD61715" w14:textId="77777777" w:rsidR="00A3273A" w:rsidRPr="00B26DCA" w:rsidRDefault="00A3273A" w:rsidP="00A3273A">
      <w:pPr>
        <w:spacing w:line="276" w:lineRule="auto"/>
        <w:jc w:val="both"/>
        <w:rPr>
          <w:b/>
        </w:rPr>
      </w:pPr>
      <w:r w:rsidRPr="00B26DCA">
        <w:rPr>
          <w:b/>
        </w:rPr>
        <w:t>K Čl. I</w:t>
      </w:r>
      <w:r>
        <w:rPr>
          <w:b/>
        </w:rPr>
        <w:t>I</w:t>
      </w:r>
    </w:p>
    <w:p w14:paraId="02408C26" w14:textId="77777777" w:rsidR="00A3273A" w:rsidRDefault="00A3273A" w:rsidP="00A3273A">
      <w:pPr>
        <w:pStyle w:val="Normlnywebov"/>
        <w:spacing w:before="0" w:beforeAutospacing="0" w:after="0" w:afterAutospacing="0" w:line="276" w:lineRule="auto"/>
        <w:ind w:firstLine="708"/>
        <w:jc w:val="both"/>
        <w:rPr>
          <w:rStyle w:val="awspan"/>
          <w:rFonts w:eastAsiaTheme="majorEastAsia"/>
        </w:rPr>
      </w:pPr>
      <w:r w:rsidRPr="00295912">
        <w:rPr>
          <w:rStyle w:val="awspan"/>
          <w:rFonts w:eastAsiaTheme="majorEastAsia"/>
        </w:rPr>
        <w:t>Ustanovuje sa účinnosť zákona od 1. januára 2027. Navrhovaná účinnosť poskytuje obciam primeraný čas na prijatie alebo úpravu všeobecne záväzných nariadení a súčasne vytvára priestor na prispôsobenie postupu správcov dane a na oboznámenie daňovníkov s novým rozsahom údajov uvádzaných v daňovom priznaní</w:t>
      </w:r>
      <w:r w:rsidRPr="00D70840">
        <w:rPr>
          <w:rStyle w:val="awspan"/>
          <w:rFonts w:eastAsiaTheme="majorEastAsia"/>
        </w:rPr>
        <w:t>.</w:t>
      </w:r>
    </w:p>
    <w:p w14:paraId="014D49AD" w14:textId="77777777" w:rsidR="00A3273A" w:rsidRDefault="00A3273A" w:rsidP="00A3273A">
      <w:pPr>
        <w:pStyle w:val="Normlnywebov"/>
        <w:spacing w:before="0" w:beforeAutospacing="0" w:after="0" w:afterAutospacing="0" w:line="360" w:lineRule="auto"/>
        <w:ind w:firstLine="708"/>
        <w:jc w:val="both"/>
        <w:rPr>
          <w:rStyle w:val="awspan"/>
          <w:rFonts w:eastAsiaTheme="majorEastAsia"/>
        </w:rPr>
      </w:pPr>
    </w:p>
    <w:p w14:paraId="0D102A59" w14:textId="77777777" w:rsidR="00A3273A" w:rsidRDefault="00A3273A" w:rsidP="00A3273A">
      <w:pPr>
        <w:pStyle w:val="Normlnywebov"/>
        <w:spacing w:before="0" w:beforeAutospacing="0" w:after="0" w:afterAutospacing="0" w:line="360" w:lineRule="auto"/>
        <w:ind w:firstLine="708"/>
        <w:jc w:val="both"/>
        <w:rPr>
          <w:rStyle w:val="awspan"/>
          <w:rFonts w:eastAsiaTheme="majorEastAsia"/>
        </w:rPr>
      </w:pPr>
    </w:p>
    <w:p w14:paraId="40356128" w14:textId="77777777" w:rsidR="00A3273A" w:rsidRDefault="00A3273A" w:rsidP="00A3273A">
      <w:pPr>
        <w:pStyle w:val="Normlnywebov"/>
        <w:spacing w:before="0" w:beforeAutospacing="0" w:after="0" w:afterAutospacing="0" w:line="360" w:lineRule="auto"/>
        <w:ind w:firstLine="708"/>
        <w:jc w:val="both"/>
        <w:rPr>
          <w:rStyle w:val="awspan"/>
          <w:rFonts w:eastAsiaTheme="majorEastAsia"/>
        </w:rPr>
      </w:pPr>
    </w:p>
    <w:p w14:paraId="5ADD1786" w14:textId="77777777" w:rsidR="00A3273A" w:rsidRDefault="00A3273A" w:rsidP="00A3273A">
      <w:pPr>
        <w:pStyle w:val="Normlnywebov"/>
        <w:spacing w:before="0" w:beforeAutospacing="0" w:after="0" w:afterAutospacing="0" w:line="360" w:lineRule="auto"/>
        <w:ind w:firstLine="708"/>
        <w:jc w:val="both"/>
        <w:rPr>
          <w:rStyle w:val="awspan"/>
          <w:rFonts w:eastAsiaTheme="majorEastAsia"/>
        </w:rPr>
      </w:pPr>
    </w:p>
    <w:p w14:paraId="6EDC537B" w14:textId="77777777" w:rsidR="00A3273A" w:rsidRDefault="00A3273A" w:rsidP="00A3273A">
      <w:pPr>
        <w:pStyle w:val="Normlnywebov"/>
        <w:spacing w:before="0" w:beforeAutospacing="0" w:after="0" w:afterAutospacing="0" w:line="360" w:lineRule="auto"/>
        <w:ind w:firstLine="708"/>
        <w:jc w:val="both"/>
        <w:rPr>
          <w:rStyle w:val="awspan"/>
          <w:rFonts w:eastAsiaTheme="majorEastAsia"/>
        </w:rPr>
      </w:pPr>
    </w:p>
    <w:p w14:paraId="157B93CA" w14:textId="77777777" w:rsidR="00A3273A" w:rsidRDefault="00A3273A" w:rsidP="00A3273A">
      <w:pPr>
        <w:pStyle w:val="Normlnywebov"/>
        <w:spacing w:before="0" w:beforeAutospacing="0" w:after="0" w:afterAutospacing="0" w:line="360" w:lineRule="auto"/>
        <w:ind w:firstLine="708"/>
        <w:jc w:val="both"/>
        <w:rPr>
          <w:rStyle w:val="awspan"/>
          <w:rFonts w:eastAsiaTheme="majorEastAsia"/>
        </w:rPr>
      </w:pPr>
    </w:p>
    <w:p w14:paraId="40E17AD5" w14:textId="77777777" w:rsidR="00A3273A" w:rsidRDefault="00A3273A" w:rsidP="00A3273A">
      <w:pPr>
        <w:pStyle w:val="Normlnywebov"/>
        <w:spacing w:before="0" w:beforeAutospacing="0" w:after="0" w:afterAutospacing="0" w:line="360" w:lineRule="auto"/>
        <w:ind w:firstLine="708"/>
        <w:jc w:val="both"/>
        <w:rPr>
          <w:rStyle w:val="awspan"/>
          <w:rFonts w:eastAsiaTheme="majorEastAsia"/>
        </w:rPr>
      </w:pPr>
    </w:p>
    <w:p w14:paraId="25321E0A" w14:textId="77777777" w:rsidR="00A3273A" w:rsidRDefault="00A3273A" w:rsidP="00A3273A">
      <w:pPr>
        <w:pStyle w:val="Normlnywebov"/>
        <w:spacing w:before="0" w:beforeAutospacing="0" w:after="0" w:afterAutospacing="0" w:line="360" w:lineRule="auto"/>
        <w:ind w:firstLine="708"/>
        <w:jc w:val="both"/>
        <w:rPr>
          <w:rStyle w:val="awspan"/>
          <w:rFonts w:eastAsiaTheme="majorEastAsia"/>
        </w:rPr>
      </w:pPr>
    </w:p>
    <w:p w14:paraId="0EB72540" w14:textId="77777777" w:rsidR="00A3273A" w:rsidRDefault="00A3273A" w:rsidP="00A3273A">
      <w:pPr>
        <w:pStyle w:val="Normlnywebov"/>
        <w:spacing w:before="0" w:beforeAutospacing="0" w:after="0" w:afterAutospacing="0" w:line="360" w:lineRule="auto"/>
        <w:ind w:firstLine="708"/>
        <w:jc w:val="both"/>
        <w:rPr>
          <w:rStyle w:val="awspan"/>
          <w:rFonts w:eastAsiaTheme="majorEastAsia"/>
        </w:rPr>
      </w:pPr>
    </w:p>
    <w:p w14:paraId="231CC3E5" w14:textId="77777777" w:rsidR="00A3273A" w:rsidRDefault="00A3273A" w:rsidP="00A3273A">
      <w:pPr>
        <w:pStyle w:val="Normlnywebov"/>
        <w:spacing w:before="0" w:beforeAutospacing="0" w:after="0" w:afterAutospacing="0" w:line="360" w:lineRule="auto"/>
        <w:ind w:firstLine="708"/>
        <w:jc w:val="both"/>
        <w:rPr>
          <w:rStyle w:val="awspan"/>
          <w:rFonts w:eastAsiaTheme="majorEastAsia"/>
        </w:rPr>
      </w:pPr>
    </w:p>
    <w:p w14:paraId="34C45D8D" w14:textId="77777777" w:rsidR="00D9786F" w:rsidRDefault="00D9786F"/>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EE"/>
    <w:family w:val="swiss"/>
    <w:pitch w:val="variable"/>
    <w:sig w:usb0="E4002EFF" w:usb1="C2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3A"/>
    <w:rsid w:val="002B55CB"/>
    <w:rsid w:val="00A3273A"/>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D486"/>
  <w15:chartTrackingRefBased/>
  <w15:docId w15:val="{835F1797-72D1-4046-A6B8-310FE9F3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273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A3273A"/>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Nadpis2">
    <w:name w:val="heading 2"/>
    <w:basedOn w:val="Normlny"/>
    <w:next w:val="Normlny"/>
    <w:link w:val="Nadpis2Char"/>
    <w:uiPriority w:val="9"/>
    <w:semiHidden/>
    <w:unhideWhenUsed/>
    <w:qFormat/>
    <w:rsid w:val="00A3273A"/>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Nadpis3">
    <w:name w:val="heading 3"/>
    <w:basedOn w:val="Normlny"/>
    <w:next w:val="Normlny"/>
    <w:link w:val="Nadpis3Char"/>
    <w:uiPriority w:val="9"/>
    <w:semiHidden/>
    <w:unhideWhenUsed/>
    <w:qFormat/>
    <w:rsid w:val="00A3273A"/>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Nadpis4">
    <w:name w:val="heading 4"/>
    <w:basedOn w:val="Normlny"/>
    <w:next w:val="Normlny"/>
    <w:link w:val="Nadpis4Char"/>
    <w:uiPriority w:val="9"/>
    <w:semiHidden/>
    <w:unhideWhenUsed/>
    <w:qFormat/>
    <w:rsid w:val="00A3273A"/>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Nadpis5">
    <w:name w:val="heading 5"/>
    <w:basedOn w:val="Normlny"/>
    <w:next w:val="Normlny"/>
    <w:link w:val="Nadpis5Char"/>
    <w:uiPriority w:val="9"/>
    <w:semiHidden/>
    <w:unhideWhenUsed/>
    <w:qFormat/>
    <w:rsid w:val="00A3273A"/>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Nadpis6">
    <w:name w:val="heading 6"/>
    <w:basedOn w:val="Normlny"/>
    <w:next w:val="Normlny"/>
    <w:link w:val="Nadpis6Char"/>
    <w:uiPriority w:val="9"/>
    <w:semiHidden/>
    <w:unhideWhenUsed/>
    <w:qFormat/>
    <w:rsid w:val="00A3273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dpis7">
    <w:name w:val="heading 7"/>
    <w:basedOn w:val="Normlny"/>
    <w:next w:val="Normlny"/>
    <w:link w:val="Nadpis7Char"/>
    <w:uiPriority w:val="9"/>
    <w:semiHidden/>
    <w:unhideWhenUsed/>
    <w:qFormat/>
    <w:rsid w:val="00A3273A"/>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Nadpis8">
    <w:name w:val="heading 8"/>
    <w:basedOn w:val="Normlny"/>
    <w:next w:val="Normlny"/>
    <w:link w:val="Nadpis8Char"/>
    <w:uiPriority w:val="9"/>
    <w:semiHidden/>
    <w:unhideWhenUsed/>
    <w:qFormat/>
    <w:rsid w:val="00A3273A"/>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dpis9">
    <w:name w:val="heading 9"/>
    <w:basedOn w:val="Normlny"/>
    <w:next w:val="Normlny"/>
    <w:link w:val="Nadpis9Char"/>
    <w:uiPriority w:val="9"/>
    <w:semiHidden/>
    <w:unhideWhenUsed/>
    <w:qFormat/>
    <w:rsid w:val="00A3273A"/>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3273A"/>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A3273A"/>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A3273A"/>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A3273A"/>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A3273A"/>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A3273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3273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3273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3273A"/>
    <w:rPr>
      <w:rFonts w:eastAsiaTheme="majorEastAsia" w:cstheme="majorBidi"/>
      <w:color w:val="272727" w:themeColor="text1" w:themeTint="D8"/>
    </w:rPr>
  </w:style>
  <w:style w:type="paragraph" w:styleId="Nzov">
    <w:name w:val="Title"/>
    <w:basedOn w:val="Normlny"/>
    <w:next w:val="Normlny"/>
    <w:link w:val="NzovChar"/>
    <w:uiPriority w:val="10"/>
    <w:qFormat/>
    <w:rsid w:val="00A3273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A3273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3273A"/>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itulChar">
    <w:name w:val="Podtitul Char"/>
    <w:basedOn w:val="Predvolenpsmoodseku"/>
    <w:link w:val="Podtitul"/>
    <w:uiPriority w:val="11"/>
    <w:rsid w:val="00A3273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3273A"/>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ciaChar">
    <w:name w:val="Citácia Char"/>
    <w:basedOn w:val="Predvolenpsmoodseku"/>
    <w:link w:val="Citcia"/>
    <w:uiPriority w:val="29"/>
    <w:rsid w:val="00A3273A"/>
    <w:rPr>
      <w:i/>
      <w:iCs/>
      <w:color w:val="404040" w:themeColor="text1" w:themeTint="BF"/>
    </w:rPr>
  </w:style>
  <w:style w:type="paragraph" w:styleId="Odsekzoznamu">
    <w:name w:val="List Paragraph"/>
    <w:basedOn w:val="Normlny"/>
    <w:uiPriority w:val="34"/>
    <w:qFormat/>
    <w:rsid w:val="00A3273A"/>
    <w:pPr>
      <w:spacing w:after="160" w:line="259" w:lineRule="auto"/>
      <w:ind w:left="720"/>
      <w:contextualSpacing/>
    </w:pPr>
    <w:rPr>
      <w:rFonts w:asciiTheme="minorHAnsi" w:eastAsiaTheme="minorHAnsi" w:hAnsiTheme="minorHAnsi" w:cstheme="minorBidi"/>
      <w:sz w:val="22"/>
      <w:szCs w:val="22"/>
      <w:lang w:eastAsia="en-US"/>
    </w:rPr>
  </w:style>
  <w:style w:type="character" w:styleId="Intenzvnezvraznenie">
    <w:name w:val="Intense Emphasis"/>
    <w:basedOn w:val="Predvolenpsmoodseku"/>
    <w:uiPriority w:val="21"/>
    <w:qFormat/>
    <w:rsid w:val="00A3273A"/>
    <w:rPr>
      <w:i/>
      <w:iCs/>
      <w:color w:val="2E74B5" w:themeColor="accent1" w:themeShade="BF"/>
    </w:rPr>
  </w:style>
  <w:style w:type="paragraph" w:styleId="Zvraznencitcia">
    <w:name w:val="Intense Quote"/>
    <w:basedOn w:val="Normlny"/>
    <w:next w:val="Normlny"/>
    <w:link w:val="ZvraznencitciaChar"/>
    <w:uiPriority w:val="30"/>
    <w:qFormat/>
    <w:rsid w:val="00A3273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ZvraznencitciaChar">
    <w:name w:val="Zvýraznená citácia Char"/>
    <w:basedOn w:val="Predvolenpsmoodseku"/>
    <w:link w:val="Zvraznencitcia"/>
    <w:uiPriority w:val="30"/>
    <w:rsid w:val="00A3273A"/>
    <w:rPr>
      <w:i/>
      <w:iCs/>
      <w:color w:val="2E74B5" w:themeColor="accent1" w:themeShade="BF"/>
    </w:rPr>
  </w:style>
  <w:style w:type="character" w:styleId="Zvraznenodkaz">
    <w:name w:val="Intense Reference"/>
    <w:basedOn w:val="Predvolenpsmoodseku"/>
    <w:uiPriority w:val="32"/>
    <w:qFormat/>
    <w:rsid w:val="00A3273A"/>
    <w:rPr>
      <w:b/>
      <w:bCs/>
      <w:smallCaps/>
      <w:color w:val="2E74B5" w:themeColor="accent1" w:themeShade="BF"/>
      <w:spacing w:val="5"/>
    </w:rPr>
  </w:style>
  <w:style w:type="paragraph" w:styleId="Normlnywebov">
    <w:name w:val="Normal (Web)"/>
    <w:basedOn w:val="Normlny"/>
    <w:uiPriority w:val="99"/>
    <w:rsid w:val="00A3273A"/>
    <w:pPr>
      <w:spacing w:before="100" w:beforeAutospacing="1" w:after="100" w:afterAutospacing="1"/>
    </w:pPr>
  </w:style>
  <w:style w:type="character" w:customStyle="1" w:styleId="awspan">
    <w:name w:val="awspan"/>
    <w:rsid w:val="00A32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1017</Words>
  <Characters>5803</Characters>
  <DocSecurity>0</DocSecurity>
  <Lines>48</Lines>
  <Paragraphs>13</Paragraphs>
  <ScaleCrop>false</ScaleCrop>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2026-03-27T18:30:00Z</dcterms:created>
  <dcterms:modified xsi:type="dcterms:W3CDTF">2026-03-27T18:31:00Z</dcterms:modified>
</cp:coreProperties>
</file>