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A0D2" w14:textId="744ED936" w:rsidR="00BF1225" w:rsidRPr="0036594E" w:rsidRDefault="00B2102B" w:rsidP="00EF6FB9">
      <w:pPr>
        <w:pStyle w:val="Zarkazkladnhotextu"/>
        <w:spacing w:line="276" w:lineRule="auto"/>
        <w:ind w:firstLine="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6594E">
        <w:rPr>
          <w:rFonts w:ascii="Palatino Linotype" w:hAnsi="Palatino Linotype"/>
          <w:b/>
          <w:bCs/>
          <w:sz w:val="22"/>
          <w:szCs w:val="22"/>
        </w:rPr>
        <w:t>DÔVODOVÁ SPRÁVA</w:t>
      </w:r>
    </w:p>
    <w:p w14:paraId="15298A0F" w14:textId="77777777" w:rsidR="00F52100" w:rsidRPr="0036594E" w:rsidRDefault="00F52100" w:rsidP="00EF6FB9">
      <w:pPr>
        <w:pStyle w:val="Zarkazkladnhotextu"/>
        <w:spacing w:line="276" w:lineRule="auto"/>
        <w:ind w:firstLine="0"/>
        <w:rPr>
          <w:rFonts w:ascii="Palatino Linotype" w:hAnsi="Palatino Linotype"/>
          <w:b/>
          <w:bCs/>
          <w:sz w:val="22"/>
          <w:szCs w:val="22"/>
        </w:rPr>
      </w:pPr>
    </w:p>
    <w:p w14:paraId="147A8F82" w14:textId="78FF65F2" w:rsidR="00C82C1E" w:rsidRPr="0036594E" w:rsidRDefault="00D575C3" w:rsidP="00EF6FB9">
      <w:pPr>
        <w:pStyle w:val="Odsekzoznamu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284" w:hanging="284"/>
        <w:jc w:val="both"/>
        <w:rPr>
          <w:rFonts w:ascii="Palatino Linotype" w:hAnsi="Palatino Linotype"/>
          <w:b/>
          <w:bCs/>
          <w:sz w:val="22"/>
          <w:szCs w:val="22"/>
        </w:rPr>
      </w:pPr>
      <w:r w:rsidRPr="0036594E"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="00C82C1E" w:rsidRPr="0036594E">
        <w:rPr>
          <w:rFonts w:ascii="Palatino Linotype" w:hAnsi="Palatino Linotype"/>
          <w:b/>
          <w:bCs/>
          <w:sz w:val="22"/>
          <w:szCs w:val="22"/>
        </w:rPr>
        <w:t>VŠEOBECNÁ ČASŤ:</w:t>
      </w:r>
    </w:p>
    <w:p w14:paraId="5524C190" w14:textId="77777777" w:rsidR="00BF1225" w:rsidRPr="0036594E" w:rsidRDefault="00BF1225" w:rsidP="00EF6FB9">
      <w:pPr>
        <w:pStyle w:val="Zarkazkladnhotextu"/>
        <w:spacing w:line="276" w:lineRule="auto"/>
        <w:ind w:left="720" w:firstLine="0"/>
        <w:rPr>
          <w:rFonts w:ascii="Palatino Linotype" w:hAnsi="Palatino Linotype"/>
          <w:sz w:val="22"/>
          <w:szCs w:val="22"/>
        </w:rPr>
      </w:pPr>
    </w:p>
    <w:p w14:paraId="53AF5300" w14:textId="52327FFD" w:rsidR="00C82C1E" w:rsidRPr="0036594E" w:rsidRDefault="00C82C1E" w:rsidP="00EF6FB9">
      <w:pPr>
        <w:spacing w:after="24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>Poslanci Národnej rady Slovenskej republiky</w:t>
      </w:r>
      <w:r w:rsidR="007573F0" w:rsidRPr="0036594E">
        <w:rPr>
          <w:rFonts w:ascii="Palatino Linotype" w:hAnsi="Palatino Linotype"/>
          <w:sz w:val="22"/>
          <w:szCs w:val="22"/>
        </w:rPr>
        <w:t xml:space="preserve"> </w:t>
      </w:r>
      <w:r w:rsidR="00E12AEA">
        <w:rPr>
          <w:rFonts w:ascii="Palatino Linotype" w:hAnsi="Palatino Linotype"/>
          <w:sz w:val="22"/>
          <w:szCs w:val="22"/>
        </w:rPr>
        <w:t xml:space="preserve">Ján Horecký, </w:t>
      </w:r>
      <w:r w:rsidR="007573F0" w:rsidRPr="0036594E">
        <w:rPr>
          <w:rFonts w:ascii="Palatino Linotype" w:hAnsi="Palatino Linotype"/>
          <w:sz w:val="22"/>
          <w:szCs w:val="22"/>
        </w:rPr>
        <w:t>Jozef Hajko a</w:t>
      </w:r>
      <w:r w:rsidR="00E12AEA">
        <w:rPr>
          <w:rFonts w:ascii="Palatino Linotype" w:hAnsi="Palatino Linotype"/>
          <w:sz w:val="22"/>
          <w:szCs w:val="22"/>
        </w:rPr>
        <w:t xml:space="preserve"> Andrea Turčanová </w:t>
      </w:r>
      <w:r w:rsidRPr="0036594E">
        <w:rPr>
          <w:rFonts w:ascii="Palatino Linotype" w:hAnsi="Palatino Linotype"/>
          <w:sz w:val="22"/>
          <w:szCs w:val="22"/>
        </w:rPr>
        <w:t xml:space="preserve">predkladajú do legislatívneho procesu návrh na vydanie zákona, ktorým sa mení </w:t>
      </w:r>
      <w:r w:rsidR="000A253B" w:rsidRPr="0036594E">
        <w:rPr>
          <w:rFonts w:ascii="Palatino Linotype" w:hAnsi="Palatino Linotype"/>
          <w:sz w:val="22"/>
          <w:szCs w:val="22"/>
        </w:rPr>
        <w:t xml:space="preserve">zákon č. </w:t>
      </w:r>
      <w:r w:rsidR="007573F0" w:rsidRPr="0036594E">
        <w:rPr>
          <w:rFonts w:ascii="Palatino Linotype" w:hAnsi="Palatino Linotype"/>
          <w:sz w:val="22"/>
          <w:szCs w:val="22"/>
        </w:rPr>
        <w:t>461/2003</w:t>
      </w:r>
      <w:r w:rsidR="000A253B" w:rsidRPr="0036594E">
        <w:rPr>
          <w:rFonts w:ascii="Palatino Linotype" w:hAnsi="Palatino Linotype"/>
          <w:sz w:val="22"/>
          <w:szCs w:val="22"/>
        </w:rPr>
        <w:t xml:space="preserve"> Z. z. o</w:t>
      </w:r>
      <w:r w:rsidR="007573F0" w:rsidRPr="0036594E">
        <w:rPr>
          <w:rFonts w:ascii="Palatino Linotype" w:hAnsi="Palatino Linotype"/>
          <w:sz w:val="22"/>
          <w:szCs w:val="22"/>
        </w:rPr>
        <w:t xml:space="preserve"> sociálnom </w:t>
      </w:r>
      <w:r w:rsidR="001E6BC8" w:rsidRPr="0036594E">
        <w:rPr>
          <w:rFonts w:ascii="Palatino Linotype" w:hAnsi="Palatino Linotype"/>
          <w:sz w:val="22"/>
          <w:szCs w:val="22"/>
        </w:rPr>
        <w:t>poistení</w:t>
      </w:r>
      <w:r w:rsidR="006B49BA" w:rsidRPr="0036594E">
        <w:rPr>
          <w:rFonts w:ascii="Palatino Linotype" w:hAnsi="Palatino Linotype"/>
          <w:sz w:val="22"/>
          <w:szCs w:val="22"/>
        </w:rPr>
        <w:t xml:space="preserve"> v znení neskorších predpisov </w:t>
      </w:r>
      <w:r w:rsidRPr="0036594E">
        <w:rPr>
          <w:rFonts w:ascii="Palatino Linotype" w:hAnsi="Palatino Linotype"/>
          <w:sz w:val="22"/>
          <w:szCs w:val="22"/>
        </w:rPr>
        <w:t>(ďalej len „návrh zákona“).</w:t>
      </w:r>
    </w:p>
    <w:p w14:paraId="43E75FC1" w14:textId="10E3C72A" w:rsidR="00EF6FB9" w:rsidRPr="0036594E" w:rsidRDefault="00924EC3" w:rsidP="00EF6FB9">
      <w:pPr>
        <w:spacing w:after="24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>Predkladaný n</w:t>
      </w:r>
      <w:r w:rsidR="007B75F3" w:rsidRPr="0036594E">
        <w:rPr>
          <w:rFonts w:ascii="Palatino Linotype" w:hAnsi="Palatino Linotype"/>
          <w:sz w:val="22"/>
          <w:szCs w:val="22"/>
        </w:rPr>
        <w:t>ávrh zákona</w:t>
      </w:r>
      <w:r w:rsidR="001B04EC" w:rsidRPr="0036594E">
        <w:rPr>
          <w:rFonts w:ascii="Palatino Linotype" w:hAnsi="Palatino Linotype"/>
          <w:sz w:val="22"/>
          <w:szCs w:val="22"/>
        </w:rPr>
        <w:t xml:space="preserve"> ako iniciatí</w:t>
      </w:r>
      <w:r w:rsidR="00087CC4" w:rsidRPr="0036594E">
        <w:rPr>
          <w:rFonts w:ascii="Palatino Linotype" w:hAnsi="Palatino Linotype"/>
          <w:sz w:val="22"/>
          <w:szCs w:val="22"/>
        </w:rPr>
        <w:t xml:space="preserve">vny </w:t>
      </w:r>
      <w:r w:rsidR="00EA496D" w:rsidRPr="0036594E">
        <w:rPr>
          <w:rFonts w:ascii="Palatino Linotype" w:hAnsi="Palatino Linotype"/>
          <w:sz w:val="22"/>
          <w:szCs w:val="22"/>
        </w:rPr>
        <w:t xml:space="preserve">návrh </w:t>
      </w:r>
      <w:r w:rsidR="00063CB8">
        <w:rPr>
          <w:rFonts w:ascii="Palatino Linotype" w:hAnsi="Palatino Linotype"/>
          <w:sz w:val="22"/>
          <w:szCs w:val="22"/>
        </w:rPr>
        <w:t xml:space="preserve">odstraňuje </w:t>
      </w:r>
      <w:r w:rsidR="002C26F2">
        <w:rPr>
          <w:rFonts w:ascii="Palatino Linotype" w:hAnsi="Palatino Linotype"/>
          <w:sz w:val="22"/>
          <w:szCs w:val="22"/>
        </w:rPr>
        <w:t>akýkoľvek</w:t>
      </w:r>
      <w:r w:rsidR="00063CB8">
        <w:rPr>
          <w:rFonts w:ascii="Palatino Linotype" w:hAnsi="Palatino Linotype"/>
          <w:sz w:val="22"/>
          <w:szCs w:val="22"/>
        </w:rPr>
        <w:t xml:space="preserve"> príjmový strop na </w:t>
      </w:r>
      <w:r w:rsidR="00BB10BE" w:rsidRPr="0036594E">
        <w:rPr>
          <w:rFonts w:ascii="Palatino Linotype" w:hAnsi="Palatino Linotype"/>
          <w:sz w:val="22"/>
          <w:szCs w:val="22"/>
        </w:rPr>
        <w:t xml:space="preserve"> </w:t>
      </w:r>
      <w:r w:rsidR="00BB10BE" w:rsidRPr="00E73183">
        <w:rPr>
          <w:rFonts w:ascii="Palatino Linotype" w:hAnsi="Palatino Linotype"/>
          <w:sz w:val="22"/>
          <w:szCs w:val="22"/>
        </w:rPr>
        <w:t xml:space="preserve">odvodovú odpočítateľnú položku pri </w:t>
      </w:r>
      <w:r w:rsidR="00C43078" w:rsidRPr="00E73183">
        <w:rPr>
          <w:rFonts w:ascii="Palatino Linotype" w:hAnsi="Palatino Linotype"/>
          <w:sz w:val="22"/>
          <w:szCs w:val="22"/>
        </w:rPr>
        <w:t xml:space="preserve">pracovných zmluvách, dohodách o vykonaní práce, dohodách o pracovnej činnosti a </w:t>
      </w:r>
      <w:r w:rsidR="00BB10BE" w:rsidRPr="00E73183">
        <w:rPr>
          <w:rFonts w:ascii="Palatino Linotype" w:hAnsi="Palatino Linotype"/>
          <w:sz w:val="22"/>
          <w:szCs w:val="22"/>
        </w:rPr>
        <w:t>dohodách o brigádnickej práce študentov</w:t>
      </w:r>
      <w:r w:rsidR="00CD1C15" w:rsidRPr="00E73183">
        <w:rPr>
          <w:rFonts w:ascii="Palatino Linotype" w:hAnsi="Palatino Linotype"/>
          <w:sz w:val="22"/>
          <w:szCs w:val="22"/>
        </w:rPr>
        <w:t xml:space="preserve"> denného štúdia</w:t>
      </w:r>
      <w:r w:rsidR="00063CB8" w:rsidRPr="00E73183">
        <w:rPr>
          <w:rFonts w:ascii="Palatino Linotype" w:hAnsi="Palatino Linotype"/>
          <w:sz w:val="22"/>
          <w:szCs w:val="22"/>
        </w:rPr>
        <w:t>.</w:t>
      </w:r>
      <w:r w:rsidR="00BB10BE" w:rsidRPr="0036594E">
        <w:rPr>
          <w:rFonts w:ascii="Palatino Linotype" w:hAnsi="Palatino Linotype"/>
          <w:sz w:val="22"/>
          <w:szCs w:val="22"/>
        </w:rPr>
        <w:t xml:space="preserve"> </w:t>
      </w:r>
      <w:r w:rsidR="00E73183">
        <w:rPr>
          <w:rFonts w:ascii="Palatino Linotype" w:hAnsi="Palatino Linotype"/>
          <w:sz w:val="22"/>
          <w:szCs w:val="22"/>
        </w:rPr>
        <w:t>Zároveň oslobodzuje aj zamestnávateľov od platby odvodov za tieto fyzické osoby.</w:t>
      </w:r>
      <w:r w:rsidR="00EF6FB9" w:rsidRPr="0036594E">
        <w:rPr>
          <w:rFonts w:ascii="Palatino Linotype" w:hAnsi="Palatino Linotype"/>
          <w:sz w:val="22"/>
          <w:szCs w:val="22"/>
        </w:rPr>
        <w:t xml:space="preserve"> </w:t>
      </w:r>
    </w:p>
    <w:p w14:paraId="472FA5DD" w14:textId="6EAA73FF" w:rsidR="00901C84" w:rsidRDefault="00901C84" w:rsidP="00EF6FB9">
      <w:pPr>
        <w:spacing w:after="24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 xml:space="preserve">Predloženým návrhom zákona sa </w:t>
      </w:r>
      <w:r w:rsidR="00063CB8">
        <w:rPr>
          <w:rFonts w:ascii="Palatino Linotype" w:hAnsi="Palatino Linotype"/>
          <w:sz w:val="22"/>
          <w:szCs w:val="22"/>
        </w:rPr>
        <w:t xml:space="preserve">u študentov </w:t>
      </w:r>
      <w:r w:rsidR="00C43078" w:rsidRPr="00E73183">
        <w:rPr>
          <w:rFonts w:ascii="Palatino Linotype" w:hAnsi="Palatino Linotype"/>
          <w:sz w:val="22"/>
          <w:szCs w:val="22"/>
        </w:rPr>
        <w:t>denného štúdia</w:t>
      </w:r>
      <w:r w:rsidR="00C43078">
        <w:rPr>
          <w:rFonts w:ascii="Palatino Linotype" w:hAnsi="Palatino Linotype"/>
          <w:sz w:val="22"/>
          <w:szCs w:val="22"/>
        </w:rPr>
        <w:t xml:space="preserve"> </w:t>
      </w:r>
      <w:r w:rsidRPr="0036594E">
        <w:rPr>
          <w:rFonts w:ascii="Palatino Linotype" w:hAnsi="Palatino Linotype"/>
          <w:sz w:val="22"/>
          <w:szCs w:val="22"/>
        </w:rPr>
        <w:t>zvyšuje</w:t>
      </w:r>
      <w:r w:rsidR="00EF6FB9" w:rsidRPr="0036594E">
        <w:rPr>
          <w:rFonts w:ascii="Palatino Linotype" w:hAnsi="Palatino Linotype"/>
          <w:sz w:val="22"/>
          <w:szCs w:val="22"/>
        </w:rPr>
        <w:t xml:space="preserve"> odvodov</w:t>
      </w:r>
      <w:r w:rsidRPr="0036594E">
        <w:rPr>
          <w:rFonts w:ascii="Palatino Linotype" w:hAnsi="Palatino Linotype"/>
          <w:sz w:val="22"/>
          <w:szCs w:val="22"/>
        </w:rPr>
        <w:t xml:space="preserve">á </w:t>
      </w:r>
      <w:r w:rsidR="00EF6FB9" w:rsidRPr="0036594E">
        <w:rPr>
          <w:rFonts w:ascii="Palatino Linotype" w:hAnsi="Palatino Linotype"/>
          <w:sz w:val="22"/>
          <w:szCs w:val="22"/>
        </w:rPr>
        <w:t>odpočítateľn</w:t>
      </w:r>
      <w:r w:rsidRPr="0036594E">
        <w:rPr>
          <w:rFonts w:ascii="Palatino Linotype" w:hAnsi="Palatino Linotype"/>
          <w:sz w:val="22"/>
          <w:szCs w:val="22"/>
        </w:rPr>
        <w:t>á</w:t>
      </w:r>
      <w:r w:rsidR="00EF6FB9" w:rsidRPr="0036594E">
        <w:rPr>
          <w:rFonts w:ascii="Palatino Linotype" w:hAnsi="Palatino Linotype"/>
          <w:sz w:val="22"/>
          <w:szCs w:val="22"/>
        </w:rPr>
        <w:t xml:space="preserve"> položk</w:t>
      </w:r>
      <w:r w:rsidRPr="0036594E">
        <w:rPr>
          <w:rFonts w:ascii="Palatino Linotype" w:hAnsi="Palatino Linotype"/>
          <w:sz w:val="22"/>
          <w:szCs w:val="22"/>
        </w:rPr>
        <w:t>a</w:t>
      </w:r>
      <w:r w:rsidR="00E12AEA">
        <w:rPr>
          <w:rFonts w:ascii="Palatino Linotype" w:hAnsi="Palatino Linotype"/>
          <w:sz w:val="22"/>
          <w:szCs w:val="22"/>
        </w:rPr>
        <w:t xml:space="preserve"> </w:t>
      </w:r>
      <w:r w:rsidRPr="0036594E">
        <w:rPr>
          <w:rFonts w:ascii="Palatino Linotype" w:hAnsi="Palatino Linotype"/>
          <w:sz w:val="22"/>
          <w:szCs w:val="22"/>
        </w:rPr>
        <w:t xml:space="preserve">zo sumy 200 eur na </w:t>
      </w:r>
      <w:r w:rsidR="00E12AEA">
        <w:rPr>
          <w:rFonts w:ascii="Palatino Linotype" w:hAnsi="Palatino Linotype"/>
          <w:sz w:val="22"/>
          <w:szCs w:val="22"/>
        </w:rPr>
        <w:t xml:space="preserve">plnú </w:t>
      </w:r>
      <w:r w:rsidRPr="0036594E">
        <w:rPr>
          <w:rFonts w:ascii="Palatino Linotype" w:hAnsi="Palatino Linotype"/>
          <w:sz w:val="22"/>
          <w:szCs w:val="22"/>
        </w:rPr>
        <w:t>sumu.</w:t>
      </w:r>
    </w:p>
    <w:p w14:paraId="6F674747" w14:textId="09685BA8" w:rsidR="00A149AD" w:rsidRDefault="00C57014" w:rsidP="00EF6FB9">
      <w:pPr>
        <w:spacing w:after="24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 xml:space="preserve">Takéto </w:t>
      </w:r>
      <w:r w:rsidR="00D97C79" w:rsidRPr="0036594E">
        <w:rPr>
          <w:rFonts w:ascii="Palatino Linotype" w:hAnsi="Palatino Linotype"/>
          <w:sz w:val="22"/>
          <w:szCs w:val="22"/>
        </w:rPr>
        <w:t>z</w:t>
      </w:r>
      <w:r w:rsidRPr="0036594E">
        <w:rPr>
          <w:rFonts w:ascii="Palatino Linotype" w:hAnsi="Palatino Linotype"/>
          <w:sz w:val="22"/>
          <w:szCs w:val="22"/>
        </w:rPr>
        <w:t xml:space="preserve">výšenie považujú predkladatelia za nevyhnutné, </w:t>
      </w:r>
      <w:r w:rsidR="00D97C79" w:rsidRPr="0036594E">
        <w:rPr>
          <w:rFonts w:ascii="Palatino Linotype" w:hAnsi="Palatino Linotype"/>
          <w:sz w:val="22"/>
          <w:szCs w:val="22"/>
        </w:rPr>
        <w:t>lebo</w:t>
      </w:r>
      <w:r w:rsidRPr="0036594E">
        <w:rPr>
          <w:rFonts w:ascii="Palatino Linotype" w:hAnsi="Palatino Linotype"/>
          <w:sz w:val="22"/>
          <w:szCs w:val="22"/>
        </w:rPr>
        <w:t xml:space="preserve"> p</w:t>
      </w:r>
      <w:r w:rsidR="00EF6FB9" w:rsidRPr="0036594E">
        <w:rPr>
          <w:rFonts w:ascii="Palatino Linotype" w:hAnsi="Palatino Linotype"/>
          <w:sz w:val="22"/>
          <w:szCs w:val="22"/>
        </w:rPr>
        <w:t>riemerné mzdy od roku 2015 stúp</w:t>
      </w:r>
      <w:r w:rsidR="00697D3C" w:rsidRPr="0036594E">
        <w:rPr>
          <w:rFonts w:ascii="Palatino Linotype" w:hAnsi="Palatino Linotype"/>
          <w:sz w:val="22"/>
          <w:szCs w:val="22"/>
        </w:rPr>
        <w:t>li</w:t>
      </w:r>
      <w:r w:rsidR="00EF6FB9" w:rsidRPr="0036594E">
        <w:rPr>
          <w:rFonts w:ascii="Palatino Linotype" w:hAnsi="Palatino Linotype"/>
          <w:sz w:val="22"/>
          <w:szCs w:val="22"/>
        </w:rPr>
        <w:t xml:space="preserve"> o vyše 70 %, minimálna mzda dokonca o takmer 100 %. Ohľad </w:t>
      </w:r>
      <w:r w:rsidR="00F35DC3" w:rsidRPr="0036594E">
        <w:rPr>
          <w:rFonts w:ascii="Palatino Linotype" w:hAnsi="Palatino Linotype"/>
          <w:sz w:val="22"/>
          <w:szCs w:val="22"/>
        </w:rPr>
        <w:t xml:space="preserve">je potrebné </w:t>
      </w:r>
      <w:r w:rsidR="00EF6FB9" w:rsidRPr="0036594E">
        <w:rPr>
          <w:rFonts w:ascii="Palatino Linotype" w:hAnsi="Palatino Linotype"/>
          <w:sz w:val="22"/>
          <w:szCs w:val="22"/>
        </w:rPr>
        <w:t>brať hlavne na študentov</w:t>
      </w:r>
      <w:r w:rsidR="00063CB8">
        <w:rPr>
          <w:rFonts w:ascii="Palatino Linotype" w:hAnsi="Palatino Linotype"/>
          <w:sz w:val="22"/>
          <w:szCs w:val="22"/>
        </w:rPr>
        <w:t xml:space="preserve">, ktorí </w:t>
      </w:r>
      <w:r w:rsidR="00EF6FB9" w:rsidRPr="0036594E">
        <w:rPr>
          <w:rFonts w:ascii="Palatino Linotype" w:hAnsi="Palatino Linotype"/>
          <w:sz w:val="22"/>
          <w:szCs w:val="22"/>
        </w:rPr>
        <w:t xml:space="preserve">sú zväčša bez iného príjmu, </w:t>
      </w:r>
      <w:r w:rsidR="00063CB8">
        <w:rPr>
          <w:rFonts w:ascii="Palatino Linotype" w:hAnsi="Palatino Linotype"/>
          <w:sz w:val="22"/>
          <w:szCs w:val="22"/>
        </w:rPr>
        <w:t xml:space="preserve">a </w:t>
      </w:r>
      <w:r w:rsidR="00EF6FB9" w:rsidRPr="0036594E">
        <w:rPr>
          <w:rFonts w:ascii="Palatino Linotype" w:hAnsi="Palatino Linotype"/>
          <w:sz w:val="22"/>
          <w:szCs w:val="22"/>
        </w:rPr>
        <w:t xml:space="preserve">preto </w:t>
      </w:r>
      <w:r w:rsidR="00D57BE2" w:rsidRPr="0036594E">
        <w:rPr>
          <w:rFonts w:ascii="Palatino Linotype" w:hAnsi="Palatino Linotype"/>
          <w:sz w:val="22"/>
          <w:szCs w:val="22"/>
        </w:rPr>
        <w:t>je potrebné</w:t>
      </w:r>
      <w:r w:rsidR="00EF6FB9" w:rsidRPr="0036594E">
        <w:rPr>
          <w:rFonts w:ascii="Palatino Linotype" w:hAnsi="Palatino Linotype"/>
          <w:sz w:val="22"/>
          <w:szCs w:val="22"/>
        </w:rPr>
        <w:t xml:space="preserve"> zvýšiť odpočítateľnú odvodovú položku</w:t>
      </w:r>
      <w:r w:rsidR="00063CB8">
        <w:rPr>
          <w:rFonts w:ascii="Palatino Linotype" w:hAnsi="Palatino Linotype"/>
          <w:sz w:val="22"/>
          <w:szCs w:val="22"/>
        </w:rPr>
        <w:t xml:space="preserve"> aj</w:t>
      </w:r>
      <w:r w:rsidR="00EF6FB9" w:rsidRPr="0036594E">
        <w:rPr>
          <w:rFonts w:ascii="Palatino Linotype" w:hAnsi="Palatino Linotype"/>
          <w:sz w:val="22"/>
          <w:szCs w:val="22"/>
        </w:rPr>
        <w:t xml:space="preserve"> </w:t>
      </w:r>
      <w:r w:rsidR="009104D2" w:rsidRPr="0036594E">
        <w:rPr>
          <w:rFonts w:ascii="Palatino Linotype" w:hAnsi="Palatino Linotype"/>
          <w:sz w:val="22"/>
          <w:szCs w:val="22"/>
        </w:rPr>
        <w:t>na základe</w:t>
      </w:r>
      <w:r w:rsidR="00EF6FB9" w:rsidRPr="0036594E">
        <w:rPr>
          <w:rFonts w:ascii="Palatino Linotype" w:hAnsi="Palatino Linotype"/>
          <w:sz w:val="22"/>
          <w:szCs w:val="22"/>
        </w:rPr>
        <w:t xml:space="preserve"> rastu minimálnej mzdy</w:t>
      </w:r>
      <w:r w:rsidR="008C5286" w:rsidRPr="0036594E">
        <w:rPr>
          <w:rFonts w:ascii="Palatino Linotype" w:hAnsi="Palatino Linotype"/>
          <w:sz w:val="22"/>
          <w:szCs w:val="22"/>
        </w:rPr>
        <w:t xml:space="preserve">. </w:t>
      </w:r>
      <w:r w:rsidR="00EF6FB9" w:rsidRPr="0036594E">
        <w:rPr>
          <w:rFonts w:ascii="Palatino Linotype" w:hAnsi="Palatino Linotype"/>
          <w:sz w:val="22"/>
          <w:szCs w:val="22"/>
        </w:rPr>
        <w:t xml:space="preserve">Preto </w:t>
      </w:r>
      <w:r w:rsidR="00314812" w:rsidRPr="0036594E">
        <w:rPr>
          <w:rFonts w:ascii="Palatino Linotype" w:hAnsi="Palatino Linotype"/>
          <w:sz w:val="22"/>
          <w:szCs w:val="22"/>
        </w:rPr>
        <w:t>sa</w:t>
      </w:r>
      <w:r w:rsidR="00EF6FB9" w:rsidRPr="0036594E">
        <w:rPr>
          <w:rFonts w:ascii="Palatino Linotype" w:hAnsi="Palatino Linotype"/>
          <w:sz w:val="22"/>
          <w:szCs w:val="22"/>
        </w:rPr>
        <w:t xml:space="preserve"> </w:t>
      </w:r>
      <w:r w:rsidR="00D97C79" w:rsidRPr="0036594E">
        <w:rPr>
          <w:rFonts w:ascii="Palatino Linotype" w:hAnsi="Palatino Linotype"/>
          <w:sz w:val="22"/>
          <w:szCs w:val="22"/>
        </w:rPr>
        <w:t xml:space="preserve">ako priemer pre </w:t>
      </w:r>
      <w:r w:rsidR="00063CB8">
        <w:rPr>
          <w:rFonts w:ascii="Palatino Linotype" w:hAnsi="Palatino Linotype"/>
          <w:sz w:val="22"/>
          <w:szCs w:val="22"/>
        </w:rPr>
        <w:t xml:space="preserve">študentov </w:t>
      </w:r>
      <w:r w:rsidR="00D97C79" w:rsidRPr="0036594E">
        <w:rPr>
          <w:rFonts w:ascii="Palatino Linotype" w:hAnsi="Palatino Linotype"/>
          <w:sz w:val="22"/>
          <w:szCs w:val="22"/>
        </w:rPr>
        <w:t>s prihliadnutím na vývoj priemernej mzdy</w:t>
      </w:r>
      <w:r w:rsidR="00063CB8">
        <w:rPr>
          <w:rFonts w:ascii="Palatino Linotype" w:hAnsi="Palatino Linotype"/>
          <w:sz w:val="22"/>
          <w:szCs w:val="22"/>
        </w:rPr>
        <w:t xml:space="preserve"> a</w:t>
      </w:r>
      <w:r w:rsidR="00D97C79" w:rsidRPr="0036594E">
        <w:rPr>
          <w:rFonts w:ascii="Palatino Linotype" w:hAnsi="Palatino Linotype"/>
          <w:sz w:val="22"/>
          <w:szCs w:val="22"/>
        </w:rPr>
        <w:t xml:space="preserve"> minimálnej mzdy </w:t>
      </w:r>
      <w:r w:rsidR="00314812" w:rsidRPr="0036594E">
        <w:rPr>
          <w:rFonts w:ascii="Palatino Linotype" w:hAnsi="Palatino Linotype"/>
          <w:sz w:val="22"/>
          <w:szCs w:val="22"/>
        </w:rPr>
        <w:t xml:space="preserve">navrhuje </w:t>
      </w:r>
      <w:r w:rsidR="00AD6F55" w:rsidRPr="0036594E">
        <w:rPr>
          <w:rFonts w:ascii="Palatino Linotype" w:hAnsi="Palatino Linotype"/>
          <w:sz w:val="22"/>
          <w:szCs w:val="22"/>
        </w:rPr>
        <w:t>odvodov</w:t>
      </w:r>
      <w:r w:rsidR="00063CB8">
        <w:rPr>
          <w:rFonts w:ascii="Palatino Linotype" w:hAnsi="Palatino Linotype"/>
          <w:sz w:val="22"/>
          <w:szCs w:val="22"/>
        </w:rPr>
        <w:t>á</w:t>
      </w:r>
      <w:r w:rsidR="00AD6F55" w:rsidRPr="0036594E">
        <w:rPr>
          <w:rFonts w:ascii="Palatino Linotype" w:hAnsi="Palatino Linotype"/>
          <w:sz w:val="22"/>
          <w:szCs w:val="22"/>
        </w:rPr>
        <w:t xml:space="preserve"> odpočítateľn</w:t>
      </w:r>
      <w:r w:rsidR="00063CB8">
        <w:rPr>
          <w:rFonts w:ascii="Palatino Linotype" w:hAnsi="Palatino Linotype"/>
          <w:sz w:val="22"/>
          <w:szCs w:val="22"/>
        </w:rPr>
        <w:t>á</w:t>
      </w:r>
      <w:r w:rsidR="00AD6F55" w:rsidRPr="0036594E">
        <w:rPr>
          <w:rFonts w:ascii="Palatino Linotype" w:hAnsi="Palatino Linotype"/>
          <w:sz w:val="22"/>
          <w:szCs w:val="22"/>
        </w:rPr>
        <w:t xml:space="preserve"> položk</w:t>
      </w:r>
      <w:r w:rsidR="00063CB8">
        <w:rPr>
          <w:rFonts w:ascii="Palatino Linotype" w:hAnsi="Palatino Linotype"/>
          <w:sz w:val="22"/>
          <w:szCs w:val="22"/>
        </w:rPr>
        <w:t>a</w:t>
      </w:r>
      <w:r w:rsidR="00AD6F55" w:rsidRPr="0036594E">
        <w:rPr>
          <w:rFonts w:ascii="Palatino Linotype" w:hAnsi="Palatino Linotype"/>
          <w:sz w:val="22"/>
          <w:szCs w:val="22"/>
        </w:rPr>
        <w:t xml:space="preserve"> </w:t>
      </w:r>
      <w:r w:rsidR="00314812" w:rsidRPr="0036594E">
        <w:rPr>
          <w:rFonts w:ascii="Palatino Linotype" w:hAnsi="Palatino Linotype"/>
          <w:sz w:val="22"/>
          <w:szCs w:val="22"/>
        </w:rPr>
        <w:t>v</w:t>
      </w:r>
      <w:r w:rsidR="009A603E">
        <w:rPr>
          <w:rFonts w:ascii="Palatino Linotype" w:hAnsi="Palatino Linotype"/>
          <w:sz w:val="22"/>
          <w:szCs w:val="22"/>
        </w:rPr>
        <w:t> plnej výške vymeriavacieho základu</w:t>
      </w:r>
      <w:r w:rsidR="00314812" w:rsidRPr="0036594E">
        <w:rPr>
          <w:rFonts w:ascii="Palatino Linotype" w:hAnsi="Palatino Linotype"/>
          <w:sz w:val="22"/>
          <w:szCs w:val="22"/>
        </w:rPr>
        <w:t>.</w:t>
      </w:r>
      <w:r w:rsidR="00D97C79" w:rsidRPr="0036594E">
        <w:rPr>
          <w:rFonts w:ascii="Palatino Linotype" w:hAnsi="Palatino Linotype"/>
          <w:sz w:val="22"/>
          <w:szCs w:val="22"/>
        </w:rPr>
        <w:t xml:space="preserve"> </w:t>
      </w:r>
    </w:p>
    <w:p w14:paraId="4BD1B941" w14:textId="73343D89" w:rsidR="00494E84" w:rsidRPr="00E73183" w:rsidRDefault="00E73183" w:rsidP="00494E84">
      <w:pPr>
        <w:spacing w:after="240" w:line="276" w:lineRule="auto"/>
        <w:rPr>
          <w:rFonts w:ascii="Palatino Linotype" w:hAnsi="Palatino Linotype"/>
          <w:color w:val="C00000"/>
          <w:sz w:val="22"/>
          <w:szCs w:val="22"/>
        </w:rPr>
      </w:pPr>
      <w:r w:rsidRPr="00E73183">
        <w:rPr>
          <w:rFonts w:ascii="Palatino Linotype" w:hAnsi="Palatino Linotype"/>
          <w:sz w:val="22"/>
          <w:szCs w:val="22"/>
        </w:rPr>
        <w:t>Zároveň sa dopĺňa</w:t>
      </w:r>
      <w:r w:rsidR="00494E84" w:rsidRPr="00E73183">
        <w:rPr>
          <w:rFonts w:ascii="Palatino Linotype" w:hAnsi="Palatino Linotype"/>
          <w:sz w:val="22"/>
          <w:szCs w:val="22"/>
        </w:rPr>
        <w:t xml:space="preserve"> aj ustanovenie o nulových odvodoc</w:t>
      </w:r>
      <w:r w:rsidR="00364D2B">
        <w:rPr>
          <w:rFonts w:ascii="Palatino Linotype" w:hAnsi="Palatino Linotype"/>
          <w:sz w:val="22"/>
          <w:szCs w:val="22"/>
        </w:rPr>
        <w:t>h pre zamestnávateľov študentov</w:t>
      </w:r>
      <w:r w:rsidRPr="00E73183">
        <w:rPr>
          <w:rFonts w:ascii="Palatino Linotype" w:hAnsi="Palatino Linotype"/>
          <w:sz w:val="22"/>
          <w:szCs w:val="22"/>
        </w:rPr>
        <w:t xml:space="preserve"> denného štúdia</w:t>
      </w:r>
      <w:r w:rsidR="008F009D">
        <w:rPr>
          <w:rFonts w:ascii="Palatino Linotype" w:hAnsi="Palatino Linotype"/>
          <w:sz w:val="22"/>
          <w:szCs w:val="22"/>
        </w:rPr>
        <w:t xml:space="preserve"> a pedagogických zamestnancov kandidátov</w:t>
      </w:r>
      <w:r w:rsidRPr="00E73183">
        <w:rPr>
          <w:rFonts w:ascii="Palatino Linotype" w:hAnsi="Palatino Linotype"/>
          <w:sz w:val="22"/>
          <w:szCs w:val="22"/>
        </w:rPr>
        <w:t>, aby aj zamestnávatelia boli osobitne motivovaní dať šancu študentom zamestnať sa, a tým výrazne zvýšiť ich kariérne vyhliadky po dokončení štúdia.</w:t>
      </w:r>
    </w:p>
    <w:p w14:paraId="1AC959F2" w14:textId="1793823B" w:rsidR="0041568B" w:rsidRPr="0036594E" w:rsidRDefault="00EF6FB9" w:rsidP="00EF6FB9">
      <w:pPr>
        <w:spacing w:after="24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 xml:space="preserve">Zamestnávatelia </w:t>
      </w:r>
      <w:r w:rsidR="003B3130" w:rsidRPr="0036594E">
        <w:rPr>
          <w:rFonts w:ascii="Palatino Linotype" w:hAnsi="Palatino Linotype"/>
          <w:sz w:val="22"/>
          <w:szCs w:val="22"/>
        </w:rPr>
        <w:t>tak dostanú impulz</w:t>
      </w:r>
      <w:r w:rsidRPr="0036594E">
        <w:rPr>
          <w:rFonts w:ascii="Palatino Linotype" w:hAnsi="Palatino Linotype"/>
          <w:sz w:val="22"/>
          <w:szCs w:val="22"/>
        </w:rPr>
        <w:t>, aby v časoch nedostatku pracovníkov angažovali viac študentov.</w:t>
      </w:r>
      <w:r w:rsidR="00CD1C15">
        <w:rPr>
          <w:rFonts w:ascii="Palatino Linotype" w:hAnsi="Palatino Linotype"/>
          <w:sz w:val="22"/>
          <w:szCs w:val="22"/>
        </w:rPr>
        <w:t xml:space="preserve"> </w:t>
      </w:r>
      <w:r w:rsidR="00CD1C15" w:rsidRPr="008F009D">
        <w:rPr>
          <w:rFonts w:ascii="Palatino Linotype" w:hAnsi="Palatino Linotype"/>
          <w:sz w:val="22"/>
          <w:szCs w:val="22"/>
        </w:rPr>
        <w:t xml:space="preserve">Zvýšená motivácia zamestnávateľov prijať do </w:t>
      </w:r>
      <w:r w:rsidR="001224E1" w:rsidRPr="008F009D">
        <w:rPr>
          <w:rFonts w:ascii="Palatino Linotype" w:hAnsi="Palatino Linotype"/>
          <w:sz w:val="22"/>
          <w:szCs w:val="22"/>
        </w:rPr>
        <w:t>zamestnaneckého alebo obdobného pomeru študenta denného štúdia napomáha nadobudnutiu užitočnej praxe, keďže čerství absolventi stredných a vysokých škôl bez praxe patria k ťažšie zamestnateľným uchádzačom o prácu.</w:t>
      </w:r>
    </w:p>
    <w:p w14:paraId="5045FED9" w14:textId="6221E124" w:rsidR="00146C8E" w:rsidRPr="0036594E" w:rsidRDefault="00146C8E" w:rsidP="00146C8E">
      <w:pPr>
        <w:spacing w:before="120" w:line="276" w:lineRule="auto"/>
        <w:rPr>
          <w:rFonts w:ascii="Palatino Linotype" w:hAnsi="Palatino Linotype"/>
          <w:bCs/>
          <w:color w:val="000000"/>
          <w:sz w:val="22"/>
          <w:szCs w:val="22"/>
        </w:rPr>
      </w:pPr>
      <w:r w:rsidRPr="0036594E">
        <w:rPr>
          <w:rFonts w:ascii="Palatino Linotype" w:hAnsi="Palatino Linotype"/>
          <w:bCs/>
          <w:color w:val="000000"/>
          <w:sz w:val="22"/>
          <w:szCs w:val="22"/>
        </w:rPr>
        <w:t>Podľa podkladov zo Sociálnej poisťovne si uplatnilo v roku 2023 odvodovú úľavu do 200 eur mesačne 172 701 osôb, z toho 114 635 študentov.</w:t>
      </w:r>
    </w:p>
    <w:p w14:paraId="284EB84E" w14:textId="14FA8619" w:rsidR="00146C8E" w:rsidRPr="0036594E" w:rsidRDefault="00146C8E" w:rsidP="00146C8E">
      <w:pPr>
        <w:spacing w:before="120" w:line="276" w:lineRule="auto"/>
        <w:rPr>
          <w:rFonts w:ascii="Palatino Linotype" w:hAnsi="Palatino Linotype"/>
          <w:iCs/>
          <w:color w:val="000000"/>
          <w:sz w:val="22"/>
          <w:szCs w:val="22"/>
        </w:rPr>
      </w:pPr>
      <w:r w:rsidRPr="0036594E">
        <w:rPr>
          <w:rFonts w:ascii="Palatino Linotype" w:hAnsi="Palatino Linotype"/>
          <w:iCs/>
          <w:color w:val="000000"/>
          <w:sz w:val="22"/>
          <w:szCs w:val="22"/>
        </w:rPr>
        <w:t xml:space="preserve">Predkladaný návrh zákona bude mať v prípade statického zachovania objemu </w:t>
      </w:r>
      <w:r w:rsidR="00494E84" w:rsidRPr="008F009D">
        <w:rPr>
          <w:rFonts w:ascii="Palatino Linotype" w:hAnsi="Palatino Linotype"/>
          <w:iCs/>
          <w:color w:val="000000"/>
          <w:sz w:val="22"/>
          <w:szCs w:val="22"/>
        </w:rPr>
        <w:t>práce na zmluvu alebo dohodu študentov denného štúdia</w:t>
      </w:r>
      <w:r w:rsidR="00494E84">
        <w:rPr>
          <w:rFonts w:ascii="Palatino Linotype" w:hAnsi="Palatino Linotype"/>
          <w:iCs/>
          <w:color w:val="000000"/>
          <w:sz w:val="22"/>
          <w:szCs w:val="22"/>
        </w:rPr>
        <w:t xml:space="preserve"> </w:t>
      </w:r>
      <w:r w:rsidRPr="0036594E">
        <w:rPr>
          <w:rFonts w:ascii="Palatino Linotype" w:hAnsi="Palatino Linotype"/>
          <w:iCs/>
          <w:color w:val="000000"/>
          <w:sz w:val="22"/>
          <w:szCs w:val="22"/>
        </w:rPr>
        <w:t>negatívny dosah na verejné financie, pretože sa zníži výber odvodov v prospech Sociálnej poisťovne. Na druhej strane však možno predpokladať, že záujem zamestnávateľov a rovnako študentov o uzatváranie zmlúv stúpne, pretože</w:t>
      </w:r>
      <w:r w:rsidR="00494E84">
        <w:rPr>
          <w:rFonts w:ascii="Palatino Linotype" w:hAnsi="Palatino Linotype"/>
          <w:iCs/>
          <w:color w:val="000000"/>
          <w:sz w:val="22"/>
          <w:szCs w:val="22"/>
        </w:rPr>
        <w:t xml:space="preserve"> </w:t>
      </w:r>
      <w:r w:rsidR="00494E84" w:rsidRPr="008F009D">
        <w:rPr>
          <w:rFonts w:ascii="Palatino Linotype" w:hAnsi="Palatino Linotype"/>
          <w:iCs/>
          <w:color w:val="000000"/>
          <w:sz w:val="22"/>
          <w:szCs w:val="22"/>
        </w:rPr>
        <w:t xml:space="preserve">zmluvy a </w:t>
      </w:r>
      <w:r w:rsidRPr="008F009D">
        <w:rPr>
          <w:rFonts w:ascii="Palatino Linotype" w:hAnsi="Palatino Linotype"/>
          <w:iCs/>
          <w:color w:val="000000"/>
          <w:sz w:val="22"/>
          <w:szCs w:val="22"/>
        </w:rPr>
        <w:t xml:space="preserve">dohody s upravenou odpočítateľnou položkou budú atraktívnejšie. Možno očakávať, že vzrastie počet </w:t>
      </w:r>
      <w:r w:rsidR="00494E84" w:rsidRPr="008F009D">
        <w:rPr>
          <w:rFonts w:ascii="Palatino Linotype" w:hAnsi="Palatino Linotype"/>
          <w:iCs/>
          <w:color w:val="000000"/>
          <w:sz w:val="22"/>
          <w:szCs w:val="22"/>
        </w:rPr>
        <w:t>zamestnaných študentov denného štúdia</w:t>
      </w:r>
      <w:r w:rsidRPr="0036594E">
        <w:rPr>
          <w:rFonts w:ascii="Palatino Linotype" w:hAnsi="Palatino Linotype"/>
          <w:iCs/>
          <w:color w:val="000000"/>
          <w:sz w:val="22"/>
          <w:szCs w:val="22"/>
        </w:rPr>
        <w:t xml:space="preserve"> a zároveň výška dohodnutých odmien. Výsledkom bude eliminovanie negatívneho dosahu zvýšenia </w:t>
      </w:r>
      <w:r w:rsidRPr="0036594E">
        <w:rPr>
          <w:rFonts w:ascii="Palatino Linotype" w:hAnsi="Palatino Linotype"/>
          <w:iCs/>
          <w:color w:val="000000"/>
          <w:sz w:val="22"/>
          <w:szCs w:val="22"/>
        </w:rPr>
        <w:lastRenderedPageBreak/>
        <w:t>odpočítateľnej položky na Sociálnu poisťovňu a vyšší kumulatívny dodatočný výber odvodov v prospech Sociálnej poisťovne z vyšších odmien a väčšieho počtu zmlúv.</w:t>
      </w:r>
    </w:p>
    <w:p w14:paraId="26A7BB7C" w14:textId="77777777" w:rsidR="00146C8E" w:rsidRPr="0036594E" w:rsidRDefault="00146C8E" w:rsidP="00146C8E">
      <w:pPr>
        <w:spacing w:before="120" w:line="276" w:lineRule="auto"/>
        <w:rPr>
          <w:rFonts w:ascii="Palatino Linotype" w:hAnsi="Palatino Linotype" w:cstheme="minorHAnsi"/>
          <w:iCs/>
          <w:color w:val="000000"/>
          <w:sz w:val="22"/>
          <w:szCs w:val="22"/>
        </w:rPr>
      </w:pPr>
    </w:p>
    <w:p w14:paraId="52882451" w14:textId="41C7EC26" w:rsidR="00E1270E" w:rsidRPr="0036594E" w:rsidRDefault="00E1270E" w:rsidP="00EF6FB9">
      <w:pPr>
        <w:spacing w:after="24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 xml:space="preserve">Na druhej strane, predkladaný návrh zákona bude mať pozitívny vplyv na podnikateľské prostredie a zamestnanosť. </w:t>
      </w:r>
      <w:r w:rsidRPr="008F009D">
        <w:rPr>
          <w:rFonts w:ascii="Palatino Linotype" w:hAnsi="Palatino Linotype"/>
          <w:sz w:val="22"/>
          <w:szCs w:val="22"/>
        </w:rPr>
        <w:t xml:space="preserve">Záujem angažovať </w:t>
      </w:r>
      <w:r w:rsidR="00297150" w:rsidRPr="008F009D">
        <w:rPr>
          <w:rFonts w:ascii="Palatino Linotype" w:hAnsi="Palatino Linotype"/>
          <w:sz w:val="22"/>
          <w:szCs w:val="22"/>
        </w:rPr>
        <w:t xml:space="preserve">študentov </w:t>
      </w:r>
      <w:r w:rsidR="00494E84" w:rsidRPr="008F009D">
        <w:rPr>
          <w:rFonts w:ascii="Palatino Linotype" w:hAnsi="Palatino Linotype"/>
          <w:sz w:val="22"/>
          <w:szCs w:val="22"/>
        </w:rPr>
        <w:t>denného štúdia do pracovného alebo obdobného pomeru stúpne</w:t>
      </w:r>
      <w:r w:rsidRPr="008F009D">
        <w:rPr>
          <w:rFonts w:ascii="Palatino Linotype" w:hAnsi="Palatino Linotype"/>
          <w:sz w:val="22"/>
          <w:szCs w:val="22"/>
        </w:rPr>
        <w:t>, pretože zamestnávateľom klesne odvodové zaťaženie a </w:t>
      </w:r>
      <w:r w:rsidR="00494E84" w:rsidRPr="008F009D">
        <w:rPr>
          <w:rFonts w:ascii="Palatino Linotype" w:hAnsi="Palatino Linotype"/>
          <w:sz w:val="22"/>
          <w:szCs w:val="22"/>
        </w:rPr>
        <w:t>študentom</w:t>
      </w:r>
      <w:r w:rsidRPr="008F009D">
        <w:rPr>
          <w:rFonts w:ascii="Palatino Linotype" w:hAnsi="Palatino Linotype"/>
          <w:sz w:val="22"/>
          <w:szCs w:val="22"/>
        </w:rPr>
        <w:t xml:space="preserve"> </w:t>
      </w:r>
      <w:r w:rsidR="00297150" w:rsidRPr="008F009D">
        <w:rPr>
          <w:rFonts w:ascii="Palatino Linotype" w:hAnsi="Palatino Linotype"/>
          <w:sz w:val="22"/>
          <w:szCs w:val="22"/>
        </w:rPr>
        <w:t xml:space="preserve">vzrastie </w:t>
      </w:r>
      <w:r w:rsidRPr="008F009D">
        <w:rPr>
          <w:rFonts w:ascii="Palatino Linotype" w:hAnsi="Palatino Linotype"/>
          <w:sz w:val="22"/>
          <w:szCs w:val="22"/>
        </w:rPr>
        <w:t xml:space="preserve">čistý príjem z vykonanej práce. Zmena zákona pomôže riešiť problémy zamestnávateľom, ktorí zápasia s nedostatkom pracovníkov. </w:t>
      </w:r>
      <w:r w:rsidR="001224E1" w:rsidRPr="008F009D">
        <w:rPr>
          <w:rFonts w:ascii="Palatino Linotype" w:hAnsi="Palatino Linotype"/>
          <w:sz w:val="22"/>
          <w:szCs w:val="22"/>
        </w:rPr>
        <w:t>Pracovný trh sa spružní. A zvýši sa atraktivita života a práce na Slovensku pre mladých ľudí</w:t>
      </w:r>
      <w:r w:rsidR="008F009D" w:rsidRPr="008F009D">
        <w:rPr>
          <w:rFonts w:ascii="Palatino Linotype" w:hAnsi="Palatino Linotype"/>
          <w:sz w:val="22"/>
          <w:szCs w:val="22"/>
        </w:rPr>
        <w:t>,</w:t>
      </w:r>
      <w:r w:rsidR="008F009D">
        <w:rPr>
          <w:rFonts w:ascii="Palatino Linotype" w:hAnsi="Palatino Linotype"/>
          <w:sz w:val="22"/>
          <w:szCs w:val="22"/>
        </w:rPr>
        <w:t xml:space="preserve"> čo zabráni ďalšiemu odlivu mozgov – často najvýkonnejších a najvzdelanejších ľudí zo Slovenskej republiky.</w:t>
      </w:r>
    </w:p>
    <w:p w14:paraId="23AC535D" w14:textId="77777777" w:rsidR="00E1270E" w:rsidRDefault="00E1270E" w:rsidP="00EF6FB9">
      <w:pPr>
        <w:spacing w:after="240" w:line="276" w:lineRule="auto"/>
      </w:pPr>
    </w:p>
    <w:p w14:paraId="69362F56" w14:textId="3C17A1E6" w:rsidR="00F514E3" w:rsidRDefault="00F514E3" w:rsidP="00EF6FB9">
      <w:pPr>
        <w:spacing w:after="240" w:line="276" w:lineRule="auto"/>
      </w:pPr>
    </w:p>
    <w:p w14:paraId="71AABA3C" w14:textId="797F3DB9" w:rsidR="0036594E" w:rsidRDefault="0036594E" w:rsidP="00EF6FB9">
      <w:pPr>
        <w:spacing w:after="240" w:line="276" w:lineRule="auto"/>
      </w:pPr>
    </w:p>
    <w:p w14:paraId="216FCF14" w14:textId="2586AFCB" w:rsidR="0036594E" w:rsidRDefault="0036594E" w:rsidP="00EF6FB9">
      <w:pPr>
        <w:spacing w:after="240" w:line="276" w:lineRule="auto"/>
      </w:pPr>
    </w:p>
    <w:p w14:paraId="3B12BB4A" w14:textId="6DAC9325" w:rsidR="0036594E" w:rsidRDefault="0036594E" w:rsidP="00EF6FB9">
      <w:pPr>
        <w:spacing w:after="240" w:line="276" w:lineRule="auto"/>
      </w:pPr>
    </w:p>
    <w:p w14:paraId="1095DDAB" w14:textId="207DECEF" w:rsidR="0036594E" w:rsidRDefault="0036594E" w:rsidP="00EF6FB9">
      <w:pPr>
        <w:spacing w:after="240" w:line="276" w:lineRule="auto"/>
      </w:pPr>
    </w:p>
    <w:p w14:paraId="19F74433" w14:textId="38ABF792" w:rsidR="005B65BD" w:rsidRDefault="005B65BD" w:rsidP="00EF6FB9">
      <w:pPr>
        <w:spacing w:after="240" w:line="276" w:lineRule="auto"/>
      </w:pPr>
    </w:p>
    <w:p w14:paraId="3845701C" w14:textId="43DE0401" w:rsidR="005B65BD" w:rsidRDefault="005B65BD" w:rsidP="00EF6FB9">
      <w:pPr>
        <w:spacing w:after="240" w:line="276" w:lineRule="auto"/>
      </w:pPr>
    </w:p>
    <w:p w14:paraId="374C8177" w14:textId="0BEFDA11" w:rsidR="005B65BD" w:rsidRDefault="005B65BD" w:rsidP="00EF6FB9">
      <w:pPr>
        <w:spacing w:after="240" w:line="276" w:lineRule="auto"/>
      </w:pPr>
    </w:p>
    <w:p w14:paraId="0B8D84FD" w14:textId="363DFFF0" w:rsidR="005B65BD" w:rsidRDefault="005B65BD" w:rsidP="00EF6FB9">
      <w:pPr>
        <w:spacing w:after="240" w:line="276" w:lineRule="auto"/>
      </w:pPr>
    </w:p>
    <w:p w14:paraId="03905B3B" w14:textId="19ACDA7E" w:rsidR="005B65BD" w:rsidRDefault="005B65BD" w:rsidP="00EF6FB9">
      <w:pPr>
        <w:spacing w:after="240" w:line="276" w:lineRule="auto"/>
      </w:pPr>
    </w:p>
    <w:p w14:paraId="1746DD5B" w14:textId="391E8AE0" w:rsidR="005B65BD" w:rsidRDefault="005B65BD" w:rsidP="00EF6FB9">
      <w:pPr>
        <w:spacing w:after="240" w:line="276" w:lineRule="auto"/>
      </w:pPr>
    </w:p>
    <w:p w14:paraId="63C27E3A" w14:textId="066C7A10" w:rsidR="005B65BD" w:rsidRDefault="005B65BD" w:rsidP="00EF6FB9">
      <w:pPr>
        <w:spacing w:after="240" w:line="276" w:lineRule="auto"/>
      </w:pPr>
    </w:p>
    <w:p w14:paraId="0A936021" w14:textId="5A0FD8F0" w:rsidR="005B65BD" w:rsidRDefault="005B65BD" w:rsidP="00EF6FB9">
      <w:pPr>
        <w:spacing w:after="240" w:line="276" w:lineRule="auto"/>
      </w:pPr>
    </w:p>
    <w:p w14:paraId="2D024834" w14:textId="6C17C6CC" w:rsidR="005B65BD" w:rsidRDefault="005B65BD" w:rsidP="00EF6FB9">
      <w:pPr>
        <w:spacing w:after="240" w:line="276" w:lineRule="auto"/>
      </w:pPr>
    </w:p>
    <w:p w14:paraId="67327C0A" w14:textId="4D1D8C3B" w:rsidR="005B65BD" w:rsidRDefault="005B65BD" w:rsidP="00EF6FB9">
      <w:pPr>
        <w:spacing w:after="240" w:line="276" w:lineRule="auto"/>
      </w:pPr>
    </w:p>
    <w:p w14:paraId="01999931" w14:textId="6A4F2C95" w:rsidR="005B65BD" w:rsidRDefault="005B65BD" w:rsidP="00EF6FB9">
      <w:pPr>
        <w:spacing w:after="240" w:line="276" w:lineRule="auto"/>
      </w:pPr>
    </w:p>
    <w:p w14:paraId="7A6E48FC" w14:textId="77777777" w:rsidR="00364D2B" w:rsidRDefault="00364D2B" w:rsidP="00EF6FB9">
      <w:pPr>
        <w:spacing w:after="240" w:line="276" w:lineRule="auto"/>
      </w:pPr>
    </w:p>
    <w:p w14:paraId="07523E87" w14:textId="03D9AEC2" w:rsidR="005B65BD" w:rsidRDefault="005B65BD" w:rsidP="00EF6FB9">
      <w:pPr>
        <w:spacing w:after="240" w:line="276" w:lineRule="auto"/>
      </w:pPr>
    </w:p>
    <w:p w14:paraId="633EC286" w14:textId="38FA2A7C" w:rsidR="00F575ED" w:rsidRPr="00494E84" w:rsidRDefault="00494E84" w:rsidP="00EF6FB9">
      <w:pPr>
        <w:spacing w:line="276" w:lineRule="auto"/>
        <w:rPr>
          <w:b/>
          <w:bCs/>
          <w:color w:val="C00000"/>
        </w:rPr>
      </w:pPr>
      <w:r>
        <w:rPr>
          <w:b/>
          <w:bCs/>
          <w:szCs w:val="26"/>
        </w:rPr>
        <w:lastRenderedPageBreak/>
        <w:t>B</w:t>
      </w:r>
      <w:r w:rsidR="00F575ED" w:rsidRPr="004F1A3B">
        <w:rPr>
          <w:b/>
          <w:bCs/>
          <w:szCs w:val="26"/>
        </w:rPr>
        <w:t xml:space="preserve">. </w:t>
      </w:r>
      <w:r w:rsidR="00C82C1E">
        <w:rPr>
          <w:b/>
          <w:bCs/>
        </w:rPr>
        <w:t>OSOBITNÁ ČASŤ:</w:t>
      </w:r>
      <w:r>
        <w:rPr>
          <w:b/>
          <w:bCs/>
        </w:rPr>
        <w:t xml:space="preserve">  </w:t>
      </w:r>
    </w:p>
    <w:p w14:paraId="79B989A2" w14:textId="77777777" w:rsidR="00F575ED" w:rsidRDefault="00F575ED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DE20ED3" w14:textId="6241BCD8" w:rsidR="00F575ED" w:rsidRDefault="00F575ED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65F0">
        <w:rPr>
          <w:rFonts w:ascii="Times New Roman" w:hAnsi="Times New Roman"/>
          <w:b/>
          <w:sz w:val="24"/>
          <w:szCs w:val="24"/>
        </w:rPr>
        <w:t>K </w:t>
      </w:r>
      <w:r w:rsidR="00D575C3">
        <w:rPr>
          <w:rFonts w:ascii="Times New Roman" w:hAnsi="Times New Roman"/>
          <w:b/>
          <w:sz w:val="24"/>
          <w:szCs w:val="24"/>
        </w:rPr>
        <w:t>Č</w:t>
      </w:r>
      <w:r w:rsidRPr="007365F0">
        <w:rPr>
          <w:rFonts w:ascii="Times New Roman" w:hAnsi="Times New Roman"/>
          <w:b/>
          <w:sz w:val="24"/>
          <w:szCs w:val="24"/>
        </w:rPr>
        <w:t xml:space="preserve">l. </w:t>
      </w:r>
      <w:r w:rsidR="008F480F">
        <w:rPr>
          <w:rFonts w:ascii="Times New Roman" w:hAnsi="Times New Roman"/>
          <w:b/>
          <w:sz w:val="24"/>
          <w:szCs w:val="24"/>
        </w:rPr>
        <w:t>I</w:t>
      </w:r>
      <w:r w:rsidR="00D575C3">
        <w:rPr>
          <w:rFonts w:ascii="Times New Roman" w:hAnsi="Times New Roman"/>
          <w:b/>
          <w:sz w:val="24"/>
          <w:szCs w:val="24"/>
        </w:rPr>
        <w:t>:</w:t>
      </w:r>
    </w:p>
    <w:p w14:paraId="0EF683B6" w14:textId="54617D0F" w:rsidR="00D575C3" w:rsidRDefault="00D575C3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B077DF1" w14:textId="5FE8AAB4" w:rsidR="00D575C3" w:rsidRPr="00D575C3" w:rsidRDefault="00D575C3" w:rsidP="00EF6FB9">
      <w:pPr>
        <w:pStyle w:val="Bezriadkovania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D575C3">
        <w:rPr>
          <w:rFonts w:ascii="Times New Roman" w:hAnsi="Times New Roman"/>
          <w:sz w:val="24"/>
          <w:szCs w:val="24"/>
          <w:u w:val="single"/>
        </w:rPr>
        <w:t>K bodu 1:</w:t>
      </w:r>
    </w:p>
    <w:p w14:paraId="6DA31009" w14:textId="77777777" w:rsidR="0005074A" w:rsidRDefault="0005074A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42CB21A" w14:textId="634557F9" w:rsidR="00CD2682" w:rsidRDefault="009A603E" w:rsidP="00CD2682">
      <w:pPr>
        <w:spacing w:after="240" w:line="276" w:lineRule="auto"/>
      </w:pPr>
      <w:r w:rsidRPr="009A603E">
        <w:t xml:space="preserve">Navrhovanou </w:t>
      </w:r>
      <w:r w:rsidR="001F32BD">
        <w:t>zmenou</w:t>
      </w:r>
      <w:r w:rsidRPr="009A603E">
        <w:t xml:space="preserve"> sa precizuje spôsob určenia denného vymeriavacieho základu </w:t>
      </w:r>
      <w:r w:rsidR="008F009D">
        <w:t xml:space="preserve">študenta denného štúdia v postavení </w:t>
      </w:r>
      <w:r w:rsidRPr="009A603E">
        <w:t>zamestnanca vykonávajúceho prácu</w:t>
      </w:r>
      <w:r w:rsidR="005B65BD">
        <w:t xml:space="preserve"> na základe </w:t>
      </w:r>
      <w:r w:rsidR="008F009D">
        <w:t>akejkoľvek z dohô</w:t>
      </w:r>
      <w:r w:rsidR="005B65BD">
        <w:t>d podľa § 227a</w:t>
      </w:r>
      <w:r w:rsidR="008F009D">
        <w:t xml:space="preserve"> alebo na základe pracovnej zmluvy podľa Zákonníka práce a tiež pedagogického zamestnanca kandidáta</w:t>
      </w:r>
      <w:r w:rsidR="005B65BD">
        <w:t>.</w:t>
      </w:r>
      <w:r w:rsidRPr="009A603E">
        <w:t xml:space="preserve"> Cieľom tejto úpravy je zabezpečiť spravodlivejšie a jednoznačnejšie určenie vymeriavacieho základu pri posudzovaní nárokov súvisiacich s pracovným úrazom alebo chorobou z povolania, pričom sa zohľadňuje špecifický charakter týchto právnych vzťahov, ktoré sú spravidla krátkodobé alebo nepravidelné.</w:t>
      </w:r>
      <w:r w:rsidR="001C21BF">
        <w:t xml:space="preserve"> </w:t>
      </w:r>
    </w:p>
    <w:p w14:paraId="1C93E1BA" w14:textId="111CAF55" w:rsidR="009A603E" w:rsidRDefault="009A603E" w:rsidP="009A603E">
      <w:pPr>
        <w:pStyle w:val="Bezriadkovania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D575C3">
        <w:rPr>
          <w:rFonts w:ascii="Times New Roman" w:hAnsi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D575C3">
        <w:rPr>
          <w:rFonts w:ascii="Times New Roman" w:hAnsi="Times New Roman"/>
          <w:sz w:val="24"/>
          <w:szCs w:val="24"/>
          <w:u w:val="single"/>
        </w:rPr>
        <w:t>:</w:t>
      </w:r>
    </w:p>
    <w:p w14:paraId="147F0AB3" w14:textId="77777777" w:rsidR="00F0648D" w:rsidRPr="00D575C3" w:rsidRDefault="00F0648D" w:rsidP="009A603E">
      <w:pPr>
        <w:pStyle w:val="Bezriadkovania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14:paraId="42D4AD2D" w14:textId="09F858EF" w:rsidR="001F32BD" w:rsidRDefault="008F009D" w:rsidP="00CD2682">
      <w:pPr>
        <w:spacing w:after="240" w:line="276" w:lineRule="auto"/>
      </w:pPr>
      <w:r>
        <w:t>Legislatívno-technická úprava vyplývajúca z bodu 1.</w:t>
      </w:r>
    </w:p>
    <w:p w14:paraId="7B5834CF" w14:textId="557C5464" w:rsidR="00063CB8" w:rsidRPr="002C26F2" w:rsidRDefault="00063CB8" w:rsidP="00CD2682">
      <w:pPr>
        <w:spacing w:after="240" w:line="276" w:lineRule="auto"/>
        <w:rPr>
          <w:u w:val="single"/>
        </w:rPr>
      </w:pPr>
      <w:r w:rsidRPr="002C26F2">
        <w:rPr>
          <w:u w:val="single"/>
        </w:rPr>
        <w:t>K bodu 3:</w:t>
      </w:r>
    </w:p>
    <w:p w14:paraId="5387D219" w14:textId="2765CBB5" w:rsidR="009A603E" w:rsidRDefault="00063CB8" w:rsidP="00CD2682">
      <w:pPr>
        <w:spacing w:after="240" w:line="276" w:lineRule="auto"/>
      </w:pPr>
      <w:r w:rsidRPr="001F32BD">
        <w:t>Navrhov</w:t>
      </w:r>
      <w:r>
        <w:t>aná</w:t>
      </w:r>
      <w:r w:rsidR="001F32BD" w:rsidRPr="001F32BD">
        <w:t xml:space="preserve"> zme</w:t>
      </w:r>
      <w:r w:rsidR="001F32BD">
        <w:t xml:space="preserve">na má za cieľ </w:t>
      </w:r>
      <w:r w:rsidR="001F32BD" w:rsidRPr="001F32BD">
        <w:t>odstrá</w:t>
      </w:r>
      <w:r w:rsidR="001F32BD">
        <w:t>niť</w:t>
      </w:r>
      <w:r w:rsidR="001F32BD" w:rsidRPr="001F32BD">
        <w:t xml:space="preserve"> existujúce odvodové zaťaženie u</w:t>
      </w:r>
      <w:r w:rsidR="008F009D">
        <w:t> </w:t>
      </w:r>
      <w:r w:rsidR="001F32BD" w:rsidRPr="001F32BD">
        <w:t>študentov</w:t>
      </w:r>
      <w:r w:rsidR="008F009D">
        <w:t xml:space="preserve"> v akejkoľvek forme pracovného pomeru a u pedagogických zamestnancov kandidátov</w:t>
      </w:r>
      <w:r>
        <w:t>,</w:t>
      </w:r>
      <w:r w:rsidR="001F32BD" w:rsidRPr="001F32BD">
        <w:t xml:space="preserve"> a tým</w:t>
      </w:r>
      <w:r w:rsidR="008F009D">
        <w:t xml:space="preserve"> podporiť ich pracovnú aktivitu ako aj</w:t>
      </w:r>
      <w:r w:rsidR="001F32BD" w:rsidRPr="001F32BD">
        <w:t xml:space="preserve"> zvýšiť motiváciu legálne pracovať a znížiť </w:t>
      </w:r>
      <w:r w:rsidR="008F009D">
        <w:t xml:space="preserve">im </w:t>
      </w:r>
      <w:r w:rsidR="001F32BD" w:rsidRPr="001F32BD">
        <w:t>administratívne aj finančné bariéry vstupu na trh práce. Zároveň sa sleduje cieľ zjednodušenia systému sociálneho poistenia v tejto oblasti a zvýšenia jeho transparentnosti.</w:t>
      </w:r>
    </w:p>
    <w:p w14:paraId="70DC4A53" w14:textId="77777777" w:rsidR="00F575ED" w:rsidRDefault="00F575ED" w:rsidP="00EF6FB9">
      <w:pPr>
        <w:spacing w:line="276" w:lineRule="auto"/>
      </w:pPr>
    </w:p>
    <w:p w14:paraId="4E1C46BD" w14:textId="575484AF" w:rsidR="00F575ED" w:rsidRDefault="00F575ED" w:rsidP="00EF6FB9">
      <w:pPr>
        <w:spacing w:line="276" w:lineRule="auto"/>
        <w:rPr>
          <w:b/>
          <w:bCs/>
        </w:rPr>
      </w:pPr>
      <w:r>
        <w:rPr>
          <w:b/>
          <w:bCs/>
        </w:rPr>
        <w:t>K </w:t>
      </w:r>
      <w:r w:rsidR="00D575C3">
        <w:rPr>
          <w:b/>
          <w:bCs/>
        </w:rPr>
        <w:t>Č</w:t>
      </w:r>
      <w:r>
        <w:rPr>
          <w:b/>
          <w:bCs/>
        </w:rPr>
        <w:t>l. II</w:t>
      </w:r>
      <w:r w:rsidR="00D575C3">
        <w:rPr>
          <w:b/>
          <w:bCs/>
        </w:rPr>
        <w:t>:</w:t>
      </w:r>
    </w:p>
    <w:p w14:paraId="2DD2B2C7" w14:textId="77777777" w:rsidR="00F575ED" w:rsidRDefault="00F575ED" w:rsidP="00EF6FB9">
      <w:pPr>
        <w:spacing w:line="276" w:lineRule="auto"/>
      </w:pPr>
    </w:p>
    <w:p w14:paraId="01C6ACE2" w14:textId="7AF2D5C3" w:rsidR="00EA496D" w:rsidRDefault="00F575ED" w:rsidP="00EF6FB9">
      <w:pPr>
        <w:spacing w:line="276" w:lineRule="auto"/>
        <w:rPr>
          <w:color w:val="000000"/>
          <w:lang w:eastAsia="sk-SK"/>
        </w:rPr>
        <w:sectPr w:rsidR="00EA496D">
          <w:footerReference w:type="default" r:id="rId8"/>
          <w:pgSz w:w="11906" w:h="16838" w:code="9"/>
          <w:pgMar w:top="1418" w:right="1418" w:bottom="1134" w:left="1418" w:header="709" w:footer="709" w:gutter="0"/>
          <w:cols w:space="1701"/>
          <w:titlePg/>
        </w:sectPr>
      </w:pPr>
      <w:r w:rsidRPr="004969B6">
        <w:t xml:space="preserve">Vzhľadom na </w:t>
      </w:r>
      <w:r w:rsidR="00AE65FB">
        <w:t>dĺžku legislatívneho procesu</w:t>
      </w:r>
      <w:r w:rsidR="00600E9F">
        <w:t xml:space="preserve"> a predvídateľnosť daňovo – odvodového </w:t>
      </w:r>
      <w:r w:rsidR="002E048B">
        <w:t>systému</w:t>
      </w:r>
      <w:r w:rsidRPr="004969B6">
        <w:t xml:space="preserve"> sa navrhuje dátum nadobudnutia účinnosti zákona </w:t>
      </w:r>
      <w:r w:rsidRPr="004969B6">
        <w:rPr>
          <w:color w:val="000000"/>
          <w:lang w:eastAsia="sk-SK"/>
        </w:rPr>
        <w:t xml:space="preserve">dňa 1. </w:t>
      </w:r>
      <w:r w:rsidR="00600E9F">
        <w:rPr>
          <w:color w:val="000000"/>
          <w:lang w:eastAsia="sk-SK"/>
        </w:rPr>
        <w:t>januára</w:t>
      </w:r>
      <w:r w:rsidRPr="004969B6">
        <w:rPr>
          <w:color w:val="000000"/>
          <w:lang w:eastAsia="sk-SK"/>
        </w:rPr>
        <w:t xml:space="preserve"> 202</w:t>
      </w:r>
      <w:r w:rsidR="001F32BD">
        <w:rPr>
          <w:color w:val="000000"/>
          <w:lang w:eastAsia="sk-SK"/>
        </w:rPr>
        <w:t>7</w:t>
      </w:r>
      <w:r w:rsidR="00EA496D">
        <w:rPr>
          <w:color w:val="000000"/>
          <w:lang w:eastAsia="sk-SK"/>
        </w:rPr>
        <w:t xml:space="preserve">.    </w:t>
      </w:r>
    </w:p>
    <w:p w14:paraId="1ADCB1C1" w14:textId="77777777" w:rsidR="00C82C1E" w:rsidRPr="0036594E" w:rsidRDefault="00C82C1E" w:rsidP="00EF6FB9">
      <w:pPr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b/>
          <w:caps/>
          <w:spacing w:val="30"/>
          <w:sz w:val="22"/>
          <w:szCs w:val="22"/>
        </w:rPr>
        <w:lastRenderedPageBreak/>
        <w:t>DOLOŽKA ZLUČITEĽNOSTI</w:t>
      </w:r>
    </w:p>
    <w:p w14:paraId="1F9C0791" w14:textId="77777777" w:rsidR="00C82C1E" w:rsidRPr="0036594E" w:rsidRDefault="00C82C1E" w:rsidP="00EF6FB9">
      <w:pPr>
        <w:pStyle w:val="Normlnywebov"/>
        <w:spacing w:line="276" w:lineRule="auto"/>
        <w:jc w:val="center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b/>
          <w:sz w:val="22"/>
          <w:szCs w:val="22"/>
        </w:rPr>
        <w:t>návrhu zákona</w:t>
      </w:r>
      <w:r w:rsidRPr="0036594E">
        <w:rPr>
          <w:rFonts w:ascii="Palatino Linotype" w:hAnsi="Palatino Linotype"/>
          <w:sz w:val="22"/>
          <w:szCs w:val="22"/>
        </w:rPr>
        <w:t xml:space="preserve"> </w:t>
      </w:r>
      <w:r w:rsidRPr="0036594E">
        <w:rPr>
          <w:rFonts w:ascii="Palatino Linotype" w:hAnsi="Palatino Linotype"/>
          <w:b/>
          <w:sz w:val="22"/>
          <w:szCs w:val="22"/>
        </w:rPr>
        <w:t>s právom Európskej únie</w:t>
      </w:r>
    </w:p>
    <w:p w14:paraId="3FDAFFF8" w14:textId="77777777" w:rsidR="00C82C1E" w:rsidRPr="0036594E" w:rsidRDefault="00C82C1E" w:rsidP="00EF6FB9">
      <w:pPr>
        <w:pStyle w:val="Normlnywebov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> </w:t>
      </w:r>
    </w:p>
    <w:p w14:paraId="4F9AB312" w14:textId="2D23D8E6" w:rsidR="00C82C1E" w:rsidRPr="0036594E" w:rsidRDefault="00C82C1E" w:rsidP="00EF6FB9">
      <w:pPr>
        <w:pStyle w:val="Normlnywebov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b/>
          <w:sz w:val="22"/>
          <w:szCs w:val="22"/>
        </w:rPr>
        <w:t>1. Navrhovateľ zákona:</w:t>
      </w:r>
      <w:r w:rsidRPr="0036594E">
        <w:rPr>
          <w:rFonts w:ascii="Palatino Linotype" w:hAnsi="Palatino Linotype"/>
          <w:sz w:val="22"/>
          <w:szCs w:val="22"/>
        </w:rPr>
        <w:t xml:space="preserve"> poslanci Národnej rady Slovenskej republiky</w:t>
      </w:r>
      <w:r w:rsidR="004C72C7">
        <w:rPr>
          <w:rFonts w:ascii="Palatino Linotype" w:hAnsi="Palatino Linotype"/>
          <w:sz w:val="22"/>
          <w:szCs w:val="22"/>
        </w:rPr>
        <w:t xml:space="preserve"> Ján Horecký,</w:t>
      </w:r>
      <w:r w:rsidR="00950EF3" w:rsidRPr="0036594E">
        <w:rPr>
          <w:rFonts w:ascii="Palatino Linotype" w:hAnsi="Palatino Linotype"/>
          <w:sz w:val="22"/>
          <w:szCs w:val="22"/>
        </w:rPr>
        <w:t xml:space="preserve"> Jozef Hajko a</w:t>
      </w:r>
      <w:r w:rsidR="004C72C7">
        <w:rPr>
          <w:rFonts w:ascii="Palatino Linotype" w:hAnsi="Palatino Linotype"/>
          <w:sz w:val="22"/>
          <w:szCs w:val="22"/>
        </w:rPr>
        <w:t> Andrea Turčanová.</w:t>
      </w:r>
    </w:p>
    <w:p w14:paraId="036013D1" w14:textId="709135AC" w:rsidR="00C82C1E" w:rsidRPr="0036594E" w:rsidRDefault="00C82C1E" w:rsidP="00EF6FB9">
      <w:pPr>
        <w:spacing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b/>
          <w:sz w:val="22"/>
          <w:szCs w:val="22"/>
        </w:rPr>
        <w:t>2. Názov návrhu zákona</w:t>
      </w:r>
      <w:r w:rsidRPr="0036594E">
        <w:rPr>
          <w:rFonts w:ascii="Palatino Linotype" w:hAnsi="Palatino Linotype"/>
          <w:sz w:val="22"/>
          <w:szCs w:val="22"/>
        </w:rPr>
        <w:t xml:space="preserve">: </w:t>
      </w:r>
      <w:r w:rsidRPr="0036594E">
        <w:rPr>
          <w:rFonts w:ascii="Palatino Linotype" w:hAnsi="Palatino Linotype"/>
          <w:color w:val="000000"/>
          <w:sz w:val="22"/>
          <w:szCs w:val="22"/>
        </w:rPr>
        <w:t>n</w:t>
      </w:r>
      <w:r w:rsidRPr="0036594E">
        <w:rPr>
          <w:rFonts w:ascii="Palatino Linotype" w:hAnsi="Palatino Linotype"/>
          <w:sz w:val="22"/>
          <w:szCs w:val="22"/>
        </w:rPr>
        <w:t xml:space="preserve">ávrh zákona, </w:t>
      </w:r>
      <w:r w:rsidR="0021494A" w:rsidRPr="0036594E">
        <w:rPr>
          <w:rFonts w:ascii="Palatino Linotype" w:hAnsi="Palatino Linotype"/>
          <w:sz w:val="22"/>
          <w:szCs w:val="22"/>
        </w:rPr>
        <w:t>ktorým sa mení</w:t>
      </w:r>
      <w:r w:rsidR="005F555E" w:rsidRPr="0036594E">
        <w:rPr>
          <w:rFonts w:ascii="Palatino Linotype" w:hAnsi="Palatino Linotype"/>
          <w:sz w:val="22"/>
          <w:szCs w:val="22"/>
        </w:rPr>
        <w:t xml:space="preserve"> </w:t>
      </w:r>
      <w:r w:rsidR="00063CB8">
        <w:rPr>
          <w:rFonts w:ascii="Palatino Linotype" w:hAnsi="Palatino Linotype"/>
          <w:sz w:val="22"/>
          <w:szCs w:val="22"/>
        </w:rPr>
        <w:t xml:space="preserve">a dopĺňa </w:t>
      </w:r>
      <w:r w:rsidR="005F555E" w:rsidRPr="0036594E">
        <w:rPr>
          <w:rFonts w:ascii="Palatino Linotype" w:hAnsi="Palatino Linotype"/>
          <w:sz w:val="22"/>
          <w:szCs w:val="22"/>
        </w:rPr>
        <w:t xml:space="preserve">zákon č. </w:t>
      </w:r>
      <w:r w:rsidR="00405D72" w:rsidRPr="0036594E">
        <w:rPr>
          <w:rFonts w:ascii="Palatino Linotype" w:hAnsi="Palatino Linotype"/>
          <w:sz w:val="22"/>
          <w:szCs w:val="22"/>
        </w:rPr>
        <w:t>461/2003</w:t>
      </w:r>
      <w:r w:rsidR="005F555E" w:rsidRPr="0036594E">
        <w:rPr>
          <w:rFonts w:ascii="Palatino Linotype" w:hAnsi="Palatino Linotype"/>
          <w:sz w:val="22"/>
          <w:szCs w:val="22"/>
        </w:rPr>
        <w:t xml:space="preserve"> Z. z. o</w:t>
      </w:r>
      <w:r w:rsidR="00405D72" w:rsidRPr="0036594E">
        <w:rPr>
          <w:rFonts w:ascii="Palatino Linotype" w:hAnsi="Palatino Linotype"/>
          <w:sz w:val="22"/>
          <w:szCs w:val="22"/>
        </w:rPr>
        <w:t> sociálnom poistení</w:t>
      </w:r>
      <w:r w:rsidR="00E1794D" w:rsidRPr="0036594E">
        <w:rPr>
          <w:rFonts w:ascii="Palatino Linotype" w:hAnsi="Palatino Linotype"/>
          <w:sz w:val="22"/>
          <w:szCs w:val="22"/>
        </w:rPr>
        <w:t xml:space="preserve"> v znení neskorších predpisov</w:t>
      </w:r>
    </w:p>
    <w:p w14:paraId="17E4F732" w14:textId="77777777" w:rsidR="00C82C1E" w:rsidRPr="0036594E" w:rsidRDefault="00C82C1E" w:rsidP="00EF6FB9">
      <w:pPr>
        <w:pStyle w:val="Normlnywebov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b/>
          <w:sz w:val="22"/>
          <w:szCs w:val="22"/>
        </w:rPr>
        <w:t>3. Predmet návrhu zákona:</w:t>
      </w:r>
    </w:p>
    <w:p w14:paraId="45EBEA78" w14:textId="77777777" w:rsidR="00C82C1E" w:rsidRPr="0036594E" w:rsidRDefault="00C82C1E" w:rsidP="00EF6FB9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>nie je upravený v primárnom práve Európskej únie,</w:t>
      </w:r>
    </w:p>
    <w:p w14:paraId="068EC501" w14:textId="77777777" w:rsidR="00C82C1E" w:rsidRPr="0036594E" w:rsidRDefault="00C82C1E" w:rsidP="00EF6FB9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 xml:space="preserve">nie je upravený v sekundárnom práve Európskej únie, </w:t>
      </w:r>
    </w:p>
    <w:p w14:paraId="2E286ED0" w14:textId="77777777" w:rsidR="00C82C1E" w:rsidRPr="0036594E" w:rsidRDefault="00C82C1E" w:rsidP="00EF6FB9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sz w:val="22"/>
          <w:szCs w:val="22"/>
        </w:rPr>
        <w:t>nie je obsiahnutý v judikatúre Súdneho dvora Európskej únie.</w:t>
      </w:r>
    </w:p>
    <w:p w14:paraId="602FE4EC" w14:textId="77777777" w:rsidR="00C82C1E" w:rsidRPr="0036594E" w:rsidRDefault="00C82C1E" w:rsidP="00EF6FB9">
      <w:pPr>
        <w:pStyle w:val="Normlnywebov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286E16E4" w14:textId="77777777" w:rsidR="00C82C1E" w:rsidRPr="0036594E" w:rsidRDefault="00C82C1E" w:rsidP="00EF6FB9">
      <w:pPr>
        <w:spacing w:before="120" w:line="276" w:lineRule="auto"/>
        <w:rPr>
          <w:rFonts w:ascii="Palatino Linotype" w:hAnsi="Palatino Linotype"/>
          <w:sz w:val="22"/>
          <w:szCs w:val="22"/>
        </w:rPr>
      </w:pPr>
      <w:r w:rsidRPr="0036594E">
        <w:rPr>
          <w:rFonts w:ascii="Palatino Linotype" w:hAnsi="Palatino Linotype"/>
          <w:b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2270E48C" w14:textId="607924BB" w:rsidR="00C82C1E" w:rsidRDefault="00C82C1E" w:rsidP="00EF6FB9">
      <w:pPr>
        <w:pStyle w:val="Normlnywebov"/>
        <w:spacing w:line="276" w:lineRule="auto"/>
        <w:jc w:val="center"/>
      </w:pPr>
    </w:p>
    <w:p w14:paraId="2283078E" w14:textId="3450923B" w:rsidR="000163EF" w:rsidRDefault="000163EF" w:rsidP="00EF6FB9">
      <w:pPr>
        <w:pStyle w:val="Normlnywebov"/>
        <w:spacing w:line="276" w:lineRule="auto"/>
        <w:jc w:val="center"/>
      </w:pPr>
    </w:p>
    <w:p w14:paraId="1206BAFA" w14:textId="0DFA0200" w:rsidR="000163EF" w:rsidRDefault="000163EF" w:rsidP="00EF6FB9">
      <w:pPr>
        <w:pStyle w:val="Normlnywebov"/>
        <w:spacing w:line="276" w:lineRule="auto"/>
        <w:jc w:val="center"/>
      </w:pPr>
    </w:p>
    <w:p w14:paraId="4B2B8321" w14:textId="0D36F856" w:rsidR="000163EF" w:rsidRDefault="000163EF" w:rsidP="00EF6FB9">
      <w:pPr>
        <w:pStyle w:val="Normlnywebov"/>
        <w:spacing w:line="276" w:lineRule="auto"/>
        <w:jc w:val="center"/>
      </w:pPr>
    </w:p>
    <w:p w14:paraId="10E1C3A0" w14:textId="22D8A3A5" w:rsidR="000163EF" w:rsidRDefault="000163EF" w:rsidP="00EF6FB9">
      <w:pPr>
        <w:pStyle w:val="Normlnywebov"/>
        <w:spacing w:line="276" w:lineRule="auto"/>
        <w:jc w:val="center"/>
      </w:pPr>
    </w:p>
    <w:p w14:paraId="6C0AC4A2" w14:textId="5FC14375" w:rsidR="000163EF" w:rsidRDefault="000163EF" w:rsidP="00EF6FB9">
      <w:pPr>
        <w:pStyle w:val="Normlnywebov"/>
        <w:spacing w:line="276" w:lineRule="auto"/>
        <w:jc w:val="center"/>
      </w:pPr>
    </w:p>
    <w:p w14:paraId="1445B9CC" w14:textId="49EEE0A0" w:rsidR="000163EF" w:rsidRDefault="000163EF" w:rsidP="00EF6FB9">
      <w:pPr>
        <w:pStyle w:val="Normlnywebov"/>
        <w:spacing w:line="276" w:lineRule="auto"/>
        <w:jc w:val="center"/>
      </w:pPr>
    </w:p>
    <w:p w14:paraId="6C2C2952" w14:textId="5CF36BA6" w:rsidR="000163EF" w:rsidRDefault="000163EF" w:rsidP="00EF6FB9">
      <w:pPr>
        <w:pStyle w:val="Normlnywebov"/>
        <w:spacing w:line="276" w:lineRule="auto"/>
        <w:jc w:val="center"/>
      </w:pPr>
    </w:p>
    <w:p w14:paraId="0175B3D3" w14:textId="2123D582" w:rsidR="000163EF" w:rsidRDefault="000163EF" w:rsidP="00EF6FB9">
      <w:pPr>
        <w:pStyle w:val="Normlnywebov"/>
        <w:spacing w:line="276" w:lineRule="auto"/>
        <w:jc w:val="center"/>
      </w:pPr>
    </w:p>
    <w:p w14:paraId="76C2B085" w14:textId="516089C6" w:rsidR="000163EF" w:rsidRDefault="000163EF" w:rsidP="00EF6FB9">
      <w:pPr>
        <w:pStyle w:val="Normlnywebov"/>
        <w:spacing w:line="276" w:lineRule="auto"/>
        <w:jc w:val="center"/>
      </w:pPr>
    </w:p>
    <w:p w14:paraId="2738F749" w14:textId="49F7B151" w:rsidR="000163EF" w:rsidRDefault="000163EF" w:rsidP="0036594E">
      <w:pPr>
        <w:pStyle w:val="Normlnywebov"/>
        <w:spacing w:line="276" w:lineRule="auto"/>
      </w:pPr>
    </w:p>
    <w:p w14:paraId="163328AA" w14:textId="6BD4C236" w:rsidR="000163EF" w:rsidRPr="00B47857" w:rsidRDefault="000163EF" w:rsidP="000163EF">
      <w:pPr>
        <w:jc w:val="center"/>
        <w:rPr>
          <w:rFonts w:ascii="Palatino Linotype" w:hAnsi="Palatino Linotype"/>
          <w:b/>
        </w:rPr>
      </w:pPr>
      <w:r w:rsidRPr="00B47857">
        <w:rPr>
          <w:rFonts w:ascii="Palatino Linotype" w:hAnsi="Palatino Linotype"/>
          <w:b/>
        </w:rPr>
        <w:lastRenderedPageBreak/>
        <w:t>Doložka vybraných vplyvov</w:t>
      </w:r>
    </w:p>
    <w:p w14:paraId="43ABBDED" w14:textId="77777777" w:rsidR="000163EF" w:rsidRPr="00B47857" w:rsidRDefault="000163EF" w:rsidP="000163EF">
      <w:pPr>
        <w:spacing w:after="200" w:line="276" w:lineRule="auto"/>
        <w:contextualSpacing/>
        <w:rPr>
          <w:rFonts w:ascii="Palatino Linotype" w:hAnsi="Palatino Linotype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163EF" w:rsidRPr="00802C3C" w14:paraId="181F204E" w14:textId="77777777" w:rsidTr="00C94184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EA20178" w14:textId="77777777" w:rsidR="000163EF" w:rsidRPr="00802C3C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Základné údaje</w:t>
            </w:r>
          </w:p>
        </w:tc>
      </w:tr>
      <w:tr w:rsidR="000163EF" w:rsidRPr="00802C3C" w14:paraId="5BCFFF7C" w14:textId="77777777" w:rsidTr="00C94184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7D26FD4A" w14:textId="77777777" w:rsidR="000163EF" w:rsidRPr="00802C3C" w:rsidRDefault="000163EF" w:rsidP="00C94184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Názov návrhu zákona</w:t>
            </w:r>
          </w:p>
        </w:tc>
      </w:tr>
      <w:tr w:rsidR="000163EF" w:rsidRPr="00802C3C" w14:paraId="0F54544D" w14:textId="77777777" w:rsidTr="00C94184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086E6CE5" w14:textId="5B7D578B" w:rsidR="000163EF" w:rsidRPr="0021494A" w:rsidRDefault="0021494A" w:rsidP="0021494A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color w:val="000000"/>
                <w:sz w:val="22"/>
                <w:szCs w:val="22"/>
              </w:rPr>
              <w:t>N</w:t>
            </w:r>
            <w:r w:rsidRPr="0021494A">
              <w:rPr>
                <w:rFonts w:ascii="Palatino Linotype" w:hAnsi="Palatino Linotype"/>
                <w:sz w:val="22"/>
                <w:szCs w:val="22"/>
              </w:rPr>
              <w:t xml:space="preserve">ávrh zákona, ktorým sa mení </w:t>
            </w:r>
            <w:r w:rsidR="00063CB8">
              <w:rPr>
                <w:rFonts w:ascii="Palatino Linotype" w:hAnsi="Palatino Linotype"/>
                <w:sz w:val="22"/>
                <w:szCs w:val="22"/>
              </w:rPr>
              <w:t xml:space="preserve">a dopĺňa </w:t>
            </w:r>
            <w:r w:rsidRPr="0021494A">
              <w:rPr>
                <w:rFonts w:ascii="Palatino Linotype" w:hAnsi="Palatino Linotype"/>
                <w:sz w:val="22"/>
                <w:szCs w:val="22"/>
              </w:rPr>
              <w:t>zákon č. 461/2003 Z. z. o sociálnom poistení v znení neskorších predpisov</w:t>
            </w:r>
          </w:p>
        </w:tc>
      </w:tr>
      <w:tr w:rsidR="000163EF" w:rsidRPr="00802C3C" w14:paraId="055EF17E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132CFE9" w14:textId="77777777" w:rsidR="000163EF" w:rsidRPr="00802C3C" w:rsidRDefault="000163EF" w:rsidP="00C94184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Navrhovateľ</w:t>
            </w:r>
          </w:p>
        </w:tc>
      </w:tr>
      <w:tr w:rsidR="000163EF" w:rsidRPr="00802C3C" w14:paraId="459E51FB" w14:textId="77777777" w:rsidTr="00C94184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32C11" w14:textId="04275762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 xml:space="preserve">poslanci Národnej rady Slovenskej republiky </w:t>
            </w:r>
            <w:r w:rsidR="004C72C7">
              <w:rPr>
                <w:rFonts w:ascii="Palatino Linotype" w:hAnsi="Palatino Linotype"/>
                <w:sz w:val="22"/>
                <w:szCs w:val="22"/>
                <w:lang w:eastAsia="sk-SK"/>
              </w:rPr>
              <w:t xml:space="preserve">Ján Horecký, </w:t>
            </w:r>
            <w:r w:rsidR="0021494A" w:rsidRPr="0021494A">
              <w:rPr>
                <w:rFonts w:ascii="Palatino Linotype" w:hAnsi="Palatino Linotype"/>
                <w:sz w:val="22"/>
                <w:szCs w:val="22"/>
              </w:rPr>
              <w:t>Jozef Hajko</w:t>
            </w:r>
            <w:r w:rsidRPr="0021494A">
              <w:rPr>
                <w:rFonts w:ascii="Palatino Linotype" w:hAnsi="Palatino Linotype"/>
                <w:sz w:val="22"/>
                <w:szCs w:val="22"/>
              </w:rPr>
              <w:t xml:space="preserve"> a</w:t>
            </w:r>
            <w:r w:rsidR="004C72C7">
              <w:rPr>
                <w:rFonts w:ascii="Palatino Linotype" w:hAnsi="Palatino Linotype"/>
                <w:sz w:val="22"/>
                <w:szCs w:val="22"/>
              </w:rPr>
              <w:t> Andrea Turčanová</w:t>
            </w:r>
          </w:p>
        </w:tc>
      </w:tr>
      <w:tr w:rsidR="000163EF" w:rsidRPr="00802C3C" w14:paraId="73ABF169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BBE0CC" w14:textId="77777777" w:rsidR="000163EF" w:rsidRPr="00802C3C" w:rsidRDefault="000163EF" w:rsidP="00C94184">
            <w:pPr>
              <w:rPr>
                <w:rFonts w:ascii="Palatino Linotype" w:hAnsi="Palatino Linotype"/>
                <w:lang w:eastAsia="sk-SK"/>
              </w:rPr>
            </w:pPr>
          </w:p>
        </w:tc>
      </w:tr>
      <w:tr w:rsidR="000163EF" w:rsidRPr="00802C3C" w14:paraId="481DE726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6593A4A" w14:textId="77777777" w:rsidR="000163EF" w:rsidRPr="00802C3C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Definovanie problému</w:t>
            </w:r>
          </w:p>
        </w:tc>
      </w:tr>
      <w:tr w:rsidR="000163EF" w:rsidRPr="0021494A" w14:paraId="3D360D5D" w14:textId="77777777" w:rsidTr="00C94184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7479" w14:textId="0A09A9D2" w:rsidR="000163EF" w:rsidRPr="0021494A" w:rsidRDefault="000163EF" w:rsidP="002C26F2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Pod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ľa aktuá</w:t>
            </w:r>
            <w:r w:rsid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lnej právnej úpravy musí študent denného štúdia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platiť odvody do Sociálnej poisťovne akonáhle presiahne jeho príjem 200 eur mesačne</w:t>
            </w:r>
            <w:r w:rsidR="001F31BE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, pričom táto hranica odpočítateľnej položky sa dlhé roky nezvyšovala a pôsobí demotivačne k uzatváraniu dohôd o brigádnickej práci</w:t>
            </w:r>
            <w:r w:rsidR="001716C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</w:t>
            </w:r>
            <w:r w:rsidR="001716CC"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a/alebo pracovných zmlúv</w:t>
            </w:r>
            <w:r w:rsidR="0075523C" w:rsidRPr="008F009D">
              <w:rPr>
                <w:rFonts w:ascii="Palatino Linotype" w:hAnsi="Palatino Linotype"/>
                <w:sz w:val="22"/>
                <w:szCs w:val="22"/>
              </w:rPr>
              <w:t xml:space="preserve"> so študentami</w:t>
            </w:r>
            <w:r w:rsidR="001224E1" w:rsidRPr="008F009D">
              <w:rPr>
                <w:rFonts w:ascii="Palatino Linotype" w:hAnsi="Palatino Linotype"/>
                <w:sz w:val="22"/>
                <w:szCs w:val="22"/>
              </w:rPr>
              <w:t xml:space="preserve"> dennej formy štúdia.</w:t>
            </w:r>
          </w:p>
        </w:tc>
      </w:tr>
      <w:tr w:rsidR="000163EF" w:rsidRPr="0021494A" w14:paraId="18575EF2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DAB8698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Ciele a výsledný stav</w:t>
            </w:r>
          </w:p>
        </w:tc>
      </w:tr>
      <w:tr w:rsidR="000163EF" w:rsidRPr="0021494A" w14:paraId="6F001D0A" w14:textId="77777777" w:rsidTr="00C94184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28B4" w14:textId="1B4D57E7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Cieľom navrhovanej právnej úpravy je 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odstrániť príjmový strop u odvodovej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</w:t>
            </w:r>
            <w:r w:rsidR="0021494A" w:rsidRPr="0021494A">
              <w:rPr>
                <w:rFonts w:ascii="Palatino Linotype" w:hAnsi="Palatino Linotype"/>
                <w:sz w:val="22"/>
                <w:szCs w:val="22"/>
              </w:rPr>
              <w:t xml:space="preserve">odpočítateľnej položky pri </w:t>
            </w:r>
            <w:r w:rsidR="008F009D">
              <w:rPr>
                <w:rFonts w:ascii="Palatino Linotype" w:hAnsi="Palatino Linotype"/>
                <w:sz w:val="22"/>
                <w:szCs w:val="22"/>
              </w:rPr>
              <w:t xml:space="preserve">všetkých druhoch pracovných pomerov </w:t>
            </w:r>
            <w:r w:rsidR="0021494A" w:rsidRPr="0021494A">
              <w:rPr>
                <w:rFonts w:ascii="Palatino Linotype" w:hAnsi="Palatino Linotype"/>
                <w:sz w:val="22"/>
                <w:szCs w:val="22"/>
              </w:rPr>
              <w:t>študentov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</w:t>
            </w:r>
            <w:r w:rsidR="001224E1"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dennej formy štúdia</w:t>
            </w:r>
            <w:r w:rsid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a </w:t>
            </w:r>
            <w:r w:rsidR="008F009D" w:rsidRPr="008F009D">
              <w:rPr>
                <w:rFonts w:ascii="Palatino Linotype" w:hAnsi="Palatino Linotype"/>
                <w:sz w:val="22"/>
                <w:szCs w:val="22"/>
              </w:rPr>
              <w:t>pedagogických zamestnancov kandidátov</w:t>
            </w:r>
            <w:r w:rsidR="001224E1"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tak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,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aby sa podporilo zamestnávanie študentov a zároveň zamedzilo nárastu šedej ekonomiky. </w:t>
            </w:r>
          </w:p>
          <w:p w14:paraId="0140637A" w14:textId="77777777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</w:p>
          <w:p w14:paraId="1E34E9F5" w14:textId="55EA93A5" w:rsidR="000163EF" w:rsidRPr="0021494A" w:rsidRDefault="000163EF" w:rsidP="001716CC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Pozitívom navrhovanej úpravy bude </w:t>
            </w:r>
            <w:r w:rsidR="004741C4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vyšš</w:t>
            </w:r>
            <w:r w:rsidR="001716CC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ia</w:t>
            </w:r>
            <w:r w:rsidR="004741C4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</w:t>
            </w:r>
            <w:r w:rsidR="001716CC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zamestnanosť</w:t>
            </w:r>
            <w:r w:rsidR="004741C4" w:rsidRPr="008F009D">
              <w:rPr>
                <w:rFonts w:ascii="Palatino Linotype" w:hAnsi="Palatino Linotype"/>
                <w:sz w:val="22"/>
                <w:szCs w:val="22"/>
              </w:rPr>
              <w:t xml:space="preserve"> študentov </w:t>
            </w:r>
            <w:r w:rsidR="001716CC" w:rsidRPr="008F009D">
              <w:rPr>
                <w:rFonts w:ascii="Palatino Linotype" w:hAnsi="Palatino Linotype"/>
                <w:sz w:val="22"/>
                <w:szCs w:val="22"/>
              </w:rPr>
              <w:t>denného štúdia</w:t>
            </w:r>
            <w:r w:rsidR="001716C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4741C4"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a</w:t>
            </w:r>
            <w:r w:rsidR="004741C4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ko aj </w:t>
            </w:r>
            <w:r w:rsidR="004741C4"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</w:t>
            </w:r>
            <w:r w:rsidR="004741C4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vyššia </w:t>
            </w:r>
            <w:r w:rsidR="004741C4"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výš</w:t>
            </w:r>
            <w:r w:rsidR="004741C4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ka dohodnutých odmien, čo zároveň bude znamenať</w:t>
            </w:r>
            <w:r w:rsidR="004741C4"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eliminovanie negatívneho dosahu zvýšenia odpočítateľnej položky na Sociálnu poisťovňu a vyšší kumulatívny dodatočný výber odvodov v prospech Sociálnej poisťovne </w:t>
            </w:r>
            <w:r w:rsidR="004741C4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práve </w:t>
            </w:r>
            <w:r w:rsidR="004741C4"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 vyšších odmien a väčšieho počtu zmlúv</w:t>
            </w:r>
            <w:r w:rsidR="004741C4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.</w:t>
            </w:r>
            <w:r w:rsidR="001224E1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</w:t>
            </w:r>
            <w:r w:rsidR="001224E1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Zvýši sa podiel čerstvých absolventov stredných a vysokých škôl s</w:t>
            </w:r>
            <w:r w:rsidR="008C26AD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 </w:t>
            </w:r>
            <w:r w:rsidR="001224E1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praxou</w:t>
            </w:r>
            <w:r w:rsidR="008C26AD" w:rsidRPr="008F009D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, čo má pozitívny vplyv na ich uplatnenie na trhu práce. Zatraktívni sa život a práca na Slovensku pre mladých ľudí.</w:t>
            </w:r>
          </w:p>
        </w:tc>
      </w:tr>
      <w:tr w:rsidR="000163EF" w:rsidRPr="0021494A" w14:paraId="75959DEA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2670772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Dotknuté subjekty</w:t>
            </w:r>
          </w:p>
        </w:tc>
      </w:tr>
      <w:tr w:rsidR="000163EF" w:rsidRPr="0021494A" w14:paraId="09E24AD0" w14:textId="77777777" w:rsidTr="00C94184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823CE" w14:textId="76DBDF4A" w:rsidR="000163EF" w:rsidRPr="008F009D" w:rsidRDefault="000163EF" w:rsidP="001716CC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Návrh zákona sa týka všetkých </w:t>
            </w:r>
            <w:r w:rsidR="001716CC"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študentov </w:t>
            </w:r>
            <w:bookmarkStart w:id="0" w:name="_GoBack"/>
            <w:bookmarkEnd w:id="0"/>
            <w:r w:rsidR="001716CC"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dennej formy štúdia, zamestnaných na základe pracovnej zmluvy alebo dohody o vykonaní práce alebo dohody o pracovnej činnosti a ich zamestnávateľov v </w:t>
            </w:r>
            <w:r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Slovenskej republik</w:t>
            </w:r>
            <w:r w:rsidR="001716CC" w:rsidRPr="008F009D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e.</w:t>
            </w:r>
          </w:p>
        </w:tc>
      </w:tr>
      <w:tr w:rsidR="000163EF" w:rsidRPr="0021494A" w14:paraId="08D07281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5CD126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Alternatívne riešenia</w:t>
            </w:r>
          </w:p>
        </w:tc>
      </w:tr>
      <w:tr w:rsidR="000163EF" w:rsidRPr="0021494A" w14:paraId="72AC3425" w14:textId="77777777" w:rsidTr="00C94184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56E38" w14:textId="0FDBFDD6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Alternatívne riešenie by mohlo byť zvýšenie</w:t>
            </w:r>
            <w:r w:rsidR="00431FDB"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, a nie zrušenie príjmového stropu u</w:t>
            </w:r>
            <w:r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</w:t>
            </w:r>
            <w:r w:rsidR="00431FDB" w:rsidRPr="00431FDB">
              <w:rPr>
                <w:rFonts w:ascii="Palatino Linotype" w:hAnsi="Palatino Linotype"/>
                <w:sz w:val="22"/>
                <w:szCs w:val="22"/>
              </w:rPr>
              <w:t xml:space="preserve">odpočítateľnej položky </w:t>
            </w:r>
            <w:r w:rsidR="0021494A" w:rsidRPr="00431FDB">
              <w:rPr>
                <w:rFonts w:ascii="Palatino Linotype" w:hAnsi="Palatino Linotype"/>
                <w:sz w:val="22"/>
                <w:szCs w:val="22"/>
              </w:rPr>
              <w:t xml:space="preserve">pri </w:t>
            </w:r>
            <w:r w:rsidR="001716CC" w:rsidRPr="00431FDB">
              <w:rPr>
                <w:rFonts w:ascii="Palatino Linotype" w:hAnsi="Palatino Linotype"/>
                <w:sz w:val="22"/>
                <w:szCs w:val="22"/>
              </w:rPr>
              <w:t xml:space="preserve">zmluvách o pracovnej činnosti, </w:t>
            </w:r>
            <w:r w:rsidR="0021494A" w:rsidRPr="00431FDB">
              <w:rPr>
                <w:rFonts w:ascii="Palatino Linotype" w:hAnsi="Palatino Linotype"/>
                <w:sz w:val="22"/>
                <w:szCs w:val="22"/>
              </w:rPr>
              <w:t>dohodách o brigádnickej práce študentov a</w:t>
            </w:r>
            <w:r w:rsidR="0075523C" w:rsidRPr="00431FDB">
              <w:rPr>
                <w:rFonts w:ascii="Palatino Linotype" w:hAnsi="Palatino Linotype"/>
                <w:sz w:val="22"/>
                <w:szCs w:val="22"/>
              </w:rPr>
              <w:t xml:space="preserve"> aj </w:t>
            </w:r>
            <w:r w:rsidR="0021494A" w:rsidRPr="00431FDB">
              <w:rPr>
                <w:rFonts w:ascii="Palatino Linotype" w:hAnsi="Palatino Linotype"/>
                <w:sz w:val="22"/>
                <w:szCs w:val="22"/>
              </w:rPr>
              <w:t xml:space="preserve">dohodách o vykonaní práce alebo dohodách o pracovnej činnosti </w:t>
            </w:r>
            <w:r w:rsidR="0075523C" w:rsidRPr="00431FDB">
              <w:rPr>
                <w:rFonts w:ascii="Palatino Linotype" w:hAnsi="Palatino Linotype"/>
                <w:sz w:val="22"/>
                <w:szCs w:val="22"/>
              </w:rPr>
              <w:t>v plnej výške</w:t>
            </w:r>
            <w:r w:rsidR="00C43078" w:rsidRPr="00431FDB">
              <w:rPr>
                <w:rFonts w:ascii="Palatino Linotype" w:hAnsi="Palatino Linotype"/>
                <w:sz w:val="22"/>
                <w:szCs w:val="22"/>
              </w:rPr>
              <w:t xml:space="preserve"> pre študentov internej formy denného štúdia a ich zamestnávateľov</w:t>
            </w:r>
            <w:r w:rsidR="00431FDB"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.</w:t>
            </w:r>
          </w:p>
          <w:p w14:paraId="14222C65" w14:textId="77777777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</w:p>
          <w:p w14:paraId="7E0DCE31" w14:textId="417DEFF4" w:rsidR="000163EF" w:rsidRPr="0021494A" w:rsidRDefault="000163EF" w:rsidP="002C26F2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Nulový variant by znamenal ponechanie </w:t>
            </w:r>
            <w:r w:rsid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dnešnej</w:t>
            </w:r>
            <w:r w:rsidR="00C94184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nízkej a silno demotivačnej hranice </w:t>
            </w:r>
            <w:r w:rsidR="0021494A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sumy odpočítateľnej položky z </w:t>
            </w:r>
            <w:r w:rsidR="00C94184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platenia odvodov pre študentov – dohodárov. Ponechanie takejto hranice nepriamo podporuje sivú ekonomiku, 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a teda </w:t>
            </w:r>
            <w:r w:rsidR="00C94184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vyplácanie dohodárov „na ruku“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u príjmov nad príjmovým stropom na platenie odvodov</w:t>
            </w:r>
            <w:r w:rsidR="00C94184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.</w:t>
            </w:r>
          </w:p>
        </w:tc>
      </w:tr>
      <w:tr w:rsidR="000163EF" w:rsidRPr="0021494A" w14:paraId="274B33A4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3596381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Vykonávacie predpisy</w:t>
            </w:r>
          </w:p>
        </w:tc>
      </w:tr>
      <w:tr w:rsidR="000163EF" w:rsidRPr="0021494A" w14:paraId="6F1FFADD" w14:textId="77777777" w:rsidTr="00C94184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8E403" w14:textId="77777777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163EF" w:rsidRPr="0021494A" w14:paraId="3235FD6F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E7DDD5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 xml:space="preserve">Transpozícia práva EÚ </w:t>
            </w:r>
          </w:p>
        </w:tc>
      </w:tr>
      <w:tr w:rsidR="000163EF" w:rsidRPr="0021494A" w14:paraId="60F06755" w14:textId="77777777" w:rsidTr="00C94184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C4868FC" w14:textId="77777777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Neaplikuje sa v tomto prípade.</w:t>
            </w:r>
          </w:p>
        </w:tc>
      </w:tr>
      <w:tr w:rsidR="000163EF" w:rsidRPr="0021494A" w14:paraId="3471FFC3" w14:textId="77777777" w:rsidTr="00C94184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5ACC" w14:textId="77777777" w:rsidR="000163EF" w:rsidRDefault="000163EF" w:rsidP="0021494A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</w:p>
          <w:p w14:paraId="01B91547" w14:textId="6986ABF2" w:rsidR="00111AF9" w:rsidRPr="0021494A" w:rsidRDefault="00111AF9" w:rsidP="0021494A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</w:p>
        </w:tc>
      </w:tr>
      <w:tr w:rsidR="000163EF" w:rsidRPr="0021494A" w14:paraId="4F97E01E" w14:textId="77777777" w:rsidTr="00C94184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6DB3D0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Preskúmanie účelnosti</w:t>
            </w:r>
          </w:p>
        </w:tc>
      </w:tr>
      <w:tr w:rsidR="000163EF" w:rsidRPr="0021494A" w14:paraId="1D8DC9C8" w14:textId="77777777" w:rsidTr="00C94184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DC986" w14:textId="59A139C3" w:rsidR="000163EF" w:rsidRPr="0021494A" w:rsidRDefault="000163EF" w:rsidP="00C94184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Navrhujeme preskúmanie účinnosti a účelnosti a zároveň vyhodnotenie vplyvov tejto právnej úpravy po 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dvoch</w:t>
            </w: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rok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och</w:t>
            </w: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od jej prijatia.</w:t>
            </w:r>
          </w:p>
          <w:p w14:paraId="44A8DF5D" w14:textId="0CEB8D06" w:rsidR="000163EF" w:rsidRPr="0021494A" w:rsidRDefault="000163EF" w:rsidP="00C43078">
            <w:pPr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Ako kritérium navrhujeme prieskum spokojnosti u vybranej vzorky </w:t>
            </w:r>
            <w:r w:rsidR="0075523C"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študentov</w:t>
            </w:r>
            <w:r w:rsidR="00C43078"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denného štúdia</w:t>
            </w:r>
            <w:r w:rsidR="00C94184" w:rsidRPr="00431FDB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,</w:t>
            </w:r>
            <w:r w:rsidR="00C94184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 </w:t>
            </w:r>
            <w:r w:rsidR="0075523C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ako aj zamestnávateľov </w:t>
            </w:r>
            <w:r w:rsidR="00C94184"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 xml:space="preserve">. </w:t>
            </w:r>
          </w:p>
        </w:tc>
      </w:tr>
      <w:tr w:rsidR="000163EF" w:rsidRPr="0021494A" w14:paraId="27289EA8" w14:textId="77777777" w:rsidTr="00C94184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382ACB6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Vybrané vplyvy materiálu</w:t>
            </w:r>
          </w:p>
        </w:tc>
      </w:tr>
      <w:tr w:rsidR="000163EF" w:rsidRPr="0021494A" w14:paraId="2268E23B" w14:textId="77777777" w:rsidTr="00C9418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5B5305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68CC54D" w14:textId="484CD780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79F6AF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F97E00" w14:textId="3467E7E1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63AB74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EB558BC" w14:textId="251C4472" w:rsidR="000163EF" w:rsidRPr="0021494A" w:rsidRDefault="000163EF" w:rsidP="00C94184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19E4BC" w14:textId="77777777" w:rsidR="000163EF" w:rsidRPr="0021494A" w:rsidRDefault="000163EF" w:rsidP="00C94184">
            <w:pPr>
              <w:ind w:left="3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  <w:tr w:rsidR="000163EF" w:rsidRPr="0021494A" w14:paraId="142588DC" w14:textId="77777777" w:rsidTr="00C9418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CBBB46C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 xml:space="preserve">    z toho rozpočtovo zabezpečené vplyvy,         </w:t>
            </w:r>
          </w:p>
          <w:p w14:paraId="3805558C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 xml:space="preserve">    v prípade identifikovaného negatívneho </w:t>
            </w:r>
          </w:p>
          <w:p w14:paraId="3FAFAC2F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6D561F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8DD54D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E3CD658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F7D2F8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4656E99" w14:textId="77777777" w:rsidR="000163EF" w:rsidRPr="0021494A" w:rsidRDefault="000163EF" w:rsidP="00C94184">
                <w:pPr>
                  <w:ind w:left="-107" w:right="-108"/>
                  <w:jc w:val="center"/>
                  <w:rPr>
                    <w:rFonts w:ascii="Palatino Linotype" w:hAnsi="Palatino Linotype"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50E31D" w14:textId="77777777" w:rsidR="000163EF" w:rsidRPr="0021494A" w:rsidRDefault="000163EF" w:rsidP="00C94184">
            <w:pPr>
              <w:ind w:left="34"/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Čiastočne</w:t>
            </w:r>
          </w:p>
        </w:tc>
      </w:tr>
      <w:tr w:rsidR="000163EF" w:rsidRPr="0021494A" w14:paraId="5DEBF872" w14:textId="77777777" w:rsidTr="00C9418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0011AC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0B2E4B4" w14:textId="618854D3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FC928D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98EF7CC" w14:textId="432BC978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C53F60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61D1FCB" w14:textId="2E5A4455" w:rsidR="000163EF" w:rsidRPr="0021494A" w:rsidRDefault="000163EF" w:rsidP="00C94184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596105" w14:textId="77777777" w:rsidR="000163EF" w:rsidRPr="0021494A" w:rsidRDefault="000163EF" w:rsidP="00C94184">
            <w:pPr>
              <w:ind w:left="3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  <w:tr w:rsidR="000163EF" w:rsidRPr="0021494A" w14:paraId="0DE4EAB7" w14:textId="77777777" w:rsidTr="00C9418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40A72287" w14:textId="77777777" w:rsidR="000163EF" w:rsidRPr="0021494A" w:rsidRDefault="000163EF" w:rsidP="00C94184">
            <w:pPr>
              <w:ind w:left="171"/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z toho rozpočtovo zabezpečené vplyvy,</w:t>
            </w:r>
          </w:p>
          <w:p w14:paraId="66E46B35" w14:textId="77777777" w:rsidR="000163EF" w:rsidRPr="0021494A" w:rsidRDefault="000163EF" w:rsidP="00C94184">
            <w:pPr>
              <w:ind w:left="171"/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3F1CC1C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3031AD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9EE9C15" w14:textId="52F7F1E3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E68A20" w14:textId="77777777" w:rsidR="000163EF" w:rsidRPr="0021494A" w:rsidRDefault="000163EF" w:rsidP="00C94184">
            <w:pPr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44DC5D1" w14:textId="77777777" w:rsidR="000163EF" w:rsidRPr="0021494A" w:rsidRDefault="000163EF" w:rsidP="00C94184">
                <w:pPr>
                  <w:ind w:left="-107" w:right="-108"/>
                  <w:jc w:val="center"/>
                  <w:rPr>
                    <w:rFonts w:ascii="Palatino Linotype" w:hAnsi="Palatino Linotype"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AAB4BF" w14:textId="77777777" w:rsidR="000163EF" w:rsidRPr="0021494A" w:rsidRDefault="000163EF" w:rsidP="00C94184">
            <w:pPr>
              <w:ind w:left="34"/>
              <w:rPr>
                <w:rFonts w:ascii="Palatino Linotype" w:hAnsi="Palatino Linotype"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>Čiastočne</w:t>
            </w:r>
          </w:p>
        </w:tc>
      </w:tr>
      <w:tr w:rsidR="000163EF" w:rsidRPr="0021494A" w14:paraId="27CEEDCE" w14:textId="77777777" w:rsidTr="00C9418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0D348A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FA5659A" w14:textId="3368611B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37AC1F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DD2FFBE" w14:textId="4D8D8690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AA1E19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3518B82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61DFAE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  <w:tr w:rsidR="000163EF" w:rsidRPr="0021494A" w14:paraId="3E5CC6AA" w14:textId="77777777" w:rsidTr="00C9418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885B846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sz w:val="22"/>
                <w:szCs w:val="22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B375C" w14:textId="77777777" w:rsidR="000163EF" w:rsidRPr="0021494A" w:rsidRDefault="000163EF" w:rsidP="00C9418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7ADC5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2473D" w14:textId="77777777" w:rsidR="000163EF" w:rsidRPr="0021494A" w:rsidRDefault="000163EF" w:rsidP="00C9418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3E5D9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584E1" w14:textId="77777777" w:rsidR="000163EF" w:rsidRPr="0021494A" w:rsidRDefault="000163EF" w:rsidP="00C9418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9DC7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</w:p>
        </w:tc>
      </w:tr>
      <w:tr w:rsidR="000163EF" w:rsidRPr="0021494A" w14:paraId="3AE96B80" w14:textId="77777777" w:rsidTr="00C9418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3E4CC4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Sociálne vplyvy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913A8FC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A4B6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29B9CD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9C597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ADFCB5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49734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  <w:tr w:rsidR="000163EF" w:rsidRPr="0021494A" w14:paraId="5CFED3D1" w14:textId="77777777" w:rsidTr="00C9418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7CDDD86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FB83739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B3B81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A96ADBE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3F876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AFA7AD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06566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  <w:tr w:rsidR="000163EF" w:rsidRPr="0021494A" w14:paraId="28A0A369" w14:textId="77777777" w:rsidTr="00C9418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710E9FE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EED92C9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4F6DF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41F9848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20919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C40987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6D36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163EF" w:rsidRPr="0021494A" w14:paraId="6E587AAE" w14:textId="77777777" w:rsidTr="00C9418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A9B11C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C6154" w14:textId="77777777" w:rsidR="000163EF" w:rsidRPr="0021494A" w:rsidRDefault="000163EF" w:rsidP="00C94184">
            <w:pPr>
              <w:rPr>
                <w:rFonts w:ascii="Palatino Linotype" w:eastAsia="MS Mincho" w:hAnsi="Palatino Linotype"/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EAB67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29119" w14:textId="77777777" w:rsidR="000163EF" w:rsidRPr="0021494A" w:rsidRDefault="000163EF" w:rsidP="00C94184">
            <w:pPr>
              <w:jc w:val="center"/>
              <w:rPr>
                <w:rFonts w:ascii="Palatino Linotype" w:eastAsia="MS Mincho" w:hAnsi="Palatino Linotype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5172A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6911B" w14:textId="77777777" w:rsidR="000163EF" w:rsidRPr="0021494A" w:rsidRDefault="000163EF" w:rsidP="00C94184">
            <w:pPr>
              <w:jc w:val="center"/>
              <w:rPr>
                <w:rFonts w:ascii="Palatino Linotype" w:eastAsia="MS Mincho" w:hAnsi="Palatino Linotype"/>
                <w:b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B99365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0163EF" w:rsidRPr="0021494A" w14:paraId="60668CEA" w14:textId="77777777" w:rsidTr="00C9418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67621E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02BEAF2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E11BC7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9F3A7A4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730C48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FAAE77E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7FB59A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163EF" w:rsidRPr="0021494A" w14:paraId="48F38C37" w14:textId="77777777" w:rsidTr="00C9418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938E125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</w:rPr>
              <w:t>Vplyvy na manželstvo, rodičovstvo, rodinu a deti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22371C" w14:textId="206A3C6A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911E1" w14:textId="77777777" w:rsidR="000163EF" w:rsidRPr="0021494A" w:rsidRDefault="000163EF" w:rsidP="00C94184">
            <w:pPr>
              <w:ind w:right="-108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1F9D03" w14:textId="78F545C9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73F61" w14:textId="77777777" w:rsidR="000163EF" w:rsidRPr="0021494A" w:rsidRDefault="000163EF" w:rsidP="00C94184">
            <w:pPr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A72410" w14:textId="77777777" w:rsidR="000163EF" w:rsidRPr="0021494A" w:rsidRDefault="000163EF" w:rsidP="00C94184">
                <w:pPr>
                  <w:jc w:val="center"/>
                  <w:rPr>
                    <w:rFonts w:ascii="Palatino Linotype" w:hAnsi="Palatino Linotype"/>
                    <w:b/>
                    <w:sz w:val="22"/>
                    <w:szCs w:val="22"/>
                    <w:lang w:eastAsia="sk-SK"/>
                  </w:rPr>
                </w:pPr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39A8" w14:textId="77777777" w:rsidR="000163EF" w:rsidRPr="0021494A" w:rsidRDefault="000163EF" w:rsidP="00C94184">
            <w:pPr>
              <w:ind w:left="54"/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>Negatívne</w:t>
            </w:r>
          </w:p>
        </w:tc>
      </w:tr>
    </w:tbl>
    <w:p w14:paraId="4256FDF0" w14:textId="77777777" w:rsidR="000163EF" w:rsidRPr="0021494A" w:rsidRDefault="000163EF" w:rsidP="000163EF">
      <w:pPr>
        <w:ind w:right="141"/>
        <w:rPr>
          <w:rFonts w:ascii="Palatino Linotype" w:hAnsi="Palatino Linotype"/>
          <w:b/>
          <w:sz w:val="22"/>
          <w:szCs w:val="22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163EF" w:rsidRPr="0021494A" w14:paraId="4B13C52A" w14:textId="77777777" w:rsidTr="00C9418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E58ADE4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Poznámky</w:t>
            </w:r>
          </w:p>
        </w:tc>
      </w:tr>
      <w:tr w:rsidR="000163EF" w:rsidRPr="0021494A" w14:paraId="50B894E3" w14:textId="77777777" w:rsidTr="00C94184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F96" w14:textId="281E2B5E" w:rsidR="000163EF" w:rsidRPr="0021494A" w:rsidRDefault="000163EF" w:rsidP="000163EF">
            <w:pPr>
              <w:spacing w:before="120" w:line="276" w:lineRule="auto"/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Predkladaný návrh zákona bude mať v prípade statického zachovania objemu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pracovných zmlúv a </w:t>
            </w:r>
            <w:r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dohôd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o brigádnickej práci študentov  negatívny dosah na verejné financie, pretože sa zníži výber odvodov v prospech Sociálnej poisťovne. Na druhej strane však možno predpokladať, že záujem zamestnávateľov a rovnako študentov o uzatváranie zmlúv stúpne, </w:t>
            </w:r>
            <w:r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pretože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zmluvy a </w:t>
            </w:r>
            <w:r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dohody s upravenou odpočítateľnou položkou budú atraktívnejšie. Možno očakávať, že vzrastie počet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študentov denného štúdia s praxou</w:t>
            </w:r>
            <w:r w:rsidR="00C43078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a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výška dohodnutých odmien. Výsledkom bude eliminovanie negatívneho dosahu zvýšenia odpočítateľnej položky na Sociálnu poisťovňu a vyšší kumulatívny dodatočný výber odvodov v prospech 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lastRenderedPageBreak/>
              <w:t>Sociálnej poisťovne z vyšších odmien a väčšieho počtu zmlúv.</w:t>
            </w:r>
            <w:r w:rsidRPr="0021494A"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  <w:t xml:space="preserve"> </w:t>
            </w:r>
          </w:p>
          <w:p w14:paraId="79E4492D" w14:textId="77777777" w:rsidR="000163EF" w:rsidRPr="0021494A" w:rsidRDefault="000163EF" w:rsidP="000163EF">
            <w:pPr>
              <w:spacing w:before="120" w:line="276" w:lineRule="auto"/>
              <w:rPr>
                <w:rFonts w:ascii="Palatino Linotype" w:hAnsi="Palatino Linotype"/>
                <w:b/>
                <w:bCs/>
                <w:iCs/>
                <w:color w:val="000000"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b/>
                <w:bCs/>
                <w:iCs/>
                <w:color w:val="000000"/>
                <w:sz w:val="22"/>
                <w:szCs w:val="22"/>
              </w:rPr>
              <w:t>Vplyv na podnikateľské prostredie</w:t>
            </w:r>
          </w:p>
          <w:p w14:paraId="45D84F8A" w14:textId="2186C945" w:rsidR="000163EF" w:rsidRPr="0021494A" w:rsidRDefault="000163EF" w:rsidP="000163EF">
            <w:pPr>
              <w:spacing w:before="120" w:line="276" w:lineRule="auto"/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Predkladaný návrh zákona bude mať pozitívny vplyv na podnikateľské prostredie a zamestnanosť. Záujem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zamestnať</w:t>
            </w:r>
            <w:r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študentov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denného štúdia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stúpne, pretože zamestnávateľom klesne odvodové zaťaženie a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študentom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vzrastie čistý príjem z vykonanej práce. Zmena zákona pomôže riešiť problémy zamestnávateľom, ktorí zápasia s nedostatkom pracovníkov. Pracovný trh sa spružní, pretože v prípade angažovania študentov ide často o výpomoci zamestnávateľom popri zamestnávaní bežných zamestnancov na trvalý pracovný pomer. Ak sa priestor na angažovanie študentov rozšíri, tento segment umožní zamestnávateľom  pružne reagovať napríklad na zabezpečovanie nárazových zakázok.</w:t>
            </w:r>
            <w:r w:rsidR="00C43078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Zároveň sa zvýši počet čerstvých absolventov s</w:t>
            </w:r>
            <w:r w:rsidR="00431FDB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 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praxou</w:t>
            </w:r>
            <w:r w:rsidR="00431FDB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,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a tým aj ich šanca na uplatnenie sa na pracovnom trhu.</w:t>
            </w:r>
          </w:p>
          <w:p w14:paraId="16703548" w14:textId="77777777" w:rsidR="000163EF" w:rsidRPr="0021494A" w:rsidRDefault="000163EF" w:rsidP="000163EF">
            <w:pPr>
              <w:spacing w:before="120" w:line="276" w:lineRule="auto"/>
              <w:rPr>
                <w:rFonts w:ascii="Palatino Linotype" w:hAnsi="Palatino Linotype"/>
                <w:b/>
                <w:bCs/>
                <w:iCs/>
                <w:color w:val="000000"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b/>
                <w:bCs/>
                <w:iCs/>
                <w:color w:val="000000"/>
                <w:sz w:val="22"/>
                <w:szCs w:val="22"/>
              </w:rPr>
              <w:t xml:space="preserve">Sociálne vplyvy </w:t>
            </w:r>
          </w:p>
          <w:p w14:paraId="507FC515" w14:textId="793E84E8" w:rsidR="000163EF" w:rsidRPr="0021494A" w:rsidRDefault="000163EF" w:rsidP="002C26F2">
            <w:pPr>
              <w:spacing w:before="120" w:line="276" w:lineRule="auto"/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Predkladaný návrh zákona bude mať pozitívne sociálne vplyvy. Študentom umožní viac si privyrobiť popri štúdiu, čo </w:t>
            </w:r>
            <w:r w:rsidR="0075523C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nepochybne 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ocenia ich rodičia. Študentom pripravujúcim sa na vstup na pracovný trh </w:t>
            </w:r>
            <w:r w:rsidR="0075523C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sa 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zvýši priestor na získavanie pracovných návykov už počas štúdia. Bude ich nabádať k tomu, aby sa hneď po skončení štúdia hlásili do trvalého pracovného pomeru a ne</w:t>
            </w:r>
            <w:r w:rsidR="0075523C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od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chádzali </w:t>
            </w:r>
            <w:r w:rsidR="0075523C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 priamo </w:t>
            </w:r>
            <w:r w:rsidRPr="0021494A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 xml:space="preserve">do evidencie nezamestnaných. </w:t>
            </w:r>
            <w:r w:rsidR="00C43078" w:rsidRPr="00431FDB">
              <w:rPr>
                <w:rFonts w:ascii="Palatino Linotype" w:hAnsi="Palatino Linotype"/>
                <w:iCs/>
                <w:color w:val="000000"/>
                <w:sz w:val="22"/>
                <w:szCs w:val="22"/>
              </w:rPr>
              <w:t>Zatraktívni sa život a práca na Slovensku pre mladých študujúcich ľudí.</w:t>
            </w:r>
          </w:p>
        </w:tc>
      </w:tr>
      <w:tr w:rsidR="000163EF" w:rsidRPr="0021494A" w14:paraId="0528FAA5" w14:textId="77777777" w:rsidTr="00C94184">
        <w:tc>
          <w:tcPr>
            <w:tcW w:w="9176" w:type="dxa"/>
          </w:tcPr>
          <w:p w14:paraId="5434B5A2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lastRenderedPageBreak/>
              <w:t xml:space="preserve">Kontakt na spracovateľa/súčinnosť </w:t>
            </w:r>
          </w:p>
        </w:tc>
      </w:tr>
      <w:tr w:rsidR="000163EF" w:rsidRPr="0021494A" w14:paraId="7B733F93" w14:textId="77777777" w:rsidTr="00C94184">
        <w:trPr>
          <w:trHeight w:val="586"/>
        </w:trPr>
        <w:tc>
          <w:tcPr>
            <w:tcW w:w="9176" w:type="dxa"/>
          </w:tcPr>
          <w:p w14:paraId="102449E9" w14:textId="77777777" w:rsidR="000163EF" w:rsidRPr="0021494A" w:rsidRDefault="000163EF" w:rsidP="00C94184">
            <w:pPr>
              <w:rPr>
                <w:rFonts w:ascii="Palatino Linotype" w:hAnsi="Palatino Linotype"/>
                <w:i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Cs/>
                <w:sz w:val="22"/>
                <w:szCs w:val="22"/>
                <w:lang w:eastAsia="sk-SK"/>
              </w:rPr>
              <w:t>Navrhovateľ spracoval návrh zákona v súčinnosti s odbornými tímami Kresťanskodemokratického hnutia.</w:t>
            </w: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             </w:t>
            </w:r>
          </w:p>
          <w:p w14:paraId="5B342B70" w14:textId="77777777" w:rsidR="000163EF" w:rsidRPr="0021494A" w:rsidRDefault="000163EF" w:rsidP="00C94184">
            <w:pPr>
              <w:rPr>
                <w:rFonts w:ascii="Palatino Linotype" w:hAnsi="Palatino Linotype"/>
                <w:i/>
                <w:sz w:val="22"/>
                <w:szCs w:val="22"/>
                <w:lang w:eastAsia="sk-SK"/>
              </w:rPr>
            </w:pPr>
          </w:p>
        </w:tc>
      </w:tr>
      <w:tr w:rsidR="000163EF" w:rsidRPr="0021494A" w14:paraId="2E45E9B7" w14:textId="77777777" w:rsidTr="00C94184">
        <w:tc>
          <w:tcPr>
            <w:tcW w:w="9176" w:type="dxa"/>
          </w:tcPr>
          <w:p w14:paraId="0F5AED15" w14:textId="77777777" w:rsidR="000163EF" w:rsidRPr="0021494A" w:rsidRDefault="000163EF" w:rsidP="000163E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/>
              <w:contextualSpacing/>
              <w:jc w:val="left"/>
              <w:rPr>
                <w:rFonts w:ascii="Palatino Linotype" w:eastAsia="Calibri" w:hAnsi="Palatino Linotype"/>
                <w:b/>
                <w:sz w:val="22"/>
                <w:szCs w:val="22"/>
              </w:rPr>
            </w:pPr>
            <w:r w:rsidRPr="0021494A">
              <w:rPr>
                <w:rFonts w:ascii="Palatino Linotype" w:eastAsia="Calibri" w:hAnsi="Palatino Linotype"/>
                <w:b/>
                <w:sz w:val="22"/>
                <w:szCs w:val="22"/>
              </w:rPr>
              <w:t>Stanovisko gestorov</w:t>
            </w:r>
          </w:p>
        </w:tc>
      </w:tr>
      <w:tr w:rsidR="000163EF" w:rsidRPr="0021494A" w14:paraId="7E599A69" w14:textId="77777777" w:rsidTr="00C94184">
        <w:trPr>
          <w:trHeight w:val="401"/>
        </w:trPr>
        <w:tc>
          <w:tcPr>
            <w:tcW w:w="9176" w:type="dxa"/>
          </w:tcPr>
          <w:p w14:paraId="4B23D5F7" w14:textId="77777777" w:rsidR="000163EF" w:rsidRPr="0021494A" w:rsidRDefault="000163EF" w:rsidP="00C94184">
            <w:pPr>
              <w:rPr>
                <w:rFonts w:ascii="Palatino Linotype" w:hAnsi="Palatino Linotype"/>
                <w:i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/>
                <w:sz w:val="22"/>
                <w:szCs w:val="22"/>
                <w:lang w:eastAsia="sk-SK"/>
              </w:rPr>
              <w:t>Stanovisko Ministerstva financií SR</w:t>
            </w: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sdtContent>
            </w:sdt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sdtContent>
            </w:sdt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priložené</w:t>
            </w:r>
          </w:p>
          <w:p w14:paraId="38D43F52" w14:textId="77777777" w:rsidR="000163EF" w:rsidRPr="0021494A" w:rsidRDefault="000163EF" w:rsidP="00C94184">
            <w:pPr>
              <w:rPr>
                <w:rFonts w:ascii="Palatino Linotype" w:hAnsi="Palatino Linotype"/>
                <w:i/>
                <w:sz w:val="22"/>
                <w:szCs w:val="22"/>
                <w:lang w:eastAsia="sk-SK"/>
              </w:rPr>
            </w:pPr>
            <w:r w:rsidRPr="0021494A">
              <w:rPr>
                <w:rFonts w:ascii="Palatino Linotype" w:hAnsi="Palatino Linotype"/>
                <w:i/>
                <w:sz w:val="22"/>
                <w:szCs w:val="22"/>
                <w:lang w:eastAsia="sk-SK"/>
              </w:rPr>
              <w:t xml:space="preserve">Stanovisko Ministerstva hospodárstva SR                                         </w:t>
            </w:r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sdtContent>
            </w:sdt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94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sdtContent>
            </w:sdt>
            <w:r w:rsidRPr="0021494A">
              <w:rPr>
                <w:rFonts w:ascii="Palatino Linotype" w:hAnsi="Palatino Linotype"/>
                <w:b/>
                <w:sz w:val="22"/>
                <w:szCs w:val="22"/>
                <w:lang w:eastAsia="sk-SK"/>
              </w:rPr>
              <w:t xml:space="preserve">  priložené</w:t>
            </w:r>
          </w:p>
          <w:p w14:paraId="418DF76B" w14:textId="77777777" w:rsidR="000163EF" w:rsidRPr="0021494A" w:rsidRDefault="000163EF" w:rsidP="00C94184">
            <w:pPr>
              <w:rPr>
                <w:rFonts w:ascii="Palatino Linotype" w:hAnsi="Palatino Linotype"/>
                <w:bCs/>
                <w:i/>
                <w:iCs/>
                <w:sz w:val="22"/>
                <w:szCs w:val="22"/>
                <w:lang w:eastAsia="sk-SK"/>
              </w:rPr>
            </w:pPr>
          </w:p>
        </w:tc>
      </w:tr>
    </w:tbl>
    <w:p w14:paraId="4E85A67B" w14:textId="77777777" w:rsidR="000163EF" w:rsidRPr="00802C3C" w:rsidRDefault="000163EF" w:rsidP="000163EF">
      <w:pPr>
        <w:rPr>
          <w:rFonts w:ascii="Palatino Linotype" w:hAnsi="Palatino Linotype"/>
          <w:b/>
        </w:rPr>
      </w:pPr>
    </w:p>
    <w:sectPr w:rsidR="000163EF" w:rsidRPr="00802C3C">
      <w:pgSz w:w="11906" w:h="16838" w:code="9"/>
      <w:pgMar w:top="1418" w:right="1418" w:bottom="1134" w:left="1418" w:header="709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4A248" w14:textId="77777777" w:rsidR="00E97019" w:rsidRDefault="00E97019">
      <w:r>
        <w:separator/>
      </w:r>
    </w:p>
  </w:endnote>
  <w:endnote w:type="continuationSeparator" w:id="0">
    <w:p w14:paraId="644D3C9E" w14:textId="77777777" w:rsidR="00E97019" w:rsidRDefault="00E9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,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58C3E" w14:textId="41288B3F" w:rsidR="001716CC" w:rsidRDefault="001716CC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364D2B">
      <w:rPr>
        <w:rStyle w:val="slostrany"/>
        <w:noProof/>
        <w:sz w:val="20"/>
        <w:szCs w:val="20"/>
      </w:rPr>
      <w:t>6</w:t>
    </w:r>
    <w:r>
      <w:rPr>
        <w:rStyle w:val="slostrany"/>
        <w:sz w:val="20"/>
        <w:szCs w:val="20"/>
      </w:rPr>
      <w:fldChar w:fldCharType="end"/>
    </w:r>
  </w:p>
  <w:p w14:paraId="6191F51F" w14:textId="77777777" w:rsidR="001716CC" w:rsidRDefault="001716CC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D7C0E" w14:textId="77777777" w:rsidR="00E97019" w:rsidRDefault="00E97019">
      <w:r>
        <w:separator/>
      </w:r>
    </w:p>
  </w:footnote>
  <w:footnote w:type="continuationSeparator" w:id="0">
    <w:p w14:paraId="11761930" w14:textId="77777777" w:rsidR="00E97019" w:rsidRDefault="00E9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2743AE9"/>
    <w:multiLevelType w:val="hybridMultilevel"/>
    <w:tmpl w:val="A32EA00C"/>
    <w:lvl w:ilvl="0" w:tplc="8B76B6B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F7F95"/>
    <w:multiLevelType w:val="hybridMultilevel"/>
    <w:tmpl w:val="15C0D06E"/>
    <w:lvl w:ilvl="0" w:tplc="6AB28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56836"/>
    <w:multiLevelType w:val="hybridMultilevel"/>
    <w:tmpl w:val="97C4E19E"/>
    <w:lvl w:ilvl="0" w:tplc="6AB4F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3C"/>
    <w:multiLevelType w:val="hybridMultilevel"/>
    <w:tmpl w:val="C41AA8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3E1C1F"/>
    <w:multiLevelType w:val="hybridMultilevel"/>
    <w:tmpl w:val="21843A2C"/>
    <w:lvl w:ilvl="0" w:tplc="7FFEA4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0F289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4C8E02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866EC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7AC98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BAC80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289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59A2A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F809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CC4667"/>
    <w:multiLevelType w:val="hybridMultilevel"/>
    <w:tmpl w:val="2CBCAA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5192"/>
    <w:multiLevelType w:val="hybridMultilevel"/>
    <w:tmpl w:val="6DB89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1D83"/>
    <w:multiLevelType w:val="hybridMultilevel"/>
    <w:tmpl w:val="D186BA44"/>
    <w:lvl w:ilvl="0" w:tplc="93FE2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 w:tplc="6B6A2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 w:tplc="2A9AD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 w:tplc="463CF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 w:tplc="CA8E2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 w:tplc="89AAA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 w:tplc="A5149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 w:tplc="93DAC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 w:tplc="B01A4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0" w15:restartNumberingAfterBreak="0">
    <w:nsid w:val="50731069"/>
    <w:multiLevelType w:val="hybridMultilevel"/>
    <w:tmpl w:val="D628662E"/>
    <w:lvl w:ilvl="0" w:tplc="FA5057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  <w:lvl w:ilvl="1" w:tplc="57DC135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 w:tplc="010C9C8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/>
        <w:rtl w:val="0"/>
      </w:rPr>
    </w:lvl>
    <w:lvl w:ilvl="3" w:tplc="6F64B79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  <w:rtl w:val="0"/>
      </w:rPr>
    </w:lvl>
    <w:lvl w:ilvl="4" w:tplc="3A40100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 w:tplc="D9F427B0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/>
        <w:rtl w:val="0"/>
      </w:rPr>
    </w:lvl>
    <w:lvl w:ilvl="6" w:tplc="0FA6B6B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/>
        <w:rtl w:val="0"/>
      </w:rPr>
    </w:lvl>
    <w:lvl w:ilvl="7" w:tplc="172C463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 w:tplc="45EA86E0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/>
        <w:rtl w:val="0"/>
      </w:rPr>
    </w:lvl>
  </w:abstractNum>
  <w:abstractNum w:abstractNumId="11" w15:restartNumberingAfterBreak="0">
    <w:nsid w:val="51C94979"/>
    <w:multiLevelType w:val="hybridMultilevel"/>
    <w:tmpl w:val="7C8C84BC"/>
    <w:lvl w:ilvl="0" w:tplc="31224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86F96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D901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EE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1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8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02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EE6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80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C7785"/>
    <w:multiLevelType w:val="hybridMultilevel"/>
    <w:tmpl w:val="4072B9CA"/>
    <w:lvl w:ilvl="0" w:tplc="0FACB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60560C"/>
    <w:multiLevelType w:val="hybridMultilevel"/>
    <w:tmpl w:val="D1C299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D3C7B"/>
    <w:multiLevelType w:val="hybridMultilevel"/>
    <w:tmpl w:val="C4AC9A8C"/>
    <w:lvl w:ilvl="0" w:tplc="1236FC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D62F2"/>
    <w:multiLevelType w:val="hybridMultilevel"/>
    <w:tmpl w:val="80C6A16A"/>
    <w:lvl w:ilvl="0" w:tplc="32FEBADA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CFDE0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1E7B9E">
      <w:start w:val="1"/>
      <w:numFmt w:val="decimal"/>
      <w:lvlText w:val="%3."/>
      <w:lvlJc w:val="left"/>
      <w:pPr>
        <w:tabs>
          <w:tab w:val="num" w:pos="794"/>
        </w:tabs>
        <w:ind w:left="794" w:hanging="397"/>
      </w:pPr>
    </w:lvl>
    <w:lvl w:ilvl="3" w:tplc="D7545646">
      <w:start w:val="2"/>
      <w:numFmt w:val="lowerLetter"/>
      <w:lvlText w:val="%4)"/>
      <w:lvlJc w:val="left"/>
      <w:pPr>
        <w:tabs>
          <w:tab w:val="num" w:pos="397"/>
        </w:tabs>
        <w:ind w:left="397" w:hanging="397"/>
      </w:pPr>
    </w:lvl>
    <w:lvl w:ilvl="4" w:tplc="0CC09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8B4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81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1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898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F56CF"/>
    <w:multiLevelType w:val="hybridMultilevel"/>
    <w:tmpl w:val="DDBC0F0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5430B"/>
    <w:multiLevelType w:val="hybridMultilevel"/>
    <w:tmpl w:val="D636785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1A30"/>
    <w:multiLevelType w:val="hybridMultilevel"/>
    <w:tmpl w:val="C8F87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1"/>
  </w:num>
  <w:num w:numId="5">
    <w:abstractNumId w:val="15"/>
  </w:num>
  <w:num w:numId="6">
    <w:abstractNumId w:val="18"/>
  </w:num>
  <w:num w:numId="7">
    <w:abstractNumId w:val="16"/>
  </w:num>
  <w:num w:numId="8">
    <w:abstractNumId w:val="17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5"/>
  </w:num>
  <w:num w:numId="15">
    <w:abstractNumId w:val="3"/>
  </w:num>
  <w:num w:numId="16">
    <w:abstractNumId w:val="7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60"/>
    <w:rsid w:val="000079B2"/>
    <w:rsid w:val="000163EF"/>
    <w:rsid w:val="0002411D"/>
    <w:rsid w:val="00026B0F"/>
    <w:rsid w:val="00030941"/>
    <w:rsid w:val="000309F2"/>
    <w:rsid w:val="00040063"/>
    <w:rsid w:val="00040D38"/>
    <w:rsid w:val="000445D1"/>
    <w:rsid w:val="00046FA4"/>
    <w:rsid w:val="0005074A"/>
    <w:rsid w:val="00060460"/>
    <w:rsid w:val="00063CB8"/>
    <w:rsid w:val="00064B30"/>
    <w:rsid w:val="00073CF2"/>
    <w:rsid w:val="000740BE"/>
    <w:rsid w:val="00076D1D"/>
    <w:rsid w:val="00087CC4"/>
    <w:rsid w:val="00092B6D"/>
    <w:rsid w:val="00096298"/>
    <w:rsid w:val="00096396"/>
    <w:rsid w:val="000A253B"/>
    <w:rsid w:val="000B5B38"/>
    <w:rsid w:val="000B6296"/>
    <w:rsid w:val="000B66C4"/>
    <w:rsid w:val="000C2462"/>
    <w:rsid w:val="000C77C3"/>
    <w:rsid w:val="000D2A86"/>
    <w:rsid w:val="000E2A7D"/>
    <w:rsid w:val="000E5807"/>
    <w:rsid w:val="001035B6"/>
    <w:rsid w:val="00111AF9"/>
    <w:rsid w:val="001207B2"/>
    <w:rsid w:val="00121CAA"/>
    <w:rsid w:val="001224E1"/>
    <w:rsid w:val="001246DF"/>
    <w:rsid w:val="001271C5"/>
    <w:rsid w:val="00131AA5"/>
    <w:rsid w:val="0013402B"/>
    <w:rsid w:val="00135FA5"/>
    <w:rsid w:val="00146C8E"/>
    <w:rsid w:val="00151E58"/>
    <w:rsid w:val="001537F1"/>
    <w:rsid w:val="0015429D"/>
    <w:rsid w:val="00164609"/>
    <w:rsid w:val="00166B01"/>
    <w:rsid w:val="00167B12"/>
    <w:rsid w:val="001704FA"/>
    <w:rsid w:val="001716CC"/>
    <w:rsid w:val="00180982"/>
    <w:rsid w:val="001877B1"/>
    <w:rsid w:val="00191F3B"/>
    <w:rsid w:val="0019713E"/>
    <w:rsid w:val="001A1E55"/>
    <w:rsid w:val="001A5FDD"/>
    <w:rsid w:val="001B00F9"/>
    <w:rsid w:val="001B04EC"/>
    <w:rsid w:val="001C1820"/>
    <w:rsid w:val="001C21BF"/>
    <w:rsid w:val="001C37CE"/>
    <w:rsid w:val="001C4710"/>
    <w:rsid w:val="001E1D3B"/>
    <w:rsid w:val="001E6BC8"/>
    <w:rsid w:val="001E6CB8"/>
    <w:rsid w:val="001F1EA0"/>
    <w:rsid w:val="001F31BE"/>
    <w:rsid w:val="001F32BD"/>
    <w:rsid w:val="001F4F26"/>
    <w:rsid w:val="002007CC"/>
    <w:rsid w:val="00202341"/>
    <w:rsid w:val="00213290"/>
    <w:rsid w:val="0021494A"/>
    <w:rsid w:val="00214968"/>
    <w:rsid w:val="002244FD"/>
    <w:rsid w:val="002247D3"/>
    <w:rsid w:val="00224EDC"/>
    <w:rsid w:val="00225CD2"/>
    <w:rsid w:val="00232046"/>
    <w:rsid w:val="002517F4"/>
    <w:rsid w:val="00262F0F"/>
    <w:rsid w:val="002631A1"/>
    <w:rsid w:val="00266373"/>
    <w:rsid w:val="00270A9F"/>
    <w:rsid w:val="00271FD3"/>
    <w:rsid w:val="00284CBD"/>
    <w:rsid w:val="0028588A"/>
    <w:rsid w:val="00287624"/>
    <w:rsid w:val="00297150"/>
    <w:rsid w:val="002A1492"/>
    <w:rsid w:val="002A3CF2"/>
    <w:rsid w:val="002A62DC"/>
    <w:rsid w:val="002B5D17"/>
    <w:rsid w:val="002C11DD"/>
    <w:rsid w:val="002C26F2"/>
    <w:rsid w:val="002D5181"/>
    <w:rsid w:val="002E048B"/>
    <w:rsid w:val="002E7DE5"/>
    <w:rsid w:val="002F4FE7"/>
    <w:rsid w:val="002F6616"/>
    <w:rsid w:val="0030416C"/>
    <w:rsid w:val="00307BF4"/>
    <w:rsid w:val="00312D77"/>
    <w:rsid w:val="00313CE6"/>
    <w:rsid w:val="00314812"/>
    <w:rsid w:val="00316C41"/>
    <w:rsid w:val="00325C56"/>
    <w:rsid w:val="003315E9"/>
    <w:rsid w:val="00332CC4"/>
    <w:rsid w:val="00335800"/>
    <w:rsid w:val="0034141E"/>
    <w:rsid w:val="003424AF"/>
    <w:rsid w:val="003526F5"/>
    <w:rsid w:val="00353CDB"/>
    <w:rsid w:val="0035480A"/>
    <w:rsid w:val="00364D2B"/>
    <w:rsid w:val="0036594E"/>
    <w:rsid w:val="00373F4F"/>
    <w:rsid w:val="003864DB"/>
    <w:rsid w:val="003A61AB"/>
    <w:rsid w:val="003A642D"/>
    <w:rsid w:val="003A6ECA"/>
    <w:rsid w:val="003B00A9"/>
    <w:rsid w:val="003B3130"/>
    <w:rsid w:val="003B639E"/>
    <w:rsid w:val="003B696A"/>
    <w:rsid w:val="003C34ED"/>
    <w:rsid w:val="003C7506"/>
    <w:rsid w:val="003D2B8D"/>
    <w:rsid w:val="003D4749"/>
    <w:rsid w:val="003E105C"/>
    <w:rsid w:val="00405A43"/>
    <w:rsid w:val="00405D72"/>
    <w:rsid w:val="004078C6"/>
    <w:rsid w:val="00411677"/>
    <w:rsid w:val="00414870"/>
    <w:rsid w:val="0041568B"/>
    <w:rsid w:val="00417443"/>
    <w:rsid w:val="004205E2"/>
    <w:rsid w:val="0042559B"/>
    <w:rsid w:val="00427AD7"/>
    <w:rsid w:val="00427E5A"/>
    <w:rsid w:val="00430A9B"/>
    <w:rsid w:val="00431FDB"/>
    <w:rsid w:val="00435F83"/>
    <w:rsid w:val="0043695D"/>
    <w:rsid w:val="00457FBB"/>
    <w:rsid w:val="00464815"/>
    <w:rsid w:val="00465629"/>
    <w:rsid w:val="00471EF7"/>
    <w:rsid w:val="004741C4"/>
    <w:rsid w:val="004749DD"/>
    <w:rsid w:val="00483CA3"/>
    <w:rsid w:val="0048542E"/>
    <w:rsid w:val="004865CE"/>
    <w:rsid w:val="004875EC"/>
    <w:rsid w:val="00487E96"/>
    <w:rsid w:val="0049453A"/>
    <w:rsid w:val="00494BED"/>
    <w:rsid w:val="00494E84"/>
    <w:rsid w:val="004B227C"/>
    <w:rsid w:val="004B2474"/>
    <w:rsid w:val="004B3C2D"/>
    <w:rsid w:val="004C72C7"/>
    <w:rsid w:val="004D011A"/>
    <w:rsid w:val="004D298D"/>
    <w:rsid w:val="004D540C"/>
    <w:rsid w:val="004D71CE"/>
    <w:rsid w:val="004E2BF5"/>
    <w:rsid w:val="004F40F6"/>
    <w:rsid w:val="005007F8"/>
    <w:rsid w:val="00500C13"/>
    <w:rsid w:val="005146B5"/>
    <w:rsid w:val="0051631A"/>
    <w:rsid w:val="00522BC9"/>
    <w:rsid w:val="005234F6"/>
    <w:rsid w:val="00527992"/>
    <w:rsid w:val="005317B9"/>
    <w:rsid w:val="0053445F"/>
    <w:rsid w:val="005355B9"/>
    <w:rsid w:val="005358A6"/>
    <w:rsid w:val="00537EE2"/>
    <w:rsid w:val="00542014"/>
    <w:rsid w:val="0054603D"/>
    <w:rsid w:val="0054696A"/>
    <w:rsid w:val="00555113"/>
    <w:rsid w:val="00555CE6"/>
    <w:rsid w:val="00556ED7"/>
    <w:rsid w:val="00561EF4"/>
    <w:rsid w:val="0057033E"/>
    <w:rsid w:val="00572835"/>
    <w:rsid w:val="00572AB2"/>
    <w:rsid w:val="00572D3C"/>
    <w:rsid w:val="005760B4"/>
    <w:rsid w:val="00587373"/>
    <w:rsid w:val="00587617"/>
    <w:rsid w:val="005905C4"/>
    <w:rsid w:val="00594892"/>
    <w:rsid w:val="00596FBA"/>
    <w:rsid w:val="005979DC"/>
    <w:rsid w:val="005A0DDA"/>
    <w:rsid w:val="005A1FB2"/>
    <w:rsid w:val="005A7532"/>
    <w:rsid w:val="005B3A5D"/>
    <w:rsid w:val="005B3D9C"/>
    <w:rsid w:val="005B5588"/>
    <w:rsid w:val="005B65BD"/>
    <w:rsid w:val="005B7340"/>
    <w:rsid w:val="005C3484"/>
    <w:rsid w:val="005C3D69"/>
    <w:rsid w:val="005E15E0"/>
    <w:rsid w:val="005F555E"/>
    <w:rsid w:val="005F77A2"/>
    <w:rsid w:val="006005B9"/>
    <w:rsid w:val="00600E9F"/>
    <w:rsid w:val="00611A53"/>
    <w:rsid w:val="0061254B"/>
    <w:rsid w:val="006273FC"/>
    <w:rsid w:val="00631445"/>
    <w:rsid w:val="006321A1"/>
    <w:rsid w:val="00637BB8"/>
    <w:rsid w:val="006414F5"/>
    <w:rsid w:val="0064237C"/>
    <w:rsid w:val="00642D65"/>
    <w:rsid w:val="0064467B"/>
    <w:rsid w:val="00645EEC"/>
    <w:rsid w:val="00657506"/>
    <w:rsid w:val="0066786C"/>
    <w:rsid w:val="00685F62"/>
    <w:rsid w:val="00693D50"/>
    <w:rsid w:val="00697D3C"/>
    <w:rsid w:val="006A4338"/>
    <w:rsid w:val="006A783D"/>
    <w:rsid w:val="006B1016"/>
    <w:rsid w:val="006B1ABB"/>
    <w:rsid w:val="006B2E06"/>
    <w:rsid w:val="006B49BA"/>
    <w:rsid w:val="006B5DF8"/>
    <w:rsid w:val="006B70C1"/>
    <w:rsid w:val="006C4509"/>
    <w:rsid w:val="006D04C3"/>
    <w:rsid w:val="006D335F"/>
    <w:rsid w:val="006D5E3B"/>
    <w:rsid w:val="006D6F3F"/>
    <w:rsid w:val="006E203A"/>
    <w:rsid w:val="006E32AB"/>
    <w:rsid w:val="006E7E6E"/>
    <w:rsid w:val="006F4669"/>
    <w:rsid w:val="006F5003"/>
    <w:rsid w:val="006F541C"/>
    <w:rsid w:val="00700CA5"/>
    <w:rsid w:val="007031CF"/>
    <w:rsid w:val="00705BF3"/>
    <w:rsid w:val="00707803"/>
    <w:rsid w:val="00707F00"/>
    <w:rsid w:val="007121FB"/>
    <w:rsid w:val="00717027"/>
    <w:rsid w:val="00727CF4"/>
    <w:rsid w:val="007308F0"/>
    <w:rsid w:val="007400B4"/>
    <w:rsid w:val="007429E8"/>
    <w:rsid w:val="0075523C"/>
    <w:rsid w:val="007573F0"/>
    <w:rsid w:val="007579B6"/>
    <w:rsid w:val="00766EDD"/>
    <w:rsid w:val="00767BF8"/>
    <w:rsid w:val="00772A31"/>
    <w:rsid w:val="00772F6E"/>
    <w:rsid w:val="00773DA5"/>
    <w:rsid w:val="007749EC"/>
    <w:rsid w:val="007759C8"/>
    <w:rsid w:val="00780605"/>
    <w:rsid w:val="007925A5"/>
    <w:rsid w:val="00794DF2"/>
    <w:rsid w:val="007950B2"/>
    <w:rsid w:val="007A04C0"/>
    <w:rsid w:val="007A3F6E"/>
    <w:rsid w:val="007A5AAC"/>
    <w:rsid w:val="007B4DF4"/>
    <w:rsid w:val="007B75F3"/>
    <w:rsid w:val="007C1A9B"/>
    <w:rsid w:val="007D2868"/>
    <w:rsid w:val="007D7ADC"/>
    <w:rsid w:val="007E5974"/>
    <w:rsid w:val="008052BB"/>
    <w:rsid w:val="00810C7D"/>
    <w:rsid w:val="008254F6"/>
    <w:rsid w:val="00826B3A"/>
    <w:rsid w:val="0083353D"/>
    <w:rsid w:val="008400B9"/>
    <w:rsid w:val="0084626A"/>
    <w:rsid w:val="0085247C"/>
    <w:rsid w:val="00854269"/>
    <w:rsid w:val="008547E0"/>
    <w:rsid w:val="00857B50"/>
    <w:rsid w:val="008606D2"/>
    <w:rsid w:val="00860B90"/>
    <w:rsid w:val="00860E2F"/>
    <w:rsid w:val="00861749"/>
    <w:rsid w:val="00864021"/>
    <w:rsid w:val="00867C09"/>
    <w:rsid w:val="008752F2"/>
    <w:rsid w:val="0089189F"/>
    <w:rsid w:val="00892612"/>
    <w:rsid w:val="00893FDA"/>
    <w:rsid w:val="008A140D"/>
    <w:rsid w:val="008A3C4C"/>
    <w:rsid w:val="008A4936"/>
    <w:rsid w:val="008A61A0"/>
    <w:rsid w:val="008B75D8"/>
    <w:rsid w:val="008C26AD"/>
    <w:rsid w:val="008C3D6E"/>
    <w:rsid w:val="008C5286"/>
    <w:rsid w:val="008D2281"/>
    <w:rsid w:val="008D351B"/>
    <w:rsid w:val="008E399E"/>
    <w:rsid w:val="008E42B9"/>
    <w:rsid w:val="008E579E"/>
    <w:rsid w:val="008F009D"/>
    <w:rsid w:val="008F1365"/>
    <w:rsid w:val="008F1AA9"/>
    <w:rsid w:val="008F480F"/>
    <w:rsid w:val="00900AD5"/>
    <w:rsid w:val="0090192A"/>
    <w:rsid w:val="00901C84"/>
    <w:rsid w:val="009022EB"/>
    <w:rsid w:val="009104D2"/>
    <w:rsid w:val="00913090"/>
    <w:rsid w:val="00914289"/>
    <w:rsid w:val="00915CF1"/>
    <w:rsid w:val="00921262"/>
    <w:rsid w:val="00921721"/>
    <w:rsid w:val="00924EC3"/>
    <w:rsid w:val="009346D0"/>
    <w:rsid w:val="00946CD1"/>
    <w:rsid w:val="00950EF3"/>
    <w:rsid w:val="00951573"/>
    <w:rsid w:val="00954666"/>
    <w:rsid w:val="00957B9F"/>
    <w:rsid w:val="009653E4"/>
    <w:rsid w:val="009715DF"/>
    <w:rsid w:val="00972182"/>
    <w:rsid w:val="009728A6"/>
    <w:rsid w:val="0097400B"/>
    <w:rsid w:val="00975784"/>
    <w:rsid w:val="0097717B"/>
    <w:rsid w:val="00977D05"/>
    <w:rsid w:val="009813E8"/>
    <w:rsid w:val="00984E2C"/>
    <w:rsid w:val="009864B1"/>
    <w:rsid w:val="009868F1"/>
    <w:rsid w:val="00995589"/>
    <w:rsid w:val="009A0F99"/>
    <w:rsid w:val="009A2424"/>
    <w:rsid w:val="009A603E"/>
    <w:rsid w:val="009B080B"/>
    <w:rsid w:val="009B20E9"/>
    <w:rsid w:val="009B29C8"/>
    <w:rsid w:val="009B2E32"/>
    <w:rsid w:val="009C69DB"/>
    <w:rsid w:val="009D1084"/>
    <w:rsid w:val="009D5C97"/>
    <w:rsid w:val="009E50D5"/>
    <w:rsid w:val="009F12E1"/>
    <w:rsid w:val="00A0338D"/>
    <w:rsid w:val="00A12369"/>
    <w:rsid w:val="00A149AD"/>
    <w:rsid w:val="00A14F44"/>
    <w:rsid w:val="00A2198E"/>
    <w:rsid w:val="00A416D1"/>
    <w:rsid w:val="00A44CCB"/>
    <w:rsid w:val="00A511C8"/>
    <w:rsid w:val="00A53320"/>
    <w:rsid w:val="00A5545F"/>
    <w:rsid w:val="00A63CEC"/>
    <w:rsid w:val="00A710E3"/>
    <w:rsid w:val="00A71AD5"/>
    <w:rsid w:val="00A80C1E"/>
    <w:rsid w:val="00A80D8B"/>
    <w:rsid w:val="00A8108D"/>
    <w:rsid w:val="00A81787"/>
    <w:rsid w:val="00A827DF"/>
    <w:rsid w:val="00A87E32"/>
    <w:rsid w:val="00A927BF"/>
    <w:rsid w:val="00AA12A6"/>
    <w:rsid w:val="00AA36F7"/>
    <w:rsid w:val="00AB7A3E"/>
    <w:rsid w:val="00AC685A"/>
    <w:rsid w:val="00AD36CD"/>
    <w:rsid w:val="00AD48E3"/>
    <w:rsid w:val="00AD6F55"/>
    <w:rsid w:val="00AD757F"/>
    <w:rsid w:val="00AE2A2C"/>
    <w:rsid w:val="00AE2CCF"/>
    <w:rsid w:val="00AE3958"/>
    <w:rsid w:val="00AE65FB"/>
    <w:rsid w:val="00B0339E"/>
    <w:rsid w:val="00B07011"/>
    <w:rsid w:val="00B13F60"/>
    <w:rsid w:val="00B14632"/>
    <w:rsid w:val="00B2102B"/>
    <w:rsid w:val="00B34B56"/>
    <w:rsid w:val="00B40F46"/>
    <w:rsid w:val="00B43C94"/>
    <w:rsid w:val="00B47495"/>
    <w:rsid w:val="00B51050"/>
    <w:rsid w:val="00B627A7"/>
    <w:rsid w:val="00B62D8A"/>
    <w:rsid w:val="00B670AA"/>
    <w:rsid w:val="00B67BB0"/>
    <w:rsid w:val="00B740BD"/>
    <w:rsid w:val="00B777F4"/>
    <w:rsid w:val="00B8381F"/>
    <w:rsid w:val="00B85E7C"/>
    <w:rsid w:val="00B87AF3"/>
    <w:rsid w:val="00BB0A5A"/>
    <w:rsid w:val="00BB10BE"/>
    <w:rsid w:val="00BC2709"/>
    <w:rsid w:val="00BC342D"/>
    <w:rsid w:val="00BC377A"/>
    <w:rsid w:val="00BC66A1"/>
    <w:rsid w:val="00BC75B4"/>
    <w:rsid w:val="00BD489A"/>
    <w:rsid w:val="00BE3A03"/>
    <w:rsid w:val="00BE5B0E"/>
    <w:rsid w:val="00BE6641"/>
    <w:rsid w:val="00BE71ED"/>
    <w:rsid w:val="00BE72B6"/>
    <w:rsid w:val="00BF11DA"/>
    <w:rsid w:val="00BF1225"/>
    <w:rsid w:val="00BF21F8"/>
    <w:rsid w:val="00BF262B"/>
    <w:rsid w:val="00C03F83"/>
    <w:rsid w:val="00C05577"/>
    <w:rsid w:val="00C1471B"/>
    <w:rsid w:val="00C16D1D"/>
    <w:rsid w:val="00C228BD"/>
    <w:rsid w:val="00C23B7E"/>
    <w:rsid w:val="00C3484C"/>
    <w:rsid w:val="00C43078"/>
    <w:rsid w:val="00C50DEF"/>
    <w:rsid w:val="00C528C8"/>
    <w:rsid w:val="00C5302C"/>
    <w:rsid w:val="00C57014"/>
    <w:rsid w:val="00C66183"/>
    <w:rsid w:val="00C66AEC"/>
    <w:rsid w:val="00C717FA"/>
    <w:rsid w:val="00C71C7A"/>
    <w:rsid w:val="00C723CD"/>
    <w:rsid w:val="00C726F8"/>
    <w:rsid w:val="00C82C1E"/>
    <w:rsid w:val="00C85090"/>
    <w:rsid w:val="00C8543E"/>
    <w:rsid w:val="00C86131"/>
    <w:rsid w:val="00C90039"/>
    <w:rsid w:val="00C94184"/>
    <w:rsid w:val="00CA08AF"/>
    <w:rsid w:val="00CA475F"/>
    <w:rsid w:val="00CA5874"/>
    <w:rsid w:val="00CB7712"/>
    <w:rsid w:val="00CC0941"/>
    <w:rsid w:val="00CC5AA0"/>
    <w:rsid w:val="00CD1C15"/>
    <w:rsid w:val="00CD2682"/>
    <w:rsid w:val="00CD4CDD"/>
    <w:rsid w:val="00CE1A03"/>
    <w:rsid w:val="00CE1F0A"/>
    <w:rsid w:val="00CE21FA"/>
    <w:rsid w:val="00CE6BA6"/>
    <w:rsid w:val="00CF3335"/>
    <w:rsid w:val="00CF6E15"/>
    <w:rsid w:val="00CF757F"/>
    <w:rsid w:val="00D0184C"/>
    <w:rsid w:val="00D04532"/>
    <w:rsid w:val="00D0457E"/>
    <w:rsid w:val="00D0542A"/>
    <w:rsid w:val="00D06862"/>
    <w:rsid w:val="00D079C5"/>
    <w:rsid w:val="00D12A4C"/>
    <w:rsid w:val="00D13233"/>
    <w:rsid w:val="00D15BA2"/>
    <w:rsid w:val="00D31E3A"/>
    <w:rsid w:val="00D33BF2"/>
    <w:rsid w:val="00D36059"/>
    <w:rsid w:val="00D46683"/>
    <w:rsid w:val="00D50957"/>
    <w:rsid w:val="00D51C26"/>
    <w:rsid w:val="00D540D5"/>
    <w:rsid w:val="00D575C3"/>
    <w:rsid w:val="00D57BE2"/>
    <w:rsid w:val="00D61CC1"/>
    <w:rsid w:val="00D672C3"/>
    <w:rsid w:val="00D67517"/>
    <w:rsid w:val="00D717F3"/>
    <w:rsid w:val="00D82166"/>
    <w:rsid w:val="00D97B3F"/>
    <w:rsid w:val="00D97C79"/>
    <w:rsid w:val="00DA1AEB"/>
    <w:rsid w:val="00DA290B"/>
    <w:rsid w:val="00DA2BB3"/>
    <w:rsid w:val="00DA6AE0"/>
    <w:rsid w:val="00DB32DC"/>
    <w:rsid w:val="00DB3A3F"/>
    <w:rsid w:val="00DC46AC"/>
    <w:rsid w:val="00DC4C71"/>
    <w:rsid w:val="00DD2293"/>
    <w:rsid w:val="00DD7217"/>
    <w:rsid w:val="00DE5AA9"/>
    <w:rsid w:val="00DE77C2"/>
    <w:rsid w:val="00DF45C9"/>
    <w:rsid w:val="00DF4BBC"/>
    <w:rsid w:val="00DF7800"/>
    <w:rsid w:val="00E1228A"/>
    <w:rsid w:val="00E1270E"/>
    <w:rsid w:val="00E12AEA"/>
    <w:rsid w:val="00E1794D"/>
    <w:rsid w:val="00E34345"/>
    <w:rsid w:val="00E35D09"/>
    <w:rsid w:val="00E373A8"/>
    <w:rsid w:val="00E57EFF"/>
    <w:rsid w:val="00E62C8E"/>
    <w:rsid w:val="00E634CE"/>
    <w:rsid w:val="00E65E29"/>
    <w:rsid w:val="00E67430"/>
    <w:rsid w:val="00E70EBE"/>
    <w:rsid w:val="00E718FA"/>
    <w:rsid w:val="00E72C09"/>
    <w:rsid w:val="00E73183"/>
    <w:rsid w:val="00E819A9"/>
    <w:rsid w:val="00E821D1"/>
    <w:rsid w:val="00E836B6"/>
    <w:rsid w:val="00E9042E"/>
    <w:rsid w:val="00E9083C"/>
    <w:rsid w:val="00E97019"/>
    <w:rsid w:val="00EA40F3"/>
    <w:rsid w:val="00EA496D"/>
    <w:rsid w:val="00EA5731"/>
    <w:rsid w:val="00EA6490"/>
    <w:rsid w:val="00EB2CA1"/>
    <w:rsid w:val="00EB646E"/>
    <w:rsid w:val="00EB7BF2"/>
    <w:rsid w:val="00EC7AAE"/>
    <w:rsid w:val="00EE115F"/>
    <w:rsid w:val="00EE3115"/>
    <w:rsid w:val="00EE4B74"/>
    <w:rsid w:val="00EE6F52"/>
    <w:rsid w:val="00EF56B2"/>
    <w:rsid w:val="00EF6FB9"/>
    <w:rsid w:val="00F00487"/>
    <w:rsid w:val="00F01D65"/>
    <w:rsid w:val="00F0648D"/>
    <w:rsid w:val="00F153D0"/>
    <w:rsid w:val="00F16466"/>
    <w:rsid w:val="00F23978"/>
    <w:rsid w:val="00F23BBE"/>
    <w:rsid w:val="00F24429"/>
    <w:rsid w:val="00F33EFA"/>
    <w:rsid w:val="00F35DC3"/>
    <w:rsid w:val="00F3781B"/>
    <w:rsid w:val="00F514E3"/>
    <w:rsid w:val="00F52100"/>
    <w:rsid w:val="00F54D13"/>
    <w:rsid w:val="00F55A1D"/>
    <w:rsid w:val="00F575ED"/>
    <w:rsid w:val="00F6039D"/>
    <w:rsid w:val="00F642B1"/>
    <w:rsid w:val="00F74A45"/>
    <w:rsid w:val="00F77B9D"/>
    <w:rsid w:val="00F80C84"/>
    <w:rsid w:val="00F90192"/>
    <w:rsid w:val="00F9326E"/>
    <w:rsid w:val="00FA50D1"/>
    <w:rsid w:val="00FA5F71"/>
    <w:rsid w:val="00FB04C7"/>
    <w:rsid w:val="00FB0C35"/>
    <w:rsid w:val="00FB23AF"/>
    <w:rsid w:val="00FC636F"/>
    <w:rsid w:val="00FD3C29"/>
    <w:rsid w:val="00FD6B58"/>
    <w:rsid w:val="00FE3063"/>
    <w:rsid w:val="00FF2A8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79593"/>
  <w15:docId w15:val="{3C93CA46-31D7-4CBB-AD31-502CD15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jc w:val="both"/>
    </w:pPr>
    <w:rPr>
      <w:sz w:val="24"/>
      <w:szCs w:val="24"/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uiPriority w:val="9"/>
    <w:qFormat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Nadpis3">
    <w:name w:val="heading 3"/>
    <w:basedOn w:val="Normlny"/>
    <w:next w:val="Normlny"/>
    <w:uiPriority w:val="9"/>
    <w:qFormat/>
    <w:pPr>
      <w:keepNext/>
      <w:autoSpaceDE/>
      <w:autoSpaceDN/>
      <w:outlineLvl w:val="2"/>
    </w:pPr>
    <w:rPr>
      <w:rFonts w:ascii="ITCBookmanEE,Bold" w:hAnsi="ITCBookmanEE,Bold"/>
      <w:b/>
      <w:bCs/>
      <w:color w:val="000000"/>
      <w:sz w:val="22"/>
      <w:szCs w:val="22"/>
    </w:rPr>
  </w:style>
  <w:style w:type="paragraph" w:styleId="Nadpis4">
    <w:name w:val="heading 4"/>
    <w:basedOn w:val="Normlny"/>
    <w:next w:val="Normlny"/>
    <w:uiPriority w:val="9"/>
    <w:qFormat/>
    <w:pPr>
      <w:keepNext/>
      <w:ind w:left="284"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uiPriority w:val="9"/>
    <w:qFormat/>
    <w:pPr>
      <w:keepNext/>
      <w:autoSpaceDE/>
      <w:autoSpaceDN/>
      <w:outlineLvl w:val="4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Nadpis6">
    <w:name w:val="heading 6"/>
    <w:basedOn w:val="Normlny"/>
    <w:next w:val="Normlny"/>
    <w:uiPriority w:val="9"/>
    <w:qFormat/>
    <w:pPr>
      <w:keepNext/>
      <w:jc w:val="left"/>
      <w:outlineLvl w:val="5"/>
    </w:pPr>
    <w:rPr>
      <w:b/>
      <w:bCs/>
    </w:rPr>
  </w:style>
  <w:style w:type="paragraph" w:styleId="Nadpis9">
    <w:name w:val="heading 9"/>
    <w:basedOn w:val="Normlny"/>
    <w:next w:val="Normlny"/>
    <w:uiPriority w:val="9"/>
    <w:qFormat/>
    <w:pPr>
      <w:keepNext/>
      <w:jc w:val="center"/>
      <w:outlineLvl w:val="8"/>
    </w:pPr>
    <w:rPr>
      <w:b/>
      <w:b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567"/>
    </w:pPr>
    <w:rPr>
      <w:sz w:val="20"/>
      <w:szCs w:val="20"/>
    </w:rPr>
  </w:style>
  <w:style w:type="paragraph" w:styleId="Nzov">
    <w:name w:val="Title"/>
    <w:basedOn w:val="Normlny"/>
    <w:link w:val="NzovChar"/>
    <w:uiPriority w:val="99"/>
    <w:qFormat/>
    <w:pPr>
      <w:spacing w:before="120" w:line="480" w:lineRule="atLeast"/>
      <w:jc w:val="center"/>
    </w:pPr>
    <w:rPr>
      <w:b/>
      <w:bCs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customStyle="1" w:styleId="tnr121">
    <w:name w:val="tnr 121"/>
    <w:basedOn w:val="Normlny"/>
    <w:pPr>
      <w:spacing w:line="360" w:lineRule="atLeast"/>
    </w:pPr>
    <w:rPr>
      <w:lang w:val="en-GB"/>
    </w:rPr>
  </w:style>
  <w:style w:type="paragraph" w:styleId="Zkladntext3">
    <w:name w:val="Body Text 3"/>
    <w:basedOn w:val="Normlny"/>
    <w:pPr>
      <w:jc w:val="left"/>
    </w:pPr>
    <w:rPr>
      <w:b/>
      <w:bCs/>
      <w:i/>
      <w:iCs/>
      <w:sz w:val="22"/>
      <w:szCs w:val="22"/>
    </w:rPr>
  </w:style>
  <w:style w:type="paragraph" w:styleId="Zarkazkladnhotextu2">
    <w:name w:val="Body Text Indent 2"/>
    <w:basedOn w:val="Normlny"/>
    <w:pPr>
      <w:tabs>
        <w:tab w:val="left" w:pos="1080"/>
      </w:tabs>
      <w:ind w:left="540" w:hanging="540"/>
    </w:pPr>
  </w:style>
  <w:style w:type="paragraph" w:styleId="Zkladntext">
    <w:name w:val="Body Text"/>
    <w:basedOn w:val="Normlny"/>
    <w:pPr>
      <w:autoSpaceDE/>
      <w:autoSpaceDN/>
      <w:jc w:val="left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Textpoznmkypodiarou">
    <w:name w:val="footnote text"/>
    <w:basedOn w:val="Normlny"/>
    <w:semiHidden/>
    <w:pPr>
      <w:jc w:val="left"/>
    </w:pPr>
    <w:rPr>
      <w:sz w:val="20"/>
      <w:szCs w:val="20"/>
      <w:lang w:val="cs-CZ"/>
    </w:rPr>
  </w:style>
  <w:style w:type="paragraph" w:styleId="Zarkazkladnhotextu3">
    <w:name w:val="Body Text Indent 3"/>
    <w:basedOn w:val="Normlny"/>
    <w:pPr>
      <w:tabs>
        <w:tab w:val="left" w:pos="1080"/>
      </w:tabs>
      <w:ind w:firstLine="397"/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617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749"/>
    <w:pPr>
      <w:widowControl/>
      <w:autoSpaceDE/>
      <w:autoSpaceDN/>
      <w:adjustRightInd/>
      <w:spacing w:after="200"/>
      <w:jc w:val="left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749"/>
    <w:rPr>
      <w:rFonts w:ascii="Calibri" w:eastAsia="Calibri" w:hAnsi="Calibri"/>
      <w:lang w:val="sk-SK"/>
    </w:rPr>
  </w:style>
  <w:style w:type="character" w:customStyle="1" w:styleId="NzovChar">
    <w:name w:val="Názov Char"/>
    <w:basedOn w:val="Predvolenpsmoodseku"/>
    <w:link w:val="Nzov"/>
    <w:uiPriority w:val="99"/>
    <w:rsid w:val="00951573"/>
    <w:rPr>
      <w:b/>
      <w:bCs/>
      <w:sz w:val="24"/>
      <w:szCs w:val="24"/>
      <w:lang w:val="sk-SK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D50957"/>
    <w:pPr>
      <w:ind w:left="720"/>
      <w:contextualSpacing/>
      <w:jc w:val="left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DDA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DDA"/>
    <w:rPr>
      <w:rFonts w:ascii="Calibri" w:eastAsia="Calibri" w:hAnsi="Calibri"/>
      <w:b/>
      <w:bCs/>
      <w:lang w:val="sk-SK"/>
    </w:rPr>
  </w:style>
  <w:style w:type="paragraph" w:styleId="Revzia">
    <w:name w:val="Revision"/>
    <w:hidden/>
    <w:uiPriority w:val="99"/>
    <w:semiHidden/>
    <w:rsid w:val="00B627A7"/>
    <w:rPr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0079B2"/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F575ED"/>
    <w:pPr>
      <w:jc w:val="both"/>
    </w:pPr>
    <w:rPr>
      <w:rFonts w:ascii="Calibri" w:hAnsi="Calibri"/>
      <w:sz w:val="22"/>
      <w:szCs w:val="22"/>
      <w:lang w:val="sk-SK"/>
    </w:rPr>
  </w:style>
  <w:style w:type="paragraph" w:styleId="Normlnywebov">
    <w:name w:val="Normal (Web)"/>
    <w:aliases w:val="webb"/>
    <w:basedOn w:val="Normlny"/>
    <w:uiPriority w:val="99"/>
    <w:semiHidden/>
    <w:unhideWhenUsed/>
    <w:qFormat/>
    <w:rsid w:val="00C82C1E"/>
    <w:pPr>
      <w:widowControl/>
      <w:autoSpaceDE/>
      <w:autoSpaceDN/>
      <w:adjustRightInd/>
      <w:spacing w:before="100" w:beforeAutospacing="1" w:after="100" w:afterAutospacing="1"/>
      <w:jc w:val="left"/>
    </w:pPr>
    <w:rPr>
      <w:lang w:eastAsia="sk-SK"/>
    </w:rPr>
  </w:style>
  <w:style w:type="character" w:customStyle="1" w:styleId="awspan">
    <w:name w:val="awspan"/>
    <w:basedOn w:val="Predvolenpsmoodseku"/>
    <w:qFormat/>
    <w:rsid w:val="00C82C1E"/>
  </w:style>
  <w:style w:type="table" w:customStyle="1" w:styleId="Mriekatabuky1">
    <w:name w:val="Mriežka tabuľky1"/>
    <w:basedOn w:val="Normlnatabuka"/>
    <w:next w:val="Mriekatabuky"/>
    <w:uiPriority w:val="59"/>
    <w:rsid w:val="000163EF"/>
    <w:rPr>
      <w:rFonts w:asciiTheme="minorHAnsi" w:eastAsiaTheme="minorHAnsi" w:hAnsiTheme="minorHAnsi" w:cstheme="minorBid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01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6EE0-CE01-4BB7-A591-0410B646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1734</Words>
  <Characters>9886</Characters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2026-03-27T08:10:00Z</cp:lastPrinted>
  <dcterms:created xsi:type="dcterms:W3CDTF">2026-03-27T10:38:00Z</dcterms:created>
  <dcterms:modified xsi:type="dcterms:W3CDTF">2026-03-27T12:15:00Z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2654253cafb908213d3b184f6f046fa150c40f6984488d6dff886ff33dcf2d51</vt:lpwstr>
  </property>
</Properties>
</file>