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E7EB" w14:textId="77777777" w:rsidR="00110E29" w:rsidRPr="001514DD" w:rsidRDefault="00110E29" w:rsidP="00110E29">
      <w:pPr>
        <w:spacing w:after="0" w:line="240" w:lineRule="auto"/>
        <w:jc w:val="center"/>
        <w:rPr>
          <w:rFonts w:ascii="Times New Roman" w:eastAsia="Times New Roman" w:hAnsi="Times New Roman" w:cs="Times New Roman"/>
          <w:b/>
          <w:bCs/>
          <w:sz w:val="28"/>
          <w:szCs w:val="28"/>
          <w:lang w:eastAsia="sk-SK"/>
        </w:rPr>
      </w:pPr>
      <w:r w:rsidRPr="001514DD">
        <w:rPr>
          <w:rFonts w:ascii="Times New Roman" w:eastAsia="Times New Roman" w:hAnsi="Times New Roman" w:cs="Times New Roman"/>
          <w:b/>
          <w:bCs/>
          <w:sz w:val="28"/>
          <w:szCs w:val="28"/>
          <w:lang w:eastAsia="sk-SK"/>
        </w:rPr>
        <w:t>Analýza vplyvov na rozpočet verejnej správy,</w:t>
      </w:r>
    </w:p>
    <w:p w14:paraId="102EEBF4" w14:textId="77777777" w:rsidR="00110E29" w:rsidRPr="001514DD" w:rsidRDefault="00110E29" w:rsidP="00110E29">
      <w:pPr>
        <w:spacing w:after="0" w:line="240" w:lineRule="auto"/>
        <w:jc w:val="center"/>
        <w:rPr>
          <w:rFonts w:ascii="Times New Roman" w:eastAsia="Times New Roman" w:hAnsi="Times New Roman" w:cs="Times New Roman"/>
          <w:b/>
          <w:bCs/>
          <w:sz w:val="28"/>
          <w:szCs w:val="28"/>
          <w:lang w:eastAsia="sk-SK"/>
        </w:rPr>
      </w:pPr>
      <w:r w:rsidRPr="001514DD">
        <w:rPr>
          <w:rFonts w:ascii="Times New Roman" w:eastAsia="Times New Roman" w:hAnsi="Times New Roman" w:cs="Times New Roman"/>
          <w:b/>
          <w:bCs/>
          <w:sz w:val="28"/>
          <w:szCs w:val="28"/>
          <w:lang w:eastAsia="sk-SK"/>
        </w:rPr>
        <w:t>na zamestnanosť vo verejnej správe a financovanie návrhu</w:t>
      </w:r>
    </w:p>
    <w:p w14:paraId="731EB15A" w14:textId="77777777" w:rsidR="00110E29" w:rsidRPr="001514DD" w:rsidRDefault="00110E29" w:rsidP="00110E29">
      <w:pPr>
        <w:spacing w:after="0" w:line="240" w:lineRule="auto"/>
        <w:jc w:val="right"/>
        <w:rPr>
          <w:rFonts w:ascii="Times New Roman" w:eastAsia="Times New Roman" w:hAnsi="Times New Roman" w:cs="Times New Roman"/>
          <w:b/>
          <w:bCs/>
          <w:sz w:val="24"/>
          <w:lang w:eastAsia="sk-SK"/>
        </w:rPr>
      </w:pPr>
    </w:p>
    <w:p w14:paraId="7B86AEFF" w14:textId="77777777" w:rsidR="00110E29" w:rsidRPr="001514DD" w:rsidRDefault="00110E29" w:rsidP="00110E29">
      <w:pPr>
        <w:spacing w:after="0" w:line="240" w:lineRule="auto"/>
        <w:jc w:val="right"/>
        <w:rPr>
          <w:rFonts w:ascii="Times New Roman" w:eastAsia="Times New Roman" w:hAnsi="Times New Roman" w:cs="Times New Roman"/>
          <w:b/>
          <w:bCs/>
          <w:sz w:val="24"/>
          <w:lang w:eastAsia="sk-SK"/>
        </w:rPr>
      </w:pPr>
    </w:p>
    <w:p w14:paraId="78F45CA7"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2.1 Zhrnutie vplyvov na rozpočet verejnej správy v návrhu</w:t>
      </w:r>
    </w:p>
    <w:p w14:paraId="519361C9" w14:textId="77777777" w:rsidR="00110E29" w:rsidRPr="001514DD" w:rsidRDefault="00110E29" w:rsidP="00110E29">
      <w:pPr>
        <w:spacing w:after="0" w:line="240" w:lineRule="auto"/>
        <w:jc w:val="right"/>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Tabuľka č. 1/A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97"/>
        <w:gridCol w:w="1447"/>
        <w:gridCol w:w="1276"/>
        <w:gridCol w:w="12"/>
      </w:tblGrid>
      <w:tr w:rsidR="00110E29" w:rsidRPr="001514DD" w14:paraId="3FE8AD9E" w14:textId="77777777" w:rsidTr="00834353">
        <w:trPr>
          <w:cantSplit/>
          <w:trHeight w:val="194"/>
          <w:jc w:val="center"/>
        </w:trPr>
        <w:tc>
          <w:tcPr>
            <w:tcW w:w="4661" w:type="dxa"/>
            <w:vMerge w:val="restart"/>
            <w:shd w:val="clear" w:color="auto" w:fill="BFBFBF" w:themeFill="background1" w:themeFillShade="BF"/>
            <w:vAlign w:val="center"/>
          </w:tcPr>
          <w:p w14:paraId="1E1B443F"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bookmarkStart w:id="0" w:name="OLE_LINK1"/>
            <w:r w:rsidRPr="001514DD">
              <w:rPr>
                <w:rFonts w:ascii="Times New Roman" w:eastAsia="Times New Roman" w:hAnsi="Times New Roman" w:cs="Times New Roman"/>
                <w:b/>
                <w:bCs/>
                <w:sz w:val="24"/>
                <w:lang w:eastAsia="sk-SK"/>
              </w:rPr>
              <w:t>Vplyvy na rozpočet verejnej správy</w:t>
            </w:r>
          </w:p>
        </w:tc>
        <w:tc>
          <w:tcPr>
            <w:tcW w:w="5299" w:type="dxa"/>
            <w:gridSpan w:val="5"/>
            <w:shd w:val="clear" w:color="auto" w:fill="BFBFBF" w:themeFill="background1" w:themeFillShade="BF"/>
            <w:vAlign w:val="center"/>
          </w:tcPr>
          <w:p w14:paraId="1715F1C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Vplyv na rozpočet verejnej správy (v eurách)</w:t>
            </w:r>
          </w:p>
        </w:tc>
      </w:tr>
      <w:tr w:rsidR="00110E29" w:rsidRPr="001514DD" w14:paraId="75C47CD6" w14:textId="77777777" w:rsidTr="00834353">
        <w:trPr>
          <w:gridAfter w:val="1"/>
          <w:wAfter w:w="12" w:type="dxa"/>
          <w:cantSplit/>
          <w:trHeight w:val="70"/>
          <w:jc w:val="center"/>
        </w:trPr>
        <w:tc>
          <w:tcPr>
            <w:tcW w:w="4661" w:type="dxa"/>
            <w:vMerge/>
            <w:shd w:val="clear" w:color="auto" w:fill="BFBFBF" w:themeFill="background1" w:themeFillShade="BF"/>
            <w:vAlign w:val="center"/>
          </w:tcPr>
          <w:p w14:paraId="5C594FD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267" w:type="dxa"/>
            <w:shd w:val="clear" w:color="auto" w:fill="BFBFBF" w:themeFill="background1" w:themeFillShade="BF"/>
            <w:vAlign w:val="center"/>
          </w:tcPr>
          <w:p w14:paraId="69585227"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2026</w:t>
            </w:r>
          </w:p>
        </w:tc>
        <w:tc>
          <w:tcPr>
            <w:tcW w:w="1297" w:type="dxa"/>
            <w:shd w:val="clear" w:color="auto" w:fill="BFBFBF" w:themeFill="background1" w:themeFillShade="BF"/>
            <w:vAlign w:val="center"/>
          </w:tcPr>
          <w:p w14:paraId="7C548FB6"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2027</w:t>
            </w:r>
          </w:p>
        </w:tc>
        <w:tc>
          <w:tcPr>
            <w:tcW w:w="1447" w:type="dxa"/>
            <w:shd w:val="clear" w:color="auto" w:fill="BFBFBF" w:themeFill="background1" w:themeFillShade="BF"/>
            <w:vAlign w:val="center"/>
          </w:tcPr>
          <w:p w14:paraId="531A2863"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2028</w:t>
            </w:r>
          </w:p>
        </w:tc>
        <w:tc>
          <w:tcPr>
            <w:tcW w:w="1276" w:type="dxa"/>
            <w:shd w:val="clear" w:color="auto" w:fill="BFBFBF" w:themeFill="background1" w:themeFillShade="BF"/>
            <w:vAlign w:val="center"/>
          </w:tcPr>
          <w:p w14:paraId="2D8C2DC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2029</w:t>
            </w:r>
          </w:p>
        </w:tc>
      </w:tr>
      <w:tr w:rsidR="00110E29" w:rsidRPr="001514DD" w14:paraId="7D1886D8" w14:textId="77777777" w:rsidTr="00834353">
        <w:trPr>
          <w:gridAfter w:val="1"/>
          <w:wAfter w:w="12" w:type="dxa"/>
          <w:trHeight w:val="70"/>
          <w:jc w:val="center"/>
        </w:trPr>
        <w:tc>
          <w:tcPr>
            <w:tcW w:w="4661" w:type="dxa"/>
            <w:shd w:val="clear" w:color="auto" w:fill="C0C0C0"/>
            <w:noWrap/>
            <w:vAlign w:val="center"/>
          </w:tcPr>
          <w:p w14:paraId="0DF60645"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b/>
                <w:bCs/>
                <w:sz w:val="24"/>
                <w:lang w:eastAsia="sk-SK"/>
              </w:rPr>
              <w:t>Príjmy verejnej správy celkom</w:t>
            </w:r>
          </w:p>
        </w:tc>
        <w:tc>
          <w:tcPr>
            <w:tcW w:w="1267" w:type="dxa"/>
            <w:shd w:val="clear" w:color="auto" w:fill="C0C0C0"/>
            <w:vAlign w:val="center"/>
          </w:tcPr>
          <w:p w14:paraId="325B4787"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97" w:type="dxa"/>
            <w:shd w:val="clear" w:color="auto" w:fill="C0C0C0"/>
            <w:vAlign w:val="center"/>
          </w:tcPr>
          <w:p w14:paraId="72D3E44D"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295 400</w:t>
            </w:r>
          </w:p>
        </w:tc>
        <w:tc>
          <w:tcPr>
            <w:tcW w:w="1447" w:type="dxa"/>
            <w:shd w:val="clear" w:color="auto" w:fill="C0C0C0"/>
            <w:vAlign w:val="center"/>
          </w:tcPr>
          <w:p w14:paraId="45EA4B25"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76" w:type="dxa"/>
            <w:shd w:val="clear" w:color="auto" w:fill="C0C0C0"/>
            <w:vAlign w:val="center"/>
          </w:tcPr>
          <w:p w14:paraId="485196F1"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33 760</w:t>
            </w:r>
          </w:p>
        </w:tc>
      </w:tr>
      <w:tr w:rsidR="00110E29" w:rsidRPr="001514DD" w14:paraId="7C0F7A5E" w14:textId="77777777" w:rsidTr="00834353">
        <w:trPr>
          <w:gridAfter w:val="1"/>
          <w:wAfter w:w="12" w:type="dxa"/>
          <w:trHeight w:val="132"/>
          <w:jc w:val="center"/>
        </w:trPr>
        <w:tc>
          <w:tcPr>
            <w:tcW w:w="4661" w:type="dxa"/>
            <w:noWrap/>
            <w:vAlign w:val="center"/>
          </w:tcPr>
          <w:p w14:paraId="30FA10DE"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v tom: Ministerstvo vnútra</w:t>
            </w:r>
          </w:p>
        </w:tc>
        <w:tc>
          <w:tcPr>
            <w:tcW w:w="1267" w:type="dxa"/>
            <w:noWrap/>
            <w:vAlign w:val="center"/>
          </w:tcPr>
          <w:p w14:paraId="0465ECFE"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554185AB"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295 400</w:t>
            </w:r>
          </w:p>
        </w:tc>
        <w:tc>
          <w:tcPr>
            <w:tcW w:w="1447" w:type="dxa"/>
            <w:noWrap/>
            <w:vAlign w:val="center"/>
          </w:tcPr>
          <w:p w14:paraId="4DB1D034"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398D47FD"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33 760</w:t>
            </w:r>
          </w:p>
        </w:tc>
      </w:tr>
      <w:tr w:rsidR="00110E29" w:rsidRPr="001514DD" w14:paraId="6195CDEC" w14:textId="77777777" w:rsidTr="00834353">
        <w:trPr>
          <w:gridAfter w:val="1"/>
          <w:wAfter w:w="12" w:type="dxa"/>
          <w:trHeight w:val="70"/>
          <w:jc w:val="center"/>
        </w:trPr>
        <w:tc>
          <w:tcPr>
            <w:tcW w:w="4661" w:type="dxa"/>
            <w:noWrap/>
            <w:vAlign w:val="center"/>
          </w:tcPr>
          <w:p w14:paraId="78D65098"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xml:space="preserve">z toho:  </w:t>
            </w:r>
          </w:p>
        </w:tc>
        <w:tc>
          <w:tcPr>
            <w:tcW w:w="1267" w:type="dxa"/>
            <w:noWrap/>
            <w:vAlign w:val="center"/>
          </w:tcPr>
          <w:p w14:paraId="50DEDF83"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p>
        </w:tc>
        <w:tc>
          <w:tcPr>
            <w:tcW w:w="1297" w:type="dxa"/>
            <w:noWrap/>
            <w:vAlign w:val="center"/>
          </w:tcPr>
          <w:p w14:paraId="11318E04"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p>
        </w:tc>
        <w:tc>
          <w:tcPr>
            <w:tcW w:w="1447" w:type="dxa"/>
            <w:noWrap/>
            <w:vAlign w:val="center"/>
          </w:tcPr>
          <w:p w14:paraId="3521F8BC"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p>
        </w:tc>
        <w:tc>
          <w:tcPr>
            <w:tcW w:w="1276" w:type="dxa"/>
            <w:noWrap/>
            <w:vAlign w:val="center"/>
          </w:tcPr>
          <w:p w14:paraId="7350107F"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p>
        </w:tc>
      </w:tr>
      <w:tr w:rsidR="00110E29" w:rsidRPr="001514DD" w14:paraId="582A8345" w14:textId="77777777" w:rsidTr="00834353">
        <w:trPr>
          <w:gridAfter w:val="1"/>
          <w:wAfter w:w="12" w:type="dxa"/>
          <w:trHeight w:val="125"/>
          <w:jc w:val="center"/>
        </w:trPr>
        <w:tc>
          <w:tcPr>
            <w:tcW w:w="4661" w:type="dxa"/>
            <w:noWrap/>
            <w:vAlign w:val="center"/>
          </w:tcPr>
          <w:p w14:paraId="4B09C541"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ŠR</w:t>
            </w:r>
          </w:p>
        </w:tc>
        <w:tc>
          <w:tcPr>
            <w:tcW w:w="1267" w:type="dxa"/>
            <w:noWrap/>
            <w:vAlign w:val="center"/>
          </w:tcPr>
          <w:p w14:paraId="50E1256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6863E11D"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5ABFFE6F"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1290CD8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6C09BD3C" w14:textId="77777777" w:rsidTr="00834353">
        <w:trPr>
          <w:gridAfter w:val="1"/>
          <w:wAfter w:w="12" w:type="dxa"/>
          <w:trHeight w:val="125"/>
          <w:jc w:val="center"/>
        </w:trPr>
        <w:tc>
          <w:tcPr>
            <w:tcW w:w="4661" w:type="dxa"/>
            <w:noWrap/>
            <w:vAlign w:val="center"/>
          </w:tcPr>
          <w:p w14:paraId="71FAE13A" w14:textId="77777777" w:rsidR="00110E29" w:rsidRPr="001514DD" w:rsidRDefault="00110E29" w:rsidP="00834353">
            <w:pPr>
              <w:spacing w:after="0" w:line="240" w:lineRule="auto"/>
              <w:ind w:left="259"/>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Cs/>
                <w:i/>
                <w:iCs/>
                <w:sz w:val="24"/>
                <w:lang w:eastAsia="sk-SK"/>
              </w:rPr>
              <w:t>Rozpočtové prostriedky</w:t>
            </w:r>
          </w:p>
        </w:tc>
        <w:tc>
          <w:tcPr>
            <w:tcW w:w="1267" w:type="dxa"/>
            <w:noWrap/>
            <w:vAlign w:val="center"/>
          </w:tcPr>
          <w:p w14:paraId="409F753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40619913"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295 400</w:t>
            </w:r>
          </w:p>
        </w:tc>
        <w:tc>
          <w:tcPr>
            <w:tcW w:w="1447" w:type="dxa"/>
            <w:noWrap/>
            <w:vAlign w:val="center"/>
          </w:tcPr>
          <w:p w14:paraId="7B3A47AA"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05DC35D4"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33 760</w:t>
            </w:r>
          </w:p>
        </w:tc>
      </w:tr>
      <w:tr w:rsidR="00110E29" w:rsidRPr="001514DD" w14:paraId="7002ED24" w14:textId="77777777" w:rsidTr="00834353">
        <w:trPr>
          <w:gridAfter w:val="1"/>
          <w:wAfter w:w="12" w:type="dxa"/>
          <w:trHeight w:val="125"/>
          <w:jc w:val="center"/>
        </w:trPr>
        <w:tc>
          <w:tcPr>
            <w:tcW w:w="4661" w:type="dxa"/>
            <w:noWrap/>
            <w:vAlign w:val="center"/>
          </w:tcPr>
          <w:p w14:paraId="4CADA1FB" w14:textId="77777777" w:rsidR="00110E29" w:rsidRPr="001514DD" w:rsidRDefault="00110E29" w:rsidP="00834353">
            <w:pPr>
              <w:spacing w:after="0" w:line="240" w:lineRule="auto"/>
              <w:ind w:left="259"/>
              <w:rPr>
                <w:rFonts w:ascii="Times New Roman" w:eastAsia="Times New Roman" w:hAnsi="Times New Roman" w:cs="Times New Roman"/>
                <w:bCs/>
                <w:i/>
                <w:iCs/>
                <w:sz w:val="24"/>
                <w:lang w:eastAsia="sk-SK"/>
              </w:rPr>
            </w:pPr>
            <w:r w:rsidRPr="001514DD">
              <w:rPr>
                <w:rFonts w:ascii="Times New Roman" w:eastAsia="Times New Roman" w:hAnsi="Times New Roman" w:cs="Times New Roman"/>
                <w:bCs/>
                <w:i/>
                <w:iCs/>
                <w:sz w:val="24"/>
                <w:lang w:eastAsia="sk-SK"/>
              </w:rPr>
              <w:t>EÚ zdroje</w:t>
            </w:r>
          </w:p>
        </w:tc>
        <w:tc>
          <w:tcPr>
            <w:tcW w:w="1267" w:type="dxa"/>
            <w:noWrap/>
            <w:vAlign w:val="center"/>
          </w:tcPr>
          <w:p w14:paraId="3C2BE556"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7B09F532"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447" w:type="dxa"/>
            <w:noWrap/>
            <w:vAlign w:val="center"/>
          </w:tcPr>
          <w:p w14:paraId="48108104"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3C32480D"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r>
      <w:tr w:rsidR="00110E29" w:rsidRPr="001514DD" w14:paraId="3F3C7263" w14:textId="77777777" w:rsidTr="00834353">
        <w:trPr>
          <w:gridAfter w:val="1"/>
          <w:wAfter w:w="12" w:type="dxa"/>
          <w:trHeight w:val="125"/>
          <w:jc w:val="center"/>
        </w:trPr>
        <w:tc>
          <w:tcPr>
            <w:tcW w:w="4661" w:type="dxa"/>
            <w:noWrap/>
            <w:vAlign w:val="center"/>
          </w:tcPr>
          <w:p w14:paraId="3B5076CA"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obce</w:t>
            </w:r>
          </w:p>
        </w:tc>
        <w:tc>
          <w:tcPr>
            <w:tcW w:w="1267" w:type="dxa"/>
            <w:noWrap/>
            <w:vAlign w:val="center"/>
          </w:tcPr>
          <w:p w14:paraId="18E9EED7"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617C5E35"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7B37089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09528EC9"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624E8109" w14:textId="77777777" w:rsidTr="00834353">
        <w:trPr>
          <w:gridAfter w:val="1"/>
          <w:wAfter w:w="12" w:type="dxa"/>
          <w:trHeight w:val="125"/>
          <w:jc w:val="center"/>
        </w:trPr>
        <w:tc>
          <w:tcPr>
            <w:tcW w:w="4661" w:type="dxa"/>
            <w:noWrap/>
            <w:vAlign w:val="center"/>
          </w:tcPr>
          <w:p w14:paraId="0CFD10BE"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vyššie územné celky</w:t>
            </w:r>
          </w:p>
        </w:tc>
        <w:tc>
          <w:tcPr>
            <w:tcW w:w="1267" w:type="dxa"/>
            <w:noWrap/>
            <w:vAlign w:val="center"/>
          </w:tcPr>
          <w:p w14:paraId="6377F528"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0C04D8D9"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30FFC417"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5F12763A"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697202D3" w14:textId="77777777" w:rsidTr="00834353">
        <w:trPr>
          <w:gridAfter w:val="1"/>
          <w:wAfter w:w="12" w:type="dxa"/>
          <w:trHeight w:val="125"/>
          <w:jc w:val="center"/>
        </w:trPr>
        <w:tc>
          <w:tcPr>
            <w:tcW w:w="4661" w:type="dxa"/>
            <w:noWrap/>
            <w:vAlign w:val="center"/>
          </w:tcPr>
          <w:p w14:paraId="78B91AAC"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ostatné subjekty verejnej správy</w:t>
            </w:r>
          </w:p>
        </w:tc>
        <w:tc>
          <w:tcPr>
            <w:tcW w:w="1267" w:type="dxa"/>
            <w:noWrap/>
            <w:vAlign w:val="center"/>
          </w:tcPr>
          <w:p w14:paraId="7041219B"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0DB33185"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2E7F78AF"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6B45A258"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238A7A50" w14:textId="77777777" w:rsidTr="00834353">
        <w:trPr>
          <w:gridAfter w:val="1"/>
          <w:wAfter w:w="12" w:type="dxa"/>
          <w:trHeight w:val="125"/>
          <w:jc w:val="center"/>
        </w:trPr>
        <w:tc>
          <w:tcPr>
            <w:tcW w:w="4661" w:type="dxa"/>
            <w:shd w:val="clear" w:color="auto" w:fill="C0C0C0"/>
            <w:noWrap/>
            <w:vAlign w:val="center"/>
          </w:tcPr>
          <w:p w14:paraId="55E35867"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Výdavky verejnej správy celkom</w:t>
            </w:r>
          </w:p>
        </w:tc>
        <w:tc>
          <w:tcPr>
            <w:tcW w:w="1267" w:type="dxa"/>
            <w:shd w:val="clear" w:color="auto" w:fill="C0C0C0"/>
            <w:noWrap/>
            <w:vAlign w:val="center"/>
          </w:tcPr>
          <w:p w14:paraId="0DC35C03"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97" w:type="dxa"/>
            <w:shd w:val="clear" w:color="auto" w:fill="C0C0C0"/>
            <w:noWrap/>
            <w:vAlign w:val="center"/>
          </w:tcPr>
          <w:p w14:paraId="1AAD847B"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427 938</w:t>
            </w:r>
          </w:p>
        </w:tc>
        <w:tc>
          <w:tcPr>
            <w:tcW w:w="1447" w:type="dxa"/>
            <w:shd w:val="clear" w:color="auto" w:fill="C0C0C0"/>
            <w:noWrap/>
            <w:vAlign w:val="center"/>
          </w:tcPr>
          <w:p w14:paraId="0DC02EAA"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76" w:type="dxa"/>
            <w:shd w:val="clear" w:color="auto" w:fill="C0C0C0"/>
            <w:noWrap/>
            <w:vAlign w:val="center"/>
          </w:tcPr>
          <w:p w14:paraId="20CAEA47"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722 293</w:t>
            </w:r>
          </w:p>
        </w:tc>
      </w:tr>
      <w:tr w:rsidR="00110E29" w:rsidRPr="001514DD" w14:paraId="7075D42C" w14:textId="77777777" w:rsidTr="00834353">
        <w:trPr>
          <w:gridAfter w:val="1"/>
          <w:wAfter w:w="12" w:type="dxa"/>
          <w:trHeight w:val="70"/>
          <w:jc w:val="center"/>
        </w:trPr>
        <w:tc>
          <w:tcPr>
            <w:tcW w:w="4661" w:type="dxa"/>
            <w:noWrap/>
            <w:vAlign w:val="center"/>
          </w:tcPr>
          <w:p w14:paraId="128324B5"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v tom: Ministerstvo zahraničných vecí a európskych záležitostí Slovenskej republiky</w:t>
            </w:r>
          </w:p>
        </w:tc>
        <w:tc>
          <w:tcPr>
            <w:tcW w:w="1267" w:type="dxa"/>
            <w:noWrap/>
            <w:vAlign w:val="center"/>
          </w:tcPr>
          <w:p w14:paraId="4C23FED5"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1BF40B5F" w14:textId="77777777" w:rsidR="00110E29" w:rsidRPr="001514DD" w:rsidRDefault="00110E29" w:rsidP="00834353">
            <w:pPr>
              <w:spacing w:after="0" w:line="240" w:lineRule="auto"/>
              <w:jc w:val="right"/>
              <w:rPr>
                <w:rFonts w:ascii="Times New Roman" w:eastAsia="Times New Roman" w:hAnsi="Times New Roman" w:cs="Times New Roman"/>
                <w:lang w:eastAsia="sk-SK"/>
              </w:rPr>
            </w:pPr>
            <w:r w:rsidRPr="001514DD">
              <w:rPr>
                <w:rFonts w:ascii="Times New Roman" w:eastAsia="Times New Roman" w:hAnsi="Times New Roman" w:cs="Times New Roman"/>
                <w:lang w:eastAsia="sk-SK"/>
              </w:rPr>
              <w:t>427 938</w:t>
            </w:r>
          </w:p>
        </w:tc>
        <w:tc>
          <w:tcPr>
            <w:tcW w:w="1447" w:type="dxa"/>
            <w:noWrap/>
            <w:vAlign w:val="center"/>
          </w:tcPr>
          <w:p w14:paraId="7C64F4C1" w14:textId="77777777" w:rsidR="00110E29" w:rsidRPr="001514DD" w:rsidRDefault="00110E29" w:rsidP="00834353">
            <w:pPr>
              <w:spacing w:after="0" w:line="240" w:lineRule="auto"/>
              <w:jc w:val="right"/>
              <w:rPr>
                <w:rFonts w:ascii="Times New Roman" w:eastAsia="Times New Roman" w:hAnsi="Times New Roman" w:cs="Times New Roman"/>
                <w:lang w:eastAsia="sk-SK"/>
              </w:rPr>
            </w:pPr>
            <w:r w:rsidRPr="001514DD">
              <w:rPr>
                <w:rFonts w:ascii="Times New Roman" w:eastAsia="Times New Roman" w:hAnsi="Times New Roman" w:cs="Times New Roman"/>
                <w:lang w:eastAsia="sk-SK"/>
              </w:rPr>
              <w:t>0</w:t>
            </w:r>
          </w:p>
        </w:tc>
        <w:tc>
          <w:tcPr>
            <w:tcW w:w="1276" w:type="dxa"/>
            <w:noWrap/>
            <w:vAlign w:val="center"/>
          </w:tcPr>
          <w:p w14:paraId="480E87A0"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lang w:eastAsia="sk-SK"/>
              </w:rPr>
              <w:t>722 293</w:t>
            </w:r>
          </w:p>
        </w:tc>
      </w:tr>
      <w:tr w:rsidR="00110E29" w:rsidRPr="001514DD" w14:paraId="6BB36711" w14:textId="77777777" w:rsidTr="00834353">
        <w:trPr>
          <w:gridAfter w:val="1"/>
          <w:wAfter w:w="12" w:type="dxa"/>
          <w:trHeight w:val="70"/>
          <w:jc w:val="center"/>
        </w:trPr>
        <w:tc>
          <w:tcPr>
            <w:tcW w:w="4661" w:type="dxa"/>
            <w:noWrap/>
            <w:vAlign w:val="center"/>
          </w:tcPr>
          <w:p w14:paraId="73598E06"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xml:space="preserve">z toho: </w:t>
            </w:r>
          </w:p>
        </w:tc>
        <w:tc>
          <w:tcPr>
            <w:tcW w:w="1267" w:type="dxa"/>
            <w:noWrap/>
            <w:vAlign w:val="center"/>
          </w:tcPr>
          <w:p w14:paraId="4DAA67B4"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p>
        </w:tc>
        <w:tc>
          <w:tcPr>
            <w:tcW w:w="1297" w:type="dxa"/>
            <w:noWrap/>
            <w:vAlign w:val="center"/>
          </w:tcPr>
          <w:p w14:paraId="1D59310B" w14:textId="77777777" w:rsidR="00110E29" w:rsidRPr="001514DD" w:rsidRDefault="00110E29" w:rsidP="00834353">
            <w:pPr>
              <w:spacing w:after="0" w:line="240" w:lineRule="auto"/>
              <w:jc w:val="right"/>
              <w:rPr>
                <w:rFonts w:ascii="Times New Roman" w:eastAsia="Times New Roman" w:hAnsi="Times New Roman" w:cs="Times New Roman"/>
                <w:b/>
                <w:bCs/>
                <w:iCs/>
                <w:lang w:eastAsia="sk-SK"/>
              </w:rPr>
            </w:pPr>
          </w:p>
        </w:tc>
        <w:tc>
          <w:tcPr>
            <w:tcW w:w="1447" w:type="dxa"/>
            <w:noWrap/>
            <w:vAlign w:val="center"/>
          </w:tcPr>
          <w:p w14:paraId="01BB45DF" w14:textId="77777777" w:rsidR="00110E29" w:rsidRPr="001514DD" w:rsidRDefault="00110E29" w:rsidP="00834353">
            <w:pPr>
              <w:spacing w:after="0" w:line="240" w:lineRule="auto"/>
              <w:jc w:val="right"/>
              <w:rPr>
                <w:rFonts w:ascii="Times New Roman" w:eastAsia="Times New Roman" w:hAnsi="Times New Roman" w:cs="Times New Roman"/>
                <w:b/>
                <w:bCs/>
                <w:iCs/>
                <w:lang w:eastAsia="sk-SK"/>
              </w:rPr>
            </w:pPr>
          </w:p>
        </w:tc>
        <w:tc>
          <w:tcPr>
            <w:tcW w:w="1276" w:type="dxa"/>
            <w:noWrap/>
            <w:vAlign w:val="center"/>
          </w:tcPr>
          <w:p w14:paraId="08742B72"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p>
        </w:tc>
      </w:tr>
      <w:tr w:rsidR="00110E29" w:rsidRPr="001514DD" w14:paraId="68AEDD92" w14:textId="77777777" w:rsidTr="00834353">
        <w:trPr>
          <w:gridAfter w:val="1"/>
          <w:wAfter w:w="12" w:type="dxa"/>
          <w:trHeight w:val="70"/>
          <w:jc w:val="center"/>
        </w:trPr>
        <w:tc>
          <w:tcPr>
            <w:tcW w:w="4661" w:type="dxa"/>
            <w:noWrap/>
            <w:vAlign w:val="center"/>
          </w:tcPr>
          <w:p w14:paraId="5C85DFEA"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ŠR</w:t>
            </w:r>
          </w:p>
        </w:tc>
        <w:tc>
          <w:tcPr>
            <w:tcW w:w="1267" w:type="dxa"/>
            <w:noWrap/>
            <w:vAlign w:val="center"/>
          </w:tcPr>
          <w:p w14:paraId="16EC0288"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7729CBCF" w14:textId="77777777" w:rsidR="00110E29" w:rsidRPr="001514DD" w:rsidRDefault="00110E29" w:rsidP="00834353">
            <w:pPr>
              <w:spacing w:after="0" w:line="240" w:lineRule="auto"/>
              <w:jc w:val="right"/>
              <w:rPr>
                <w:rFonts w:ascii="Times New Roman" w:eastAsia="Times New Roman" w:hAnsi="Times New Roman" w:cs="Times New Roman"/>
                <w:b/>
                <w:bCs/>
                <w:iCs/>
                <w:lang w:eastAsia="sk-SK"/>
              </w:rPr>
            </w:pPr>
            <w:r w:rsidRPr="001514DD">
              <w:rPr>
                <w:rFonts w:ascii="Times New Roman" w:eastAsia="Times New Roman" w:hAnsi="Times New Roman" w:cs="Times New Roman"/>
                <w:b/>
                <w:bCs/>
                <w:iCs/>
                <w:lang w:eastAsia="sk-SK"/>
              </w:rPr>
              <w:t>427 938</w:t>
            </w:r>
          </w:p>
        </w:tc>
        <w:tc>
          <w:tcPr>
            <w:tcW w:w="1447" w:type="dxa"/>
            <w:noWrap/>
            <w:vAlign w:val="center"/>
          </w:tcPr>
          <w:p w14:paraId="197CAB14" w14:textId="77777777" w:rsidR="00110E29" w:rsidRPr="001514DD" w:rsidRDefault="00110E29" w:rsidP="00834353">
            <w:pPr>
              <w:spacing w:after="0" w:line="240" w:lineRule="auto"/>
              <w:jc w:val="right"/>
              <w:rPr>
                <w:rFonts w:ascii="Times New Roman" w:eastAsia="Times New Roman" w:hAnsi="Times New Roman" w:cs="Times New Roman"/>
                <w:b/>
                <w:bCs/>
                <w:iCs/>
                <w:lang w:eastAsia="sk-SK"/>
              </w:rPr>
            </w:pPr>
            <w:r w:rsidRPr="001514DD">
              <w:rPr>
                <w:rFonts w:ascii="Times New Roman" w:eastAsia="Times New Roman" w:hAnsi="Times New Roman" w:cs="Times New Roman"/>
                <w:b/>
                <w:bCs/>
                <w:iCs/>
                <w:lang w:eastAsia="sk-SK"/>
              </w:rPr>
              <w:t>0</w:t>
            </w:r>
          </w:p>
        </w:tc>
        <w:tc>
          <w:tcPr>
            <w:tcW w:w="1276" w:type="dxa"/>
            <w:noWrap/>
            <w:vAlign w:val="center"/>
          </w:tcPr>
          <w:p w14:paraId="5EBBE0E0"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lang w:eastAsia="sk-SK"/>
              </w:rPr>
              <w:t>722 293</w:t>
            </w:r>
          </w:p>
        </w:tc>
      </w:tr>
      <w:tr w:rsidR="00110E29" w:rsidRPr="001514DD" w14:paraId="1C707689" w14:textId="77777777" w:rsidTr="00834353">
        <w:trPr>
          <w:gridAfter w:val="1"/>
          <w:wAfter w:w="12" w:type="dxa"/>
          <w:trHeight w:val="70"/>
          <w:jc w:val="center"/>
        </w:trPr>
        <w:tc>
          <w:tcPr>
            <w:tcW w:w="4661" w:type="dxa"/>
            <w:noWrap/>
            <w:vAlign w:val="center"/>
          </w:tcPr>
          <w:p w14:paraId="17770EF8" w14:textId="77777777" w:rsidR="00110E29" w:rsidRPr="001514DD" w:rsidRDefault="00110E29" w:rsidP="00834353">
            <w:pPr>
              <w:spacing w:after="0" w:line="240" w:lineRule="auto"/>
              <w:ind w:left="259"/>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Cs/>
                <w:i/>
                <w:iCs/>
                <w:sz w:val="24"/>
                <w:lang w:eastAsia="sk-SK"/>
              </w:rPr>
              <w:t>Rozpočtové prostriedky</w:t>
            </w:r>
          </w:p>
        </w:tc>
        <w:tc>
          <w:tcPr>
            <w:tcW w:w="1267" w:type="dxa"/>
            <w:noWrap/>
            <w:vAlign w:val="center"/>
          </w:tcPr>
          <w:p w14:paraId="4D860D45"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2AB7ED5B" w14:textId="77777777" w:rsidR="00110E29" w:rsidRPr="001514DD" w:rsidRDefault="00110E29" w:rsidP="00834353">
            <w:pPr>
              <w:spacing w:after="0" w:line="240" w:lineRule="auto"/>
              <w:jc w:val="right"/>
              <w:rPr>
                <w:rFonts w:ascii="Times New Roman" w:eastAsia="Times New Roman" w:hAnsi="Times New Roman" w:cs="Times New Roman"/>
                <w:b/>
                <w:bCs/>
                <w:iCs/>
                <w:lang w:eastAsia="sk-SK"/>
              </w:rPr>
            </w:pPr>
            <w:r w:rsidRPr="001514DD">
              <w:rPr>
                <w:rFonts w:ascii="Times New Roman" w:eastAsia="Times New Roman" w:hAnsi="Times New Roman" w:cs="Times New Roman"/>
                <w:b/>
                <w:bCs/>
                <w:iCs/>
                <w:lang w:eastAsia="sk-SK"/>
              </w:rPr>
              <w:t>427 938</w:t>
            </w:r>
          </w:p>
        </w:tc>
        <w:tc>
          <w:tcPr>
            <w:tcW w:w="1447" w:type="dxa"/>
            <w:noWrap/>
            <w:vAlign w:val="center"/>
          </w:tcPr>
          <w:p w14:paraId="6D197500" w14:textId="77777777" w:rsidR="00110E29" w:rsidRPr="001514DD" w:rsidRDefault="00110E29" w:rsidP="00834353">
            <w:pPr>
              <w:spacing w:after="0" w:line="240" w:lineRule="auto"/>
              <w:jc w:val="right"/>
              <w:rPr>
                <w:rFonts w:ascii="Times New Roman" w:eastAsia="Times New Roman" w:hAnsi="Times New Roman" w:cs="Times New Roman"/>
                <w:b/>
                <w:bCs/>
                <w:iCs/>
                <w:lang w:eastAsia="sk-SK"/>
              </w:rPr>
            </w:pPr>
            <w:r w:rsidRPr="001514DD">
              <w:rPr>
                <w:rFonts w:ascii="Times New Roman" w:eastAsia="Times New Roman" w:hAnsi="Times New Roman" w:cs="Times New Roman"/>
                <w:b/>
                <w:bCs/>
                <w:iCs/>
                <w:lang w:eastAsia="sk-SK"/>
              </w:rPr>
              <w:t>0</w:t>
            </w:r>
          </w:p>
        </w:tc>
        <w:tc>
          <w:tcPr>
            <w:tcW w:w="1276" w:type="dxa"/>
            <w:noWrap/>
            <w:vAlign w:val="center"/>
          </w:tcPr>
          <w:p w14:paraId="04AA830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lang w:eastAsia="sk-SK"/>
              </w:rPr>
              <w:t>722 293</w:t>
            </w:r>
          </w:p>
        </w:tc>
      </w:tr>
      <w:tr w:rsidR="00110E29" w:rsidRPr="001514DD" w14:paraId="4C58C8FB" w14:textId="77777777" w:rsidTr="00834353">
        <w:trPr>
          <w:gridAfter w:val="1"/>
          <w:wAfter w:w="12" w:type="dxa"/>
          <w:trHeight w:val="70"/>
          <w:jc w:val="center"/>
        </w:trPr>
        <w:tc>
          <w:tcPr>
            <w:tcW w:w="4661" w:type="dxa"/>
            <w:noWrap/>
            <w:vAlign w:val="center"/>
          </w:tcPr>
          <w:p w14:paraId="21802FF3" w14:textId="77777777" w:rsidR="00110E29" w:rsidRPr="001514DD" w:rsidRDefault="00110E29" w:rsidP="00834353">
            <w:pPr>
              <w:spacing w:after="0" w:line="240" w:lineRule="auto"/>
              <w:rPr>
                <w:rFonts w:ascii="Times New Roman" w:eastAsia="Times New Roman" w:hAnsi="Times New Roman" w:cs="Times New Roman"/>
                <w:bCs/>
                <w:i/>
                <w:iCs/>
                <w:sz w:val="24"/>
                <w:lang w:eastAsia="sk-SK"/>
              </w:rPr>
            </w:pPr>
            <w:r w:rsidRPr="001514DD">
              <w:rPr>
                <w:rFonts w:ascii="Times New Roman" w:eastAsia="Times New Roman" w:hAnsi="Times New Roman" w:cs="Times New Roman"/>
                <w:bCs/>
                <w:i/>
                <w:iCs/>
                <w:sz w:val="24"/>
                <w:lang w:eastAsia="sk-SK"/>
              </w:rPr>
              <w:t xml:space="preserve">    EÚ zdroje</w:t>
            </w:r>
          </w:p>
        </w:tc>
        <w:tc>
          <w:tcPr>
            <w:tcW w:w="1267" w:type="dxa"/>
            <w:noWrap/>
            <w:vAlign w:val="center"/>
          </w:tcPr>
          <w:p w14:paraId="4DBC505F"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4C643736"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447" w:type="dxa"/>
            <w:noWrap/>
            <w:vAlign w:val="center"/>
          </w:tcPr>
          <w:p w14:paraId="3BA6DF45"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0BD02CF1"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r>
      <w:tr w:rsidR="00110E29" w:rsidRPr="001514DD" w14:paraId="69573596" w14:textId="77777777" w:rsidTr="00834353">
        <w:trPr>
          <w:gridAfter w:val="1"/>
          <w:wAfter w:w="12" w:type="dxa"/>
          <w:trHeight w:val="70"/>
          <w:jc w:val="center"/>
        </w:trPr>
        <w:tc>
          <w:tcPr>
            <w:tcW w:w="4661" w:type="dxa"/>
            <w:noWrap/>
            <w:vAlign w:val="center"/>
          </w:tcPr>
          <w:p w14:paraId="05231E34" w14:textId="77777777" w:rsidR="00110E29" w:rsidRPr="001514DD" w:rsidRDefault="00110E29" w:rsidP="00834353">
            <w:pPr>
              <w:spacing w:after="0" w:line="240" w:lineRule="auto"/>
              <w:rPr>
                <w:rFonts w:ascii="Times New Roman" w:eastAsia="Times New Roman" w:hAnsi="Times New Roman" w:cs="Times New Roman"/>
                <w:bCs/>
                <w:i/>
                <w:iCs/>
                <w:sz w:val="24"/>
                <w:lang w:eastAsia="sk-SK"/>
              </w:rPr>
            </w:pPr>
            <w:r w:rsidRPr="001514DD">
              <w:rPr>
                <w:rFonts w:ascii="Times New Roman" w:eastAsia="Times New Roman" w:hAnsi="Times New Roman" w:cs="Times New Roman"/>
                <w:bCs/>
                <w:i/>
                <w:iCs/>
                <w:sz w:val="24"/>
                <w:lang w:eastAsia="sk-SK"/>
              </w:rPr>
              <w:t xml:space="preserve">    spolufinancovanie</w:t>
            </w:r>
          </w:p>
        </w:tc>
        <w:tc>
          <w:tcPr>
            <w:tcW w:w="1267" w:type="dxa"/>
            <w:noWrap/>
            <w:vAlign w:val="center"/>
          </w:tcPr>
          <w:p w14:paraId="2F4A5C47"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52C2C9C9"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447" w:type="dxa"/>
            <w:noWrap/>
            <w:vAlign w:val="center"/>
          </w:tcPr>
          <w:p w14:paraId="15C4147D"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1E52CB8A"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r>
      <w:tr w:rsidR="00110E29" w:rsidRPr="001514DD" w14:paraId="1F9222E1" w14:textId="77777777" w:rsidTr="00834353">
        <w:trPr>
          <w:gridAfter w:val="1"/>
          <w:wAfter w:w="12" w:type="dxa"/>
          <w:trHeight w:val="125"/>
          <w:jc w:val="center"/>
        </w:trPr>
        <w:tc>
          <w:tcPr>
            <w:tcW w:w="4661" w:type="dxa"/>
            <w:noWrap/>
            <w:vAlign w:val="center"/>
          </w:tcPr>
          <w:p w14:paraId="51AFAE22"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obce</w:t>
            </w:r>
          </w:p>
        </w:tc>
        <w:tc>
          <w:tcPr>
            <w:tcW w:w="1267" w:type="dxa"/>
            <w:noWrap/>
            <w:vAlign w:val="center"/>
          </w:tcPr>
          <w:p w14:paraId="5BB824B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4266776C"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70004160"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54D8E33B"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47F272AF" w14:textId="77777777" w:rsidTr="00834353">
        <w:trPr>
          <w:gridAfter w:val="1"/>
          <w:wAfter w:w="12" w:type="dxa"/>
          <w:trHeight w:val="125"/>
          <w:jc w:val="center"/>
        </w:trPr>
        <w:tc>
          <w:tcPr>
            <w:tcW w:w="4661" w:type="dxa"/>
            <w:noWrap/>
            <w:vAlign w:val="center"/>
          </w:tcPr>
          <w:p w14:paraId="4450E06A" w14:textId="77777777" w:rsidR="00110E29" w:rsidRPr="001514DD" w:rsidRDefault="00110E29" w:rsidP="00834353">
            <w:pPr>
              <w:spacing w:after="0" w:line="240" w:lineRule="auto"/>
              <w:ind w:left="203"/>
              <w:rPr>
                <w:rFonts w:ascii="Times New Roman" w:eastAsia="Times New Roman" w:hAnsi="Times New Roman" w:cs="Times New Roman"/>
                <w:bCs/>
                <w:i/>
                <w:iCs/>
                <w:sz w:val="24"/>
                <w:lang w:eastAsia="sk-SK"/>
              </w:rPr>
            </w:pPr>
            <w:r w:rsidRPr="001514DD">
              <w:rPr>
                <w:rFonts w:ascii="Times New Roman" w:eastAsia="Times New Roman" w:hAnsi="Times New Roman" w:cs="Times New Roman"/>
                <w:bCs/>
                <w:i/>
                <w:iCs/>
                <w:sz w:val="24"/>
                <w:lang w:eastAsia="sk-SK"/>
              </w:rPr>
              <w:t xml:space="preserve">z toho vplyv nových úloh v zmysle ods. 2 Čl. 6 ústavného zákona č. 493/2011 Z. z. </w:t>
            </w:r>
          </w:p>
          <w:p w14:paraId="6DBE11B4" w14:textId="77777777" w:rsidR="00110E29" w:rsidRPr="001514DD" w:rsidRDefault="00110E29" w:rsidP="00834353">
            <w:pPr>
              <w:spacing w:after="0" w:line="240" w:lineRule="auto"/>
              <w:ind w:left="203"/>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Cs/>
                <w:i/>
                <w:iCs/>
                <w:sz w:val="24"/>
                <w:lang w:eastAsia="sk-SK"/>
              </w:rPr>
              <w:t>o rozpočtovej zodpovednosti</w:t>
            </w:r>
          </w:p>
        </w:tc>
        <w:tc>
          <w:tcPr>
            <w:tcW w:w="1267" w:type="dxa"/>
            <w:noWrap/>
            <w:vAlign w:val="center"/>
          </w:tcPr>
          <w:p w14:paraId="2FBA265F"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135EC748"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447" w:type="dxa"/>
            <w:noWrap/>
            <w:vAlign w:val="center"/>
          </w:tcPr>
          <w:p w14:paraId="360FD48C"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1859CBF7"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r>
      <w:tr w:rsidR="00110E29" w:rsidRPr="001514DD" w14:paraId="3F455C2A" w14:textId="77777777" w:rsidTr="00834353">
        <w:trPr>
          <w:gridAfter w:val="1"/>
          <w:wAfter w:w="12" w:type="dxa"/>
          <w:trHeight w:val="125"/>
          <w:jc w:val="center"/>
        </w:trPr>
        <w:tc>
          <w:tcPr>
            <w:tcW w:w="4661" w:type="dxa"/>
            <w:noWrap/>
            <w:vAlign w:val="center"/>
          </w:tcPr>
          <w:p w14:paraId="3B268701"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vyššie územné celky</w:t>
            </w:r>
          </w:p>
        </w:tc>
        <w:tc>
          <w:tcPr>
            <w:tcW w:w="1267" w:type="dxa"/>
            <w:noWrap/>
            <w:vAlign w:val="center"/>
          </w:tcPr>
          <w:p w14:paraId="50160CA0"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78EF391A"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0C6E98A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09E20779"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3B65D6E5" w14:textId="77777777" w:rsidTr="00834353">
        <w:trPr>
          <w:gridAfter w:val="1"/>
          <w:wAfter w:w="12" w:type="dxa"/>
          <w:trHeight w:val="125"/>
          <w:jc w:val="center"/>
        </w:trPr>
        <w:tc>
          <w:tcPr>
            <w:tcW w:w="4661" w:type="dxa"/>
            <w:noWrap/>
            <w:vAlign w:val="center"/>
          </w:tcPr>
          <w:p w14:paraId="62ED7B5E" w14:textId="77777777" w:rsidR="00110E29" w:rsidRPr="001514DD" w:rsidRDefault="00110E29" w:rsidP="00834353">
            <w:pPr>
              <w:spacing w:after="0" w:line="240" w:lineRule="auto"/>
              <w:ind w:left="203"/>
              <w:rPr>
                <w:rFonts w:ascii="Times New Roman" w:eastAsia="Times New Roman" w:hAnsi="Times New Roman" w:cs="Times New Roman"/>
                <w:bCs/>
                <w:i/>
                <w:iCs/>
                <w:sz w:val="24"/>
                <w:lang w:eastAsia="sk-SK"/>
              </w:rPr>
            </w:pPr>
            <w:r w:rsidRPr="001514DD">
              <w:rPr>
                <w:rFonts w:ascii="Times New Roman" w:eastAsia="Times New Roman" w:hAnsi="Times New Roman" w:cs="Times New Roman"/>
                <w:bCs/>
                <w:i/>
                <w:iCs/>
                <w:sz w:val="24"/>
                <w:lang w:eastAsia="sk-SK"/>
              </w:rPr>
              <w:t xml:space="preserve">z toho vplyv nových úloh v zmysle ods. 2 Čl. 6 ústavného zákona č. 493/2011 Z. z. </w:t>
            </w:r>
          </w:p>
          <w:p w14:paraId="4BA2A342" w14:textId="77777777" w:rsidR="00110E29" w:rsidRPr="001514DD" w:rsidRDefault="00110E29" w:rsidP="00834353">
            <w:pPr>
              <w:spacing w:after="0" w:line="240" w:lineRule="auto"/>
              <w:ind w:left="203"/>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Cs/>
                <w:i/>
                <w:iCs/>
                <w:sz w:val="24"/>
                <w:lang w:eastAsia="sk-SK"/>
              </w:rPr>
              <w:t>o rozpočtovej zodpovednosti</w:t>
            </w:r>
          </w:p>
        </w:tc>
        <w:tc>
          <w:tcPr>
            <w:tcW w:w="1267" w:type="dxa"/>
            <w:noWrap/>
            <w:vAlign w:val="center"/>
          </w:tcPr>
          <w:p w14:paraId="395DFA36"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6554BE49"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447" w:type="dxa"/>
            <w:noWrap/>
            <w:vAlign w:val="center"/>
          </w:tcPr>
          <w:p w14:paraId="7F14DA19"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5DFFDA48"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r>
      <w:tr w:rsidR="00110E29" w:rsidRPr="001514DD" w14:paraId="5D182000" w14:textId="77777777" w:rsidTr="00834353">
        <w:trPr>
          <w:gridAfter w:val="1"/>
          <w:wAfter w:w="12" w:type="dxa"/>
          <w:trHeight w:val="70"/>
          <w:jc w:val="center"/>
        </w:trPr>
        <w:tc>
          <w:tcPr>
            <w:tcW w:w="4661" w:type="dxa"/>
            <w:noWrap/>
            <w:vAlign w:val="center"/>
          </w:tcPr>
          <w:p w14:paraId="4CF1E7C2"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i/>
                <w:iCs/>
                <w:sz w:val="24"/>
                <w:lang w:eastAsia="sk-SK"/>
              </w:rPr>
              <w:t>- vplyv na ostatné subjekty verejnej správy</w:t>
            </w:r>
          </w:p>
        </w:tc>
        <w:tc>
          <w:tcPr>
            <w:tcW w:w="1267" w:type="dxa"/>
            <w:noWrap/>
            <w:vAlign w:val="center"/>
          </w:tcPr>
          <w:p w14:paraId="7754CBC6"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0B1A6404"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0E7BB550"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3AE778F5"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203FE145" w14:textId="77777777" w:rsidTr="00834353">
        <w:trPr>
          <w:gridAfter w:val="1"/>
          <w:wAfter w:w="12" w:type="dxa"/>
          <w:trHeight w:val="70"/>
          <w:jc w:val="center"/>
        </w:trPr>
        <w:tc>
          <w:tcPr>
            <w:tcW w:w="4661" w:type="dxa"/>
            <w:shd w:val="clear" w:color="auto" w:fill="BFBFBF" w:themeFill="background1" w:themeFillShade="BF"/>
            <w:noWrap/>
            <w:vAlign w:val="center"/>
          </w:tcPr>
          <w:p w14:paraId="01908768"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xml:space="preserve">Vplyv na počet zamestnancov </w:t>
            </w:r>
          </w:p>
        </w:tc>
        <w:tc>
          <w:tcPr>
            <w:tcW w:w="1267" w:type="dxa"/>
            <w:shd w:val="clear" w:color="auto" w:fill="BFBFBF" w:themeFill="background1" w:themeFillShade="BF"/>
            <w:noWrap/>
            <w:vAlign w:val="center"/>
          </w:tcPr>
          <w:p w14:paraId="20A7475F"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97" w:type="dxa"/>
            <w:shd w:val="clear" w:color="auto" w:fill="BFBFBF" w:themeFill="background1" w:themeFillShade="BF"/>
            <w:noWrap/>
            <w:vAlign w:val="center"/>
          </w:tcPr>
          <w:p w14:paraId="4C69CFE5"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447" w:type="dxa"/>
            <w:shd w:val="clear" w:color="auto" w:fill="BFBFBF" w:themeFill="background1" w:themeFillShade="BF"/>
            <w:noWrap/>
            <w:vAlign w:val="center"/>
          </w:tcPr>
          <w:p w14:paraId="12595501"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76" w:type="dxa"/>
            <w:shd w:val="clear" w:color="auto" w:fill="BFBFBF" w:themeFill="background1" w:themeFillShade="BF"/>
            <w:noWrap/>
            <w:vAlign w:val="center"/>
          </w:tcPr>
          <w:p w14:paraId="081ECA34"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r>
      <w:tr w:rsidR="00110E29" w:rsidRPr="001514DD" w14:paraId="762B5347" w14:textId="77777777" w:rsidTr="00834353">
        <w:trPr>
          <w:gridAfter w:val="1"/>
          <w:wAfter w:w="12" w:type="dxa"/>
          <w:trHeight w:val="70"/>
          <w:jc w:val="center"/>
        </w:trPr>
        <w:tc>
          <w:tcPr>
            <w:tcW w:w="4661" w:type="dxa"/>
            <w:noWrap/>
            <w:vAlign w:val="center"/>
          </w:tcPr>
          <w:p w14:paraId="4DB1C645"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ŠR</w:t>
            </w:r>
          </w:p>
        </w:tc>
        <w:tc>
          <w:tcPr>
            <w:tcW w:w="1267" w:type="dxa"/>
            <w:noWrap/>
            <w:vAlign w:val="center"/>
          </w:tcPr>
          <w:p w14:paraId="3810135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5BC3CFD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020A65DF"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63F2D6E7"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220208E6" w14:textId="77777777" w:rsidTr="00834353">
        <w:trPr>
          <w:gridAfter w:val="1"/>
          <w:wAfter w:w="12" w:type="dxa"/>
          <w:trHeight w:val="70"/>
          <w:jc w:val="center"/>
        </w:trPr>
        <w:tc>
          <w:tcPr>
            <w:tcW w:w="4661" w:type="dxa"/>
            <w:noWrap/>
            <w:vAlign w:val="center"/>
          </w:tcPr>
          <w:p w14:paraId="7726C932"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obce</w:t>
            </w:r>
          </w:p>
        </w:tc>
        <w:tc>
          <w:tcPr>
            <w:tcW w:w="1267" w:type="dxa"/>
            <w:noWrap/>
            <w:vAlign w:val="center"/>
          </w:tcPr>
          <w:p w14:paraId="26016D7D"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1FD224A9"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5BD52F79"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1C8B2B1F"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020EAD14" w14:textId="77777777" w:rsidTr="00834353">
        <w:trPr>
          <w:gridAfter w:val="1"/>
          <w:wAfter w:w="12" w:type="dxa"/>
          <w:trHeight w:val="70"/>
          <w:jc w:val="center"/>
        </w:trPr>
        <w:tc>
          <w:tcPr>
            <w:tcW w:w="4661" w:type="dxa"/>
            <w:noWrap/>
            <w:vAlign w:val="center"/>
          </w:tcPr>
          <w:p w14:paraId="431C21B7"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vyššie územné celky</w:t>
            </w:r>
          </w:p>
        </w:tc>
        <w:tc>
          <w:tcPr>
            <w:tcW w:w="1267" w:type="dxa"/>
            <w:noWrap/>
            <w:vAlign w:val="center"/>
          </w:tcPr>
          <w:p w14:paraId="2946523B"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09CD78BB"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2A9D4280"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6E0CF48D"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17858FF8" w14:textId="77777777" w:rsidTr="00834353">
        <w:trPr>
          <w:gridAfter w:val="1"/>
          <w:wAfter w:w="12" w:type="dxa"/>
          <w:trHeight w:val="70"/>
          <w:jc w:val="center"/>
        </w:trPr>
        <w:tc>
          <w:tcPr>
            <w:tcW w:w="4661" w:type="dxa"/>
            <w:noWrap/>
            <w:vAlign w:val="center"/>
          </w:tcPr>
          <w:p w14:paraId="08128274"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ostatné subjekty verejnej správy</w:t>
            </w:r>
          </w:p>
        </w:tc>
        <w:tc>
          <w:tcPr>
            <w:tcW w:w="1267" w:type="dxa"/>
            <w:noWrap/>
            <w:vAlign w:val="center"/>
          </w:tcPr>
          <w:p w14:paraId="492359BC"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6C36579A"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7BCBA973"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4F30A06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30FE7FF8" w14:textId="77777777" w:rsidTr="00834353">
        <w:trPr>
          <w:gridAfter w:val="1"/>
          <w:wAfter w:w="12" w:type="dxa"/>
          <w:trHeight w:val="70"/>
          <w:jc w:val="center"/>
        </w:trPr>
        <w:tc>
          <w:tcPr>
            <w:tcW w:w="4661" w:type="dxa"/>
            <w:shd w:val="clear" w:color="auto" w:fill="BFBFBF" w:themeFill="background1" w:themeFillShade="BF"/>
            <w:noWrap/>
            <w:vAlign w:val="center"/>
          </w:tcPr>
          <w:p w14:paraId="79F0D1B1" w14:textId="77777777" w:rsidR="00110E29" w:rsidRPr="001514DD" w:rsidRDefault="00110E29" w:rsidP="00834353">
            <w:pPr>
              <w:spacing w:after="0" w:line="240" w:lineRule="auto"/>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Vplyv na mzdové výdavky</w:t>
            </w:r>
          </w:p>
        </w:tc>
        <w:tc>
          <w:tcPr>
            <w:tcW w:w="1267" w:type="dxa"/>
            <w:shd w:val="clear" w:color="auto" w:fill="BFBFBF" w:themeFill="background1" w:themeFillShade="BF"/>
            <w:noWrap/>
            <w:vAlign w:val="center"/>
          </w:tcPr>
          <w:p w14:paraId="26A960C6" w14:textId="77777777" w:rsidR="00110E29" w:rsidRPr="001514DD" w:rsidRDefault="00110E29" w:rsidP="00834353">
            <w:pPr>
              <w:spacing w:after="0" w:line="240" w:lineRule="auto"/>
              <w:jc w:val="right"/>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0</w:t>
            </w:r>
          </w:p>
        </w:tc>
        <w:tc>
          <w:tcPr>
            <w:tcW w:w="1297" w:type="dxa"/>
            <w:shd w:val="clear" w:color="auto" w:fill="BFBFBF" w:themeFill="background1" w:themeFillShade="BF"/>
            <w:noWrap/>
            <w:vAlign w:val="center"/>
          </w:tcPr>
          <w:p w14:paraId="4AF24DF1" w14:textId="77777777" w:rsidR="00110E29" w:rsidRPr="001514DD" w:rsidRDefault="00110E29" w:rsidP="00834353">
            <w:pPr>
              <w:spacing w:after="0" w:line="240" w:lineRule="auto"/>
              <w:jc w:val="right"/>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125 000</w:t>
            </w:r>
          </w:p>
        </w:tc>
        <w:tc>
          <w:tcPr>
            <w:tcW w:w="1447" w:type="dxa"/>
            <w:shd w:val="clear" w:color="auto" w:fill="BFBFBF" w:themeFill="background1" w:themeFillShade="BF"/>
            <w:noWrap/>
            <w:vAlign w:val="center"/>
          </w:tcPr>
          <w:p w14:paraId="4CA4F15D" w14:textId="77777777" w:rsidR="00110E29" w:rsidRPr="001514DD" w:rsidRDefault="00110E29" w:rsidP="00834353">
            <w:pPr>
              <w:spacing w:after="0" w:line="240" w:lineRule="auto"/>
              <w:jc w:val="right"/>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0</w:t>
            </w:r>
          </w:p>
        </w:tc>
        <w:tc>
          <w:tcPr>
            <w:tcW w:w="1276" w:type="dxa"/>
            <w:shd w:val="clear" w:color="auto" w:fill="BFBFBF" w:themeFill="background1" w:themeFillShade="BF"/>
            <w:noWrap/>
            <w:vAlign w:val="center"/>
          </w:tcPr>
          <w:p w14:paraId="6ECC5C51" w14:textId="77777777" w:rsidR="00110E29" w:rsidRPr="001514DD" w:rsidRDefault="00110E29" w:rsidP="00834353">
            <w:pPr>
              <w:spacing w:after="0" w:line="240" w:lineRule="auto"/>
              <w:jc w:val="right"/>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215 000</w:t>
            </w:r>
          </w:p>
        </w:tc>
      </w:tr>
      <w:tr w:rsidR="00110E29" w:rsidRPr="001514DD" w14:paraId="48E28480" w14:textId="77777777" w:rsidTr="00834353">
        <w:trPr>
          <w:gridAfter w:val="1"/>
          <w:wAfter w:w="12" w:type="dxa"/>
          <w:trHeight w:val="70"/>
          <w:jc w:val="center"/>
        </w:trPr>
        <w:tc>
          <w:tcPr>
            <w:tcW w:w="4661" w:type="dxa"/>
            <w:noWrap/>
            <w:vAlign w:val="center"/>
          </w:tcPr>
          <w:p w14:paraId="2E802057"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ŠR</w:t>
            </w:r>
          </w:p>
        </w:tc>
        <w:tc>
          <w:tcPr>
            <w:tcW w:w="1267" w:type="dxa"/>
            <w:noWrap/>
            <w:vAlign w:val="center"/>
          </w:tcPr>
          <w:p w14:paraId="04657BE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444E2B26"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125 000</w:t>
            </w:r>
          </w:p>
        </w:tc>
        <w:tc>
          <w:tcPr>
            <w:tcW w:w="1447" w:type="dxa"/>
            <w:noWrap/>
            <w:vAlign w:val="center"/>
          </w:tcPr>
          <w:p w14:paraId="05DA246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1CB4385A"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215 000</w:t>
            </w:r>
          </w:p>
        </w:tc>
      </w:tr>
      <w:tr w:rsidR="00110E29" w:rsidRPr="001514DD" w14:paraId="18794CFA" w14:textId="77777777" w:rsidTr="00834353">
        <w:trPr>
          <w:gridAfter w:val="1"/>
          <w:wAfter w:w="12" w:type="dxa"/>
          <w:trHeight w:val="70"/>
          <w:jc w:val="center"/>
        </w:trPr>
        <w:tc>
          <w:tcPr>
            <w:tcW w:w="4661" w:type="dxa"/>
            <w:noWrap/>
            <w:vAlign w:val="center"/>
          </w:tcPr>
          <w:p w14:paraId="3501F7FF"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obce</w:t>
            </w:r>
          </w:p>
        </w:tc>
        <w:tc>
          <w:tcPr>
            <w:tcW w:w="1267" w:type="dxa"/>
            <w:noWrap/>
            <w:vAlign w:val="center"/>
          </w:tcPr>
          <w:p w14:paraId="2793AEC8"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67A4EA86"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3CC5F58A"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11698754"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2B19ADCC" w14:textId="77777777" w:rsidTr="00834353">
        <w:trPr>
          <w:gridAfter w:val="1"/>
          <w:wAfter w:w="12" w:type="dxa"/>
          <w:trHeight w:val="70"/>
          <w:jc w:val="center"/>
        </w:trPr>
        <w:tc>
          <w:tcPr>
            <w:tcW w:w="4661" w:type="dxa"/>
            <w:noWrap/>
            <w:vAlign w:val="center"/>
          </w:tcPr>
          <w:p w14:paraId="008AD3CA" w14:textId="77777777" w:rsidR="00110E29" w:rsidRPr="001514DD" w:rsidRDefault="00110E29" w:rsidP="00834353">
            <w:pPr>
              <w:spacing w:after="0" w:line="240" w:lineRule="auto"/>
              <w:rPr>
                <w:rFonts w:ascii="Times New Roman" w:eastAsia="Times New Roman" w:hAnsi="Times New Roman" w:cs="Times New Roman"/>
                <w:b/>
                <w:bCs/>
                <w:i/>
                <w:iCs/>
                <w:sz w:val="24"/>
                <w:lang w:eastAsia="sk-SK"/>
              </w:rPr>
            </w:pPr>
            <w:r w:rsidRPr="001514DD">
              <w:rPr>
                <w:rFonts w:ascii="Times New Roman" w:eastAsia="Times New Roman" w:hAnsi="Times New Roman" w:cs="Times New Roman"/>
                <w:b/>
                <w:bCs/>
                <w:i/>
                <w:iCs/>
                <w:sz w:val="24"/>
                <w:lang w:eastAsia="sk-SK"/>
              </w:rPr>
              <w:t>- vplyv na vyššie územné celky</w:t>
            </w:r>
          </w:p>
        </w:tc>
        <w:tc>
          <w:tcPr>
            <w:tcW w:w="1267" w:type="dxa"/>
            <w:noWrap/>
            <w:vAlign w:val="center"/>
          </w:tcPr>
          <w:p w14:paraId="68EB8C00"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2F66CED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161AEB0D"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21B8016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3803E483" w14:textId="77777777" w:rsidTr="00834353">
        <w:trPr>
          <w:gridAfter w:val="1"/>
          <w:wAfter w:w="12" w:type="dxa"/>
          <w:trHeight w:val="70"/>
          <w:jc w:val="center"/>
        </w:trPr>
        <w:tc>
          <w:tcPr>
            <w:tcW w:w="4661" w:type="dxa"/>
            <w:noWrap/>
            <w:vAlign w:val="center"/>
          </w:tcPr>
          <w:p w14:paraId="132D307F"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i/>
                <w:iCs/>
                <w:sz w:val="24"/>
                <w:lang w:eastAsia="sk-SK"/>
              </w:rPr>
              <w:t>- vplyv na ostatné subjekty verejnej správy</w:t>
            </w:r>
          </w:p>
        </w:tc>
        <w:tc>
          <w:tcPr>
            <w:tcW w:w="1267" w:type="dxa"/>
            <w:noWrap/>
            <w:vAlign w:val="center"/>
          </w:tcPr>
          <w:p w14:paraId="47AA3341"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97" w:type="dxa"/>
            <w:noWrap/>
            <w:vAlign w:val="center"/>
          </w:tcPr>
          <w:p w14:paraId="677D2A84"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447" w:type="dxa"/>
            <w:noWrap/>
            <w:vAlign w:val="center"/>
          </w:tcPr>
          <w:p w14:paraId="47D4E4FE"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c>
          <w:tcPr>
            <w:tcW w:w="1276" w:type="dxa"/>
            <w:noWrap/>
            <w:vAlign w:val="center"/>
          </w:tcPr>
          <w:p w14:paraId="4D61B259" w14:textId="77777777" w:rsidR="00110E29" w:rsidRPr="001514DD" w:rsidRDefault="00110E29" w:rsidP="00834353">
            <w:pPr>
              <w:spacing w:after="0" w:line="240" w:lineRule="auto"/>
              <w:jc w:val="right"/>
              <w:rPr>
                <w:rFonts w:ascii="Times New Roman" w:eastAsia="Times New Roman" w:hAnsi="Times New Roman" w:cs="Times New Roman"/>
                <w:b/>
                <w:bCs/>
                <w:iCs/>
                <w:sz w:val="24"/>
                <w:lang w:eastAsia="sk-SK"/>
              </w:rPr>
            </w:pPr>
            <w:r w:rsidRPr="001514DD">
              <w:rPr>
                <w:rFonts w:ascii="Times New Roman" w:eastAsia="Times New Roman" w:hAnsi="Times New Roman" w:cs="Times New Roman"/>
                <w:b/>
                <w:bCs/>
                <w:iCs/>
                <w:sz w:val="24"/>
                <w:lang w:eastAsia="sk-SK"/>
              </w:rPr>
              <w:t>0</w:t>
            </w:r>
          </w:p>
        </w:tc>
      </w:tr>
      <w:tr w:rsidR="00110E29" w:rsidRPr="001514DD" w14:paraId="0782ABDC" w14:textId="77777777" w:rsidTr="00834353">
        <w:trPr>
          <w:gridAfter w:val="1"/>
          <w:wAfter w:w="12" w:type="dxa"/>
          <w:trHeight w:val="70"/>
          <w:jc w:val="center"/>
        </w:trPr>
        <w:tc>
          <w:tcPr>
            <w:tcW w:w="4661" w:type="dxa"/>
            <w:shd w:val="clear" w:color="auto" w:fill="C0C0C0"/>
            <w:noWrap/>
            <w:vAlign w:val="center"/>
          </w:tcPr>
          <w:p w14:paraId="086249D0"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Financovanie zabezpečené v rozpočte</w:t>
            </w:r>
          </w:p>
        </w:tc>
        <w:tc>
          <w:tcPr>
            <w:tcW w:w="1267" w:type="dxa"/>
            <w:shd w:val="clear" w:color="auto" w:fill="C0C0C0"/>
            <w:noWrap/>
            <w:vAlign w:val="center"/>
          </w:tcPr>
          <w:p w14:paraId="3DB66A55"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97" w:type="dxa"/>
            <w:shd w:val="clear" w:color="auto" w:fill="C0C0C0"/>
            <w:noWrap/>
            <w:vAlign w:val="center"/>
          </w:tcPr>
          <w:p w14:paraId="1A1A1A72"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447" w:type="dxa"/>
            <w:shd w:val="clear" w:color="auto" w:fill="C0C0C0"/>
            <w:noWrap/>
            <w:vAlign w:val="center"/>
          </w:tcPr>
          <w:p w14:paraId="7675398A"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76" w:type="dxa"/>
            <w:shd w:val="clear" w:color="auto" w:fill="C0C0C0"/>
            <w:noWrap/>
            <w:vAlign w:val="center"/>
          </w:tcPr>
          <w:p w14:paraId="0A2D50D5"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r>
      <w:tr w:rsidR="00110E29" w:rsidRPr="001514DD" w14:paraId="3633E553" w14:textId="77777777" w:rsidTr="00834353">
        <w:trPr>
          <w:gridAfter w:val="1"/>
          <w:wAfter w:w="12" w:type="dxa"/>
          <w:trHeight w:val="70"/>
          <w:jc w:val="center"/>
        </w:trPr>
        <w:tc>
          <w:tcPr>
            <w:tcW w:w="4661" w:type="dxa"/>
            <w:noWrap/>
            <w:vAlign w:val="center"/>
          </w:tcPr>
          <w:p w14:paraId="3B07DE67"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267" w:type="dxa"/>
            <w:noWrap/>
            <w:vAlign w:val="center"/>
          </w:tcPr>
          <w:p w14:paraId="37EBFA33"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97" w:type="dxa"/>
            <w:noWrap/>
            <w:vAlign w:val="center"/>
          </w:tcPr>
          <w:p w14:paraId="72EA35C4"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447" w:type="dxa"/>
            <w:noWrap/>
            <w:vAlign w:val="center"/>
          </w:tcPr>
          <w:p w14:paraId="1E1D85BC"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c>
          <w:tcPr>
            <w:tcW w:w="1276" w:type="dxa"/>
            <w:noWrap/>
            <w:vAlign w:val="center"/>
          </w:tcPr>
          <w:p w14:paraId="6DA03591" w14:textId="77777777" w:rsidR="00110E29" w:rsidRPr="001514DD" w:rsidRDefault="00110E29" w:rsidP="00834353">
            <w:pPr>
              <w:spacing w:after="0" w:line="240" w:lineRule="auto"/>
              <w:jc w:val="right"/>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0</w:t>
            </w:r>
          </w:p>
        </w:tc>
      </w:tr>
      <w:tr w:rsidR="00110E29" w:rsidRPr="001514DD" w14:paraId="29B812D6" w14:textId="77777777" w:rsidTr="00834353">
        <w:trPr>
          <w:gridAfter w:val="1"/>
          <w:wAfter w:w="12" w:type="dxa"/>
          <w:trHeight w:val="70"/>
          <w:jc w:val="center"/>
        </w:trPr>
        <w:tc>
          <w:tcPr>
            <w:tcW w:w="4661" w:type="dxa"/>
            <w:shd w:val="clear" w:color="auto" w:fill="BFBFBF" w:themeFill="background1" w:themeFillShade="BF"/>
            <w:noWrap/>
            <w:vAlign w:val="center"/>
          </w:tcPr>
          <w:p w14:paraId="7FF17F7C" w14:textId="77777777" w:rsidR="00110E29" w:rsidRPr="001514DD" w:rsidRDefault="00110E29" w:rsidP="00834353">
            <w:pPr>
              <w:spacing w:after="0" w:line="240" w:lineRule="auto"/>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Iné ako rozpočtové zdroje</w:t>
            </w:r>
          </w:p>
        </w:tc>
        <w:tc>
          <w:tcPr>
            <w:tcW w:w="1267" w:type="dxa"/>
            <w:shd w:val="clear" w:color="auto" w:fill="BFBFBF" w:themeFill="background1" w:themeFillShade="BF"/>
            <w:noWrap/>
            <w:vAlign w:val="center"/>
          </w:tcPr>
          <w:p w14:paraId="6EB4AC2F"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97" w:type="dxa"/>
            <w:shd w:val="clear" w:color="auto" w:fill="BFBFBF" w:themeFill="background1" w:themeFillShade="BF"/>
            <w:noWrap/>
            <w:vAlign w:val="center"/>
          </w:tcPr>
          <w:p w14:paraId="243E75E5"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447" w:type="dxa"/>
            <w:shd w:val="clear" w:color="auto" w:fill="BFBFBF" w:themeFill="background1" w:themeFillShade="BF"/>
            <w:noWrap/>
            <w:vAlign w:val="center"/>
          </w:tcPr>
          <w:p w14:paraId="0B3D9E8C"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76" w:type="dxa"/>
            <w:shd w:val="clear" w:color="auto" w:fill="BFBFBF" w:themeFill="background1" w:themeFillShade="BF"/>
            <w:noWrap/>
            <w:vAlign w:val="center"/>
          </w:tcPr>
          <w:p w14:paraId="55F817DB"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r>
      <w:tr w:rsidR="00110E29" w:rsidRPr="001514DD" w14:paraId="2E7121D9" w14:textId="77777777" w:rsidTr="00834353">
        <w:trPr>
          <w:gridAfter w:val="1"/>
          <w:wAfter w:w="12" w:type="dxa"/>
          <w:trHeight w:val="70"/>
          <w:jc w:val="center"/>
        </w:trPr>
        <w:tc>
          <w:tcPr>
            <w:tcW w:w="4661" w:type="dxa"/>
            <w:shd w:val="clear" w:color="auto" w:fill="A6A6A6" w:themeFill="background1" w:themeFillShade="A6"/>
            <w:noWrap/>
            <w:vAlign w:val="center"/>
          </w:tcPr>
          <w:p w14:paraId="15B77343"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Rozpočtovo nekrytý vplyv / úspora</w:t>
            </w:r>
          </w:p>
        </w:tc>
        <w:tc>
          <w:tcPr>
            <w:tcW w:w="1267" w:type="dxa"/>
            <w:shd w:val="clear" w:color="auto" w:fill="A6A6A6" w:themeFill="background1" w:themeFillShade="A6"/>
            <w:noWrap/>
            <w:vAlign w:val="center"/>
          </w:tcPr>
          <w:p w14:paraId="39CD8AD0"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97" w:type="dxa"/>
            <w:shd w:val="clear" w:color="auto" w:fill="A6A6A6" w:themeFill="background1" w:themeFillShade="A6"/>
            <w:noWrap/>
            <w:vAlign w:val="center"/>
          </w:tcPr>
          <w:p w14:paraId="1D530D41"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427 938</w:t>
            </w:r>
          </w:p>
        </w:tc>
        <w:tc>
          <w:tcPr>
            <w:tcW w:w="1447" w:type="dxa"/>
            <w:shd w:val="clear" w:color="auto" w:fill="A6A6A6" w:themeFill="background1" w:themeFillShade="A6"/>
            <w:noWrap/>
            <w:vAlign w:val="center"/>
          </w:tcPr>
          <w:p w14:paraId="1630393A"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276" w:type="dxa"/>
            <w:shd w:val="clear" w:color="auto" w:fill="A6A6A6" w:themeFill="background1" w:themeFillShade="A6"/>
            <w:noWrap/>
            <w:vAlign w:val="center"/>
          </w:tcPr>
          <w:p w14:paraId="53102BE7" w14:textId="77777777" w:rsidR="00110E29" w:rsidRPr="001514DD" w:rsidRDefault="00110E29" w:rsidP="00834353">
            <w:pPr>
              <w:spacing w:after="0" w:line="240" w:lineRule="auto"/>
              <w:jc w:val="right"/>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722 293</w:t>
            </w:r>
          </w:p>
        </w:tc>
      </w:tr>
    </w:tbl>
    <w:bookmarkEnd w:id="0"/>
    <w:p w14:paraId="452C4F02" w14:textId="77777777" w:rsidR="00110E29" w:rsidRPr="001514DD" w:rsidRDefault="00110E29" w:rsidP="00110E29">
      <w:pPr>
        <w:spacing w:after="0"/>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lastRenderedPageBreak/>
        <w:t xml:space="preserve">                                                                                                                                    </w:t>
      </w:r>
    </w:p>
    <w:p w14:paraId="4FDFDD03" w14:textId="77777777" w:rsidR="00110E29" w:rsidRPr="001514DD" w:rsidRDefault="00110E29" w:rsidP="00110E29">
      <w:pPr>
        <w:spacing w:after="0"/>
        <w:rPr>
          <w:rFonts w:ascii="Times New Roman" w:eastAsia="Times New Roman" w:hAnsi="Times New Roman" w:cs="Times New Roman"/>
          <w:bCs/>
          <w:szCs w:val="20"/>
          <w:lang w:eastAsia="sk-SK"/>
        </w:rPr>
      </w:pPr>
    </w:p>
    <w:p w14:paraId="5A2E9B66" w14:textId="77777777" w:rsidR="00110E29" w:rsidRPr="001514DD" w:rsidRDefault="00110E29" w:rsidP="00110E29">
      <w:pPr>
        <w:spacing w:after="0"/>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t>Tabuľka č. 1/B</w:t>
      </w:r>
    </w:p>
    <w:tbl>
      <w:tblPr>
        <w:tblW w:w="9781" w:type="dxa"/>
        <w:tblInd w:w="-147" w:type="dxa"/>
        <w:tblCellMar>
          <w:left w:w="70" w:type="dxa"/>
          <w:right w:w="70" w:type="dxa"/>
        </w:tblCellMar>
        <w:tblLook w:val="04A0" w:firstRow="1" w:lastRow="0" w:firstColumn="1" w:lastColumn="0" w:noHBand="0" w:noVBand="1"/>
      </w:tblPr>
      <w:tblGrid>
        <w:gridCol w:w="4253"/>
        <w:gridCol w:w="1418"/>
        <w:gridCol w:w="1417"/>
        <w:gridCol w:w="1418"/>
        <w:gridCol w:w="1275"/>
      </w:tblGrid>
      <w:tr w:rsidR="00110E29" w:rsidRPr="001514DD" w14:paraId="680841A7" w14:textId="77777777" w:rsidTr="00834353">
        <w:trPr>
          <w:trHeight w:val="304"/>
        </w:trPr>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90C73B1" w14:textId="77777777" w:rsidR="00110E29" w:rsidRPr="001514DD" w:rsidRDefault="00110E29" w:rsidP="00834353">
            <w:pPr>
              <w:spacing w:after="0" w:line="240" w:lineRule="auto"/>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DBF2CC2" w14:textId="77777777" w:rsidR="00110E29" w:rsidRPr="001514DD" w:rsidRDefault="00110E29" w:rsidP="00834353">
            <w:pPr>
              <w:spacing w:after="0" w:line="240" w:lineRule="auto"/>
              <w:jc w:val="center"/>
              <w:rPr>
                <w:rFonts w:ascii="Times New Roman" w:eastAsia="Times New Roman" w:hAnsi="Times New Roman" w:cs="Times New Roman"/>
                <w:b/>
                <w:bCs/>
                <w:color w:val="000000"/>
                <w:sz w:val="24"/>
                <w:lang w:eastAsia="sk-SK"/>
              </w:rPr>
            </w:pPr>
            <w:r w:rsidRPr="001514DD">
              <w:rPr>
                <w:rFonts w:ascii="Times New Roman" w:eastAsia="Times New Roman" w:hAnsi="Times New Roman" w:cs="Times New Roman"/>
                <w:b/>
                <w:bCs/>
                <w:color w:val="000000"/>
                <w:sz w:val="24"/>
                <w:lang w:eastAsia="sk-SK"/>
              </w:rPr>
              <w:t>2026</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A24F80D" w14:textId="77777777" w:rsidR="00110E29" w:rsidRPr="001514DD" w:rsidRDefault="00110E29" w:rsidP="00834353">
            <w:pPr>
              <w:spacing w:after="0" w:line="240" w:lineRule="auto"/>
              <w:jc w:val="center"/>
              <w:rPr>
                <w:rFonts w:ascii="Times New Roman" w:eastAsia="Times New Roman" w:hAnsi="Times New Roman" w:cs="Times New Roman"/>
                <w:b/>
                <w:bCs/>
                <w:color w:val="000000"/>
                <w:sz w:val="24"/>
                <w:lang w:eastAsia="sk-SK"/>
              </w:rPr>
            </w:pPr>
            <w:r w:rsidRPr="001514DD">
              <w:rPr>
                <w:rFonts w:ascii="Times New Roman" w:eastAsia="Times New Roman" w:hAnsi="Times New Roman" w:cs="Times New Roman"/>
                <w:b/>
                <w:bCs/>
                <w:color w:val="000000"/>
                <w:sz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4CE203" w14:textId="77777777" w:rsidR="00110E29" w:rsidRPr="001514DD" w:rsidRDefault="00110E29" w:rsidP="00834353">
            <w:pPr>
              <w:spacing w:after="0" w:line="240" w:lineRule="auto"/>
              <w:jc w:val="center"/>
              <w:rPr>
                <w:rFonts w:ascii="Times New Roman" w:eastAsia="Times New Roman" w:hAnsi="Times New Roman" w:cs="Times New Roman"/>
                <w:b/>
                <w:bCs/>
                <w:color w:val="000000"/>
                <w:sz w:val="24"/>
                <w:lang w:eastAsia="sk-SK"/>
              </w:rPr>
            </w:pPr>
            <w:r w:rsidRPr="001514DD">
              <w:rPr>
                <w:rFonts w:ascii="Times New Roman" w:eastAsia="Times New Roman" w:hAnsi="Times New Roman" w:cs="Times New Roman"/>
                <w:b/>
                <w:bCs/>
                <w:color w:val="000000"/>
                <w:sz w:val="24"/>
                <w:lang w:eastAsia="sk-SK"/>
              </w:rPr>
              <w:t>2028</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B877E63" w14:textId="77777777" w:rsidR="00110E29" w:rsidRPr="001514DD" w:rsidRDefault="00110E29" w:rsidP="00834353">
            <w:pPr>
              <w:spacing w:after="0" w:line="240" w:lineRule="auto"/>
              <w:jc w:val="center"/>
              <w:rPr>
                <w:rFonts w:ascii="Times New Roman" w:eastAsia="Times New Roman" w:hAnsi="Times New Roman" w:cs="Times New Roman"/>
                <w:b/>
                <w:bCs/>
                <w:color w:val="000000"/>
                <w:sz w:val="24"/>
                <w:lang w:eastAsia="sk-SK"/>
              </w:rPr>
            </w:pPr>
            <w:r w:rsidRPr="001514DD">
              <w:rPr>
                <w:rFonts w:ascii="Times New Roman" w:eastAsia="Times New Roman" w:hAnsi="Times New Roman" w:cs="Times New Roman"/>
                <w:b/>
                <w:bCs/>
                <w:color w:val="000000"/>
                <w:sz w:val="24"/>
                <w:lang w:eastAsia="sk-SK"/>
              </w:rPr>
              <w:t>2029</w:t>
            </w:r>
          </w:p>
        </w:tc>
      </w:tr>
      <w:tr w:rsidR="00110E29" w:rsidRPr="001514DD" w14:paraId="6FF97DDC" w14:textId="77777777" w:rsidTr="00834353">
        <w:trPr>
          <w:trHeight w:val="304"/>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FCB8B85"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 w:val="24"/>
                <w:lang w:eastAsia="sk-SK"/>
              </w:rPr>
            </w:pPr>
            <w:r w:rsidRPr="001514DD">
              <w:rPr>
                <w:rFonts w:ascii="Times New Roman" w:eastAsia="Times New Roman" w:hAnsi="Times New Roman" w:cs="Times New Roman"/>
                <w:b/>
                <w:bCs/>
                <w:color w:val="000000" w:themeColor="text1"/>
                <w:sz w:val="24"/>
                <w:lang w:eastAsia="sk-SK"/>
              </w:rPr>
              <w:t>Vplyvy na limit verejných výdavkov verejnej správy celkom (v metodike ESA 2010)</w:t>
            </w:r>
          </w:p>
        </w:tc>
        <w:tc>
          <w:tcPr>
            <w:tcW w:w="1418" w:type="dxa"/>
            <w:tcBorders>
              <w:top w:val="nil"/>
              <w:left w:val="nil"/>
              <w:bottom w:val="single" w:sz="4" w:space="0" w:color="auto"/>
              <w:right w:val="single" w:sz="4" w:space="0" w:color="auto"/>
            </w:tcBorders>
            <w:noWrap/>
            <w:vAlign w:val="center"/>
            <w:hideMark/>
          </w:tcPr>
          <w:p w14:paraId="5EB43DB7" w14:textId="77777777" w:rsidR="00110E29" w:rsidRPr="001514DD" w:rsidRDefault="00110E29" w:rsidP="00834353">
            <w:pPr>
              <w:spacing w:after="0" w:line="240" w:lineRule="auto"/>
              <w:jc w:val="center"/>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417" w:type="dxa"/>
            <w:tcBorders>
              <w:top w:val="nil"/>
              <w:left w:val="nil"/>
              <w:bottom w:val="single" w:sz="4" w:space="0" w:color="auto"/>
              <w:right w:val="single" w:sz="4" w:space="0" w:color="auto"/>
            </w:tcBorders>
            <w:noWrap/>
            <w:vAlign w:val="center"/>
            <w:hideMark/>
          </w:tcPr>
          <w:p w14:paraId="43B06B80"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427 938</w:t>
            </w:r>
          </w:p>
        </w:tc>
        <w:tc>
          <w:tcPr>
            <w:tcW w:w="1418" w:type="dxa"/>
            <w:tcBorders>
              <w:top w:val="nil"/>
              <w:left w:val="nil"/>
              <w:bottom w:val="single" w:sz="4" w:space="0" w:color="auto"/>
              <w:right w:val="single" w:sz="4" w:space="0" w:color="auto"/>
            </w:tcBorders>
            <w:noWrap/>
            <w:vAlign w:val="center"/>
            <w:hideMark/>
          </w:tcPr>
          <w:p w14:paraId="6218D50E"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275" w:type="dxa"/>
            <w:tcBorders>
              <w:top w:val="nil"/>
              <w:left w:val="nil"/>
              <w:bottom w:val="single" w:sz="4" w:space="0" w:color="auto"/>
              <w:right w:val="single" w:sz="4" w:space="0" w:color="auto"/>
            </w:tcBorders>
            <w:noWrap/>
            <w:vAlign w:val="center"/>
            <w:hideMark/>
          </w:tcPr>
          <w:p w14:paraId="6DB265D5"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722 293</w:t>
            </w:r>
          </w:p>
        </w:tc>
      </w:tr>
      <w:tr w:rsidR="00110E29" w:rsidRPr="001514DD" w14:paraId="2FA0BDBF" w14:textId="77777777" w:rsidTr="00834353">
        <w:trPr>
          <w:trHeight w:val="304"/>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15E46E6"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v tom: Ministerstvo zahraničných vecí a európskych záležitostí Slovenskej republiky</w:t>
            </w:r>
          </w:p>
        </w:tc>
        <w:tc>
          <w:tcPr>
            <w:tcW w:w="1418" w:type="dxa"/>
            <w:tcBorders>
              <w:top w:val="nil"/>
              <w:left w:val="nil"/>
              <w:bottom w:val="single" w:sz="4" w:space="0" w:color="auto"/>
              <w:right w:val="single" w:sz="4" w:space="0" w:color="auto"/>
            </w:tcBorders>
            <w:noWrap/>
            <w:vAlign w:val="center"/>
            <w:hideMark/>
          </w:tcPr>
          <w:p w14:paraId="28D2C7A3" w14:textId="77777777" w:rsidR="00110E29" w:rsidRPr="001514DD" w:rsidRDefault="00110E29" w:rsidP="00834353">
            <w:pPr>
              <w:spacing w:after="0" w:line="240" w:lineRule="auto"/>
              <w:jc w:val="center"/>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0</w:t>
            </w:r>
          </w:p>
        </w:tc>
        <w:tc>
          <w:tcPr>
            <w:tcW w:w="1417" w:type="dxa"/>
            <w:tcBorders>
              <w:top w:val="nil"/>
              <w:left w:val="nil"/>
              <w:bottom w:val="single" w:sz="4" w:space="0" w:color="auto"/>
              <w:right w:val="single" w:sz="4" w:space="0" w:color="auto"/>
            </w:tcBorders>
            <w:noWrap/>
            <w:vAlign w:val="center"/>
            <w:hideMark/>
          </w:tcPr>
          <w:p w14:paraId="39418923" w14:textId="77777777" w:rsidR="00110E29" w:rsidRPr="001514DD" w:rsidRDefault="00110E29" w:rsidP="00834353">
            <w:pPr>
              <w:pStyle w:val="Odsekzoznamu"/>
              <w:spacing w:after="0" w:line="240" w:lineRule="auto"/>
              <w:jc w:val="right"/>
              <w:rPr>
                <w:rFonts w:ascii="Times New Roman" w:eastAsia="Times New Roman" w:hAnsi="Times New Roman" w:cs="Times New Roman"/>
                <w:color w:val="000000"/>
                <w:lang w:eastAsia="sk-SK"/>
              </w:rPr>
            </w:pPr>
            <w:r w:rsidRPr="001514DD">
              <w:rPr>
                <w:rFonts w:ascii="Times New Roman" w:eastAsia="Times New Roman" w:hAnsi="Times New Roman" w:cs="Times New Roman"/>
                <w:color w:val="000000"/>
                <w:lang w:eastAsia="sk-SK"/>
              </w:rPr>
              <w:t>427 938</w:t>
            </w:r>
          </w:p>
        </w:tc>
        <w:tc>
          <w:tcPr>
            <w:tcW w:w="1418" w:type="dxa"/>
            <w:tcBorders>
              <w:top w:val="nil"/>
              <w:left w:val="nil"/>
              <w:bottom w:val="single" w:sz="4" w:space="0" w:color="auto"/>
              <w:right w:val="single" w:sz="4" w:space="0" w:color="auto"/>
            </w:tcBorders>
            <w:noWrap/>
            <w:vAlign w:val="center"/>
            <w:hideMark/>
          </w:tcPr>
          <w:p w14:paraId="2236E426" w14:textId="77777777" w:rsidR="00110E29" w:rsidRPr="001514DD" w:rsidRDefault="00110E29" w:rsidP="00834353">
            <w:pPr>
              <w:spacing w:after="0" w:line="240" w:lineRule="auto"/>
              <w:jc w:val="right"/>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0</w:t>
            </w:r>
          </w:p>
        </w:tc>
        <w:tc>
          <w:tcPr>
            <w:tcW w:w="1275" w:type="dxa"/>
            <w:tcBorders>
              <w:top w:val="nil"/>
              <w:left w:val="nil"/>
              <w:bottom w:val="single" w:sz="4" w:space="0" w:color="auto"/>
              <w:right w:val="single" w:sz="4" w:space="0" w:color="auto"/>
            </w:tcBorders>
            <w:noWrap/>
            <w:vAlign w:val="center"/>
            <w:hideMark/>
          </w:tcPr>
          <w:p w14:paraId="2EDB56E1" w14:textId="77777777" w:rsidR="00110E29" w:rsidRPr="001514DD" w:rsidRDefault="00110E29" w:rsidP="00834353">
            <w:pPr>
              <w:spacing w:after="0" w:line="240" w:lineRule="auto"/>
              <w:jc w:val="right"/>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722 293</w:t>
            </w:r>
          </w:p>
        </w:tc>
      </w:tr>
      <w:tr w:rsidR="00110E29" w:rsidRPr="001514DD" w14:paraId="55C8E8F0" w14:textId="77777777" w:rsidTr="00834353">
        <w:trPr>
          <w:trHeight w:val="304"/>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49C1138" w14:textId="77777777" w:rsidR="00110E29" w:rsidRPr="001514DD" w:rsidRDefault="00110E29" w:rsidP="00834353">
            <w:pPr>
              <w:spacing w:after="0" w:line="240" w:lineRule="auto"/>
              <w:rPr>
                <w:rFonts w:ascii="Times New Roman" w:eastAsia="Times New Roman" w:hAnsi="Times New Roman" w:cs="Times New Roman"/>
                <w:b/>
                <w:color w:val="000000" w:themeColor="text1"/>
                <w:sz w:val="24"/>
                <w:lang w:eastAsia="sk-SK"/>
              </w:rPr>
            </w:pPr>
            <w:r w:rsidRPr="001514DD">
              <w:rPr>
                <w:rFonts w:ascii="Times New Roman" w:eastAsia="Times New Roman" w:hAnsi="Times New Roman" w:cs="Times New Roman"/>
                <w:b/>
                <w:color w:val="000000" w:themeColor="text1"/>
                <w:sz w:val="24"/>
                <w:lang w:eastAsia="sk-SK"/>
              </w:rPr>
              <w:t>z toho:</w:t>
            </w:r>
          </w:p>
        </w:tc>
        <w:tc>
          <w:tcPr>
            <w:tcW w:w="1418" w:type="dxa"/>
            <w:tcBorders>
              <w:top w:val="nil"/>
              <w:left w:val="nil"/>
              <w:bottom w:val="single" w:sz="4" w:space="0" w:color="auto"/>
              <w:right w:val="single" w:sz="4" w:space="0" w:color="auto"/>
            </w:tcBorders>
            <w:noWrap/>
            <w:vAlign w:val="center"/>
            <w:hideMark/>
          </w:tcPr>
          <w:p w14:paraId="324D5A1A" w14:textId="77777777" w:rsidR="00110E29" w:rsidRPr="001514DD" w:rsidRDefault="00110E29" w:rsidP="00834353">
            <w:pPr>
              <w:spacing w:after="0" w:line="240" w:lineRule="auto"/>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 </w:t>
            </w:r>
          </w:p>
        </w:tc>
        <w:tc>
          <w:tcPr>
            <w:tcW w:w="1417" w:type="dxa"/>
            <w:tcBorders>
              <w:top w:val="nil"/>
              <w:left w:val="nil"/>
              <w:bottom w:val="single" w:sz="4" w:space="0" w:color="auto"/>
              <w:right w:val="single" w:sz="4" w:space="0" w:color="auto"/>
            </w:tcBorders>
            <w:noWrap/>
            <w:vAlign w:val="center"/>
            <w:hideMark/>
          </w:tcPr>
          <w:p w14:paraId="5C86593B" w14:textId="77777777" w:rsidR="00110E29" w:rsidRPr="001514DD" w:rsidRDefault="00110E29" w:rsidP="00834353">
            <w:pPr>
              <w:spacing w:after="0" w:line="240" w:lineRule="auto"/>
              <w:jc w:val="right"/>
              <w:rPr>
                <w:rFonts w:ascii="Times New Roman" w:eastAsia="Times New Roman" w:hAnsi="Times New Roman" w:cs="Times New Roman"/>
                <w:color w:val="000000"/>
                <w:sz w:val="24"/>
                <w:lang w:eastAsia="sk-SK"/>
              </w:rPr>
            </w:pPr>
          </w:p>
        </w:tc>
        <w:tc>
          <w:tcPr>
            <w:tcW w:w="1418" w:type="dxa"/>
            <w:tcBorders>
              <w:top w:val="nil"/>
              <w:left w:val="nil"/>
              <w:bottom w:val="single" w:sz="4" w:space="0" w:color="auto"/>
              <w:right w:val="single" w:sz="4" w:space="0" w:color="auto"/>
            </w:tcBorders>
            <w:noWrap/>
            <w:vAlign w:val="center"/>
            <w:hideMark/>
          </w:tcPr>
          <w:p w14:paraId="291A18B5" w14:textId="77777777" w:rsidR="00110E29" w:rsidRPr="001514DD" w:rsidRDefault="00110E29" w:rsidP="00834353">
            <w:pPr>
              <w:spacing w:after="0" w:line="240" w:lineRule="auto"/>
              <w:jc w:val="right"/>
              <w:rPr>
                <w:rFonts w:ascii="Times New Roman" w:eastAsia="Times New Roman" w:hAnsi="Times New Roman" w:cs="Times New Roman"/>
                <w:color w:val="000000"/>
                <w:sz w:val="24"/>
                <w:lang w:eastAsia="sk-SK"/>
              </w:rPr>
            </w:pPr>
          </w:p>
        </w:tc>
        <w:tc>
          <w:tcPr>
            <w:tcW w:w="1275" w:type="dxa"/>
            <w:tcBorders>
              <w:top w:val="nil"/>
              <w:left w:val="nil"/>
              <w:bottom w:val="single" w:sz="4" w:space="0" w:color="auto"/>
              <w:right w:val="single" w:sz="4" w:space="0" w:color="auto"/>
            </w:tcBorders>
            <w:noWrap/>
            <w:vAlign w:val="center"/>
            <w:hideMark/>
          </w:tcPr>
          <w:p w14:paraId="69329D49" w14:textId="77777777" w:rsidR="00110E29" w:rsidRPr="001514DD" w:rsidRDefault="00110E29" w:rsidP="00834353">
            <w:pPr>
              <w:spacing w:after="0" w:line="240" w:lineRule="auto"/>
              <w:jc w:val="right"/>
              <w:rPr>
                <w:rFonts w:ascii="Times New Roman" w:eastAsia="Times New Roman" w:hAnsi="Times New Roman" w:cs="Times New Roman"/>
                <w:color w:val="000000"/>
                <w:sz w:val="24"/>
                <w:lang w:eastAsia="sk-SK"/>
              </w:rPr>
            </w:pPr>
          </w:p>
        </w:tc>
      </w:tr>
      <w:tr w:rsidR="00110E29" w:rsidRPr="001514DD" w14:paraId="5007D4DD" w14:textId="77777777" w:rsidTr="00834353">
        <w:trPr>
          <w:trHeight w:val="304"/>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79D1CDA"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 w:val="24"/>
                <w:lang w:eastAsia="sk-SK"/>
              </w:rPr>
            </w:pPr>
            <w:r w:rsidRPr="001514DD">
              <w:rPr>
                <w:rFonts w:ascii="Times New Roman" w:eastAsia="Times New Roman" w:hAnsi="Times New Roman" w:cs="Times New Roman"/>
                <w:b/>
                <w:bCs/>
                <w:color w:val="000000" w:themeColor="text1"/>
                <w:sz w:val="24"/>
                <w:lang w:eastAsia="sk-SK"/>
              </w:rPr>
              <w:t>vplyv na limit verejných výdavkov ŠR</w:t>
            </w:r>
          </w:p>
        </w:tc>
        <w:tc>
          <w:tcPr>
            <w:tcW w:w="1418" w:type="dxa"/>
            <w:tcBorders>
              <w:top w:val="nil"/>
              <w:left w:val="nil"/>
              <w:bottom w:val="single" w:sz="4" w:space="0" w:color="auto"/>
              <w:right w:val="single" w:sz="4" w:space="0" w:color="auto"/>
            </w:tcBorders>
            <w:noWrap/>
            <w:vAlign w:val="center"/>
            <w:hideMark/>
          </w:tcPr>
          <w:p w14:paraId="01688CA0" w14:textId="77777777" w:rsidR="00110E29" w:rsidRPr="001514DD" w:rsidRDefault="00110E29" w:rsidP="00834353">
            <w:pPr>
              <w:spacing w:after="0" w:line="240" w:lineRule="auto"/>
              <w:jc w:val="center"/>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417" w:type="dxa"/>
            <w:tcBorders>
              <w:top w:val="nil"/>
              <w:left w:val="nil"/>
              <w:bottom w:val="single" w:sz="4" w:space="0" w:color="auto"/>
              <w:right w:val="single" w:sz="4" w:space="0" w:color="auto"/>
            </w:tcBorders>
            <w:noWrap/>
            <w:vAlign w:val="center"/>
            <w:hideMark/>
          </w:tcPr>
          <w:p w14:paraId="22E776CC" w14:textId="77777777" w:rsidR="00110E29" w:rsidRPr="001514DD" w:rsidRDefault="00110E29" w:rsidP="00834353">
            <w:pPr>
              <w:pStyle w:val="Odsekzoznamu"/>
              <w:spacing w:after="0" w:line="240" w:lineRule="auto"/>
              <w:jc w:val="right"/>
              <w:rPr>
                <w:rFonts w:ascii="Times New Roman" w:eastAsia="Times New Roman" w:hAnsi="Times New Roman" w:cs="Times New Roman"/>
                <w:b/>
                <w:color w:val="000000"/>
                <w:lang w:eastAsia="sk-SK"/>
              </w:rPr>
            </w:pPr>
            <w:r w:rsidRPr="001514DD">
              <w:rPr>
                <w:rFonts w:ascii="Times New Roman" w:eastAsia="Times New Roman" w:hAnsi="Times New Roman" w:cs="Times New Roman"/>
                <w:b/>
                <w:color w:val="000000"/>
                <w:lang w:eastAsia="sk-SK"/>
              </w:rPr>
              <w:t>427 938</w:t>
            </w:r>
          </w:p>
        </w:tc>
        <w:tc>
          <w:tcPr>
            <w:tcW w:w="1418" w:type="dxa"/>
            <w:tcBorders>
              <w:top w:val="nil"/>
              <w:left w:val="nil"/>
              <w:bottom w:val="single" w:sz="4" w:space="0" w:color="auto"/>
              <w:right w:val="single" w:sz="4" w:space="0" w:color="auto"/>
            </w:tcBorders>
            <w:noWrap/>
            <w:vAlign w:val="center"/>
            <w:hideMark/>
          </w:tcPr>
          <w:p w14:paraId="24C52B15" w14:textId="77777777" w:rsidR="00110E29" w:rsidRPr="001514DD" w:rsidRDefault="00110E29" w:rsidP="00834353">
            <w:pPr>
              <w:pStyle w:val="Odsekzoznamu"/>
              <w:spacing w:after="0" w:line="240" w:lineRule="auto"/>
              <w:jc w:val="right"/>
              <w:rPr>
                <w:rFonts w:ascii="Times New Roman" w:eastAsia="Times New Roman" w:hAnsi="Times New Roman" w:cs="Times New Roman"/>
                <w:b/>
                <w:color w:val="000000"/>
                <w:lang w:eastAsia="sk-SK"/>
              </w:rPr>
            </w:pPr>
            <w:r w:rsidRPr="001514DD">
              <w:rPr>
                <w:rFonts w:ascii="Times New Roman" w:eastAsia="Times New Roman" w:hAnsi="Times New Roman" w:cs="Times New Roman"/>
                <w:b/>
                <w:color w:val="000000"/>
                <w:lang w:eastAsia="sk-SK"/>
              </w:rPr>
              <w:t>0</w:t>
            </w:r>
          </w:p>
        </w:tc>
        <w:tc>
          <w:tcPr>
            <w:tcW w:w="1275" w:type="dxa"/>
            <w:tcBorders>
              <w:top w:val="nil"/>
              <w:left w:val="nil"/>
              <w:bottom w:val="single" w:sz="4" w:space="0" w:color="auto"/>
              <w:right w:val="single" w:sz="4" w:space="0" w:color="auto"/>
            </w:tcBorders>
            <w:noWrap/>
            <w:vAlign w:val="center"/>
            <w:hideMark/>
          </w:tcPr>
          <w:p w14:paraId="3B1281BC" w14:textId="77777777" w:rsidR="00110E29" w:rsidRPr="001514DD" w:rsidRDefault="00110E29" w:rsidP="00834353">
            <w:pPr>
              <w:pStyle w:val="Odsekzoznamu"/>
              <w:spacing w:after="0" w:line="240" w:lineRule="auto"/>
              <w:ind w:left="665"/>
              <w:jc w:val="right"/>
              <w:rPr>
                <w:rFonts w:ascii="Times New Roman" w:eastAsia="Times New Roman" w:hAnsi="Times New Roman" w:cs="Times New Roman"/>
                <w:b/>
                <w:color w:val="000000"/>
                <w:lang w:eastAsia="sk-SK"/>
              </w:rPr>
            </w:pPr>
            <w:r w:rsidRPr="001514DD">
              <w:rPr>
                <w:rFonts w:ascii="Times New Roman" w:eastAsia="Times New Roman" w:hAnsi="Times New Roman" w:cs="Times New Roman"/>
                <w:b/>
                <w:color w:val="000000"/>
                <w:lang w:eastAsia="sk-SK"/>
              </w:rPr>
              <w:t>722 293</w:t>
            </w:r>
          </w:p>
        </w:tc>
      </w:tr>
      <w:tr w:rsidR="00110E29" w:rsidRPr="001514DD" w14:paraId="5798AA90" w14:textId="77777777" w:rsidTr="00834353">
        <w:trPr>
          <w:trHeight w:val="304"/>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77DF00F"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 w:val="24"/>
                <w:lang w:eastAsia="sk-SK"/>
              </w:rPr>
            </w:pPr>
            <w:r w:rsidRPr="001514DD">
              <w:rPr>
                <w:rFonts w:ascii="Times New Roman" w:eastAsia="Times New Roman" w:hAnsi="Times New Roman" w:cs="Times New Roman"/>
                <w:b/>
                <w:bCs/>
                <w:color w:val="000000" w:themeColor="text1"/>
                <w:sz w:val="24"/>
                <w:lang w:eastAsia="sk-SK"/>
              </w:rPr>
              <w:t>vplyv na limit verejných výdavkov ostatných subjekty verejnej správy</w:t>
            </w:r>
          </w:p>
        </w:tc>
        <w:tc>
          <w:tcPr>
            <w:tcW w:w="1418" w:type="dxa"/>
            <w:tcBorders>
              <w:top w:val="nil"/>
              <w:left w:val="nil"/>
              <w:bottom w:val="single" w:sz="4" w:space="0" w:color="auto"/>
              <w:right w:val="single" w:sz="4" w:space="0" w:color="auto"/>
            </w:tcBorders>
            <w:noWrap/>
            <w:vAlign w:val="center"/>
            <w:hideMark/>
          </w:tcPr>
          <w:p w14:paraId="156F5E1F" w14:textId="77777777" w:rsidR="00110E29" w:rsidRPr="001514DD" w:rsidRDefault="00110E29" w:rsidP="00834353">
            <w:pPr>
              <w:spacing w:after="0" w:line="240" w:lineRule="auto"/>
              <w:jc w:val="center"/>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417" w:type="dxa"/>
            <w:tcBorders>
              <w:top w:val="nil"/>
              <w:left w:val="nil"/>
              <w:bottom w:val="single" w:sz="4" w:space="0" w:color="auto"/>
              <w:right w:val="single" w:sz="4" w:space="0" w:color="auto"/>
            </w:tcBorders>
            <w:noWrap/>
            <w:vAlign w:val="center"/>
            <w:hideMark/>
          </w:tcPr>
          <w:p w14:paraId="6C7A899A"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418" w:type="dxa"/>
            <w:tcBorders>
              <w:top w:val="nil"/>
              <w:left w:val="nil"/>
              <w:bottom w:val="single" w:sz="4" w:space="0" w:color="auto"/>
              <w:right w:val="single" w:sz="4" w:space="0" w:color="auto"/>
            </w:tcBorders>
            <w:noWrap/>
            <w:vAlign w:val="center"/>
            <w:hideMark/>
          </w:tcPr>
          <w:p w14:paraId="33FDB795"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275" w:type="dxa"/>
            <w:tcBorders>
              <w:top w:val="nil"/>
              <w:left w:val="nil"/>
              <w:bottom w:val="single" w:sz="4" w:space="0" w:color="auto"/>
              <w:right w:val="single" w:sz="4" w:space="0" w:color="auto"/>
            </w:tcBorders>
            <w:noWrap/>
            <w:vAlign w:val="center"/>
            <w:hideMark/>
          </w:tcPr>
          <w:p w14:paraId="2778927E"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r>
      <w:tr w:rsidR="00110E29" w:rsidRPr="001514DD" w14:paraId="10A1ACA3" w14:textId="77777777" w:rsidTr="00834353">
        <w:trPr>
          <w:trHeight w:val="304"/>
        </w:trPr>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6D43865"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 w:val="24"/>
                <w:lang w:eastAsia="sk-SK"/>
              </w:rPr>
            </w:pPr>
            <w:r w:rsidRPr="001514DD">
              <w:rPr>
                <w:rFonts w:ascii="Times New Roman" w:eastAsia="Times New Roman" w:hAnsi="Times New Roman" w:cs="Times New Roman"/>
                <w:b/>
                <w:bCs/>
                <w:color w:val="000000" w:themeColor="text1"/>
                <w:sz w:val="24"/>
                <w:lang w:eastAsia="sk-SK"/>
              </w:rPr>
              <w:t>vplyv na limit verejných výdavkov ďalších súčastí rozpočtu verejnej správy</w:t>
            </w:r>
          </w:p>
        </w:tc>
        <w:tc>
          <w:tcPr>
            <w:tcW w:w="1418" w:type="dxa"/>
            <w:tcBorders>
              <w:top w:val="single" w:sz="4" w:space="0" w:color="auto"/>
              <w:left w:val="nil"/>
              <w:bottom w:val="single" w:sz="4" w:space="0" w:color="auto"/>
              <w:right w:val="single" w:sz="4" w:space="0" w:color="auto"/>
            </w:tcBorders>
            <w:noWrap/>
            <w:vAlign w:val="center"/>
          </w:tcPr>
          <w:p w14:paraId="66844B9D" w14:textId="77777777" w:rsidR="00110E29" w:rsidRPr="001514DD" w:rsidRDefault="00110E29" w:rsidP="00834353">
            <w:pPr>
              <w:spacing w:after="0" w:line="240" w:lineRule="auto"/>
              <w:jc w:val="center"/>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417" w:type="dxa"/>
            <w:tcBorders>
              <w:top w:val="single" w:sz="4" w:space="0" w:color="auto"/>
              <w:left w:val="nil"/>
              <w:bottom w:val="single" w:sz="4" w:space="0" w:color="auto"/>
              <w:right w:val="single" w:sz="4" w:space="0" w:color="auto"/>
            </w:tcBorders>
            <w:noWrap/>
            <w:vAlign w:val="center"/>
          </w:tcPr>
          <w:p w14:paraId="7C55A677"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418" w:type="dxa"/>
            <w:tcBorders>
              <w:top w:val="single" w:sz="4" w:space="0" w:color="auto"/>
              <w:left w:val="nil"/>
              <w:bottom w:val="single" w:sz="4" w:space="0" w:color="auto"/>
              <w:right w:val="single" w:sz="4" w:space="0" w:color="auto"/>
            </w:tcBorders>
            <w:noWrap/>
            <w:vAlign w:val="center"/>
          </w:tcPr>
          <w:p w14:paraId="7CE01AAA"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c>
          <w:tcPr>
            <w:tcW w:w="1275" w:type="dxa"/>
            <w:tcBorders>
              <w:top w:val="single" w:sz="4" w:space="0" w:color="auto"/>
              <w:left w:val="nil"/>
              <w:bottom w:val="single" w:sz="4" w:space="0" w:color="auto"/>
              <w:right w:val="single" w:sz="4" w:space="0" w:color="auto"/>
            </w:tcBorders>
            <w:noWrap/>
            <w:vAlign w:val="center"/>
          </w:tcPr>
          <w:p w14:paraId="3C6BDA47" w14:textId="77777777" w:rsidR="00110E29" w:rsidRPr="001514DD" w:rsidRDefault="00110E29" w:rsidP="00834353">
            <w:pPr>
              <w:spacing w:after="0" w:line="240" w:lineRule="auto"/>
              <w:jc w:val="right"/>
              <w:rPr>
                <w:rFonts w:ascii="Times New Roman" w:eastAsia="Times New Roman" w:hAnsi="Times New Roman" w:cs="Times New Roman"/>
                <w:b/>
                <w:color w:val="000000"/>
                <w:sz w:val="24"/>
                <w:lang w:eastAsia="sk-SK"/>
              </w:rPr>
            </w:pPr>
            <w:r w:rsidRPr="001514DD">
              <w:rPr>
                <w:rFonts w:ascii="Times New Roman" w:eastAsia="Times New Roman" w:hAnsi="Times New Roman" w:cs="Times New Roman"/>
                <w:b/>
                <w:color w:val="000000"/>
                <w:sz w:val="24"/>
                <w:lang w:eastAsia="sk-SK"/>
              </w:rPr>
              <w:t>0</w:t>
            </w:r>
          </w:p>
        </w:tc>
      </w:tr>
    </w:tbl>
    <w:p w14:paraId="2568B0B3" w14:textId="77777777" w:rsidR="00110E29" w:rsidRPr="001514DD" w:rsidRDefault="00110E29" w:rsidP="00110E29">
      <w:pPr>
        <w:rPr>
          <w:rFonts w:ascii="Times New Roman" w:eastAsia="Times New Roman" w:hAnsi="Times New Roman" w:cs="Times New Roman"/>
          <w:b/>
          <w:bCs/>
          <w:sz w:val="24"/>
          <w:lang w:eastAsia="sk-SK"/>
        </w:rPr>
      </w:pPr>
    </w:p>
    <w:p w14:paraId="3C4F8171" w14:textId="77777777" w:rsidR="00110E29" w:rsidRPr="001514DD" w:rsidRDefault="00110E29" w:rsidP="00110E29">
      <w:pP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2.1.1. Financovanie návrhu - Návrh na riešenie úbytku príjmov alebo zvýšených výdavkov podľa § 33 ods. 1 zákona č. 523/2004 Z. z. o rozpočtových pravidlách verejnej správy:</w:t>
      </w:r>
    </w:p>
    <w:p w14:paraId="5125B1A7" w14:textId="77777777" w:rsidR="00110E29" w:rsidRPr="001514DD" w:rsidRDefault="00110E29" w:rsidP="00110E29">
      <w:pPr>
        <w:spacing w:after="0" w:line="240" w:lineRule="auto"/>
        <w:jc w:val="both"/>
        <w:rPr>
          <w:rFonts w:ascii="Times New Roman" w:eastAsia="Times New Roman" w:hAnsi="Times New Roman" w:cs="Times New Roman"/>
          <w:b/>
          <w:bCs/>
          <w:sz w:val="12"/>
          <w:lang w:eastAsia="sk-SK"/>
        </w:rPr>
      </w:pPr>
    </w:p>
    <w:p w14:paraId="2E1D3932" w14:textId="77777777" w:rsidR="00110E29" w:rsidRPr="001514DD" w:rsidRDefault="00110E29" w:rsidP="00110E2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rPr>
      </w:pPr>
      <w:r w:rsidRPr="001514DD">
        <w:rPr>
          <w:rFonts w:ascii="Times New Roman" w:eastAsia="Times New Roman" w:hAnsi="Times New Roman" w:cs="Times New Roman"/>
          <w:bCs/>
          <w:sz w:val="24"/>
          <w:lang w:eastAsia="sk-SK"/>
        </w:rPr>
        <w:t xml:space="preserve">Podľa § 37 ods. 1 zákona č. 180/2014 Z. z. o podmienkach výkonu volebného práva a o zmene a doplnení niektorých zákonov v znení neskorších predpisov (ďalej len „zákon </w:t>
      </w:r>
      <w:r w:rsidRPr="001514DD">
        <w:rPr>
          <w:rFonts w:ascii="Times New Roman" w:eastAsia="Times New Roman" w:hAnsi="Times New Roman" w:cs="Times New Roman"/>
          <w:bCs/>
          <w:sz w:val="24"/>
          <w:lang w:eastAsia="sk-SK"/>
        </w:rPr>
        <w:br/>
        <w:t xml:space="preserve">č. 180/2014 Z. z.“) sa výdavky spojené s voľbami uhrádzajú zo štátneho rozpočtu. Ministerstvo zahraničných vecí a európskych záležitostí Slovenskej republiky (ďalej len „ministerstvo zahraničných vecí“) plní úlohy vyplývajúce z návrhu novely zákona č. 180/2014 Z. z. ako samostatný volebný orgán. Predložený materiál má negatívny vplyv na rozpočet verejnej správy. </w:t>
      </w:r>
      <w:r w:rsidRPr="001514DD">
        <w:rPr>
          <w:rFonts w:ascii="Times New Roman" w:eastAsia="Times New Roman" w:hAnsi="Times New Roman" w:cs="Times New Roman"/>
          <w:bCs/>
          <w:sz w:val="24"/>
        </w:rPr>
        <w:t>Finančné prostriedky na zabezpečenie hlasovania na zastupiteľských úradoch Slovenskej republiky v zahraničí vo voľbách do Národnej rady Slovenskej republiky, ktorých konanie sa predpokladá v roku 2027 a vo voľbách prezidenta Slovenskej republiky, ktorých konanie sa predpokladá v dvoch kolách v roku 2029, ktoré nie sú zabezpečené v rámci schválených limitov kapitoly ministerstva zahraničných vecí bude potrebné zabezpečiť zvýšením limitov výdavkov dotknutej kapitoly na príslušné rozpočtové roky.</w:t>
      </w:r>
    </w:p>
    <w:p w14:paraId="322811BA" w14:textId="77777777" w:rsidR="00110E29" w:rsidRPr="001514DD" w:rsidRDefault="00110E29" w:rsidP="00110E2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lang w:eastAsia="sk-SK"/>
        </w:rPr>
      </w:pPr>
      <w:r w:rsidRPr="001514DD">
        <w:rPr>
          <w:rFonts w:ascii="Times New Roman" w:eastAsia="Times New Roman" w:hAnsi="Times New Roman" w:cs="Times New Roman"/>
          <w:bCs/>
          <w:sz w:val="24"/>
          <w:lang w:eastAsia="sk-SK"/>
        </w:rPr>
        <w:t xml:space="preserve">Podľa zákona č. 180/2014 Z. z. Ministerstvo vnútra Slovenskej republiky vráti uhradenú volebnú kauciu politickej strane alebo koalícii, ktorej kandidátna listina nebola zaregistrovaná alebo politickej strane alebo koalícii, ktorá získala aspoň zákonom ustanovený percentuálny výsledok vo voľbách do Národnej rady a vo voľbách do Európskeho parlamentu. Volebné kaucie, ktoré sa nevracajú, sú príjmom štátneho rozpočtu.  </w:t>
      </w:r>
    </w:p>
    <w:p w14:paraId="463CC8E3" w14:textId="77777777" w:rsidR="00110E29" w:rsidRPr="001514DD" w:rsidRDefault="00110E29" w:rsidP="00110E2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lang w:eastAsia="sk-SK"/>
        </w:rPr>
      </w:pPr>
    </w:p>
    <w:p w14:paraId="24F38EC6" w14:textId="77777777" w:rsidR="00110E29" w:rsidRDefault="00110E29" w:rsidP="00110E29">
      <w:pPr>
        <w:spacing w:after="0" w:line="240" w:lineRule="auto"/>
        <w:rPr>
          <w:rFonts w:ascii="Times New Roman" w:eastAsia="Times New Roman" w:hAnsi="Times New Roman" w:cs="Times New Roman"/>
          <w:b/>
          <w:bCs/>
          <w:sz w:val="24"/>
          <w:lang w:eastAsia="sk-SK"/>
        </w:rPr>
      </w:pPr>
    </w:p>
    <w:p w14:paraId="2EB90165"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2.2. Popis a charakteristika návrhu</w:t>
      </w:r>
    </w:p>
    <w:p w14:paraId="0A7753C4" w14:textId="77777777" w:rsidR="00110E29" w:rsidRPr="001514DD" w:rsidRDefault="00110E29" w:rsidP="00110E29">
      <w:pPr>
        <w:spacing w:after="0" w:line="240" w:lineRule="auto"/>
        <w:rPr>
          <w:rFonts w:ascii="Times New Roman" w:eastAsia="Times New Roman" w:hAnsi="Times New Roman" w:cs="Times New Roman"/>
          <w:sz w:val="24"/>
          <w:lang w:eastAsia="sk-SK"/>
        </w:rPr>
      </w:pPr>
    </w:p>
    <w:p w14:paraId="1ED5320A" w14:textId="77777777" w:rsidR="00110E29" w:rsidRPr="001514DD" w:rsidRDefault="00110E29" w:rsidP="00110E29">
      <w:pPr>
        <w:spacing w:after="0" w:line="240" w:lineRule="auto"/>
        <w:jc w:val="both"/>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2.2.1. Popis návrhu:</w:t>
      </w:r>
    </w:p>
    <w:p w14:paraId="73ED6712" w14:textId="77777777" w:rsidR="00110E29" w:rsidRPr="001514DD" w:rsidRDefault="00110E29" w:rsidP="00110E29">
      <w:pPr>
        <w:spacing w:after="0" w:line="240" w:lineRule="auto"/>
        <w:jc w:val="both"/>
        <w:rPr>
          <w:rFonts w:ascii="Times New Roman" w:eastAsia="Times New Roman" w:hAnsi="Times New Roman" w:cs="Times New Roman"/>
          <w:b/>
          <w:bCs/>
          <w:sz w:val="24"/>
          <w:lang w:eastAsia="sk-SK"/>
        </w:rPr>
      </w:pPr>
    </w:p>
    <w:p w14:paraId="75981BA4"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Akú problematiku návrh rieši? Kto bude návrh implementovať? Kde sa budú služby poskytovať?</w:t>
      </w:r>
    </w:p>
    <w:p w14:paraId="67695764"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4F4A780F"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Navrhovanou právnou úpravou sa vo voľbách do Národnej rady Slovenskej republiky, voľbách prezidenta Slovenskej republiky a v referende zavádza hlasovanie na zastupiteľských úradoch Slovenskej republiky v zahraničí voličmi, ktorí nemajú trvalý pobyt na území Slovenskej republiky a voličmi, ktorí majú trvalý pobyt na území Slovenskej republiky, ale v čase konania volieb sa zdržiavajú mimo jej územia. Zastupiteľskými úradmi, na ktorých sa bude realizovať hlasovanie, sa na tieto účely rozumejú diplomatické misie a konzulárne úrady.</w:t>
      </w:r>
    </w:p>
    <w:p w14:paraId="76ECC464"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Registráciu voličov a vedenie osobitného zoznamu voličov pre hlasovanie na zastupiteľských úradoch Slovenskej republiky vo voľbách do Národnej rady Slovenskej republiky, voľbách prezidenta Slovenskej republiky a v referende zabezpečí Ministerstvo vnútra Slovenskej republiky (ďalej len „ministerstvo vnútra“) prostredníctvom informačného systému pre hlasovanie na zastupiteľských úradoch.</w:t>
      </w:r>
    </w:p>
    <w:p w14:paraId="74373493"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Ministerstvo zahraničných vecí ako ústredný orgán štátnej správy zodpovedný za riadenie zastupiteľských úradov Slovenskej republiky podľa návrhu novely zákona plní úlohy súvisiace s organizačnou a technickou prípravou a vykonaním volieb na zastupiteľských úradoch v zahraničí, predovšetkým zabezpečuje informovanie voličov o voľbách na zastupiteľských úradoch, telekomunikačné spojenie medzi zastupiteľskými úradmi a ministerstvom zahraničných vecí, odovzdáva Štatistickému úradu Slovenskej republiky podklady pre utvorenie a aktualizáciu zoznamu osobitných volebných okrskov, v spolupráci so zastupiteľskými úradmi zabezpečuje tlač hlasovacích lístkov vo voľbách prezidenta Slovenskej republiky a v referende a po dohode s ministerstvom vnútra aj vo voľbách do Národnej rady Slovenskej republiky, materiálne podmienky a osoby na organizačnú a technickú prípravu hlasovania na zastupiteľských úradoch.</w:t>
      </w:r>
    </w:p>
    <w:p w14:paraId="04E8DC2C" w14:textId="77777777" w:rsidR="00110E29" w:rsidRPr="001514DD" w:rsidRDefault="00110E29" w:rsidP="00110E29">
      <w:pPr>
        <w:spacing w:after="0" w:line="264" w:lineRule="auto"/>
        <w:ind w:firstLine="708"/>
        <w:jc w:val="both"/>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Na účely zisťovania výsledkov hlasovania na zastupiteľských úradoch Slovenskej republiky v zahraničí sa na ministerstve zahraničných vecí utvára osobitná okresná volebná komisia</w:t>
      </w:r>
      <w:r w:rsidRPr="001514DD">
        <w:rPr>
          <w:rFonts w:ascii="Times New Roman" w:eastAsia="Times New Roman" w:hAnsi="Times New Roman" w:cs="Times New Roman"/>
          <w:color w:val="FF0000"/>
          <w:sz w:val="24"/>
          <w:lang w:eastAsia="sk-SK"/>
        </w:rPr>
        <w:t xml:space="preserve">. </w:t>
      </w:r>
      <w:r w:rsidRPr="001514DD">
        <w:rPr>
          <w:rFonts w:ascii="Times New Roman" w:eastAsia="Times New Roman" w:hAnsi="Times New Roman" w:cs="Times New Roman"/>
          <w:sz w:val="24"/>
          <w:lang w:eastAsia="sk-SK"/>
        </w:rPr>
        <w:t xml:space="preserve">Na účely zabezpečenia hlasovania voličov a sčítania hlasov sa na zastupiteľských úradoch Slovenskej republiky v zahraničí utvárajú okrskové volebné komisie utvorené pre osobitné okrsky. </w:t>
      </w:r>
    </w:p>
    <w:p w14:paraId="745345B2" w14:textId="77777777" w:rsidR="00110E29" w:rsidRPr="001514DD" w:rsidRDefault="00110E29" w:rsidP="00110E29">
      <w:pPr>
        <w:spacing w:after="0" w:line="264" w:lineRule="auto"/>
        <w:ind w:firstLine="708"/>
        <w:jc w:val="both"/>
        <w:rPr>
          <w:rFonts w:ascii="Times New Roman" w:hAnsi="Times New Roman"/>
          <w:sz w:val="24"/>
        </w:rPr>
      </w:pPr>
      <w:r w:rsidRPr="001514DD">
        <w:rPr>
          <w:rFonts w:ascii="Times New Roman" w:eastAsia="Times New Roman" w:hAnsi="Times New Roman" w:cs="Times New Roman"/>
          <w:color w:val="000000" w:themeColor="text1"/>
          <w:sz w:val="24"/>
          <w:lang w:eastAsia="sk-SK"/>
        </w:rPr>
        <w:t xml:space="preserve">Medzi najdôležitejšie kompetencie osobitnej okresnej volebnej komisie so sídlom na ministerstve zahraničných vecí patrí dohľad nad pripravenosťou všetkých okrskových volebných komisií utvorených pre osobitné okrsky zabezpečovať úlohy podľa návrhu zákona, dohľad nad spracovaním </w:t>
      </w:r>
      <w:r w:rsidRPr="001514DD">
        <w:rPr>
          <w:rFonts w:ascii="Times New Roman" w:eastAsia="Times New Roman" w:hAnsi="Times New Roman" w:cs="Times New Roman"/>
          <w:sz w:val="24"/>
          <w:lang w:eastAsia="sk-SK"/>
        </w:rPr>
        <w:t xml:space="preserve">výsledkov volieb na zastupiteľských úradoch, vyhotovenie zápisnice o výsledku volieb na zastupiteľských úradoch </w:t>
      </w:r>
      <w:r w:rsidRPr="001514DD">
        <w:rPr>
          <w:rFonts w:ascii="Times New Roman" w:eastAsia="Times New Roman" w:hAnsi="Times New Roman" w:cs="Times New Roman"/>
          <w:color w:val="000000" w:themeColor="text1"/>
          <w:sz w:val="24"/>
          <w:lang w:eastAsia="sk-SK"/>
        </w:rPr>
        <w:t>a odovzdanie volebnej dokumentácie do úschovy ministerstva zahraničných vec</w:t>
      </w:r>
      <w:r w:rsidRPr="001514DD">
        <w:rPr>
          <w:rFonts w:ascii="Times New Roman" w:eastAsia="Times New Roman" w:hAnsi="Times New Roman" w:cs="Times New Roman"/>
          <w:sz w:val="24"/>
          <w:lang w:eastAsia="sk-SK"/>
        </w:rPr>
        <w:t>í. Okrsková volebná komisia utvorená pre osobitný okrsok zabezpečuje dôstojný a zákonný priebeh hlasovania na zastupiteľskom úrade, sčítava hlasy, vyhotovuje zápisnicu o priebehu a výsledku hlasovania na zastupiteľskom úrade a odovzdáva volebné dokumenty zastupiteľskému úradu, ktorý zabezpečí ich doručenie do úschovy ministerstvu zahraničných vecí.</w:t>
      </w:r>
      <w:r w:rsidRPr="001514DD">
        <w:rPr>
          <w:rFonts w:ascii="Times New Roman" w:hAnsi="Times New Roman"/>
          <w:sz w:val="24"/>
        </w:rPr>
        <w:t xml:space="preserve"> </w:t>
      </w:r>
    </w:p>
    <w:p w14:paraId="39A5A2F8" w14:textId="77777777" w:rsidR="00110E29" w:rsidRPr="001514DD" w:rsidRDefault="00110E29" w:rsidP="00110E29">
      <w:pPr>
        <w:spacing w:after="0" w:line="264" w:lineRule="auto"/>
        <w:ind w:firstLine="708"/>
        <w:jc w:val="both"/>
        <w:rPr>
          <w:color w:val="000000" w:themeColor="text1"/>
          <w:sz w:val="24"/>
        </w:rPr>
      </w:pPr>
      <w:r w:rsidRPr="001514DD">
        <w:rPr>
          <w:rFonts w:ascii="Times New Roman" w:eastAsia="Times New Roman" w:hAnsi="Times New Roman" w:cs="Times New Roman"/>
          <w:sz w:val="24"/>
          <w:lang w:eastAsia="sk-SK"/>
        </w:rPr>
        <w:t xml:space="preserve">Zároveň sa navrhovanou úpravou vo voľbách do Národnej rady Slovenskej republiky a vo voľbách do Európskeho parlamentu mení spôsob výpočtu sumy volebnej kaucie, ktorej úhradu potvrdzuje politický subjekt uchádzajúci sa o účasť na volebnom procese </w:t>
      </w:r>
      <w:r w:rsidRPr="001514DD">
        <w:rPr>
          <w:rFonts w:ascii="Times New Roman" w:eastAsia="Times New Roman" w:hAnsi="Times New Roman" w:cs="Times New Roman"/>
          <w:color w:val="000000" w:themeColor="text1"/>
          <w:sz w:val="24"/>
          <w:lang w:eastAsia="sk-SK"/>
        </w:rPr>
        <w:t xml:space="preserve">pri doručení kandidátnej listiny Ministerstvu vnútra Slovenskej republiky. </w:t>
      </w:r>
    </w:p>
    <w:p w14:paraId="2269CDC0"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p>
    <w:p w14:paraId="5007076E" w14:textId="77777777" w:rsidR="00110E29" w:rsidRPr="001514DD" w:rsidRDefault="00110E29" w:rsidP="00110E29">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w:t>
      </w:r>
    </w:p>
    <w:p w14:paraId="38B4E825" w14:textId="77777777" w:rsidR="00110E29" w:rsidRPr="001514DD" w:rsidRDefault="00110E29" w:rsidP="00110E29">
      <w:pPr>
        <w:spacing w:after="0" w:line="240" w:lineRule="auto"/>
        <w:rPr>
          <w:rFonts w:ascii="Times New Roman" w:eastAsia="Times New Roman" w:hAnsi="Times New Roman" w:cs="Times New Roman"/>
          <w:sz w:val="24"/>
          <w:lang w:eastAsia="sk-SK"/>
        </w:rPr>
      </w:pPr>
    </w:p>
    <w:p w14:paraId="0F3A9D79"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2.2.2. Charakteristika návrhu:</w:t>
      </w:r>
    </w:p>
    <w:p w14:paraId="56B7F01D" w14:textId="77777777" w:rsidR="00110E29" w:rsidRPr="001514DD" w:rsidRDefault="00110E29" w:rsidP="00110E29">
      <w:pPr>
        <w:spacing w:after="0" w:line="240" w:lineRule="auto"/>
        <w:rPr>
          <w:rFonts w:ascii="Times New Roman" w:eastAsia="Times New Roman" w:hAnsi="Times New Roman" w:cs="Times New Roman"/>
          <w:sz w:val="24"/>
          <w:lang w:eastAsia="sk-SK"/>
        </w:rPr>
      </w:pPr>
    </w:p>
    <w:p w14:paraId="69837B79" w14:textId="77777777" w:rsidR="00110E29" w:rsidRPr="001514DD" w:rsidRDefault="00110E29" w:rsidP="00110E29">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bdr w:val="single" w:sz="4" w:space="0" w:color="auto"/>
          <w:lang w:eastAsia="sk-SK"/>
        </w:rPr>
        <w:t xml:space="preserve">  x</w:t>
      </w:r>
      <w:r w:rsidRPr="001514DD">
        <w:rPr>
          <w:rFonts w:ascii="Times New Roman" w:eastAsia="Times New Roman" w:hAnsi="Times New Roman" w:cs="Times New Roman"/>
          <w:b/>
          <w:sz w:val="24"/>
          <w:bdr w:val="single" w:sz="4" w:space="0" w:color="auto"/>
          <w:lang w:eastAsia="sk-SK"/>
        </w:rPr>
        <w:t xml:space="preserve"> </w:t>
      </w:r>
      <w:r w:rsidRPr="001514DD">
        <w:rPr>
          <w:rFonts w:ascii="Times New Roman" w:eastAsia="Times New Roman" w:hAnsi="Times New Roman" w:cs="Times New Roman"/>
          <w:b/>
          <w:sz w:val="24"/>
          <w:lang w:eastAsia="sk-SK"/>
        </w:rPr>
        <w:t xml:space="preserve">  </w:t>
      </w:r>
      <w:r w:rsidRPr="001514DD">
        <w:rPr>
          <w:rFonts w:ascii="Times New Roman" w:eastAsia="Times New Roman" w:hAnsi="Times New Roman" w:cs="Times New Roman"/>
          <w:sz w:val="24"/>
          <w:lang w:eastAsia="sk-SK"/>
        </w:rPr>
        <w:t>zmena sadzby</w:t>
      </w:r>
    </w:p>
    <w:p w14:paraId="7424C338" w14:textId="77777777" w:rsidR="00110E29" w:rsidRPr="001514DD" w:rsidRDefault="00110E29" w:rsidP="00110E29">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bdr w:val="single" w:sz="4" w:space="0" w:color="auto"/>
          <w:lang w:eastAsia="sk-SK"/>
        </w:rPr>
        <w:lastRenderedPageBreak/>
        <w:t xml:space="preserve">     </w:t>
      </w:r>
      <w:r w:rsidRPr="001514DD">
        <w:rPr>
          <w:rFonts w:ascii="Times New Roman" w:eastAsia="Times New Roman" w:hAnsi="Times New Roman" w:cs="Times New Roman"/>
          <w:sz w:val="24"/>
          <w:lang w:eastAsia="sk-SK"/>
        </w:rPr>
        <w:t xml:space="preserve">  zmena v nároku</w:t>
      </w:r>
    </w:p>
    <w:p w14:paraId="41623B9F" w14:textId="77777777" w:rsidR="00110E29" w:rsidRPr="001514DD" w:rsidRDefault="00110E29" w:rsidP="00110E29">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bdr w:val="single" w:sz="4" w:space="0" w:color="auto"/>
          <w:lang w:eastAsia="sk-SK"/>
        </w:rPr>
        <w:t xml:space="preserve">  x </w:t>
      </w:r>
      <w:r w:rsidRPr="001514DD">
        <w:rPr>
          <w:rFonts w:ascii="Times New Roman" w:eastAsia="Times New Roman" w:hAnsi="Times New Roman" w:cs="Times New Roman"/>
          <w:sz w:val="24"/>
          <w:lang w:eastAsia="sk-SK"/>
        </w:rPr>
        <w:t xml:space="preserve">  nová služba alebo nariadenie (alebo ich zrušenie)</w:t>
      </w:r>
    </w:p>
    <w:p w14:paraId="70961B66" w14:textId="77777777" w:rsidR="00110E29" w:rsidRPr="001514DD" w:rsidRDefault="00110E29" w:rsidP="00110E29">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bdr w:val="single" w:sz="4" w:space="0" w:color="auto"/>
          <w:lang w:eastAsia="sk-SK"/>
        </w:rPr>
        <w:t xml:space="preserve">     </w:t>
      </w:r>
      <w:r w:rsidRPr="001514DD">
        <w:rPr>
          <w:rFonts w:ascii="Times New Roman" w:eastAsia="Times New Roman" w:hAnsi="Times New Roman" w:cs="Times New Roman"/>
          <w:sz w:val="24"/>
          <w:lang w:eastAsia="sk-SK"/>
        </w:rPr>
        <w:t xml:space="preserve">  kombinovaný návrh</w:t>
      </w:r>
    </w:p>
    <w:p w14:paraId="49A613B0" w14:textId="77777777" w:rsidR="00110E29" w:rsidRPr="001514DD" w:rsidRDefault="00110E29" w:rsidP="00110E29">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bdr w:val="single" w:sz="4" w:space="0" w:color="auto"/>
          <w:lang w:eastAsia="sk-SK"/>
        </w:rPr>
        <w:t xml:space="preserve">     </w:t>
      </w:r>
      <w:r w:rsidRPr="001514DD">
        <w:rPr>
          <w:rFonts w:ascii="Times New Roman" w:eastAsia="Times New Roman" w:hAnsi="Times New Roman" w:cs="Times New Roman"/>
          <w:sz w:val="24"/>
          <w:lang w:eastAsia="sk-SK"/>
        </w:rPr>
        <w:t xml:space="preserve">  iné</w:t>
      </w:r>
    </w:p>
    <w:p w14:paraId="034E15B1" w14:textId="77777777" w:rsidR="00110E29" w:rsidRPr="001514DD" w:rsidRDefault="00110E29" w:rsidP="00110E29">
      <w:pPr>
        <w:spacing w:after="0" w:line="240" w:lineRule="auto"/>
        <w:rPr>
          <w:rFonts w:ascii="Times New Roman" w:eastAsia="Times New Roman" w:hAnsi="Times New Roman" w:cs="Times New Roman"/>
          <w:sz w:val="24"/>
          <w:lang w:eastAsia="sk-SK"/>
        </w:rPr>
      </w:pPr>
    </w:p>
    <w:p w14:paraId="65A2D71A"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2.2.3. Predpoklady vývoja objemu aktivít:</w:t>
      </w:r>
    </w:p>
    <w:p w14:paraId="3322FC4E" w14:textId="77777777" w:rsidR="00110E29" w:rsidRPr="001514DD" w:rsidRDefault="00110E29" w:rsidP="00110E29">
      <w:pPr>
        <w:spacing w:after="0" w:line="240" w:lineRule="auto"/>
        <w:rPr>
          <w:rFonts w:ascii="Times New Roman" w:eastAsia="Times New Roman" w:hAnsi="Times New Roman" w:cs="Times New Roman"/>
          <w:sz w:val="24"/>
          <w:lang w:eastAsia="sk-SK"/>
        </w:rPr>
      </w:pPr>
    </w:p>
    <w:p w14:paraId="6036107B"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ab/>
        <w:t>Jasne popíšte, v prípade potreby použite nižšie uvedenú tabuľku. Uveďte aj odhady základov daní a/alebo poplatkov, ak sa ich táto zmena týka.</w:t>
      </w:r>
    </w:p>
    <w:p w14:paraId="152317DA" w14:textId="77777777" w:rsidR="00110E29" w:rsidRPr="001514DD" w:rsidRDefault="00110E29" w:rsidP="00110E29">
      <w:pPr>
        <w:tabs>
          <w:tab w:val="left" w:pos="1171"/>
        </w:tabs>
        <w:spacing w:after="0" w:line="240" w:lineRule="auto"/>
        <w:rPr>
          <w:rFonts w:ascii="Times New Roman" w:eastAsia="Times New Roman" w:hAnsi="Times New Roman" w:cs="Times New Roman"/>
          <w:sz w:val="24"/>
          <w:lang w:eastAsia="sk-SK"/>
        </w:rPr>
      </w:pPr>
    </w:p>
    <w:p w14:paraId="7E56BF83" w14:textId="77777777" w:rsidR="00110E29" w:rsidRPr="001514DD" w:rsidRDefault="00110E29" w:rsidP="00110E29">
      <w:pPr>
        <w:tabs>
          <w:tab w:val="left" w:pos="1171"/>
        </w:tabs>
        <w:spacing w:after="0" w:line="240" w:lineRule="auto"/>
        <w:rPr>
          <w:rFonts w:ascii="Times New Roman" w:eastAsia="Times New Roman" w:hAnsi="Times New Roman" w:cs="Times New Roman"/>
          <w:sz w:val="24"/>
          <w:lang w:eastAsia="sk-SK"/>
        </w:rPr>
      </w:pPr>
    </w:p>
    <w:p w14:paraId="60FE0311" w14:textId="77777777" w:rsidR="00110E29" w:rsidRPr="001514DD" w:rsidRDefault="00110E29" w:rsidP="00110E29">
      <w:pPr>
        <w:spacing w:after="0" w:line="240" w:lineRule="auto"/>
        <w:jc w:val="right"/>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10E29" w:rsidRPr="001514DD" w14:paraId="5A57B6E6" w14:textId="77777777" w:rsidTr="00834353">
        <w:trPr>
          <w:cantSplit/>
          <w:trHeight w:val="70"/>
        </w:trPr>
        <w:tc>
          <w:tcPr>
            <w:tcW w:w="4530" w:type="dxa"/>
            <w:vMerge w:val="restart"/>
            <w:shd w:val="clear" w:color="auto" w:fill="BFBFBF" w:themeFill="background1" w:themeFillShade="BF"/>
            <w:vAlign w:val="center"/>
          </w:tcPr>
          <w:p w14:paraId="0BC89465"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Objem aktivít</w:t>
            </w:r>
          </w:p>
        </w:tc>
        <w:tc>
          <w:tcPr>
            <w:tcW w:w="1134" w:type="dxa"/>
            <w:gridSpan w:val="4"/>
            <w:shd w:val="clear" w:color="auto" w:fill="BFBFBF" w:themeFill="background1" w:themeFillShade="BF"/>
            <w:vAlign w:val="center"/>
          </w:tcPr>
          <w:p w14:paraId="28F1ABC7"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Odhadované objemy</w:t>
            </w:r>
          </w:p>
        </w:tc>
      </w:tr>
      <w:tr w:rsidR="00110E29" w:rsidRPr="001514DD" w14:paraId="15CB8EF5" w14:textId="77777777" w:rsidTr="00834353">
        <w:trPr>
          <w:cantSplit/>
          <w:trHeight w:val="70"/>
        </w:trPr>
        <w:tc>
          <w:tcPr>
            <w:tcW w:w="4530" w:type="dxa"/>
            <w:vMerge/>
            <w:shd w:val="clear" w:color="auto" w:fill="BFBFBF" w:themeFill="background1" w:themeFillShade="BF"/>
          </w:tcPr>
          <w:p w14:paraId="72108BF0"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p>
        </w:tc>
        <w:tc>
          <w:tcPr>
            <w:tcW w:w="1134" w:type="dxa"/>
            <w:shd w:val="clear" w:color="auto" w:fill="BFBFBF" w:themeFill="background1" w:themeFillShade="BF"/>
            <w:vAlign w:val="center"/>
          </w:tcPr>
          <w:p w14:paraId="7FD57616"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2026</w:t>
            </w:r>
          </w:p>
        </w:tc>
        <w:tc>
          <w:tcPr>
            <w:tcW w:w="1134" w:type="dxa"/>
            <w:shd w:val="clear" w:color="auto" w:fill="BFBFBF" w:themeFill="background1" w:themeFillShade="BF"/>
            <w:vAlign w:val="center"/>
          </w:tcPr>
          <w:p w14:paraId="3B202C98"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2027</w:t>
            </w:r>
          </w:p>
        </w:tc>
        <w:tc>
          <w:tcPr>
            <w:tcW w:w="1134" w:type="dxa"/>
            <w:shd w:val="clear" w:color="auto" w:fill="BFBFBF" w:themeFill="background1" w:themeFillShade="BF"/>
            <w:vAlign w:val="center"/>
          </w:tcPr>
          <w:p w14:paraId="5C5B8DC5"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2028</w:t>
            </w:r>
          </w:p>
        </w:tc>
        <w:tc>
          <w:tcPr>
            <w:tcW w:w="1134" w:type="dxa"/>
            <w:shd w:val="clear" w:color="auto" w:fill="BFBFBF" w:themeFill="background1" w:themeFillShade="BF"/>
            <w:vAlign w:val="center"/>
          </w:tcPr>
          <w:p w14:paraId="3F5AB481" w14:textId="77777777" w:rsidR="00110E29" w:rsidRPr="001514DD" w:rsidRDefault="00110E29" w:rsidP="00834353">
            <w:pPr>
              <w:autoSpaceDE w:val="0"/>
              <w:autoSpaceDN w:val="0"/>
              <w:adjustRightInd w:val="0"/>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2029</w:t>
            </w:r>
          </w:p>
        </w:tc>
      </w:tr>
      <w:tr w:rsidR="00110E29" w:rsidRPr="001514DD" w14:paraId="515D2B1A" w14:textId="77777777" w:rsidTr="00834353">
        <w:trPr>
          <w:trHeight w:val="70"/>
        </w:trPr>
        <w:tc>
          <w:tcPr>
            <w:tcW w:w="4530" w:type="dxa"/>
          </w:tcPr>
          <w:p w14:paraId="3D381B87" w14:textId="77777777" w:rsidR="00110E29" w:rsidRPr="001514DD" w:rsidRDefault="00110E29" w:rsidP="00834353">
            <w:pPr>
              <w:autoSpaceDE w:val="0"/>
              <w:autoSpaceDN w:val="0"/>
              <w:adjustRightInd w:val="0"/>
              <w:spacing w:after="0" w:line="240" w:lineRule="auto"/>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Indikátor ABC</w:t>
            </w:r>
          </w:p>
        </w:tc>
        <w:tc>
          <w:tcPr>
            <w:tcW w:w="1134" w:type="dxa"/>
          </w:tcPr>
          <w:p w14:paraId="2C84F1AC"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03380EFB"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18A36F34"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50EDE453"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r>
      <w:tr w:rsidR="00110E29" w:rsidRPr="001514DD" w14:paraId="666EB114" w14:textId="77777777" w:rsidTr="00834353">
        <w:trPr>
          <w:trHeight w:val="70"/>
        </w:trPr>
        <w:tc>
          <w:tcPr>
            <w:tcW w:w="4530" w:type="dxa"/>
          </w:tcPr>
          <w:p w14:paraId="7E4B744F" w14:textId="77777777" w:rsidR="00110E29" w:rsidRPr="001514DD" w:rsidRDefault="00110E29" w:rsidP="00834353">
            <w:pPr>
              <w:autoSpaceDE w:val="0"/>
              <w:autoSpaceDN w:val="0"/>
              <w:adjustRightInd w:val="0"/>
              <w:spacing w:after="0" w:line="240" w:lineRule="auto"/>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Indikátor KLM</w:t>
            </w:r>
          </w:p>
        </w:tc>
        <w:tc>
          <w:tcPr>
            <w:tcW w:w="1134" w:type="dxa"/>
          </w:tcPr>
          <w:p w14:paraId="2FBA022C"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0DF2150C"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1B1E36A4"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7122FDC7"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r>
      <w:tr w:rsidR="00110E29" w:rsidRPr="001514DD" w14:paraId="71234E76" w14:textId="77777777" w:rsidTr="00834353">
        <w:trPr>
          <w:trHeight w:val="70"/>
        </w:trPr>
        <w:tc>
          <w:tcPr>
            <w:tcW w:w="4530" w:type="dxa"/>
          </w:tcPr>
          <w:p w14:paraId="3F8C3AC9" w14:textId="77777777" w:rsidR="00110E29" w:rsidRPr="001514DD" w:rsidRDefault="00110E29" w:rsidP="00834353">
            <w:pPr>
              <w:autoSpaceDE w:val="0"/>
              <w:autoSpaceDN w:val="0"/>
              <w:adjustRightInd w:val="0"/>
              <w:spacing w:after="0" w:line="240" w:lineRule="auto"/>
              <w:rPr>
                <w:rFonts w:ascii="Times New Roman" w:eastAsia="Times New Roman" w:hAnsi="Times New Roman" w:cs="Times New Roman"/>
                <w:color w:val="000000"/>
                <w:sz w:val="24"/>
                <w:lang w:eastAsia="sk-SK"/>
              </w:rPr>
            </w:pPr>
            <w:r w:rsidRPr="001514DD">
              <w:rPr>
                <w:rFonts w:ascii="Times New Roman" w:eastAsia="Times New Roman" w:hAnsi="Times New Roman" w:cs="Times New Roman"/>
                <w:color w:val="000000"/>
                <w:sz w:val="24"/>
                <w:lang w:eastAsia="sk-SK"/>
              </w:rPr>
              <w:t>Indikátor XYZ</w:t>
            </w:r>
          </w:p>
        </w:tc>
        <w:tc>
          <w:tcPr>
            <w:tcW w:w="1134" w:type="dxa"/>
          </w:tcPr>
          <w:p w14:paraId="01B807CA"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0C0F90E6"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4C368A18"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c>
          <w:tcPr>
            <w:tcW w:w="1134" w:type="dxa"/>
          </w:tcPr>
          <w:p w14:paraId="635C9093" w14:textId="77777777" w:rsidR="00110E29" w:rsidRPr="001514DD" w:rsidRDefault="00110E29" w:rsidP="00834353">
            <w:pPr>
              <w:autoSpaceDE w:val="0"/>
              <w:autoSpaceDN w:val="0"/>
              <w:adjustRightInd w:val="0"/>
              <w:spacing w:after="0" w:line="240" w:lineRule="auto"/>
              <w:jc w:val="right"/>
              <w:rPr>
                <w:rFonts w:ascii="Times New Roman" w:eastAsia="Times New Roman" w:hAnsi="Times New Roman" w:cs="Times New Roman"/>
                <w:color w:val="000000"/>
                <w:sz w:val="24"/>
                <w:lang w:eastAsia="sk-SK"/>
              </w:rPr>
            </w:pPr>
          </w:p>
        </w:tc>
      </w:tr>
    </w:tbl>
    <w:p w14:paraId="7285F6C1"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p>
    <w:p w14:paraId="18584DEA"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2.2.4. Výpočty vplyvov na verejné financie</w:t>
      </w:r>
    </w:p>
    <w:p w14:paraId="0EB1D0F8"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p>
    <w:p w14:paraId="56AA6E18"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634E6ACE"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p>
    <w:p w14:paraId="526443BE"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color w:val="000000" w:themeColor="text1"/>
          <w:sz w:val="24"/>
          <w:lang w:eastAsia="sk-SK"/>
        </w:rPr>
        <w:t xml:space="preserve">Finančný dopad vyplývajúci zo zabezpečenia hlasovania na zastupiteľských úradoch Slovenskej republiky v zahraničí je vyčíslený za rok 2027, </w:t>
      </w:r>
      <w:r w:rsidRPr="001514DD">
        <w:rPr>
          <w:rFonts w:ascii="Times New Roman" w:eastAsia="Times New Roman" w:hAnsi="Times New Roman" w:cs="Times New Roman"/>
          <w:sz w:val="24"/>
          <w:lang w:eastAsia="sk-SK"/>
        </w:rPr>
        <w:t xml:space="preserve">v ktorom sa predpokladá konanie volieb do Národnej rady Slovenskej republiky a za rok 2029, v ktorom sa predpokladá konanie dvojkolových volieb prezidenta Slovenskej republiky. Finančné prostriedky na vykonanie referenda sa poskytujú po vyhlásení referenda prezidentom Slovenskej republiky. Z uvedeného dôvodu sa finančné dopady za referendum nevyčísľujú. </w:t>
      </w:r>
    </w:p>
    <w:p w14:paraId="6B87A0DE"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xml:space="preserve">Výšku dopadu na štátny rozpočet z titulu hlasovania na zastupiteľských úradoch Slovenskej republiky v zahraničí, nie je možné v súčasnosti presne kvantifikovať, keďže nie je možné jednoznačne predikovať celkový počet osobitných volebných okrskov, ktorý sa utvorí na ambasádach v závislosti od záujmu voličov hlasovať v zahraničí. Osobitný volebný okrsok sa neutvorí v prípade, ak na niektorom zastupiteľskom úrade v zákonom ustanovenej lehote neprejaví záujem hlasovať žiaden volič. Naopak, v krajinách s veľkým zastúpením štátnych občanov Slovenskej republiky, sa v prípade vysokého záujmu voličov o hlasovanie zo zahraničia predpokladá utvorenie vyššieho počtu osobitných volebných okrskov na zastupiteľskom úrade. </w:t>
      </w:r>
    </w:p>
    <w:p w14:paraId="4D33647A"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rPr>
        <w:t xml:space="preserve">Finančné dopady vyplývajúce z návrhu zákona tak vychádzajú z odhadovaného počtu registrovaných voličov, počtu utvorených osobitných volebných okrskov na zastupiteľských úradoch, počtu členov osobitnej okresnej volebnej komisie, jej predsedu a zapisovateľa, počtu členov okrskových volebných komisií utvorených pre osobitné okrsky, ich predsedov a zapisovateľov, ktorým za výkon ich funkcie prináleží zo zákona odmena, ktorej suma </w:t>
      </w:r>
      <w:r w:rsidRPr="001514DD">
        <w:rPr>
          <w:rFonts w:ascii="Times New Roman" w:eastAsia="Times New Roman" w:hAnsi="Times New Roman" w:cs="Times New Roman"/>
          <w:sz w:val="24"/>
          <w:lang w:eastAsia="sk-SK"/>
        </w:rPr>
        <w:t xml:space="preserve">vychádza z priemernej mesačnej mzdy zamestnanca v národnom hospodárstve za príslušný kalendárny štvrťrok pred kalendárnym štvrťrokom, v ktorom sa konajú voľby. Finančné vyčíslenie ďalej vychádza </w:t>
      </w:r>
      <w:r w:rsidRPr="001514DD">
        <w:rPr>
          <w:rFonts w:ascii="Times New Roman" w:eastAsia="Times New Roman" w:hAnsi="Times New Roman" w:cs="Times New Roman"/>
          <w:sz w:val="24"/>
        </w:rPr>
        <w:t>z odhadu výdavkov potrebných na materiálne a personálne zabezpečenie volebných komisií a z odhadovaného počtu</w:t>
      </w:r>
      <w:r w:rsidRPr="001514DD">
        <w:rPr>
          <w:rFonts w:ascii="Times New Roman" w:eastAsia="Times New Roman" w:hAnsi="Times New Roman" w:cs="Times New Roman"/>
          <w:sz w:val="24"/>
          <w:lang w:eastAsia="sk-SK"/>
        </w:rPr>
        <w:t xml:space="preserve"> kandidujúcich subjektov, ktorých kandidátna listina bude pre voľby do Národnej rady Slovenskej republiky zaregistrovaná. </w:t>
      </w:r>
    </w:p>
    <w:p w14:paraId="47A271AA"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color w:val="000000" w:themeColor="text1"/>
          <w:sz w:val="24"/>
          <w:lang w:eastAsia="sk-SK"/>
        </w:rPr>
        <w:lastRenderedPageBreak/>
        <w:t>Zavedenie nového spôsobu hlasovania voličov žijúcich v cudzine, ktorí si uplatnia právo voliť prostredníctvom zastupiteľských úradov nachádzajúcich sa na území štátu, v ktorom sa v čase celoštátnych volieb nachádzajú si vyžiada potrebu finančných prostriedkov v predpokladanej sume 427 938 eur vo voľbách do Národnej rady Slovenskej republiky a v </w:t>
      </w:r>
      <w:r w:rsidRPr="001514DD">
        <w:rPr>
          <w:rFonts w:ascii="Times New Roman" w:eastAsia="Times New Roman" w:hAnsi="Times New Roman" w:cs="Times New Roman"/>
          <w:sz w:val="24"/>
          <w:lang w:eastAsia="sk-SK"/>
        </w:rPr>
        <w:t xml:space="preserve">sume 722 293 eur v dvojkolových voľbách prezidenta Slovenskej republiky. </w:t>
      </w:r>
    </w:p>
    <w:p w14:paraId="3DEF5C54"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Na úhradu mzdových nárokov osôb určených na organizačnú a technickú prípravu hlasovania na zastupiteľských úradoch, ktoré zabezpečujú najmä obslužné administratívne činnosti sa predpokladá potreba finančných prostriedkov v sume 125 000 eur vo voľbách do Národnej rady Slovenskej republiky a v sume 215 000 eur v dvojkolových voľbách prezidenta Slovenskej republiky a na úhradu poistného do poisťovní v sume 44 938 eur vo voľbách do Národnej rady Slovenskej a v sume 77 293 eur v dvojkolových voľbách prezidenta Slovenskej republiky.</w:t>
      </w:r>
    </w:p>
    <w:p w14:paraId="22B5C6A1"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xml:space="preserve">Materiálne a technické zabezpečenie činnosti približne 100 okrskových volebných komisií utvorených pre osobitné okrsky (z toho 93 okrskových volebných komisií utvorených pre osobitné okrsky, v ktorých sa vo voľbách do Národnej rady Slovenskej republiky hlasuje jeden deň miestneho času a v dvojkolových voľbách prezidenta Slovenskej republiky dva dni miestneho času a 7 okrskových volebných komisií utvorených pre osobitné okrsky, v ktorých sa vo voľbách do Národnej rady Slovenskej republiky hlasuje dva dni miestneho času a v dvojkolových voľbách prezidenta Slovenskej republiky štyri dni miestneho času) a </w:t>
      </w:r>
      <w:r w:rsidRPr="001514DD">
        <w:rPr>
          <w:rFonts w:ascii="Times New Roman" w:eastAsia="Times New Roman" w:hAnsi="Times New Roman" w:cs="Times New Roman"/>
          <w:sz w:val="24"/>
        </w:rPr>
        <w:t>vyplatenie odmien a ďalších nárokových položiek za výkon funkcie člena a zapisovateľa osobitnej okresnej volebnej komisie</w:t>
      </w:r>
      <w:r w:rsidRPr="001514DD">
        <w:rPr>
          <w:rFonts w:ascii="Times New Roman" w:eastAsia="Times New Roman" w:hAnsi="Times New Roman" w:cs="Times New Roman"/>
          <w:sz w:val="24"/>
          <w:lang w:eastAsia="sk-SK"/>
        </w:rPr>
        <w:t xml:space="preserve"> a členov a zapisovateľov okrskových volebných komisií utvorených pre osobitné okrsky si vyžiada potrebu finančných prostriedkov v predpokladanej sume 258 000 eur vo voľbách do Národnej rady Slovenskej republiky a v predpokladanej sume 430 000 eur v dvojkolových voľbách prezidenta Slovenskej republiky. </w:t>
      </w:r>
    </w:p>
    <w:p w14:paraId="3291C63C"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1D6ECB08"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xml:space="preserve">Navrhovanou zmenou zákona sa mení suma volebnej kaucie ustanovená pevnou sumou za spôsob výpočtu sumy volebnej kaucie vychádzajúci z priemernej nominálnej mesačnej mzdy zamestnanca v hospodárstve Slovenskej republiky zverejnenej Štatistickým úradom Slovenskej republiky (ďalej len „štatistický úrad“) za kalendárny rok predchádzajúci kalendárnemu roku, v ktorom sa vyhlasujú voľby, zaokrúhlenej nahor na celé euro. Ak priemerná nominálna mesačná mzda zamestnanca v hospodárstve Slovenskej republiky za kalendárny rok predchádzajúci kalendárnemu roku, v ktorom sa vyhlasujú voľby ešte nebola zverejnená, použije sa údaj o priemernej nominálnej mesačnej mzde zamestnanca v hospodárstve Slovenskej republiky zverejnenej štatistickým úradom za posledný dostupný kalendárny rok, zaokrúhlený nahor na celé euro. </w:t>
      </w:r>
    </w:p>
    <w:p w14:paraId="3E6FC693"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sectPr w:rsidR="00110E29" w:rsidRPr="001514DD" w:rsidSect="00110E29">
          <w:headerReference w:type="even" r:id="rId4"/>
          <w:headerReference w:type="default" r:id="rId5"/>
          <w:footerReference w:type="even" r:id="rId6"/>
          <w:footerReference w:type="default" r:id="rId7"/>
          <w:headerReference w:type="first" r:id="rId8"/>
          <w:footerReference w:type="first" r:id="rId9"/>
          <w:pgSz w:w="11906" w:h="16838"/>
          <w:pgMar w:top="1417" w:right="1417" w:bottom="1560" w:left="1417" w:header="708" w:footer="708" w:gutter="0"/>
          <w:pgNumType w:start="1"/>
          <w:cols w:space="708"/>
          <w:docGrid w:linePitch="360"/>
        </w:sectPr>
      </w:pPr>
      <w:r w:rsidRPr="001514DD">
        <w:rPr>
          <w:rFonts w:ascii="Times New Roman" w:eastAsia="Times New Roman" w:hAnsi="Times New Roman" w:cs="Times New Roman"/>
          <w:sz w:val="24"/>
          <w:lang w:eastAsia="sk-SK"/>
        </w:rPr>
        <w:t xml:space="preserve">Pozitívny dopad na štátny rozpočet vyplývajúci zo zmeny spôsobu výpočtu sumy volebnej kaucie sa vyčísľuje za rok 2027, v ktorom sa predpokladá konanie volieb do Národnej rady Slovenskej </w:t>
      </w:r>
      <w:r w:rsidRPr="001514DD">
        <w:rPr>
          <w:rFonts w:ascii="Times New Roman" w:eastAsia="Times New Roman" w:hAnsi="Times New Roman" w:cs="Times New Roman"/>
          <w:color w:val="000000" w:themeColor="text1"/>
          <w:sz w:val="24"/>
          <w:lang w:eastAsia="sk-SK"/>
        </w:rPr>
        <w:t>republiky a</w:t>
      </w:r>
      <w:r w:rsidRPr="001514DD">
        <w:rPr>
          <w:rFonts w:ascii="Times New Roman" w:eastAsia="Times New Roman" w:hAnsi="Times New Roman" w:cs="Times New Roman"/>
          <w:sz w:val="24"/>
          <w:lang w:eastAsia="sk-SK"/>
        </w:rPr>
        <w:t xml:space="preserve"> za rok 2029, v ktorom sa predpokladá konanie volieb do Európskeho parlamentu. Pri výpočte pozitívneho vplyvu na štátny rozpočet sa vychádza z výsledkov volieb do Národnej rady Slovenskej republiky v roku 2023, z výsledkov volieb do Európskeho parlamentu v roku 2024 a z poslednej dostupnej hodnoty priemernej nominálnej mesačnej mzdy zamestnanca v národnom hospodárstve zverejnenej štatistickým úradom za rok 2024. Vo voľbách do Národnej rady Slovenskej republiky v roku 2023, v ktorých 14 politických subjektov nedosiahlo zákonom ustanovený percentuálny počet hlasov z celkového počtu odovzdaných platných hlasov sa do príjmu štátneho rozpočtu odviedla kaucia v suma 238 000 eur a vo voľbách do Európskeho parlamentu v roku 2024, v ktorých 9 politických subjektov nedosiahlo zákonom ustanovený percentuálny počet hlasov z celkového počtu odovzdaných platných hlasov sa do príjmov štátneho rozpočtu odviedla kaucia v sume </w:t>
      </w:r>
      <w:r w:rsidRPr="001514DD">
        <w:rPr>
          <w:rFonts w:ascii="Times New Roman" w:eastAsia="Times New Roman" w:hAnsi="Times New Roman" w:cs="Times New Roman"/>
          <w:sz w:val="24"/>
          <w:lang w:eastAsia="sk-SK"/>
        </w:rPr>
        <w:br/>
        <w:t xml:space="preserve">27 200 eur. Uplatnením navrhovanej úpravy, by sa do príjmov štátneho rozpočtu odviedla volebná kaucia vo voľbách do Národnej rady Slovenskej republiky v sume 533 400 eur a vo </w:t>
      </w:r>
      <w:r w:rsidRPr="001514DD">
        <w:rPr>
          <w:rFonts w:ascii="Times New Roman" w:eastAsia="Times New Roman" w:hAnsi="Times New Roman" w:cs="Times New Roman"/>
          <w:sz w:val="24"/>
          <w:lang w:eastAsia="sk-SK"/>
        </w:rPr>
        <w:lastRenderedPageBreak/>
        <w:t xml:space="preserve">voľbách do Európskeho parlamentu v sume 60 960 eur, čo by prinieslo nárast príjmov štátneho rozpočtu o sumu 295 400 eur za voľby do Národnej rady Slovenskej republiky a o sumu 33 760 eur za voľby do Európskeho parlamentu. </w:t>
      </w:r>
    </w:p>
    <w:p w14:paraId="6121D8FB" w14:textId="77777777" w:rsidR="00110E29" w:rsidRPr="001514DD" w:rsidRDefault="00110E29" w:rsidP="00110E29">
      <w:pPr>
        <w:tabs>
          <w:tab w:val="num" w:pos="1080"/>
        </w:tabs>
        <w:spacing w:after="0" w:line="240" w:lineRule="auto"/>
        <w:jc w:val="center"/>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10E29" w:rsidRPr="001514DD" w14:paraId="3BBDD049" w14:textId="77777777" w:rsidTr="0083435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8DFE6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464D056"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99722D"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poznámka</w:t>
            </w:r>
          </w:p>
        </w:tc>
      </w:tr>
      <w:tr w:rsidR="00110E29" w:rsidRPr="001514DD" w14:paraId="479BD7A7" w14:textId="77777777" w:rsidTr="0083435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BEC533D" w14:textId="77777777" w:rsidR="00110E29" w:rsidRPr="001514DD" w:rsidRDefault="00110E29" w:rsidP="00834353">
            <w:pPr>
              <w:spacing w:after="0" w:line="240" w:lineRule="auto"/>
              <w:rPr>
                <w:rFonts w:ascii="Times New Roman" w:eastAsia="Times New Roman" w:hAnsi="Times New Roman" w:cs="Times New Roman"/>
                <w:b/>
                <w:bCs/>
                <w:color w:val="FFFFFF"/>
                <w:sz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3442396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BA01F9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78E7FC00"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tcPr>
          <w:p w14:paraId="76BB95CA"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156E6816" w14:textId="77777777" w:rsidR="00110E29" w:rsidRPr="001514DD" w:rsidRDefault="00110E29" w:rsidP="00834353">
            <w:pPr>
              <w:spacing w:after="0" w:line="240" w:lineRule="auto"/>
              <w:rPr>
                <w:rFonts w:ascii="Times New Roman" w:eastAsia="Times New Roman" w:hAnsi="Times New Roman" w:cs="Times New Roman"/>
                <w:b/>
                <w:bCs/>
                <w:color w:val="FFFFFF"/>
                <w:sz w:val="24"/>
                <w:lang w:eastAsia="sk-SK"/>
              </w:rPr>
            </w:pPr>
          </w:p>
        </w:tc>
      </w:tr>
      <w:tr w:rsidR="00110E29" w:rsidRPr="001514DD" w14:paraId="157F79A5" w14:textId="77777777" w:rsidTr="00834353">
        <w:trPr>
          <w:trHeight w:val="255"/>
        </w:trPr>
        <w:tc>
          <w:tcPr>
            <w:tcW w:w="4950" w:type="dxa"/>
            <w:tcBorders>
              <w:top w:val="nil"/>
              <w:left w:val="single" w:sz="4" w:space="0" w:color="auto"/>
              <w:bottom w:val="single" w:sz="4" w:space="0" w:color="auto"/>
              <w:right w:val="single" w:sz="4" w:space="0" w:color="auto"/>
            </w:tcBorders>
          </w:tcPr>
          <w:p w14:paraId="40ACFC55" w14:textId="77777777" w:rsidR="00110E29" w:rsidRPr="001514DD" w:rsidRDefault="00110E29" w:rsidP="00834353">
            <w:pPr>
              <w:spacing w:after="0" w:line="240" w:lineRule="auto"/>
              <w:rPr>
                <w:rFonts w:ascii="Times New Roman" w:eastAsia="Times New Roman" w:hAnsi="Times New Roman" w:cs="Times New Roman"/>
                <w:b/>
                <w:bCs/>
                <w:sz w:val="24"/>
                <w:vertAlign w:val="superscript"/>
                <w:lang w:eastAsia="sk-SK"/>
              </w:rPr>
            </w:pPr>
            <w:r w:rsidRPr="001514DD">
              <w:rPr>
                <w:rFonts w:ascii="Times New Roman" w:eastAsia="Times New Roman" w:hAnsi="Times New Roman" w:cs="Times New Roman"/>
                <w:b/>
                <w:bCs/>
                <w:sz w:val="24"/>
                <w:lang w:eastAsia="sk-SK"/>
              </w:rPr>
              <w:t>Daňové príjmy (100)</w:t>
            </w:r>
            <w:r w:rsidRPr="001514DD">
              <w:rPr>
                <w:rFonts w:ascii="Times New Roman" w:eastAsia="Times New Roman" w:hAnsi="Times New Roman" w:cs="Times New Roman"/>
                <w:b/>
                <w:bCs/>
                <w:sz w:val="24"/>
                <w:vertAlign w:val="superscript"/>
                <w:lang w:eastAsia="sk-SK"/>
              </w:rPr>
              <w:t>1</w:t>
            </w:r>
          </w:p>
        </w:tc>
        <w:tc>
          <w:tcPr>
            <w:tcW w:w="1500" w:type="dxa"/>
            <w:tcBorders>
              <w:top w:val="nil"/>
              <w:left w:val="nil"/>
              <w:bottom w:val="single" w:sz="4" w:space="0" w:color="auto"/>
              <w:right w:val="single" w:sz="4" w:space="0" w:color="auto"/>
            </w:tcBorders>
          </w:tcPr>
          <w:p w14:paraId="47591A7A"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40598CBE"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4679275F"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30E832E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3000" w:type="dxa"/>
            <w:tcBorders>
              <w:top w:val="nil"/>
              <w:left w:val="nil"/>
              <w:bottom w:val="single" w:sz="4" w:space="0" w:color="auto"/>
              <w:right w:val="single" w:sz="4" w:space="0" w:color="auto"/>
            </w:tcBorders>
            <w:noWrap/>
            <w:vAlign w:val="bottom"/>
          </w:tcPr>
          <w:p w14:paraId="56F52453"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49FC85DE" w14:textId="77777777" w:rsidTr="00834353">
        <w:trPr>
          <w:trHeight w:val="255"/>
        </w:trPr>
        <w:tc>
          <w:tcPr>
            <w:tcW w:w="4950" w:type="dxa"/>
            <w:tcBorders>
              <w:top w:val="nil"/>
              <w:left w:val="single" w:sz="4" w:space="0" w:color="auto"/>
              <w:bottom w:val="single" w:sz="4" w:space="0" w:color="auto"/>
              <w:right w:val="single" w:sz="4" w:space="0" w:color="auto"/>
            </w:tcBorders>
          </w:tcPr>
          <w:p w14:paraId="566A5B39"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Nedaňové príjmy (200)</w:t>
            </w:r>
            <w:r w:rsidRPr="001514DD">
              <w:rPr>
                <w:rFonts w:ascii="Times New Roman" w:eastAsia="Times New Roman" w:hAnsi="Times New Roman" w:cs="Times New Roman"/>
                <w:b/>
                <w:bCs/>
                <w:sz w:val="24"/>
                <w:vertAlign w:val="superscript"/>
                <w:lang w:eastAsia="sk-SK"/>
              </w:rPr>
              <w:t>1</w:t>
            </w:r>
          </w:p>
        </w:tc>
        <w:tc>
          <w:tcPr>
            <w:tcW w:w="1500" w:type="dxa"/>
            <w:tcBorders>
              <w:top w:val="nil"/>
              <w:left w:val="nil"/>
              <w:bottom w:val="single" w:sz="4" w:space="0" w:color="auto"/>
              <w:right w:val="single" w:sz="4" w:space="0" w:color="auto"/>
            </w:tcBorders>
          </w:tcPr>
          <w:p w14:paraId="493A80F5"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64721C6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295 400</w:t>
            </w:r>
          </w:p>
        </w:tc>
        <w:tc>
          <w:tcPr>
            <w:tcW w:w="1500" w:type="dxa"/>
            <w:tcBorders>
              <w:top w:val="nil"/>
              <w:left w:val="nil"/>
              <w:bottom w:val="single" w:sz="4" w:space="0" w:color="auto"/>
              <w:right w:val="single" w:sz="4" w:space="0" w:color="auto"/>
            </w:tcBorders>
          </w:tcPr>
          <w:p w14:paraId="08B7AC3A"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0956F1A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33 760</w:t>
            </w:r>
          </w:p>
        </w:tc>
        <w:tc>
          <w:tcPr>
            <w:tcW w:w="3000" w:type="dxa"/>
            <w:tcBorders>
              <w:top w:val="nil"/>
              <w:left w:val="nil"/>
              <w:bottom w:val="single" w:sz="4" w:space="0" w:color="auto"/>
              <w:right w:val="single" w:sz="4" w:space="0" w:color="auto"/>
            </w:tcBorders>
            <w:noWrap/>
            <w:vAlign w:val="bottom"/>
          </w:tcPr>
          <w:p w14:paraId="67808F0B"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60D0F795" w14:textId="77777777" w:rsidTr="00834353">
        <w:trPr>
          <w:trHeight w:val="255"/>
        </w:trPr>
        <w:tc>
          <w:tcPr>
            <w:tcW w:w="4950" w:type="dxa"/>
            <w:tcBorders>
              <w:top w:val="nil"/>
              <w:left w:val="single" w:sz="4" w:space="0" w:color="auto"/>
              <w:bottom w:val="single" w:sz="4" w:space="0" w:color="auto"/>
              <w:right w:val="single" w:sz="4" w:space="0" w:color="auto"/>
            </w:tcBorders>
          </w:tcPr>
          <w:p w14:paraId="77A86C90"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Granty a transfery (300)</w:t>
            </w:r>
            <w:r w:rsidRPr="001514DD">
              <w:rPr>
                <w:rFonts w:ascii="Times New Roman" w:eastAsia="Times New Roman" w:hAnsi="Times New Roman" w:cs="Times New Roman"/>
                <w:b/>
                <w:bCs/>
                <w:sz w:val="24"/>
                <w:vertAlign w:val="superscript"/>
                <w:lang w:eastAsia="sk-SK"/>
              </w:rPr>
              <w:t>1</w:t>
            </w:r>
          </w:p>
        </w:tc>
        <w:tc>
          <w:tcPr>
            <w:tcW w:w="1500" w:type="dxa"/>
            <w:tcBorders>
              <w:top w:val="nil"/>
              <w:left w:val="nil"/>
              <w:bottom w:val="single" w:sz="4" w:space="0" w:color="auto"/>
              <w:right w:val="single" w:sz="4" w:space="0" w:color="auto"/>
            </w:tcBorders>
          </w:tcPr>
          <w:p w14:paraId="1359C52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75EC3D5B"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02FAB90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00" w:type="dxa"/>
            <w:tcBorders>
              <w:top w:val="nil"/>
              <w:left w:val="nil"/>
              <w:bottom w:val="single" w:sz="4" w:space="0" w:color="auto"/>
              <w:right w:val="single" w:sz="4" w:space="0" w:color="auto"/>
            </w:tcBorders>
          </w:tcPr>
          <w:p w14:paraId="67983965"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3000" w:type="dxa"/>
            <w:tcBorders>
              <w:top w:val="nil"/>
              <w:left w:val="nil"/>
              <w:bottom w:val="single" w:sz="4" w:space="0" w:color="auto"/>
              <w:right w:val="single" w:sz="4" w:space="0" w:color="auto"/>
            </w:tcBorders>
            <w:noWrap/>
            <w:vAlign w:val="bottom"/>
          </w:tcPr>
          <w:p w14:paraId="55DED652"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4324493B" w14:textId="77777777" w:rsidTr="00834353">
        <w:trPr>
          <w:trHeight w:val="255"/>
        </w:trPr>
        <w:tc>
          <w:tcPr>
            <w:tcW w:w="4950" w:type="dxa"/>
            <w:tcBorders>
              <w:top w:val="nil"/>
              <w:left w:val="single" w:sz="4" w:space="0" w:color="auto"/>
              <w:bottom w:val="single" w:sz="4" w:space="0" w:color="auto"/>
              <w:right w:val="single" w:sz="4" w:space="0" w:color="auto"/>
            </w:tcBorders>
          </w:tcPr>
          <w:p w14:paraId="4BB6E944"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431FC340"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1500" w:type="dxa"/>
            <w:tcBorders>
              <w:top w:val="nil"/>
              <w:left w:val="nil"/>
              <w:bottom w:val="single" w:sz="4" w:space="0" w:color="auto"/>
              <w:right w:val="single" w:sz="4" w:space="0" w:color="auto"/>
            </w:tcBorders>
          </w:tcPr>
          <w:p w14:paraId="3492372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1500" w:type="dxa"/>
            <w:tcBorders>
              <w:top w:val="nil"/>
              <w:left w:val="nil"/>
              <w:bottom w:val="single" w:sz="4" w:space="0" w:color="auto"/>
              <w:right w:val="single" w:sz="4" w:space="0" w:color="auto"/>
            </w:tcBorders>
          </w:tcPr>
          <w:p w14:paraId="685AC94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1500" w:type="dxa"/>
            <w:tcBorders>
              <w:top w:val="nil"/>
              <w:left w:val="nil"/>
              <w:bottom w:val="single" w:sz="4" w:space="0" w:color="auto"/>
              <w:right w:val="single" w:sz="4" w:space="0" w:color="auto"/>
            </w:tcBorders>
          </w:tcPr>
          <w:p w14:paraId="7DE7A6A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3000" w:type="dxa"/>
            <w:tcBorders>
              <w:top w:val="nil"/>
              <w:left w:val="nil"/>
              <w:bottom w:val="single" w:sz="4" w:space="0" w:color="auto"/>
              <w:right w:val="single" w:sz="4" w:space="0" w:color="auto"/>
            </w:tcBorders>
            <w:noWrap/>
            <w:vAlign w:val="bottom"/>
          </w:tcPr>
          <w:p w14:paraId="3AF0CE3A"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33FA93D2" w14:textId="77777777" w:rsidTr="00834353">
        <w:trPr>
          <w:trHeight w:val="255"/>
        </w:trPr>
        <w:tc>
          <w:tcPr>
            <w:tcW w:w="4950" w:type="dxa"/>
            <w:tcBorders>
              <w:top w:val="nil"/>
              <w:left w:val="single" w:sz="4" w:space="0" w:color="auto"/>
              <w:bottom w:val="single" w:sz="4" w:space="0" w:color="auto"/>
              <w:right w:val="single" w:sz="4" w:space="0" w:color="auto"/>
            </w:tcBorders>
          </w:tcPr>
          <w:p w14:paraId="621A452E"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24DCF35E"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1500" w:type="dxa"/>
            <w:tcBorders>
              <w:top w:val="nil"/>
              <w:left w:val="nil"/>
              <w:bottom w:val="single" w:sz="4" w:space="0" w:color="auto"/>
              <w:right w:val="single" w:sz="4" w:space="0" w:color="auto"/>
            </w:tcBorders>
          </w:tcPr>
          <w:p w14:paraId="4B71281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1500" w:type="dxa"/>
            <w:tcBorders>
              <w:top w:val="nil"/>
              <w:left w:val="nil"/>
              <w:bottom w:val="single" w:sz="4" w:space="0" w:color="auto"/>
              <w:right w:val="single" w:sz="4" w:space="0" w:color="auto"/>
            </w:tcBorders>
          </w:tcPr>
          <w:p w14:paraId="4F1B535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1500" w:type="dxa"/>
            <w:tcBorders>
              <w:top w:val="nil"/>
              <w:left w:val="nil"/>
              <w:bottom w:val="single" w:sz="4" w:space="0" w:color="auto"/>
              <w:right w:val="single" w:sz="4" w:space="0" w:color="auto"/>
            </w:tcBorders>
          </w:tcPr>
          <w:p w14:paraId="66583246"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c>
          <w:tcPr>
            <w:tcW w:w="3000" w:type="dxa"/>
            <w:tcBorders>
              <w:top w:val="nil"/>
              <w:left w:val="nil"/>
              <w:bottom w:val="single" w:sz="4" w:space="0" w:color="auto"/>
              <w:right w:val="single" w:sz="4" w:space="0" w:color="auto"/>
            </w:tcBorders>
            <w:noWrap/>
            <w:vAlign w:val="bottom"/>
          </w:tcPr>
          <w:p w14:paraId="608D9E30"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142AC6C9" w14:textId="77777777" w:rsidTr="0083435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F05A6D9"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6DE983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4825777"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295 400</w:t>
            </w:r>
          </w:p>
        </w:tc>
        <w:tc>
          <w:tcPr>
            <w:tcW w:w="1500" w:type="dxa"/>
            <w:tcBorders>
              <w:top w:val="nil"/>
              <w:left w:val="nil"/>
              <w:bottom w:val="single" w:sz="4" w:space="0" w:color="auto"/>
              <w:right w:val="single" w:sz="4" w:space="0" w:color="auto"/>
            </w:tcBorders>
            <w:shd w:val="clear" w:color="auto" w:fill="BFBFBF" w:themeFill="background1" w:themeFillShade="BF"/>
          </w:tcPr>
          <w:p w14:paraId="37622FC5"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CCF739B"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33 760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4D92CF62"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bl>
    <w:p w14:paraId="4818BAE0"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t>1 –  príjmy rozpísať až do položiek platnej ekonomickej klasifikácie</w:t>
      </w:r>
    </w:p>
    <w:p w14:paraId="77C60381"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 w:val="24"/>
          <w:szCs w:val="20"/>
          <w:lang w:eastAsia="sk-SK"/>
        </w:rPr>
      </w:pPr>
    </w:p>
    <w:p w14:paraId="02816DCB"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
          <w:bCs/>
          <w:sz w:val="24"/>
          <w:szCs w:val="20"/>
          <w:lang w:eastAsia="sk-SK"/>
        </w:rPr>
      </w:pPr>
      <w:r w:rsidRPr="001514DD">
        <w:rPr>
          <w:rFonts w:ascii="Times New Roman" w:eastAsia="Times New Roman" w:hAnsi="Times New Roman" w:cs="Times New Roman"/>
          <w:b/>
          <w:bCs/>
          <w:sz w:val="24"/>
          <w:szCs w:val="20"/>
          <w:lang w:eastAsia="sk-SK"/>
        </w:rPr>
        <w:t>Poznámka:</w:t>
      </w:r>
    </w:p>
    <w:p w14:paraId="3A5DB706"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 w:val="24"/>
          <w:szCs w:val="20"/>
          <w:lang w:eastAsia="sk-SK"/>
        </w:rPr>
      </w:pPr>
      <w:r w:rsidRPr="001514DD">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38433674"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r w:rsidRPr="001514DD">
        <w:rPr>
          <w:rFonts w:ascii="Times New Roman" w:eastAsia="Times New Roman" w:hAnsi="Times New Roman" w:cs="Times New Roman"/>
          <w:bCs/>
          <w:sz w:val="24"/>
          <w:lang w:eastAsia="sk-SK"/>
        </w:rPr>
        <w:t xml:space="preserve"> </w:t>
      </w:r>
    </w:p>
    <w:p w14:paraId="058CBF62"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0396D1C5"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4BFA2AC3"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57475D85"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67DB999F"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6EA14E96"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3D50CAED"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5F85B871"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2801B8CB"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651B133E"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5ABE2702"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4BEB70BC"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2250C38D"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0F6AB73E"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0C046FC9" w14:textId="77777777" w:rsidR="00110E29" w:rsidRPr="001514DD" w:rsidRDefault="00110E29" w:rsidP="00110E29">
      <w:pPr>
        <w:tabs>
          <w:tab w:val="num" w:pos="1080"/>
        </w:tabs>
        <w:spacing w:after="0" w:line="240" w:lineRule="auto"/>
        <w:ind w:right="-578"/>
        <w:jc w:val="center"/>
        <w:rPr>
          <w:rFonts w:ascii="Times New Roman" w:eastAsia="Times New Roman" w:hAnsi="Times New Roman" w:cs="Times New Roman"/>
          <w:bCs/>
          <w:sz w:val="24"/>
          <w:lang w:eastAsia="sk-SK"/>
        </w:rPr>
      </w:pPr>
    </w:p>
    <w:p w14:paraId="21413695" w14:textId="77777777" w:rsidR="00110E29" w:rsidRPr="001514DD" w:rsidRDefault="00110E29" w:rsidP="00110E29">
      <w:pPr>
        <w:tabs>
          <w:tab w:val="num" w:pos="1080"/>
        </w:tabs>
        <w:spacing w:after="0" w:line="240" w:lineRule="auto"/>
        <w:ind w:right="-578"/>
        <w:jc w:val="right"/>
        <w:rPr>
          <w:rFonts w:ascii="Times New Roman" w:eastAsia="Times New Roman" w:hAnsi="Times New Roman" w:cs="Times New Roman"/>
          <w:bCs/>
          <w:sz w:val="24"/>
          <w:lang w:eastAsia="sk-SK"/>
        </w:rPr>
      </w:pPr>
    </w:p>
    <w:p w14:paraId="5DD7AD52"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lastRenderedPageBreak/>
        <w:t xml:space="preserve">                                                                                                                                                                                                                                                            Tabuľka č. 4/A</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6720"/>
        <w:gridCol w:w="930"/>
        <w:gridCol w:w="1417"/>
        <w:gridCol w:w="1134"/>
        <w:gridCol w:w="1418"/>
        <w:gridCol w:w="3260"/>
      </w:tblGrid>
      <w:tr w:rsidR="00110E29" w:rsidRPr="001514DD" w14:paraId="349A8640" w14:textId="77777777" w:rsidTr="00834353">
        <w:trPr>
          <w:cantSplit/>
          <w:trHeight w:val="255"/>
        </w:trPr>
        <w:tc>
          <w:tcPr>
            <w:tcW w:w="672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6210FA9"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Výdavky (v eurách)</w:t>
            </w:r>
          </w:p>
        </w:tc>
        <w:tc>
          <w:tcPr>
            <w:tcW w:w="4899"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D629D50"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Vplyv na rozpočet verejnej správy</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9D483"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poznámka</w:t>
            </w:r>
          </w:p>
        </w:tc>
      </w:tr>
      <w:tr w:rsidR="00110E29" w:rsidRPr="001514DD" w14:paraId="380EDF37" w14:textId="77777777" w:rsidTr="00834353">
        <w:trPr>
          <w:cantSplit/>
          <w:trHeight w:val="255"/>
        </w:trPr>
        <w:tc>
          <w:tcPr>
            <w:tcW w:w="6720" w:type="dxa"/>
            <w:vMerge/>
            <w:tcBorders>
              <w:top w:val="single" w:sz="4" w:space="0" w:color="auto"/>
              <w:left w:val="single" w:sz="4" w:space="0" w:color="auto"/>
              <w:bottom w:val="single" w:sz="4" w:space="0" w:color="000000"/>
              <w:right w:val="single" w:sz="4" w:space="0" w:color="auto"/>
            </w:tcBorders>
            <w:vAlign w:val="center"/>
          </w:tcPr>
          <w:p w14:paraId="271D04DE" w14:textId="77777777" w:rsidR="00110E29" w:rsidRPr="001514DD" w:rsidRDefault="00110E29" w:rsidP="00834353">
            <w:pPr>
              <w:spacing w:after="0" w:line="240" w:lineRule="auto"/>
              <w:rPr>
                <w:rFonts w:ascii="Times New Roman" w:eastAsia="Times New Roman" w:hAnsi="Times New Roman" w:cs="Times New Roman"/>
                <w:b/>
                <w:bCs/>
                <w:color w:val="FFFFFF"/>
                <w:szCs w:val="20"/>
                <w:lang w:eastAsia="sk-SK"/>
              </w:rPr>
            </w:pPr>
          </w:p>
        </w:tc>
        <w:tc>
          <w:tcPr>
            <w:tcW w:w="930" w:type="dxa"/>
            <w:tcBorders>
              <w:top w:val="nil"/>
              <w:left w:val="nil"/>
              <w:bottom w:val="single" w:sz="4" w:space="0" w:color="auto"/>
              <w:right w:val="single" w:sz="4" w:space="0" w:color="auto"/>
            </w:tcBorders>
            <w:shd w:val="clear" w:color="auto" w:fill="BFBFBF" w:themeFill="background1" w:themeFillShade="BF"/>
          </w:tcPr>
          <w:p w14:paraId="1F50744B"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2026</w:t>
            </w:r>
          </w:p>
        </w:tc>
        <w:tc>
          <w:tcPr>
            <w:tcW w:w="1417" w:type="dxa"/>
            <w:tcBorders>
              <w:top w:val="nil"/>
              <w:left w:val="nil"/>
              <w:bottom w:val="single" w:sz="4" w:space="0" w:color="auto"/>
              <w:right w:val="single" w:sz="4" w:space="0" w:color="auto"/>
            </w:tcBorders>
            <w:shd w:val="clear" w:color="auto" w:fill="BFBFBF" w:themeFill="background1" w:themeFillShade="BF"/>
          </w:tcPr>
          <w:p w14:paraId="6C8A2B33"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2027</w:t>
            </w:r>
          </w:p>
        </w:tc>
        <w:tc>
          <w:tcPr>
            <w:tcW w:w="1134" w:type="dxa"/>
            <w:tcBorders>
              <w:top w:val="nil"/>
              <w:left w:val="nil"/>
              <w:bottom w:val="single" w:sz="4" w:space="0" w:color="auto"/>
              <w:right w:val="single" w:sz="4" w:space="0" w:color="auto"/>
            </w:tcBorders>
            <w:shd w:val="clear" w:color="auto" w:fill="BFBFBF" w:themeFill="background1" w:themeFillShade="BF"/>
          </w:tcPr>
          <w:p w14:paraId="0BA82816"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2028</w:t>
            </w:r>
          </w:p>
        </w:tc>
        <w:tc>
          <w:tcPr>
            <w:tcW w:w="1418" w:type="dxa"/>
            <w:tcBorders>
              <w:top w:val="nil"/>
              <w:left w:val="nil"/>
              <w:bottom w:val="single" w:sz="4" w:space="0" w:color="auto"/>
              <w:right w:val="single" w:sz="4" w:space="0" w:color="auto"/>
            </w:tcBorders>
            <w:shd w:val="clear" w:color="auto" w:fill="BFBFBF" w:themeFill="background1" w:themeFillShade="BF"/>
          </w:tcPr>
          <w:p w14:paraId="4D167E7A"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2029</w:t>
            </w:r>
          </w:p>
        </w:tc>
        <w:tc>
          <w:tcPr>
            <w:tcW w:w="3260" w:type="dxa"/>
            <w:tcBorders>
              <w:top w:val="single" w:sz="4" w:space="0" w:color="auto"/>
              <w:left w:val="single" w:sz="4" w:space="0" w:color="auto"/>
              <w:bottom w:val="single" w:sz="4" w:space="0" w:color="auto"/>
              <w:right w:val="single" w:sz="4" w:space="0" w:color="auto"/>
            </w:tcBorders>
            <w:vAlign w:val="center"/>
          </w:tcPr>
          <w:p w14:paraId="72FEE7C8" w14:textId="77777777" w:rsidR="00110E29" w:rsidRPr="001514DD" w:rsidRDefault="00110E29" w:rsidP="00834353">
            <w:pPr>
              <w:spacing w:after="0" w:line="240" w:lineRule="auto"/>
              <w:rPr>
                <w:rFonts w:ascii="Times New Roman" w:eastAsia="Times New Roman" w:hAnsi="Times New Roman" w:cs="Times New Roman"/>
                <w:b/>
                <w:bCs/>
                <w:color w:val="FFFFFF"/>
                <w:sz w:val="24"/>
                <w:lang w:eastAsia="sk-SK"/>
              </w:rPr>
            </w:pPr>
          </w:p>
        </w:tc>
      </w:tr>
      <w:tr w:rsidR="00110E29" w:rsidRPr="001514DD" w14:paraId="060EF1A8" w14:textId="77777777" w:rsidTr="00834353">
        <w:trPr>
          <w:trHeight w:val="255"/>
        </w:trPr>
        <w:tc>
          <w:tcPr>
            <w:tcW w:w="6720" w:type="dxa"/>
            <w:tcBorders>
              <w:top w:val="nil"/>
              <w:left w:val="single" w:sz="4" w:space="0" w:color="auto"/>
              <w:bottom w:val="single" w:sz="4" w:space="0" w:color="auto"/>
              <w:right w:val="single" w:sz="4" w:space="0" w:color="auto"/>
            </w:tcBorders>
          </w:tcPr>
          <w:p w14:paraId="2D9608B0" w14:textId="77777777" w:rsidR="00110E29" w:rsidRPr="001514DD" w:rsidRDefault="00110E29" w:rsidP="00834353">
            <w:pPr>
              <w:spacing w:after="0" w:line="240" w:lineRule="auto"/>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Bežné výdavky (600)</w:t>
            </w:r>
          </w:p>
        </w:tc>
        <w:tc>
          <w:tcPr>
            <w:tcW w:w="930" w:type="dxa"/>
            <w:tcBorders>
              <w:top w:val="nil"/>
              <w:left w:val="nil"/>
              <w:bottom w:val="single" w:sz="4" w:space="0" w:color="auto"/>
              <w:right w:val="single" w:sz="4" w:space="0" w:color="auto"/>
            </w:tcBorders>
          </w:tcPr>
          <w:p w14:paraId="6FD81B41"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417" w:type="dxa"/>
            <w:tcBorders>
              <w:top w:val="nil"/>
              <w:left w:val="nil"/>
              <w:bottom w:val="single" w:sz="4" w:space="0" w:color="auto"/>
              <w:right w:val="single" w:sz="4" w:space="0" w:color="auto"/>
            </w:tcBorders>
          </w:tcPr>
          <w:p w14:paraId="509A8C37"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427 938</w:t>
            </w:r>
          </w:p>
        </w:tc>
        <w:tc>
          <w:tcPr>
            <w:tcW w:w="1134" w:type="dxa"/>
            <w:tcBorders>
              <w:top w:val="nil"/>
              <w:left w:val="nil"/>
              <w:bottom w:val="single" w:sz="4" w:space="0" w:color="auto"/>
              <w:right w:val="single" w:sz="4" w:space="0" w:color="auto"/>
            </w:tcBorders>
          </w:tcPr>
          <w:p w14:paraId="540200B5"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418" w:type="dxa"/>
            <w:tcBorders>
              <w:top w:val="nil"/>
              <w:left w:val="nil"/>
              <w:bottom w:val="single" w:sz="4" w:space="0" w:color="auto"/>
              <w:right w:val="single" w:sz="4" w:space="0" w:color="auto"/>
            </w:tcBorders>
          </w:tcPr>
          <w:p w14:paraId="6BE1FAB7"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722 293</w:t>
            </w:r>
          </w:p>
        </w:tc>
        <w:tc>
          <w:tcPr>
            <w:tcW w:w="3260" w:type="dxa"/>
            <w:tcBorders>
              <w:top w:val="nil"/>
              <w:left w:val="nil"/>
              <w:bottom w:val="single" w:sz="4" w:space="0" w:color="auto"/>
              <w:right w:val="single" w:sz="4" w:space="0" w:color="auto"/>
            </w:tcBorders>
            <w:noWrap/>
            <w:vAlign w:val="bottom"/>
          </w:tcPr>
          <w:p w14:paraId="575C2BF3"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30201BF3" w14:textId="77777777" w:rsidTr="00834353">
        <w:trPr>
          <w:trHeight w:val="255"/>
        </w:trPr>
        <w:tc>
          <w:tcPr>
            <w:tcW w:w="6720" w:type="dxa"/>
            <w:tcBorders>
              <w:top w:val="nil"/>
              <w:left w:val="single" w:sz="4" w:space="0" w:color="auto"/>
              <w:bottom w:val="single" w:sz="4" w:space="0" w:color="auto"/>
              <w:right w:val="single" w:sz="4" w:space="0" w:color="auto"/>
            </w:tcBorders>
          </w:tcPr>
          <w:p w14:paraId="06596E7C" w14:textId="77777777" w:rsidR="00110E29" w:rsidRPr="001514DD" w:rsidRDefault="00110E29" w:rsidP="00834353">
            <w:pPr>
              <w:spacing w:after="0" w:line="240" w:lineRule="auto"/>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  Mzdy, platy, služobné príjmy a ostatné osobné vyrovnania (610)</w:t>
            </w:r>
          </w:p>
        </w:tc>
        <w:tc>
          <w:tcPr>
            <w:tcW w:w="930" w:type="dxa"/>
            <w:tcBorders>
              <w:top w:val="nil"/>
              <w:left w:val="nil"/>
              <w:bottom w:val="single" w:sz="4" w:space="0" w:color="auto"/>
              <w:right w:val="single" w:sz="4" w:space="0" w:color="auto"/>
            </w:tcBorders>
          </w:tcPr>
          <w:p w14:paraId="2FF04438"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2F75E286"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125 000</w:t>
            </w:r>
          </w:p>
        </w:tc>
        <w:tc>
          <w:tcPr>
            <w:tcW w:w="1134" w:type="dxa"/>
            <w:tcBorders>
              <w:top w:val="nil"/>
              <w:left w:val="nil"/>
              <w:bottom w:val="single" w:sz="4" w:space="0" w:color="auto"/>
              <w:right w:val="single" w:sz="4" w:space="0" w:color="auto"/>
            </w:tcBorders>
          </w:tcPr>
          <w:p w14:paraId="588001C6"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41D0F3A1"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215 000</w:t>
            </w:r>
          </w:p>
        </w:tc>
        <w:tc>
          <w:tcPr>
            <w:tcW w:w="3260" w:type="dxa"/>
            <w:tcBorders>
              <w:top w:val="nil"/>
              <w:left w:val="nil"/>
              <w:bottom w:val="single" w:sz="4" w:space="0" w:color="auto"/>
              <w:right w:val="single" w:sz="4" w:space="0" w:color="auto"/>
            </w:tcBorders>
            <w:noWrap/>
            <w:vAlign w:val="bottom"/>
          </w:tcPr>
          <w:p w14:paraId="081F3425"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mzdové nároky osôb zabezpečujúcich organizačnú a technickú prípravu a vykonanie hlasovania na zastupiteľských úradoch</w:t>
            </w:r>
          </w:p>
        </w:tc>
      </w:tr>
      <w:tr w:rsidR="00110E29" w:rsidRPr="001514DD" w14:paraId="7CBA77ED" w14:textId="77777777" w:rsidTr="00834353">
        <w:trPr>
          <w:trHeight w:val="255"/>
        </w:trPr>
        <w:tc>
          <w:tcPr>
            <w:tcW w:w="6720" w:type="dxa"/>
            <w:tcBorders>
              <w:top w:val="nil"/>
              <w:left w:val="single" w:sz="4" w:space="0" w:color="auto"/>
              <w:bottom w:val="single" w:sz="4" w:space="0" w:color="auto"/>
              <w:right w:val="single" w:sz="4" w:space="0" w:color="auto"/>
            </w:tcBorders>
          </w:tcPr>
          <w:p w14:paraId="5ADD0F12" w14:textId="77777777" w:rsidR="00110E29" w:rsidRPr="001514DD" w:rsidRDefault="00110E29" w:rsidP="00834353">
            <w:pPr>
              <w:spacing w:after="0" w:line="240" w:lineRule="auto"/>
              <w:rPr>
                <w:rFonts w:ascii="Times New Roman" w:eastAsia="Times New Roman" w:hAnsi="Times New Roman" w:cs="Times New Roman"/>
                <w:szCs w:val="20"/>
                <w:vertAlign w:val="superscript"/>
                <w:lang w:eastAsia="sk-SK"/>
              </w:rPr>
            </w:pPr>
            <w:r w:rsidRPr="001514DD">
              <w:rPr>
                <w:rFonts w:ascii="Times New Roman" w:eastAsia="Times New Roman" w:hAnsi="Times New Roman" w:cs="Times New Roman"/>
                <w:szCs w:val="20"/>
                <w:lang w:eastAsia="sk-SK"/>
              </w:rPr>
              <w:t xml:space="preserve">  Poistné a príspevok do poisťovní (620)</w:t>
            </w:r>
          </w:p>
        </w:tc>
        <w:tc>
          <w:tcPr>
            <w:tcW w:w="930" w:type="dxa"/>
            <w:tcBorders>
              <w:top w:val="nil"/>
              <w:left w:val="nil"/>
              <w:bottom w:val="single" w:sz="4" w:space="0" w:color="auto"/>
              <w:right w:val="single" w:sz="4" w:space="0" w:color="auto"/>
            </w:tcBorders>
          </w:tcPr>
          <w:p w14:paraId="6D97FE8D"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7B0D5F54"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44 938</w:t>
            </w:r>
          </w:p>
        </w:tc>
        <w:tc>
          <w:tcPr>
            <w:tcW w:w="1134" w:type="dxa"/>
            <w:tcBorders>
              <w:top w:val="nil"/>
              <w:left w:val="nil"/>
              <w:bottom w:val="single" w:sz="4" w:space="0" w:color="auto"/>
              <w:right w:val="single" w:sz="4" w:space="0" w:color="auto"/>
            </w:tcBorders>
          </w:tcPr>
          <w:p w14:paraId="4B0F2050"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1E576E36"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77 293</w:t>
            </w:r>
          </w:p>
        </w:tc>
        <w:tc>
          <w:tcPr>
            <w:tcW w:w="3260" w:type="dxa"/>
            <w:tcBorders>
              <w:top w:val="nil"/>
              <w:left w:val="nil"/>
              <w:bottom w:val="single" w:sz="4" w:space="0" w:color="auto"/>
              <w:right w:val="single" w:sz="4" w:space="0" w:color="auto"/>
            </w:tcBorders>
            <w:noWrap/>
            <w:vAlign w:val="bottom"/>
          </w:tcPr>
          <w:p w14:paraId="1B2BDC98"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úhrady poistného do poisťovní</w:t>
            </w:r>
          </w:p>
        </w:tc>
      </w:tr>
      <w:tr w:rsidR="00110E29" w:rsidRPr="001514DD" w14:paraId="6600E452" w14:textId="77777777" w:rsidTr="00834353">
        <w:trPr>
          <w:trHeight w:val="255"/>
        </w:trPr>
        <w:tc>
          <w:tcPr>
            <w:tcW w:w="6720" w:type="dxa"/>
            <w:tcBorders>
              <w:top w:val="nil"/>
              <w:left w:val="single" w:sz="4" w:space="0" w:color="auto"/>
              <w:bottom w:val="single" w:sz="4" w:space="0" w:color="auto"/>
              <w:right w:val="single" w:sz="4" w:space="0" w:color="auto"/>
            </w:tcBorders>
          </w:tcPr>
          <w:p w14:paraId="1897AE98" w14:textId="77777777" w:rsidR="00110E29" w:rsidRPr="001514DD" w:rsidRDefault="00110E29" w:rsidP="00834353">
            <w:pPr>
              <w:spacing w:after="0" w:line="240" w:lineRule="auto"/>
              <w:rPr>
                <w:rFonts w:ascii="Times New Roman" w:eastAsia="Times New Roman" w:hAnsi="Times New Roman" w:cs="Times New Roman"/>
                <w:szCs w:val="20"/>
                <w:vertAlign w:val="superscript"/>
                <w:lang w:eastAsia="sk-SK"/>
              </w:rPr>
            </w:pPr>
            <w:r w:rsidRPr="001514DD">
              <w:rPr>
                <w:rFonts w:ascii="Times New Roman" w:eastAsia="Times New Roman" w:hAnsi="Times New Roman" w:cs="Times New Roman"/>
                <w:szCs w:val="20"/>
                <w:lang w:eastAsia="sk-SK"/>
              </w:rPr>
              <w:t xml:space="preserve">  Tovary a služby (630)</w:t>
            </w:r>
            <w:r w:rsidRPr="001514DD">
              <w:rPr>
                <w:rFonts w:ascii="Times New Roman" w:eastAsia="Times New Roman" w:hAnsi="Times New Roman" w:cs="Times New Roman"/>
                <w:szCs w:val="20"/>
                <w:vertAlign w:val="superscript"/>
                <w:lang w:eastAsia="sk-SK"/>
              </w:rPr>
              <w:t>2</w:t>
            </w:r>
          </w:p>
        </w:tc>
        <w:tc>
          <w:tcPr>
            <w:tcW w:w="930" w:type="dxa"/>
            <w:tcBorders>
              <w:top w:val="nil"/>
              <w:left w:val="nil"/>
              <w:bottom w:val="single" w:sz="4" w:space="0" w:color="auto"/>
              <w:right w:val="single" w:sz="4" w:space="0" w:color="auto"/>
            </w:tcBorders>
          </w:tcPr>
          <w:p w14:paraId="0E11BB7D"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59525BB6"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258 000</w:t>
            </w:r>
          </w:p>
        </w:tc>
        <w:tc>
          <w:tcPr>
            <w:tcW w:w="1134" w:type="dxa"/>
            <w:tcBorders>
              <w:top w:val="nil"/>
              <w:left w:val="nil"/>
              <w:bottom w:val="single" w:sz="4" w:space="0" w:color="auto"/>
              <w:right w:val="single" w:sz="4" w:space="0" w:color="auto"/>
            </w:tcBorders>
          </w:tcPr>
          <w:p w14:paraId="479542E3"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4433DC46"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430 000</w:t>
            </w:r>
          </w:p>
        </w:tc>
        <w:tc>
          <w:tcPr>
            <w:tcW w:w="3260" w:type="dxa"/>
            <w:tcBorders>
              <w:top w:val="nil"/>
              <w:left w:val="nil"/>
              <w:bottom w:val="single" w:sz="4" w:space="0" w:color="auto"/>
              <w:right w:val="single" w:sz="4" w:space="0" w:color="auto"/>
            </w:tcBorders>
            <w:noWrap/>
            <w:vAlign w:val="bottom"/>
          </w:tcPr>
          <w:p w14:paraId="14965328"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zabezpečenie činnosti osobitnej okresnej volebnej komisie a okrskových volebných komisií utvorených pre osobitné okrsky</w:t>
            </w:r>
          </w:p>
        </w:tc>
      </w:tr>
      <w:tr w:rsidR="00110E29" w:rsidRPr="001514DD" w14:paraId="143B77D5" w14:textId="77777777" w:rsidTr="00834353">
        <w:trPr>
          <w:trHeight w:val="255"/>
        </w:trPr>
        <w:tc>
          <w:tcPr>
            <w:tcW w:w="6720" w:type="dxa"/>
            <w:tcBorders>
              <w:top w:val="nil"/>
              <w:left w:val="single" w:sz="4" w:space="0" w:color="auto"/>
              <w:bottom w:val="single" w:sz="4" w:space="0" w:color="auto"/>
              <w:right w:val="single" w:sz="4" w:space="0" w:color="auto"/>
            </w:tcBorders>
          </w:tcPr>
          <w:p w14:paraId="4B43FFDF" w14:textId="77777777" w:rsidR="00110E29" w:rsidRPr="001514DD" w:rsidRDefault="00110E29" w:rsidP="00834353">
            <w:pPr>
              <w:spacing w:after="0" w:line="240" w:lineRule="auto"/>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  Bežné transfery (640)</w:t>
            </w:r>
            <w:r w:rsidRPr="001514DD">
              <w:rPr>
                <w:rFonts w:ascii="Times New Roman" w:eastAsia="Times New Roman" w:hAnsi="Times New Roman" w:cs="Times New Roman"/>
                <w:szCs w:val="20"/>
                <w:vertAlign w:val="superscript"/>
                <w:lang w:eastAsia="sk-SK"/>
              </w:rPr>
              <w:t>2</w:t>
            </w:r>
          </w:p>
        </w:tc>
        <w:tc>
          <w:tcPr>
            <w:tcW w:w="930" w:type="dxa"/>
            <w:tcBorders>
              <w:top w:val="nil"/>
              <w:left w:val="nil"/>
              <w:bottom w:val="single" w:sz="4" w:space="0" w:color="auto"/>
              <w:right w:val="single" w:sz="4" w:space="0" w:color="auto"/>
            </w:tcBorders>
          </w:tcPr>
          <w:p w14:paraId="0ABBDEF0"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64645741"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134" w:type="dxa"/>
            <w:tcBorders>
              <w:top w:val="nil"/>
              <w:left w:val="nil"/>
              <w:bottom w:val="single" w:sz="4" w:space="0" w:color="auto"/>
              <w:right w:val="single" w:sz="4" w:space="0" w:color="auto"/>
            </w:tcBorders>
          </w:tcPr>
          <w:p w14:paraId="7874500C"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212FCABB"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3260" w:type="dxa"/>
            <w:tcBorders>
              <w:top w:val="nil"/>
              <w:left w:val="nil"/>
              <w:bottom w:val="single" w:sz="4" w:space="0" w:color="auto"/>
              <w:right w:val="single" w:sz="4" w:space="0" w:color="auto"/>
            </w:tcBorders>
            <w:noWrap/>
            <w:vAlign w:val="bottom"/>
          </w:tcPr>
          <w:p w14:paraId="418130D7"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05AA3383" w14:textId="77777777" w:rsidTr="00834353">
        <w:trPr>
          <w:trHeight w:val="255"/>
        </w:trPr>
        <w:tc>
          <w:tcPr>
            <w:tcW w:w="6720" w:type="dxa"/>
            <w:tcBorders>
              <w:top w:val="nil"/>
              <w:left w:val="single" w:sz="4" w:space="0" w:color="auto"/>
              <w:bottom w:val="single" w:sz="4" w:space="0" w:color="auto"/>
              <w:right w:val="single" w:sz="4" w:space="0" w:color="auto"/>
            </w:tcBorders>
            <w:vAlign w:val="center"/>
          </w:tcPr>
          <w:p w14:paraId="4870E40B" w14:textId="77777777" w:rsidR="00110E29" w:rsidRPr="001514DD" w:rsidRDefault="00110E29" w:rsidP="00834353">
            <w:pPr>
              <w:spacing w:after="0" w:line="240" w:lineRule="auto"/>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  Splácanie úrokov a ostatné platby súvisiace s </w:t>
            </w:r>
            <w:r w:rsidRPr="001514DD">
              <w:t xml:space="preserve"> </w:t>
            </w:r>
            <w:r w:rsidRPr="001514DD">
              <w:rPr>
                <w:rFonts w:ascii="Times New Roman" w:eastAsia="Times New Roman" w:hAnsi="Times New Roman" w:cs="Times New Roman"/>
                <w:szCs w:val="20"/>
                <w:lang w:eastAsia="sk-SK"/>
              </w:rPr>
              <w:t>úverom, pôžičkou, návratnou finančnou výpomocou a finančným prenájmom (650)</w:t>
            </w:r>
            <w:r w:rsidRPr="001514DD">
              <w:rPr>
                <w:rFonts w:ascii="Times New Roman" w:eastAsia="Times New Roman" w:hAnsi="Times New Roman" w:cs="Times New Roman"/>
                <w:szCs w:val="20"/>
                <w:vertAlign w:val="superscript"/>
                <w:lang w:eastAsia="sk-SK"/>
              </w:rPr>
              <w:t>2</w:t>
            </w:r>
          </w:p>
        </w:tc>
        <w:tc>
          <w:tcPr>
            <w:tcW w:w="930" w:type="dxa"/>
            <w:tcBorders>
              <w:top w:val="nil"/>
              <w:left w:val="nil"/>
              <w:bottom w:val="single" w:sz="4" w:space="0" w:color="auto"/>
              <w:right w:val="single" w:sz="4" w:space="0" w:color="auto"/>
            </w:tcBorders>
          </w:tcPr>
          <w:p w14:paraId="2DE966A5"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6E1389F3"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134" w:type="dxa"/>
            <w:tcBorders>
              <w:top w:val="nil"/>
              <w:left w:val="nil"/>
              <w:bottom w:val="single" w:sz="4" w:space="0" w:color="auto"/>
              <w:right w:val="single" w:sz="4" w:space="0" w:color="auto"/>
            </w:tcBorders>
          </w:tcPr>
          <w:p w14:paraId="7EA03073"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626FB1AC"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3260" w:type="dxa"/>
            <w:tcBorders>
              <w:top w:val="nil"/>
              <w:left w:val="nil"/>
              <w:bottom w:val="single" w:sz="4" w:space="0" w:color="auto"/>
              <w:right w:val="single" w:sz="4" w:space="0" w:color="auto"/>
            </w:tcBorders>
            <w:noWrap/>
            <w:vAlign w:val="bottom"/>
          </w:tcPr>
          <w:p w14:paraId="72000419"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r>
      <w:tr w:rsidR="00110E29" w:rsidRPr="001514DD" w14:paraId="1792E7B6" w14:textId="77777777" w:rsidTr="00834353">
        <w:trPr>
          <w:trHeight w:val="255"/>
        </w:trPr>
        <w:tc>
          <w:tcPr>
            <w:tcW w:w="6720" w:type="dxa"/>
            <w:tcBorders>
              <w:top w:val="nil"/>
              <w:left w:val="single" w:sz="4" w:space="0" w:color="auto"/>
              <w:bottom w:val="single" w:sz="4" w:space="0" w:color="auto"/>
              <w:right w:val="single" w:sz="4" w:space="0" w:color="auto"/>
            </w:tcBorders>
          </w:tcPr>
          <w:p w14:paraId="6D86E8F3" w14:textId="77777777" w:rsidR="00110E29" w:rsidRPr="001514DD" w:rsidRDefault="00110E29" w:rsidP="00834353">
            <w:pPr>
              <w:spacing w:after="0" w:line="240" w:lineRule="auto"/>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Kapitálové výdavky (700)</w:t>
            </w:r>
          </w:p>
        </w:tc>
        <w:tc>
          <w:tcPr>
            <w:tcW w:w="930" w:type="dxa"/>
            <w:tcBorders>
              <w:top w:val="nil"/>
              <w:left w:val="nil"/>
              <w:bottom w:val="single" w:sz="4" w:space="0" w:color="auto"/>
              <w:right w:val="single" w:sz="4" w:space="0" w:color="auto"/>
            </w:tcBorders>
          </w:tcPr>
          <w:p w14:paraId="6BA3B39A"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417" w:type="dxa"/>
            <w:tcBorders>
              <w:top w:val="nil"/>
              <w:left w:val="nil"/>
              <w:bottom w:val="single" w:sz="4" w:space="0" w:color="auto"/>
              <w:right w:val="single" w:sz="4" w:space="0" w:color="auto"/>
            </w:tcBorders>
          </w:tcPr>
          <w:p w14:paraId="022E0892"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134" w:type="dxa"/>
            <w:tcBorders>
              <w:top w:val="nil"/>
              <w:left w:val="nil"/>
              <w:bottom w:val="single" w:sz="4" w:space="0" w:color="auto"/>
              <w:right w:val="single" w:sz="4" w:space="0" w:color="auto"/>
            </w:tcBorders>
          </w:tcPr>
          <w:p w14:paraId="3B0B72A0"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418" w:type="dxa"/>
            <w:tcBorders>
              <w:top w:val="nil"/>
              <w:left w:val="nil"/>
              <w:bottom w:val="single" w:sz="4" w:space="0" w:color="auto"/>
              <w:right w:val="single" w:sz="4" w:space="0" w:color="auto"/>
            </w:tcBorders>
          </w:tcPr>
          <w:p w14:paraId="413936B3"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3260" w:type="dxa"/>
            <w:tcBorders>
              <w:top w:val="nil"/>
              <w:left w:val="nil"/>
              <w:bottom w:val="single" w:sz="4" w:space="0" w:color="auto"/>
              <w:right w:val="single" w:sz="4" w:space="0" w:color="auto"/>
            </w:tcBorders>
            <w:noWrap/>
            <w:vAlign w:val="bottom"/>
          </w:tcPr>
          <w:p w14:paraId="4AF441F3"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4D792F9E" w14:textId="77777777" w:rsidTr="00834353">
        <w:trPr>
          <w:trHeight w:val="255"/>
        </w:trPr>
        <w:tc>
          <w:tcPr>
            <w:tcW w:w="6720" w:type="dxa"/>
            <w:tcBorders>
              <w:top w:val="nil"/>
              <w:left w:val="single" w:sz="4" w:space="0" w:color="auto"/>
              <w:bottom w:val="single" w:sz="4" w:space="0" w:color="auto"/>
              <w:right w:val="single" w:sz="4" w:space="0" w:color="auto"/>
            </w:tcBorders>
          </w:tcPr>
          <w:p w14:paraId="79D00230" w14:textId="77777777" w:rsidR="00110E29" w:rsidRPr="001514DD" w:rsidRDefault="00110E29" w:rsidP="00834353">
            <w:pPr>
              <w:spacing w:after="0" w:line="240" w:lineRule="auto"/>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  Obstarávanie kapitálových aktív (710)</w:t>
            </w:r>
            <w:r w:rsidRPr="001514DD">
              <w:rPr>
                <w:rFonts w:ascii="Times New Roman" w:eastAsia="Times New Roman" w:hAnsi="Times New Roman" w:cs="Times New Roman"/>
                <w:szCs w:val="20"/>
                <w:vertAlign w:val="superscript"/>
                <w:lang w:eastAsia="sk-SK"/>
              </w:rPr>
              <w:t>2</w:t>
            </w:r>
          </w:p>
        </w:tc>
        <w:tc>
          <w:tcPr>
            <w:tcW w:w="930" w:type="dxa"/>
            <w:tcBorders>
              <w:top w:val="nil"/>
              <w:left w:val="nil"/>
              <w:bottom w:val="single" w:sz="4" w:space="0" w:color="auto"/>
              <w:right w:val="single" w:sz="4" w:space="0" w:color="auto"/>
            </w:tcBorders>
          </w:tcPr>
          <w:p w14:paraId="3BF0D9CF"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21E0A31B"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134" w:type="dxa"/>
            <w:tcBorders>
              <w:top w:val="nil"/>
              <w:left w:val="nil"/>
              <w:bottom w:val="single" w:sz="4" w:space="0" w:color="auto"/>
              <w:right w:val="single" w:sz="4" w:space="0" w:color="auto"/>
            </w:tcBorders>
          </w:tcPr>
          <w:p w14:paraId="41DE1288"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7F79CF6F"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3260" w:type="dxa"/>
            <w:tcBorders>
              <w:top w:val="nil"/>
              <w:left w:val="nil"/>
              <w:bottom w:val="single" w:sz="4" w:space="0" w:color="auto"/>
              <w:right w:val="single" w:sz="4" w:space="0" w:color="auto"/>
            </w:tcBorders>
            <w:noWrap/>
            <w:vAlign w:val="bottom"/>
          </w:tcPr>
          <w:p w14:paraId="7F17C1F7"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479EC718" w14:textId="77777777" w:rsidTr="00834353">
        <w:trPr>
          <w:trHeight w:val="255"/>
        </w:trPr>
        <w:tc>
          <w:tcPr>
            <w:tcW w:w="6720" w:type="dxa"/>
            <w:tcBorders>
              <w:top w:val="nil"/>
              <w:left w:val="single" w:sz="4" w:space="0" w:color="auto"/>
              <w:bottom w:val="single" w:sz="4" w:space="0" w:color="auto"/>
              <w:right w:val="single" w:sz="4" w:space="0" w:color="auto"/>
            </w:tcBorders>
          </w:tcPr>
          <w:p w14:paraId="3D24A939" w14:textId="77777777" w:rsidR="00110E29" w:rsidRPr="001514DD" w:rsidRDefault="00110E29" w:rsidP="00834353">
            <w:pPr>
              <w:spacing w:after="0" w:line="240" w:lineRule="auto"/>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  Kapitálové transfery (720)</w:t>
            </w:r>
            <w:r w:rsidRPr="001514DD">
              <w:rPr>
                <w:rFonts w:ascii="Times New Roman" w:eastAsia="Times New Roman" w:hAnsi="Times New Roman" w:cs="Times New Roman"/>
                <w:szCs w:val="20"/>
                <w:vertAlign w:val="superscript"/>
                <w:lang w:eastAsia="sk-SK"/>
              </w:rPr>
              <w:t>2</w:t>
            </w:r>
          </w:p>
        </w:tc>
        <w:tc>
          <w:tcPr>
            <w:tcW w:w="930" w:type="dxa"/>
            <w:tcBorders>
              <w:top w:val="nil"/>
              <w:left w:val="nil"/>
              <w:bottom w:val="single" w:sz="4" w:space="0" w:color="auto"/>
              <w:right w:val="single" w:sz="4" w:space="0" w:color="auto"/>
            </w:tcBorders>
          </w:tcPr>
          <w:p w14:paraId="427CCDF8"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7" w:type="dxa"/>
            <w:tcBorders>
              <w:top w:val="nil"/>
              <w:left w:val="nil"/>
              <w:bottom w:val="single" w:sz="4" w:space="0" w:color="auto"/>
              <w:right w:val="single" w:sz="4" w:space="0" w:color="auto"/>
            </w:tcBorders>
          </w:tcPr>
          <w:p w14:paraId="48F669E7"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134" w:type="dxa"/>
            <w:tcBorders>
              <w:top w:val="nil"/>
              <w:left w:val="nil"/>
              <w:bottom w:val="single" w:sz="4" w:space="0" w:color="auto"/>
              <w:right w:val="single" w:sz="4" w:space="0" w:color="auto"/>
            </w:tcBorders>
          </w:tcPr>
          <w:p w14:paraId="30498F59"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1418" w:type="dxa"/>
            <w:tcBorders>
              <w:top w:val="nil"/>
              <w:left w:val="nil"/>
              <w:bottom w:val="single" w:sz="4" w:space="0" w:color="auto"/>
              <w:right w:val="single" w:sz="4" w:space="0" w:color="auto"/>
            </w:tcBorders>
          </w:tcPr>
          <w:p w14:paraId="110D074D" w14:textId="77777777" w:rsidR="00110E29" w:rsidRPr="001514DD" w:rsidRDefault="00110E29" w:rsidP="00834353">
            <w:pPr>
              <w:spacing w:after="0" w:line="240" w:lineRule="auto"/>
              <w:jc w:val="center"/>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0</w:t>
            </w:r>
          </w:p>
        </w:tc>
        <w:tc>
          <w:tcPr>
            <w:tcW w:w="3260" w:type="dxa"/>
            <w:tcBorders>
              <w:top w:val="nil"/>
              <w:left w:val="nil"/>
              <w:bottom w:val="single" w:sz="4" w:space="0" w:color="auto"/>
              <w:right w:val="single" w:sz="4" w:space="0" w:color="auto"/>
            </w:tcBorders>
            <w:noWrap/>
            <w:vAlign w:val="bottom"/>
          </w:tcPr>
          <w:p w14:paraId="3BDDD0C4"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62E9804E" w14:textId="77777777" w:rsidTr="00834353">
        <w:trPr>
          <w:trHeight w:val="255"/>
        </w:trPr>
        <w:tc>
          <w:tcPr>
            <w:tcW w:w="6720" w:type="dxa"/>
            <w:tcBorders>
              <w:top w:val="nil"/>
              <w:left w:val="single" w:sz="4" w:space="0" w:color="auto"/>
              <w:bottom w:val="single" w:sz="4" w:space="0" w:color="auto"/>
              <w:right w:val="single" w:sz="4" w:space="0" w:color="auto"/>
            </w:tcBorders>
          </w:tcPr>
          <w:p w14:paraId="3148C008" w14:textId="77777777" w:rsidR="00110E29" w:rsidRPr="001514DD" w:rsidRDefault="00110E29" w:rsidP="00834353">
            <w:pPr>
              <w:spacing w:after="0" w:line="240" w:lineRule="auto"/>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Výdavky z transakcií s finančnými aktívami a finančnými pasívami (800)</w:t>
            </w:r>
          </w:p>
        </w:tc>
        <w:tc>
          <w:tcPr>
            <w:tcW w:w="930" w:type="dxa"/>
            <w:tcBorders>
              <w:top w:val="nil"/>
              <w:left w:val="nil"/>
              <w:bottom w:val="single" w:sz="4" w:space="0" w:color="auto"/>
              <w:right w:val="single" w:sz="4" w:space="0" w:color="auto"/>
            </w:tcBorders>
          </w:tcPr>
          <w:p w14:paraId="4EFBC45A"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 0</w:t>
            </w:r>
          </w:p>
        </w:tc>
        <w:tc>
          <w:tcPr>
            <w:tcW w:w="1417" w:type="dxa"/>
            <w:tcBorders>
              <w:top w:val="nil"/>
              <w:left w:val="nil"/>
              <w:bottom w:val="single" w:sz="4" w:space="0" w:color="auto"/>
              <w:right w:val="single" w:sz="4" w:space="0" w:color="auto"/>
            </w:tcBorders>
          </w:tcPr>
          <w:p w14:paraId="2BA89B8B"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 0</w:t>
            </w:r>
          </w:p>
        </w:tc>
        <w:tc>
          <w:tcPr>
            <w:tcW w:w="1134" w:type="dxa"/>
            <w:tcBorders>
              <w:top w:val="nil"/>
              <w:left w:val="nil"/>
              <w:bottom w:val="single" w:sz="4" w:space="0" w:color="auto"/>
              <w:right w:val="single" w:sz="4" w:space="0" w:color="auto"/>
            </w:tcBorders>
          </w:tcPr>
          <w:p w14:paraId="7E63FE15"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 0</w:t>
            </w:r>
          </w:p>
        </w:tc>
        <w:tc>
          <w:tcPr>
            <w:tcW w:w="1418" w:type="dxa"/>
            <w:tcBorders>
              <w:top w:val="nil"/>
              <w:left w:val="nil"/>
              <w:bottom w:val="single" w:sz="4" w:space="0" w:color="auto"/>
              <w:right w:val="single" w:sz="4" w:space="0" w:color="auto"/>
            </w:tcBorders>
          </w:tcPr>
          <w:p w14:paraId="5D175C9F"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0 </w:t>
            </w:r>
          </w:p>
        </w:tc>
        <w:tc>
          <w:tcPr>
            <w:tcW w:w="3260" w:type="dxa"/>
            <w:tcBorders>
              <w:top w:val="nil"/>
              <w:left w:val="nil"/>
              <w:bottom w:val="single" w:sz="4" w:space="0" w:color="auto"/>
              <w:right w:val="single" w:sz="4" w:space="0" w:color="auto"/>
            </w:tcBorders>
            <w:noWrap/>
            <w:vAlign w:val="bottom"/>
          </w:tcPr>
          <w:p w14:paraId="6449164D"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0A332F0C" w14:textId="77777777" w:rsidTr="00834353">
        <w:trPr>
          <w:trHeight w:val="255"/>
        </w:trPr>
        <w:tc>
          <w:tcPr>
            <w:tcW w:w="6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EC259A" w14:textId="77777777" w:rsidR="00110E29" w:rsidRPr="001514DD" w:rsidRDefault="00110E29" w:rsidP="00834353">
            <w:pPr>
              <w:spacing w:after="0" w:line="240" w:lineRule="auto"/>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Vplyv na výdavky verejnej správy celkom</w:t>
            </w:r>
          </w:p>
        </w:tc>
        <w:tc>
          <w:tcPr>
            <w:tcW w:w="930" w:type="dxa"/>
            <w:tcBorders>
              <w:top w:val="single" w:sz="4" w:space="0" w:color="auto"/>
              <w:left w:val="nil"/>
              <w:bottom w:val="single" w:sz="4" w:space="0" w:color="auto"/>
              <w:right w:val="single" w:sz="4" w:space="0" w:color="auto"/>
            </w:tcBorders>
            <w:shd w:val="clear" w:color="auto" w:fill="BFBFBF" w:themeFill="background1" w:themeFillShade="BF"/>
          </w:tcPr>
          <w:p w14:paraId="286B42B0"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35EA2731"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iCs/>
                <w:lang w:eastAsia="sk-SK"/>
              </w:rPr>
              <w:t>427 938</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tcPr>
          <w:p w14:paraId="72EE40B0"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0</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3934A17D" w14:textId="77777777" w:rsidR="00110E29" w:rsidRPr="001514DD" w:rsidRDefault="00110E29" w:rsidP="00834353">
            <w:pPr>
              <w:spacing w:after="0" w:line="240" w:lineRule="auto"/>
              <w:jc w:val="center"/>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Cs w:val="20"/>
                <w:lang w:eastAsia="sk-SK"/>
              </w:rPr>
              <w:t>722 293</w:t>
            </w:r>
          </w:p>
        </w:tc>
        <w:tc>
          <w:tcPr>
            <w:tcW w:w="326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3241480"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bl>
    <w:p w14:paraId="68A089D7"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t xml:space="preserve">  2 –  výdavky rozpísať až do položiek platnej ekonomickej klasifikácie</w:t>
      </w:r>
    </w:p>
    <w:p w14:paraId="71D4FCEE"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2F83205"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 w:val="24"/>
          <w:szCs w:val="20"/>
          <w:lang w:eastAsia="sk-SK"/>
        </w:rPr>
        <w:t xml:space="preserve">  Poznámka:</w:t>
      </w:r>
    </w:p>
    <w:p w14:paraId="56A3B186"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60DE3500"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47A41A3D"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7D8F7CCF"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04B40B90"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0A2C3841"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5D76DE24"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343504B0"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7101A635"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Cs w:val="20"/>
          <w:lang w:eastAsia="sk-SK"/>
        </w:rPr>
      </w:pPr>
    </w:p>
    <w:p w14:paraId="67522A06"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t xml:space="preserve">                                                                                                                                                                                                                                                                             Tabuľka č. 4/B</w:t>
      </w:r>
    </w:p>
    <w:tbl>
      <w:tblPr>
        <w:tblpPr w:leftFromText="141" w:rightFromText="141" w:vertAnchor="text" w:horzAnchor="page" w:tblpX="908" w:tblpY="2"/>
        <w:tblW w:w="14879" w:type="dxa"/>
        <w:tblCellMar>
          <w:left w:w="70" w:type="dxa"/>
          <w:right w:w="70" w:type="dxa"/>
        </w:tblCellMar>
        <w:tblLook w:val="0000" w:firstRow="0" w:lastRow="0" w:firstColumn="0" w:lastColumn="0" w:noHBand="0" w:noVBand="0"/>
      </w:tblPr>
      <w:tblGrid>
        <w:gridCol w:w="6774"/>
        <w:gridCol w:w="981"/>
        <w:gridCol w:w="1312"/>
        <w:gridCol w:w="1134"/>
        <w:gridCol w:w="1418"/>
        <w:gridCol w:w="3260"/>
      </w:tblGrid>
      <w:tr w:rsidR="00110E29" w:rsidRPr="001514DD" w14:paraId="4EBDE4E3" w14:textId="77777777" w:rsidTr="00834353">
        <w:trPr>
          <w:cantSplit/>
          <w:trHeight w:val="255"/>
        </w:trPr>
        <w:tc>
          <w:tcPr>
            <w:tcW w:w="67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623223D"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Vplyvy (v metodike ESA 2010)</w:t>
            </w:r>
          </w:p>
        </w:tc>
        <w:tc>
          <w:tcPr>
            <w:tcW w:w="4845"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CE553E1"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Vplyv na limit verejných výdavkov subjektu verejnej správy</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4CFB0C9"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 w:val="24"/>
                <w:lang w:eastAsia="sk-SK"/>
              </w:rPr>
            </w:pPr>
            <w:r w:rsidRPr="001514DD">
              <w:rPr>
                <w:rFonts w:ascii="Times New Roman" w:eastAsia="Times New Roman" w:hAnsi="Times New Roman" w:cs="Times New Roman"/>
                <w:b/>
                <w:bCs/>
                <w:color w:val="000000" w:themeColor="text1"/>
                <w:sz w:val="24"/>
                <w:lang w:eastAsia="sk-SK"/>
              </w:rPr>
              <w:t>poznámka</w:t>
            </w:r>
          </w:p>
        </w:tc>
      </w:tr>
      <w:tr w:rsidR="00110E29" w:rsidRPr="001514DD" w14:paraId="0A215E88" w14:textId="77777777" w:rsidTr="00834353">
        <w:trPr>
          <w:cantSplit/>
          <w:trHeight w:val="255"/>
        </w:trPr>
        <w:tc>
          <w:tcPr>
            <w:tcW w:w="6774" w:type="dxa"/>
            <w:vMerge/>
            <w:tcBorders>
              <w:top w:val="single" w:sz="4" w:space="0" w:color="auto"/>
              <w:left w:val="single" w:sz="4" w:space="0" w:color="auto"/>
              <w:bottom w:val="single" w:sz="4" w:space="0" w:color="000000"/>
              <w:right w:val="single" w:sz="4" w:space="0" w:color="auto"/>
            </w:tcBorders>
            <w:vAlign w:val="center"/>
          </w:tcPr>
          <w:p w14:paraId="6602B872"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Cs w:val="20"/>
                <w:lang w:eastAsia="sk-SK"/>
              </w:rPr>
            </w:pPr>
          </w:p>
        </w:tc>
        <w:tc>
          <w:tcPr>
            <w:tcW w:w="981" w:type="dxa"/>
            <w:tcBorders>
              <w:top w:val="nil"/>
              <w:left w:val="nil"/>
              <w:bottom w:val="single" w:sz="4" w:space="0" w:color="auto"/>
              <w:right w:val="single" w:sz="4" w:space="0" w:color="auto"/>
            </w:tcBorders>
            <w:shd w:val="clear" w:color="auto" w:fill="BFBFBF" w:themeFill="background1" w:themeFillShade="BF"/>
          </w:tcPr>
          <w:p w14:paraId="116AE168"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2026</w:t>
            </w:r>
          </w:p>
        </w:tc>
        <w:tc>
          <w:tcPr>
            <w:tcW w:w="1312" w:type="dxa"/>
            <w:tcBorders>
              <w:top w:val="nil"/>
              <w:left w:val="nil"/>
              <w:bottom w:val="single" w:sz="4" w:space="0" w:color="auto"/>
              <w:right w:val="single" w:sz="4" w:space="0" w:color="auto"/>
            </w:tcBorders>
            <w:shd w:val="clear" w:color="auto" w:fill="BFBFBF" w:themeFill="background1" w:themeFillShade="BF"/>
          </w:tcPr>
          <w:p w14:paraId="4C560D26"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2027</w:t>
            </w:r>
          </w:p>
        </w:tc>
        <w:tc>
          <w:tcPr>
            <w:tcW w:w="1134" w:type="dxa"/>
            <w:tcBorders>
              <w:top w:val="nil"/>
              <w:left w:val="nil"/>
              <w:bottom w:val="single" w:sz="4" w:space="0" w:color="auto"/>
              <w:right w:val="single" w:sz="4" w:space="0" w:color="auto"/>
            </w:tcBorders>
            <w:shd w:val="clear" w:color="auto" w:fill="BFBFBF" w:themeFill="background1" w:themeFillShade="BF"/>
          </w:tcPr>
          <w:p w14:paraId="1C4357C1"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2028</w:t>
            </w:r>
          </w:p>
        </w:tc>
        <w:tc>
          <w:tcPr>
            <w:tcW w:w="1418" w:type="dxa"/>
            <w:tcBorders>
              <w:top w:val="nil"/>
              <w:left w:val="nil"/>
              <w:bottom w:val="single" w:sz="4" w:space="0" w:color="auto"/>
              <w:right w:val="single" w:sz="4" w:space="0" w:color="auto"/>
            </w:tcBorders>
            <w:shd w:val="clear" w:color="auto" w:fill="BFBFBF" w:themeFill="background1" w:themeFillShade="BF"/>
          </w:tcPr>
          <w:p w14:paraId="5E8A3EA2"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2029</w:t>
            </w:r>
          </w:p>
        </w:tc>
        <w:tc>
          <w:tcPr>
            <w:tcW w:w="3260" w:type="dxa"/>
            <w:tcBorders>
              <w:top w:val="single" w:sz="4" w:space="0" w:color="auto"/>
              <w:left w:val="single" w:sz="4" w:space="0" w:color="auto"/>
              <w:bottom w:val="single" w:sz="4" w:space="0" w:color="auto"/>
              <w:right w:val="single" w:sz="4" w:space="0" w:color="auto"/>
            </w:tcBorders>
            <w:vAlign w:val="center"/>
          </w:tcPr>
          <w:p w14:paraId="7891BD8A"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 w:val="24"/>
                <w:lang w:eastAsia="sk-SK"/>
              </w:rPr>
            </w:pPr>
          </w:p>
        </w:tc>
      </w:tr>
      <w:tr w:rsidR="00110E29" w:rsidRPr="001514DD" w14:paraId="0A985A1B" w14:textId="77777777" w:rsidTr="00834353">
        <w:trPr>
          <w:trHeight w:val="255"/>
        </w:trPr>
        <w:tc>
          <w:tcPr>
            <w:tcW w:w="6774" w:type="dxa"/>
            <w:tcBorders>
              <w:top w:val="nil"/>
              <w:left w:val="single" w:sz="4" w:space="0" w:color="auto"/>
              <w:bottom w:val="single" w:sz="4" w:space="0" w:color="auto"/>
              <w:right w:val="single" w:sz="4" w:space="0" w:color="auto"/>
            </w:tcBorders>
          </w:tcPr>
          <w:p w14:paraId="3D344393"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Kapitálové príjmy (230)</w:t>
            </w:r>
          </w:p>
        </w:tc>
        <w:tc>
          <w:tcPr>
            <w:tcW w:w="981" w:type="dxa"/>
            <w:tcBorders>
              <w:top w:val="nil"/>
              <w:left w:val="nil"/>
              <w:bottom w:val="single" w:sz="4" w:space="0" w:color="auto"/>
              <w:right w:val="single" w:sz="4" w:space="0" w:color="auto"/>
            </w:tcBorders>
          </w:tcPr>
          <w:p w14:paraId="191132C6"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312" w:type="dxa"/>
            <w:tcBorders>
              <w:top w:val="nil"/>
              <w:left w:val="nil"/>
              <w:bottom w:val="single" w:sz="4" w:space="0" w:color="auto"/>
              <w:right w:val="single" w:sz="4" w:space="0" w:color="auto"/>
            </w:tcBorders>
          </w:tcPr>
          <w:p w14:paraId="43D59DA3"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134" w:type="dxa"/>
            <w:tcBorders>
              <w:top w:val="nil"/>
              <w:left w:val="nil"/>
              <w:bottom w:val="single" w:sz="4" w:space="0" w:color="auto"/>
              <w:right w:val="single" w:sz="4" w:space="0" w:color="auto"/>
            </w:tcBorders>
          </w:tcPr>
          <w:p w14:paraId="750D4988"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418" w:type="dxa"/>
            <w:tcBorders>
              <w:top w:val="nil"/>
              <w:left w:val="nil"/>
              <w:bottom w:val="single" w:sz="4" w:space="0" w:color="auto"/>
              <w:right w:val="single" w:sz="4" w:space="0" w:color="auto"/>
            </w:tcBorders>
          </w:tcPr>
          <w:p w14:paraId="19CAE603"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3260" w:type="dxa"/>
            <w:tcBorders>
              <w:top w:val="nil"/>
              <w:left w:val="nil"/>
              <w:bottom w:val="single" w:sz="4" w:space="0" w:color="auto"/>
              <w:right w:val="single" w:sz="4" w:space="0" w:color="auto"/>
            </w:tcBorders>
            <w:noWrap/>
            <w:vAlign w:val="bottom"/>
          </w:tcPr>
          <w:p w14:paraId="17E6C175"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p>
        </w:tc>
      </w:tr>
      <w:tr w:rsidR="00110E29" w:rsidRPr="001514DD" w14:paraId="525010D8" w14:textId="77777777" w:rsidTr="00834353">
        <w:trPr>
          <w:trHeight w:val="255"/>
        </w:trPr>
        <w:tc>
          <w:tcPr>
            <w:tcW w:w="6774" w:type="dxa"/>
            <w:tcBorders>
              <w:top w:val="nil"/>
              <w:left w:val="single" w:sz="4" w:space="0" w:color="auto"/>
              <w:bottom w:val="single" w:sz="4" w:space="0" w:color="auto"/>
              <w:right w:val="single" w:sz="4" w:space="0" w:color="auto"/>
            </w:tcBorders>
          </w:tcPr>
          <w:p w14:paraId="11C584EB"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Bežné výdavky (600)</w:t>
            </w:r>
          </w:p>
        </w:tc>
        <w:tc>
          <w:tcPr>
            <w:tcW w:w="981" w:type="dxa"/>
            <w:tcBorders>
              <w:top w:val="nil"/>
              <w:left w:val="nil"/>
              <w:bottom w:val="single" w:sz="4" w:space="0" w:color="auto"/>
              <w:right w:val="single" w:sz="4" w:space="0" w:color="auto"/>
            </w:tcBorders>
          </w:tcPr>
          <w:p w14:paraId="6188ED4E"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312" w:type="dxa"/>
            <w:tcBorders>
              <w:top w:val="nil"/>
              <w:left w:val="nil"/>
              <w:bottom w:val="single" w:sz="4" w:space="0" w:color="auto"/>
              <w:right w:val="single" w:sz="4" w:space="0" w:color="auto"/>
            </w:tcBorders>
          </w:tcPr>
          <w:p w14:paraId="5D04C38B"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427 938</w:t>
            </w:r>
          </w:p>
        </w:tc>
        <w:tc>
          <w:tcPr>
            <w:tcW w:w="1134" w:type="dxa"/>
            <w:tcBorders>
              <w:top w:val="nil"/>
              <w:left w:val="nil"/>
              <w:bottom w:val="single" w:sz="4" w:space="0" w:color="auto"/>
              <w:right w:val="single" w:sz="4" w:space="0" w:color="auto"/>
            </w:tcBorders>
          </w:tcPr>
          <w:p w14:paraId="1ACE8F27"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418" w:type="dxa"/>
            <w:tcBorders>
              <w:top w:val="nil"/>
              <w:left w:val="nil"/>
              <w:bottom w:val="single" w:sz="4" w:space="0" w:color="auto"/>
              <w:right w:val="single" w:sz="4" w:space="0" w:color="auto"/>
            </w:tcBorders>
          </w:tcPr>
          <w:p w14:paraId="015694FA"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722 293</w:t>
            </w:r>
          </w:p>
        </w:tc>
        <w:tc>
          <w:tcPr>
            <w:tcW w:w="3260" w:type="dxa"/>
            <w:tcBorders>
              <w:top w:val="nil"/>
              <w:left w:val="nil"/>
              <w:bottom w:val="single" w:sz="4" w:space="0" w:color="auto"/>
              <w:right w:val="single" w:sz="4" w:space="0" w:color="auto"/>
            </w:tcBorders>
            <w:noWrap/>
            <w:vAlign w:val="bottom"/>
          </w:tcPr>
          <w:p w14:paraId="719DEB12"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p>
        </w:tc>
      </w:tr>
      <w:tr w:rsidR="00110E29" w:rsidRPr="001514DD" w14:paraId="1DCF80DC" w14:textId="77777777" w:rsidTr="00834353">
        <w:trPr>
          <w:trHeight w:val="255"/>
        </w:trPr>
        <w:tc>
          <w:tcPr>
            <w:tcW w:w="6774" w:type="dxa"/>
            <w:tcBorders>
              <w:top w:val="nil"/>
              <w:left w:val="single" w:sz="4" w:space="0" w:color="auto"/>
              <w:bottom w:val="single" w:sz="4" w:space="0" w:color="auto"/>
              <w:right w:val="single" w:sz="4" w:space="0" w:color="auto"/>
            </w:tcBorders>
          </w:tcPr>
          <w:p w14:paraId="64A304DC"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 xml:space="preserve">  Mzdy, platy, služobné príjmy a ostatné osobné vyrovnania (610)</w:t>
            </w:r>
          </w:p>
        </w:tc>
        <w:tc>
          <w:tcPr>
            <w:tcW w:w="981" w:type="dxa"/>
            <w:tcBorders>
              <w:top w:val="nil"/>
              <w:left w:val="nil"/>
              <w:bottom w:val="single" w:sz="4" w:space="0" w:color="auto"/>
              <w:right w:val="single" w:sz="4" w:space="0" w:color="auto"/>
            </w:tcBorders>
          </w:tcPr>
          <w:p w14:paraId="5CFE5652"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24425EEF"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125 000</w:t>
            </w:r>
          </w:p>
        </w:tc>
        <w:tc>
          <w:tcPr>
            <w:tcW w:w="1134" w:type="dxa"/>
            <w:tcBorders>
              <w:top w:val="nil"/>
              <w:left w:val="nil"/>
              <w:bottom w:val="single" w:sz="4" w:space="0" w:color="auto"/>
              <w:right w:val="single" w:sz="4" w:space="0" w:color="auto"/>
            </w:tcBorders>
          </w:tcPr>
          <w:p w14:paraId="2140B3D1"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4A3F2D38"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215 000</w:t>
            </w:r>
          </w:p>
        </w:tc>
        <w:tc>
          <w:tcPr>
            <w:tcW w:w="3260" w:type="dxa"/>
            <w:tcBorders>
              <w:top w:val="nil"/>
              <w:left w:val="nil"/>
              <w:bottom w:val="single" w:sz="4" w:space="0" w:color="auto"/>
              <w:right w:val="single" w:sz="4" w:space="0" w:color="auto"/>
            </w:tcBorders>
            <w:noWrap/>
            <w:vAlign w:val="bottom"/>
          </w:tcPr>
          <w:p w14:paraId="74B6A471"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mzdové nároky osôb zabezpečujúcich organizačnú a technickú prípravu a vykonanie hlasovania na zastupiteľských úradoch</w:t>
            </w:r>
          </w:p>
        </w:tc>
      </w:tr>
      <w:tr w:rsidR="00110E29" w:rsidRPr="001514DD" w14:paraId="7816235A" w14:textId="77777777" w:rsidTr="00834353">
        <w:trPr>
          <w:trHeight w:val="255"/>
        </w:trPr>
        <w:tc>
          <w:tcPr>
            <w:tcW w:w="6774" w:type="dxa"/>
            <w:tcBorders>
              <w:top w:val="nil"/>
              <w:left w:val="single" w:sz="4" w:space="0" w:color="auto"/>
              <w:bottom w:val="single" w:sz="4" w:space="0" w:color="auto"/>
              <w:right w:val="single" w:sz="4" w:space="0" w:color="auto"/>
            </w:tcBorders>
          </w:tcPr>
          <w:p w14:paraId="3C8F2A80"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vertAlign w:val="superscript"/>
                <w:lang w:eastAsia="sk-SK"/>
              </w:rPr>
            </w:pPr>
            <w:r w:rsidRPr="001514DD">
              <w:rPr>
                <w:rFonts w:ascii="Times New Roman" w:eastAsia="Times New Roman" w:hAnsi="Times New Roman" w:cs="Times New Roman"/>
                <w:color w:val="000000" w:themeColor="text1"/>
                <w:szCs w:val="20"/>
                <w:lang w:eastAsia="sk-SK"/>
              </w:rPr>
              <w:t xml:space="preserve">  Poistné a príspevok do poisťovní (620)</w:t>
            </w:r>
          </w:p>
        </w:tc>
        <w:tc>
          <w:tcPr>
            <w:tcW w:w="981" w:type="dxa"/>
            <w:tcBorders>
              <w:top w:val="nil"/>
              <w:left w:val="nil"/>
              <w:bottom w:val="single" w:sz="4" w:space="0" w:color="auto"/>
              <w:right w:val="single" w:sz="4" w:space="0" w:color="auto"/>
            </w:tcBorders>
          </w:tcPr>
          <w:p w14:paraId="5B5E3B47"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4914F746"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44 938</w:t>
            </w:r>
          </w:p>
        </w:tc>
        <w:tc>
          <w:tcPr>
            <w:tcW w:w="1134" w:type="dxa"/>
            <w:tcBorders>
              <w:top w:val="nil"/>
              <w:left w:val="nil"/>
              <w:bottom w:val="single" w:sz="4" w:space="0" w:color="auto"/>
              <w:right w:val="single" w:sz="4" w:space="0" w:color="auto"/>
            </w:tcBorders>
          </w:tcPr>
          <w:p w14:paraId="445F0229"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0BE2AE8C"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77 293</w:t>
            </w:r>
          </w:p>
        </w:tc>
        <w:tc>
          <w:tcPr>
            <w:tcW w:w="3260" w:type="dxa"/>
            <w:tcBorders>
              <w:top w:val="nil"/>
              <w:left w:val="nil"/>
              <w:bottom w:val="single" w:sz="4" w:space="0" w:color="auto"/>
              <w:right w:val="single" w:sz="4" w:space="0" w:color="auto"/>
            </w:tcBorders>
            <w:noWrap/>
            <w:vAlign w:val="bottom"/>
          </w:tcPr>
          <w:p w14:paraId="124EE78F"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úhrady poistného do poisťovní</w:t>
            </w:r>
          </w:p>
        </w:tc>
      </w:tr>
      <w:tr w:rsidR="00110E29" w:rsidRPr="001514DD" w14:paraId="65D187D1" w14:textId="77777777" w:rsidTr="00834353">
        <w:trPr>
          <w:trHeight w:val="255"/>
        </w:trPr>
        <w:tc>
          <w:tcPr>
            <w:tcW w:w="6774" w:type="dxa"/>
            <w:tcBorders>
              <w:top w:val="nil"/>
              <w:left w:val="single" w:sz="4" w:space="0" w:color="auto"/>
              <w:bottom w:val="single" w:sz="4" w:space="0" w:color="auto"/>
              <w:right w:val="single" w:sz="4" w:space="0" w:color="auto"/>
            </w:tcBorders>
          </w:tcPr>
          <w:p w14:paraId="04571BB3"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vertAlign w:val="superscript"/>
                <w:lang w:eastAsia="sk-SK"/>
              </w:rPr>
            </w:pPr>
            <w:r w:rsidRPr="001514DD">
              <w:rPr>
                <w:rFonts w:ascii="Times New Roman" w:eastAsia="Times New Roman" w:hAnsi="Times New Roman" w:cs="Times New Roman"/>
                <w:color w:val="000000" w:themeColor="text1"/>
                <w:szCs w:val="20"/>
                <w:lang w:eastAsia="sk-SK"/>
              </w:rPr>
              <w:t xml:space="preserve">  Tovary a služby (630)</w:t>
            </w:r>
            <w:r w:rsidRPr="001514DD">
              <w:rPr>
                <w:rFonts w:ascii="Times New Roman" w:eastAsia="Times New Roman" w:hAnsi="Times New Roman" w:cs="Times New Roman"/>
                <w:color w:val="000000" w:themeColor="text1"/>
                <w:szCs w:val="20"/>
                <w:vertAlign w:val="superscript"/>
                <w:lang w:eastAsia="sk-SK"/>
              </w:rPr>
              <w:t>2</w:t>
            </w:r>
          </w:p>
        </w:tc>
        <w:tc>
          <w:tcPr>
            <w:tcW w:w="981" w:type="dxa"/>
            <w:tcBorders>
              <w:top w:val="nil"/>
              <w:left w:val="nil"/>
              <w:bottom w:val="single" w:sz="4" w:space="0" w:color="auto"/>
              <w:right w:val="single" w:sz="4" w:space="0" w:color="auto"/>
            </w:tcBorders>
          </w:tcPr>
          <w:p w14:paraId="1CCE5A00"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335F7FC7"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szCs w:val="20"/>
                <w:lang w:eastAsia="sk-SK"/>
              </w:rPr>
              <w:t>258 000</w:t>
            </w:r>
          </w:p>
        </w:tc>
        <w:tc>
          <w:tcPr>
            <w:tcW w:w="1134" w:type="dxa"/>
            <w:tcBorders>
              <w:top w:val="nil"/>
              <w:left w:val="nil"/>
              <w:bottom w:val="single" w:sz="4" w:space="0" w:color="auto"/>
              <w:right w:val="single" w:sz="4" w:space="0" w:color="auto"/>
            </w:tcBorders>
          </w:tcPr>
          <w:p w14:paraId="71B5BD99"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64377B49"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430 000</w:t>
            </w:r>
          </w:p>
        </w:tc>
        <w:tc>
          <w:tcPr>
            <w:tcW w:w="3260" w:type="dxa"/>
            <w:tcBorders>
              <w:top w:val="nil"/>
              <w:left w:val="nil"/>
              <w:bottom w:val="single" w:sz="4" w:space="0" w:color="auto"/>
              <w:right w:val="single" w:sz="4" w:space="0" w:color="auto"/>
            </w:tcBorders>
            <w:noWrap/>
            <w:vAlign w:val="bottom"/>
          </w:tcPr>
          <w:p w14:paraId="3F817E28"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sz w:val="24"/>
                <w:lang w:eastAsia="sk-SK"/>
              </w:rPr>
              <w:t>zabezpečenie činnosti osobitnej okresnej volebnej komisie a okrskových volebných komisií utvorených pre osobitné okrsky</w:t>
            </w:r>
          </w:p>
        </w:tc>
      </w:tr>
      <w:tr w:rsidR="00110E29" w:rsidRPr="001514DD" w14:paraId="09132A59" w14:textId="77777777" w:rsidTr="00834353">
        <w:trPr>
          <w:trHeight w:val="255"/>
        </w:trPr>
        <w:tc>
          <w:tcPr>
            <w:tcW w:w="6774" w:type="dxa"/>
            <w:tcBorders>
              <w:top w:val="nil"/>
              <w:left w:val="single" w:sz="4" w:space="0" w:color="auto"/>
              <w:bottom w:val="single" w:sz="4" w:space="0" w:color="auto"/>
              <w:right w:val="single" w:sz="4" w:space="0" w:color="auto"/>
            </w:tcBorders>
          </w:tcPr>
          <w:p w14:paraId="32543B1D"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 xml:space="preserve">  Bežné transfery (640)</w:t>
            </w:r>
            <w:r w:rsidRPr="001514DD">
              <w:rPr>
                <w:rFonts w:ascii="Times New Roman" w:eastAsia="Times New Roman" w:hAnsi="Times New Roman" w:cs="Times New Roman"/>
                <w:color w:val="000000" w:themeColor="text1"/>
                <w:szCs w:val="20"/>
                <w:vertAlign w:val="superscript"/>
                <w:lang w:eastAsia="sk-SK"/>
              </w:rPr>
              <w:t>2</w:t>
            </w:r>
          </w:p>
        </w:tc>
        <w:tc>
          <w:tcPr>
            <w:tcW w:w="981" w:type="dxa"/>
            <w:tcBorders>
              <w:top w:val="nil"/>
              <w:left w:val="nil"/>
              <w:bottom w:val="single" w:sz="4" w:space="0" w:color="auto"/>
              <w:right w:val="single" w:sz="4" w:space="0" w:color="auto"/>
            </w:tcBorders>
          </w:tcPr>
          <w:p w14:paraId="646C875F"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32923E6D"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134" w:type="dxa"/>
            <w:tcBorders>
              <w:top w:val="nil"/>
              <w:left w:val="nil"/>
              <w:bottom w:val="single" w:sz="4" w:space="0" w:color="auto"/>
              <w:right w:val="single" w:sz="4" w:space="0" w:color="auto"/>
            </w:tcBorders>
          </w:tcPr>
          <w:p w14:paraId="2F719931"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340EAC1E"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3260" w:type="dxa"/>
            <w:tcBorders>
              <w:top w:val="nil"/>
              <w:left w:val="nil"/>
              <w:bottom w:val="single" w:sz="4" w:space="0" w:color="auto"/>
              <w:right w:val="single" w:sz="4" w:space="0" w:color="auto"/>
            </w:tcBorders>
            <w:noWrap/>
            <w:vAlign w:val="bottom"/>
          </w:tcPr>
          <w:p w14:paraId="31EDC108"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 </w:t>
            </w:r>
          </w:p>
        </w:tc>
      </w:tr>
      <w:tr w:rsidR="00110E29" w:rsidRPr="001514DD" w14:paraId="3FAB3C4C" w14:textId="77777777" w:rsidTr="00834353">
        <w:trPr>
          <w:trHeight w:val="255"/>
        </w:trPr>
        <w:tc>
          <w:tcPr>
            <w:tcW w:w="6774" w:type="dxa"/>
            <w:tcBorders>
              <w:top w:val="nil"/>
              <w:left w:val="single" w:sz="4" w:space="0" w:color="auto"/>
              <w:bottom w:val="single" w:sz="4" w:space="0" w:color="auto"/>
              <w:right w:val="single" w:sz="4" w:space="0" w:color="auto"/>
            </w:tcBorders>
            <w:vAlign w:val="center"/>
          </w:tcPr>
          <w:p w14:paraId="3F4C5506"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 xml:space="preserve">  Splácanie úrokov a ostatné platby súvisiace s </w:t>
            </w:r>
            <w:r w:rsidRPr="001514DD">
              <w:rPr>
                <w:color w:val="000000" w:themeColor="text1"/>
              </w:rPr>
              <w:t xml:space="preserve"> </w:t>
            </w:r>
            <w:r w:rsidRPr="001514DD">
              <w:rPr>
                <w:rFonts w:ascii="Times New Roman" w:eastAsia="Times New Roman" w:hAnsi="Times New Roman" w:cs="Times New Roman"/>
                <w:color w:val="000000" w:themeColor="text1"/>
                <w:szCs w:val="20"/>
                <w:lang w:eastAsia="sk-SK"/>
              </w:rPr>
              <w:t>úverom, pôžičkou, návratnou finančnou výpomocou a finančným prenájmom (650)</w:t>
            </w:r>
            <w:r w:rsidRPr="001514DD">
              <w:rPr>
                <w:rFonts w:ascii="Times New Roman" w:eastAsia="Times New Roman" w:hAnsi="Times New Roman" w:cs="Times New Roman"/>
                <w:color w:val="000000" w:themeColor="text1"/>
                <w:szCs w:val="20"/>
                <w:vertAlign w:val="superscript"/>
                <w:lang w:eastAsia="sk-SK"/>
              </w:rPr>
              <w:t>2</w:t>
            </w:r>
          </w:p>
        </w:tc>
        <w:tc>
          <w:tcPr>
            <w:tcW w:w="981" w:type="dxa"/>
            <w:tcBorders>
              <w:top w:val="nil"/>
              <w:left w:val="nil"/>
              <w:bottom w:val="single" w:sz="4" w:space="0" w:color="auto"/>
              <w:right w:val="single" w:sz="4" w:space="0" w:color="auto"/>
            </w:tcBorders>
          </w:tcPr>
          <w:p w14:paraId="6E66A5F6"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72F9C5F3"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134" w:type="dxa"/>
            <w:tcBorders>
              <w:top w:val="nil"/>
              <w:left w:val="nil"/>
              <w:bottom w:val="single" w:sz="4" w:space="0" w:color="auto"/>
              <w:right w:val="single" w:sz="4" w:space="0" w:color="auto"/>
            </w:tcBorders>
          </w:tcPr>
          <w:p w14:paraId="732BF795"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78C5F627"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3260" w:type="dxa"/>
            <w:tcBorders>
              <w:top w:val="nil"/>
              <w:left w:val="nil"/>
              <w:bottom w:val="single" w:sz="4" w:space="0" w:color="auto"/>
              <w:right w:val="single" w:sz="4" w:space="0" w:color="auto"/>
            </w:tcBorders>
            <w:noWrap/>
            <w:vAlign w:val="bottom"/>
          </w:tcPr>
          <w:p w14:paraId="5D812D14"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p>
        </w:tc>
      </w:tr>
      <w:tr w:rsidR="00110E29" w:rsidRPr="001514DD" w14:paraId="28457C2A" w14:textId="77777777" w:rsidTr="00834353">
        <w:trPr>
          <w:trHeight w:val="255"/>
        </w:trPr>
        <w:tc>
          <w:tcPr>
            <w:tcW w:w="6774" w:type="dxa"/>
            <w:tcBorders>
              <w:top w:val="nil"/>
              <w:left w:val="single" w:sz="4" w:space="0" w:color="auto"/>
              <w:bottom w:val="single" w:sz="4" w:space="0" w:color="auto"/>
              <w:right w:val="single" w:sz="4" w:space="0" w:color="auto"/>
            </w:tcBorders>
          </w:tcPr>
          <w:p w14:paraId="2734F5E5"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Kapitálové výdavky (700)</w:t>
            </w:r>
          </w:p>
        </w:tc>
        <w:tc>
          <w:tcPr>
            <w:tcW w:w="981" w:type="dxa"/>
            <w:tcBorders>
              <w:top w:val="nil"/>
              <w:left w:val="nil"/>
              <w:bottom w:val="single" w:sz="4" w:space="0" w:color="auto"/>
              <w:right w:val="single" w:sz="4" w:space="0" w:color="auto"/>
            </w:tcBorders>
          </w:tcPr>
          <w:p w14:paraId="35CA1434"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312" w:type="dxa"/>
            <w:tcBorders>
              <w:top w:val="nil"/>
              <w:left w:val="nil"/>
              <w:bottom w:val="single" w:sz="4" w:space="0" w:color="auto"/>
              <w:right w:val="single" w:sz="4" w:space="0" w:color="auto"/>
            </w:tcBorders>
          </w:tcPr>
          <w:p w14:paraId="2475E9B5"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134" w:type="dxa"/>
            <w:tcBorders>
              <w:top w:val="nil"/>
              <w:left w:val="nil"/>
              <w:bottom w:val="single" w:sz="4" w:space="0" w:color="auto"/>
              <w:right w:val="single" w:sz="4" w:space="0" w:color="auto"/>
            </w:tcBorders>
          </w:tcPr>
          <w:p w14:paraId="5A937DEC"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418" w:type="dxa"/>
            <w:tcBorders>
              <w:top w:val="nil"/>
              <w:left w:val="nil"/>
              <w:bottom w:val="single" w:sz="4" w:space="0" w:color="auto"/>
              <w:right w:val="single" w:sz="4" w:space="0" w:color="auto"/>
            </w:tcBorders>
          </w:tcPr>
          <w:p w14:paraId="6752B746"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3260" w:type="dxa"/>
            <w:tcBorders>
              <w:top w:val="nil"/>
              <w:left w:val="nil"/>
              <w:bottom w:val="single" w:sz="4" w:space="0" w:color="auto"/>
              <w:right w:val="single" w:sz="4" w:space="0" w:color="auto"/>
            </w:tcBorders>
            <w:noWrap/>
            <w:vAlign w:val="bottom"/>
          </w:tcPr>
          <w:p w14:paraId="6B4DF1E3"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 </w:t>
            </w:r>
          </w:p>
        </w:tc>
      </w:tr>
      <w:tr w:rsidR="00110E29" w:rsidRPr="001514DD" w14:paraId="318608A7" w14:textId="77777777" w:rsidTr="00834353">
        <w:trPr>
          <w:trHeight w:val="255"/>
        </w:trPr>
        <w:tc>
          <w:tcPr>
            <w:tcW w:w="6774" w:type="dxa"/>
            <w:tcBorders>
              <w:top w:val="nil"/>
              <w:left w:val="single" w:sz="4" w:space="0" w:color="auto"/>
              <w:bottom w:val="single" w:sz="4" w:space="0" w:color="auto"/>
              <w:right w:val="single" w:sz="4" w:space="0" w:color="auto"/>
            </w:tcBorders>
          </w:tcPr>
          <w:p w14:paraId="0CB923EA"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 xml:space="preserve">  Obstarávanie kapitálových aktív (710)</w:t>
            </w:r>
            <w:r w:rsidRPr="001514DD">
              <w:rPr>
                <w:rFonts w:ascii="Times New Roman" w:eastAsia="Times New Roman" w:hAnsi="Times New Roman" w:cs="Times New Roman"/>
                <w:color w:val="000000" w:themeColor="text1"/>
                <w:szCs w:val="20"/>
                <w:vertAlign w:val="superscript"/>
                <w:lang w:eastAsia="sk-SK"/>
              </w:rPr>
              <w:t>2</w:t>
            </w:r>
          </w:p>
        </w:tc>
        <w:tc>
          <w:tcPr>
            <w:tcW w:w="981" w:type="dxa"/>
            <w:tcBorders>
              <w:top w:val="nil"/>
              <w:left w:val="nil"/>
              <w:bottom w:val="single" w:sz="4" w:space="0" w:color="auto"/>
              <w:right w:val="single" w:sz="4" w:space="0" w:color="auto"/>
            </w:tcBorders>
          </w:tcPr>
          <w:p w14:paraId="35A37484"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5AB9C1BF"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134" w:type="dxa"/>
            <w:tcBorders>
              <w:top w:val="nil"/>
              <w:left w:val="nil"/>
              <w:bottom w:val="single" w:sz="4" w:space="0" w:color="auto"/>
              <w:right w:val="single" w:sz="4" w:space="0" w:color="auto"/>
            </w:tcBorders>
          </w:tcPr>
          <w:p w14:paraId="234A9567"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7F526229"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3260" w:type="dxa"/>
            <w:tcBorders>
              <w:top w:val="nil"/>
              <w:left w:val="nil"/>
              <w:bottom w:val="single" w:sz="4" w:space="0" w:color="auto"/>
              <w:right w:val="single" w:sz="4" w:space="0" w:color="auto"/>
            </w:tcBorders>
            <w:noWrap/>
            <w:vAlign w:val="bottom"/>
          </w:tcPr>
          <w:p w14:paraId="168CC59E"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 </w:t>
            </w:r>
          </w:p>
        </w:tc>
      </w:tr>
      <w:tr w:rsidR="00110E29" w:rsidRPr="001514DD" w14:paraId="38D234A5" w14:textId="77777777" w:rsidTr="00834353">
        <w:trPr>
          <w:trHeight w:val="255"/>
        </w:trPr>
        <w:tc>
          <w:tcPr>
            <w:tcW w:w="6774" w:type="dxa"/>
            <w:tcBorders>
              <w:top w:val="nil"/>
              <w:left w:val="single" w:sz="4" w:space="0" w:color="auto"/>
              <w:bottom w:val="single" w:sz="4" w:space="0" w:color="auto"/>
              <w:right w:val="single" w:sz="4" w:space="0" w:color="auto"/>
            </w:tcBorders>
          </w:tcPr>
          <w:p w14:paraId="7E06C8BA" w14:textId="77777777" w:rsidR="00110E29" w:rsidRPr="001514DD" w:rsidRDefault="00110E29" w:rsidP="00834353">
            <w:pPr>
              <w:spacing w:after="0" w:line="240" w:lineRule="auto"/>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 xml:space="preserve">  Kapitálové transfery (720)</w:t>
            </w:r>
            <w:r w:rsidRPr="001514DD">
              <w:rPr>
                <w:rFonts w:ascii="Times New Roman" w:eastAsia="Times New Roman" w:hAnsi="Times New Roman" w:cs="Times New Roman"/>
                <w:color w:val="000000" w:themeColor="text1"/>
                <w:szCs w:val="20"/>
                <w:vertAlign w:val="superscript"/>
                <w:lang w:eastAsia="sk-SK"/>
              </w:rPr>
              <w:t>2</w:t>
            </w:r>
          </w:p>
        </w:tc>
        <w:tc>
          <w:tcPr>
            <w:tcW w:w="981" w:type="dxa"/>
            <w:tcBorders>
              <w:top w:val="nil"/>
              <w:left w:val="nil"/>
              <w:bottom w:val="single" w:sz="4" w:space="0" w:color="auto"/>
              <w:right w:val="single" w:sz="4" w:space="0" w:color="auto"/>
            </w:tcBorders>
          </w:tcPr>
          <w:p w14:paraId="654F9482"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312" w:type="dxa"/>
            <w:tcBorders>
              <w:top w:val="nil"/>
              <w:left w:val="nil"/>
              <w:bottom w:val="single" w:sz="4" w:space="0" w:color="auto"/>
              <w:right w:val="single" w:sz="4" w:space="0" w:color="auto"/>
            </w:tcBorders>
          </w:tcPr>
          <w:p w14:paraId="390132B1"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134" w:type="dxa"/>
            <w:tcBorders>
              <w:top w:val="nil"/>
              <w:left w:val="nil"/>
              <w:bottom w:val="single" w:sz="4" w:space="0" w:color="auto"/>
              <w:right w:val="single" w:sz="4" w:space="0" w:color="auto"/>
            </w:tcBorders>
          </w:tcPr>
          <w:p w14:paraId="7E02869D"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1418" w:type="dxa"/>
            <w:tcBorders>
              <w:top w:val="nil"/>
              <w:left w:val="nil"/>
              <w:bottom w:val="single" w:sz="4" w:space="0" w:color="auto"/>
              <w:right w:val="single" w:sz="4" w:space="0" w:color="auto"/>
            </w:tcBorders>
          </w:tcPr>
          <w:p w14:paraId="41F33ED4" w14:textId="77777777" w:rsidR="00110E29" w:rsidRPr="001514DD" w:rsidRDefault="00110E29" w:rsidP="00834353">
            <w:pPr>
              <w:spacing w:after="0" w:line="240" w:lineRule="auto"/>
              <w:jc w:val="center"/>
              <w:rPr>
                <w:rFonts w:ascii="Times New Roman" w:eastAsia="Times New Roman" w:hAnsi="Times New Roman" w:cs="Times New Roman"/>
                <w:color w:val="000000" w:themeColor="text1"/>
                <w:szCs w:val="20"/>
                <w:lang w:eastAsia="sk-SK"/>
              </w:rPr>
            </w:pPr>
            <w:r w:rsidRPr="001514DD">
              <w:rPr>
                <w:rFonts w:ascii="Times New Roman" w:eastAsia="Times New Roman" w:hAnsi="Times New Roman" w:cs="Times New Roman"/>
                <w:color w:val="000000" w:themeColor="text1"/>
                <w:szCs w:val="20"/>
                <w:lang w:eastAsia="sk-SK"/>
              </w:rPr>
              <w:t>0</w:t>
            </w:r>
          </w:p>
        </w:tc>
        <w:tc>
          <w:tcPr>
            <w:tcW w:w="3260" w:type="dxa"/>
            <w:tcBorders>
              <w:top w:val="nil"/>
              <w:left w:val="nil"/>
              <w:bottom w:val="single" w:sz="4" w:space="0" w:color="auto"/>
              <w:right w:val="single" w:sz="4" w:space="0" w:color="auto"/>
            </w:tcBorders>
            <w:noWrap/>
            <w:vAlign w:val="bottom"/>
          </w:tcPr>
          <w:p w14:paraId="2BBE265B"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 </w:t>
            </w:r>
          </w:p>
        </w:tc>
      </w:tr>
      <w:tr w:rsidR="00110E29" w:rsidRPr="001514DD" w14:paraId="78AA81E4" w14:textId="77777777" w:rsidTr="00834353">
        <w:trPr>
          <w:trHeight w:val="255"/>
        </w:trPr>
        <w:tc>
          <w:tcPr>
            <w:tcW w:w="67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3A71A2" w14:textId="77777777" w:rsidR="00110E29" w:rsidRPr="001514DD" w:rsidRDefault="00110E29" w:rsidP="00834353">
            <w:pPr>
              <w:spacing w:after="0" w:line="240" w:lineRule="auto"/>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Vplyv na limit verejných výdavkov subjektu verejnej správy celkom</w:t>
            </w:r>
          </w:p>
        </w:tc>
        <w:tc>
          <w:tcPr>
            <w:tcW w:w="981" w:type="dxa"/>
            <w:tcBorders>
              <w:top w:val="single" w:sz="4" w:space="0" w:color="auto"/>
              <w:left w:val="nil"/>
              <w:bottom w:val="single" w:sz="4" w:space="0" w:color="auto"/>
              <w:right w:val="single" w:sz="4" w:space="0" w:color="auto"/>
            </w:tcBorders>
            <w:shd w:val="clear" w:color="auto" w:fill="BFBFBF" w:themeFill="background1" w:themeFillShade="BF"/>
          </w:tcPr>
          <w:p w14:paraId="24264FEF"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312" w:type="dxa"/>
            <w:tcBorders>
              <w:top w:val="single" w:sz="4" w:space="0" w:color="auto"/>
              <w:left w:val="nil"/>
              <w:bottom w:val="single" w:sz="4" w:space="0" w:color="auto"/>
              <w:right w:val="single" w:sz="4" w:space="0" w:color="auto"/>
            </w:tcBorders>
            <w:shd w:val="clear" w:color="auto" w:fill="BFBFBF" w:themeFill="background1" w:themeFillShade="BF"/>
          </w:tcPr>
          <w:p w14:paraId="6CD555DE"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427 938</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tcPr>
          <w:p w14:paraId="4F4C21E1"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0</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36BC94DF" w14:textId="77777777" w:rsidR="00110E29" w:rsidRPr="001514DD" w:rsidRDefault="00110E29" w:rsidP="00834353">
            <w:pPr>
              <w:spacing w:after="0" w:line="240" w:lineRule="auto"/>
              <w:jc w:val="center"/>
              <w:rPr>
                <w:rFonts w:ascii="Times New Roman" w:eastAsia="Times New Roman" w:hAnsi="Times New Roman" w:cs="Times New Roman"/>
                <w:b/>
                <w:bCs/>
                <w:color w:val="000000" w:themeColor="text1"/>
                <w:szCs w:val="20"/>
                <w:lang w:eastAsia="sk-SK"/>
              </w:rPr>
            </w:pPr>
            <w:r w:rsidRPr="001514DD">
              <w:rPr>
                <w:rFonts w:ascii="Times New Roman" w:eastAsia="Times New Roman" w:hAnsi="Times New Roman" w:cs="Times New Roman"/>
                <w:b/>
                <w:bCs/>
                <w:color w:val="000000" w:themeColor="text1"/>
                <w:szCs w:val="20"/>
                <w:lang w:eastAsia="sk-SK"/>
              </w:rPr>
              <w:t>722 293</w:t>
            </w:r>
          </w:p>
        </w:tc>
        <w:tc>
          <w:tcPr>
            <w:tcW w:w="326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BA80A92" w14:textId="77777777" w:rsidR="00110E29" w:rsidRPr="001514DD" w:rsidRDefault="00110E29" w:rsidP="00834353">
            <w:pPr>
              <w:spacing w:after="0" w:line="240" w:lineRule="auto"/>
              <w:rPr>
                <w:rFonts w:ascii="Times New Roman" w:eastAsia="Times New Roman" w:hAnsi="Times New Roman" w:cs="Times New Roman"/>
                <w:color w:val="000000" w:themeColor="text1"/>
                <w:sz w:val="24"/>
                <w:lang w:eastAsia="sk-SK"/>
              </w:rPr>
            </w:pPr>
            <w:r w:rsidRPr="001514DD">
              <w:rPr>
                <w:rFonts w:ascii="Times New Roman" w:eastAsia="Times New Roman" w:hAnsi="Times New Roman" w:cs="Times New Roman"/>
                <w:color w:val="000000" w:themeColor="text1"/>
                <w:sz w:val="24"/>
                <w:lang w:eastAsia="sk-SK"/>
              </w:rPr>
              <w:t> </w:t>
            </w:r>
          </w:p>
        </w:tc>
      </w:tr>
    </w:tbl>
    <w:p w14:paraId="4045F599" w14:textId="77777777" w:rsidR="00110E29" w:rsidRPr="001514DD" w:rsidRDefault="00110E29" w:rsidP="00110E29">
      <w:pPr>
        <w:tabs>
          <w:tab w:val="num" w:pos="1080"/>
        </w:tabs>
        <w:spacing w:after="0" w:line="240" w:lineRule="auto"/>
        <w:ind w:left="-567"/>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color w:val="000000" w:themeColor="text1"/>
          <w:szCs w:val="20"/>
          <w:lang w:eastAsia="sk-SK"/>
        </w:rPr>
        <w:t xml:space="preserve">  2 –  výdavky rozpísať až do podpo</w:t>
      </w:r>
      <w:r w:rsidRPr="001514DD">
        <w:rPr>
          <w:rFonts w:ascii="Times New Roman" w:eastAsia="Times New Roman" w:hAnsi="Times New Roman" w:cs="Times New Roman"/>
          <w:bCs/>
          <w:szCs w:val="20"/>
          <w:lang w:eastAsia="sk-SK"/>
        </w:rPr>
        <w:t>ložiek platnej ekonomickej klasifikácie</w:t>
      </w:r>
    </w:p>
    <w:p w14:paraId="56EBCC77" w14:textId="77777777" w:rsidR="00110E29" w:rsidRPr="001514DD" w:rsidRDefault="00110E29" w:rsidP="00110E29">
      <w:pPr>
        <w:tabs>
          <w:tab w:val="num" w:pos="1080"/>
        </w:tabs>
        <w:spacing w:after="0" w:line="240" w:lineRule="auto"/>
        <w:ind w:left="-567"/>
        <w:jc w:val="both"/>
        <w:rPr>
          <w:rFonts w:ascii="Times New Roman" w:eastAsia="Times New Roman" w:hAnsi="Times New Roman" w:cs="Times New Roman"/>
          <w:bCs/>
          <w:sz w:val="24"/>
          <w:szCs w:val="20"/>
          <w:lang w:eastAsia="sk-SK"/>
        </w:rPr>
      </w:pPr>
    </w:p>
    <w:p w14:paraId="2F0FE1ED" w14:textId="77777777" w:rsidR="00110E29" w:rsidRPr="001514DD" w:rsidRDefault="00110E29" w:rsidP="00110E29">
      <w:pPr>
        <w:tabs>
          <w:tab w:val="num" w:pos="1080"/>
        </w:tabs>
        <w:spacing w:after="0" w:line="240" w:lineRule="auto"/>
        <w:ind w:left="-567"/>
        <w:jc w:val="both"/>
        <w:rPr>
          <w:rFonts w:ascii="Times New Roman" w:eastAsia="Times New Roman" w:hAnsi="Times New Roman" w:cs="Times New Roman"/>
          <w:b/>
          <w:bCs/>
          <w:szCs w:val="20"/>
          <w:lang w:eastAsia="sk-SK"/>
        </w:rPr>
      </w:pPr>
      <w:r w:rsidRPr="001514DD">
        <w:rPr>
          <w:rFonts w:ascii="Times New Roman" w:eastAsia="Times New Roman" w:hAnsi="Times New Roman" w:cs="Times New Roman"/>
          <w:b/>
          <w:bCs/>
          <w:sz w:val="24"/>
          <w:szCs w:val="20"/>
          <w:lang w:eastAsia="sk-SK"/>
        </w:rPr>
        <w:t xml:space="preserve">  Poznámka:</w:t>
      </w:r>
    </w:p>
    <w:p w14:paraId="0F5AFBC5" w14:textId="77777777" w:rsidR="00110E29" w:rsidRPr="001514DD" w:rsidRDefault="00110E29" w:rsidP="00110E29">
      <w:pPr>
        <w:tabs>
          <w:tab w:val="num" w:pos="1080"/>
        </w:tabs>
        <w:spacing w:after="0" w:line="240" w:lineRule="auto"/>
        <w:ind w:left="-567"/>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307970A9"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3DE3D0CC" w14:textId="77777777" w:rsidR="00110E29" w:rsidRPr="001514DD" w:rsidRDefault="00110E29" w:rsidP="00110E29">
      <w:pPr>
        <w:tabs>
          <w:tab w:val="num" w:pos="1080"/>
        </w:tabs>
        <w:spacing w:after="0" w:line="240" w:lineRule="auto"/>
        <w:ind w:left="-900"/>
        <w:jc w:val="both"/>
        <w:rPr>
          <w:rFonts w:ascii="Times New Roman" w:eastAsia="Times New Roman" w:hAnsi="Times New Roman" w:cs="Times New Roman"/>
          <w:bCs/>
          <w:szCs w:val="20"/>
          <w:lang w:eastAsia="sk-SK"/>
        </w:rPr>
      </w:pPr>
    </w:p>
    <w:p w14:paraId="67CDEDEF"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Cs w:val="20"/>
          <w:lang w:eastAsia="sk-SK"/>
        </w:rPr>
      </w:pPr>
    </w:p>
    <w:p w14:paraId="622DE322"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Cs w:val="20"/>
          <w:lang w:eastAsia="sk-SK"/>
        </w:rPr>
      </w:pPr>
    </w:p>
    <w:p w14:paraId="156F6C1E" w14:textId="77777777" w:rsidR="00110E29" w:rsidRPr="001514DD" w:rsidRDefault="00110E29" w:rsidP="00110E29">
      <w:pPr>
        <w:tabs>
          <w:tab w:val="num" w:pos="1080"/>
        </w:tabs>
        <w:spacing w:after="0" w:line="240" w:lineRule="auto"/>
        <w:jc w:val="right"/>
        <w:rPr>
          <w:rFonts w:ascii="Times New Roman" w:eastAsia="Times New Roman" w:hAnsi="Times New Roman" w:cs="Times New Roman"/>
          <w:bCs/>
          <w:sz w:val="24"/>
          <w:lang w:eastAsia="sk-SK"/>
        </w:rPr>
      </w:pPr>
      <w:r w:rsidRPr="001514DD">
        <w:rPr>
          <w:rFonts w:ascii="Times New Roman" w:eastAsia="Times New Roman" w:hAnsi="Times New Roman" w:cs="Times New Roman"/>
          <w:bCs/>
          <w:sz w:val="24"/>
          <w:lang w:eastAsia="sk-SK"/>
        </w:rPr>
        <w:t xml:space="preserve">                 </w:t>
      </w:r>
    </w:p>
    <w:p w14:paraId="6E93696D" w14:textId="77777777" w:rsidR="00110E29" w:rsidRPr="001514DD" w:rsidRDefault="00110E29" w:rsidP="00110E29">
      <w:pPr>
        <w:tabs>
          <w:tab w:val="num" w:pos="1080"/>
        </w:tabs>
        <w:spacing w:after="0" w:line="240" w:lineRule="auto"/>
        <w:jc w:val="both"/>
        <w:rPr>
          <w:rFonts w:ascii="Times New Roman" w:eastAsia="Times New Roman" w:hAnsi="Times New Roman" w:cs="Times New Roman"/>
          <w:bCs/>
          <w:szCs w:val="20"/>
          <w:lang w:eastAsia="sk-SK"/>
        </w:rPr>
      </w:pPr>
      <w:r w:rsidRPr="001514DD">
        <w:rPr>
          <w:rFonts w:ascii="Times New Roman" w:eastAsia="Times New Roman" w:hAnsi="Times New Roman" w:cs="Times New Roman"/>
          <w:bCs/>
          <w:szCs w:val="20"/>
          <w:lang w:eastAsia="sk-SK"/>
        </w:rPr>
        <w:lastRenderedPageBreak/>
        <w:t xml:space="preserve">                                                                                                                                                                                                                                                                  Tabuľka č. 5</w:t>
      </w:r>
    </w:p>
    <w:tbl>
      <w:tblPr>
        <w:tblW w:w="14954" w:type="dxa"/>
        <w:tblInd w:w="-572"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110E29" w:rsidRPr="001514DD" w14:paraId="7EA284B7" w14:textId="77777777" w:rsidTr="0083435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407316"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4B8BC977"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CBCB61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poznámka</w:t>
            </w:r>
          </w:p>
        </w:tc>
      </w:tr>
      <w:tr w:rsidR="00110E29" w:rsidRPr="001514DD" w14:paraId="42B57049" w14:textId="77777777" w:rsidTr="0083435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A640E"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5E6D456D"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2026</w:t>
            </w:r>
          </w:p>
        </w:tc>
        <w:tc>
          <w:tcPr>
            <w:tcW w:w="1788" w:type="dxa"/>
            <w:tcBorders>
              <w:top w:val="nil"/>
              <w:left w:val="nil"/>
              <w:bottom w:val="single" w:sz="4" w:space="0" w:color="auto"/>
              <w:right w:val="single" w:sz="4" w:space="0" w:color="auto"/>
            </w:tcBorders>
            <w:shd w:val="clear" w:color="auto" w:fill="BFBFBF" w:themeFill="background1" w:themeFillShade="BF"/>
          </w:tcPr>
          <w:p w14:paraId="210D465C"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2027</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550F025"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2028</w:t>
            </w:r>
          </w:p>
        </w:tc>
        <w:tc>
          <w:tcPr>
            <w:tcW w:w="1560" w:type="dxa"/>
            <w:tcBorders>
              <w:top w:val="nil"/>
              <w:left w:val="nil"/>
              <w:bottom w:val="single" w:sz="4" w:space="0" w:color="auto"/>
              <w:right w:val="single" w:sz="4" w:space="0" w:color="auto"/>
            </w:tcBorders>
            <w:shd w:val="clear" w:color="auto" w:fill="BFBFBF" w:themeFill="background1" w:themeFillShade="BF"/>
          </w:tcPr>
          <w:p w14:paraId="5D19822C"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2029</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A3BDCF" w14:textId="77777777" w:rsidR="00110E29" w:rsidRPr="001514DD" w:rsidRDefault="00110E29" w:rsidP="00834353">
            <w:pPr>
              <w:spacing w:after="0" w:line="240" w:lineRule="auto"/>
              <w:rPr>
                <w:rFonts w:ascii="Times New Roman" w:eastAsia="Times New Roman" w:hAnsi="Times New Roman" w:cs="Times New Roman"/>
                <w:b/>
                <w:bCs/>
                <w:color w:val="FFFFFF"/>
                <w:sz w:val="24"/>
                <w:lang w:eastAsia="sk-SK"/>
              </w:rPr>
            </w:pPr>
          </w:p>
        </w:tc>
      </w:tr>
      <w:tr w:rsidR="00110E29" w:rsidRPr="001514DD" w14:paraId="60F31F62" w14:textId="77777777" w:rsidTr="00834353">
        <w:trPr>
          <w:trHeight w:val="255"/>
        </w:trPr>
        <w:tc>
          <w:tcPr>
            <w:tcW w:w="6188" w:type="dxa"/>
            <w:tcBorders>
              <w:top w:val="nil"/>
              <w:left w:val="single" w:sz="4" w:space="0" w:color="auto"/>
              <w:bottom w:val="single" w:sz="4" w:space="0" w:color="auto"/>
              <w:right w:val="single" w:sz="4" w:space="0" w:color="auto"/>
            </w:tcBorders>
          </w:tcPr>
          <w:p w14:paraId="45A1824D"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Počet zamestnancov celkom</w:t>
            </w:r>
          </w:p>
        </w:tc>
        <w:tc>
          <w:tcPr>
            <w:tcW w:w="1698" w:type="dxa"/>
            <w:tcBorders>
              <w:top w:val="nil"/>
              <w:left w:val="nil"/>
              <w:bottom w:val="single" w:sz="4" w:space="0" w:color="auto"/>
              <w:right w:val="single" w:sz="4" w:space="0" w:color="auto"/>
            </w:tcBorders>
          </w:tcPr>
          <w:p w14:paraId="60109F6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788" w:type="dxa"/>
            <w:tcBorders>
              <w:top w:val="nil"/>
              <w:left w:val="nil"/>
              <w:bottom w:val="single" w:sz="4" w:space="0" w:color="auto"/>
              <w:right w:val="single" w:sz="4" w:space="0" w:color="auto"/>
            </w:tcBorders>
          </w:tcPr>
          <w:p w14:paraId="78BF638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78" w:type="dxa"/>
            <w:gridSpan w:val="2"/>
            <w:tcBorders>
              <w:top w:val="nil"/>
              <w:left w:val="nil"/>
              <w:bottom w:val="single" w:sz="4" w:space="0" w:color="auto"/>
              <w:right w:val="single" w:sz="4" w:space="0" w:color="auto"/>
            </w:tcBorders>
          </w:tcPr>
          <w:p w14:paraId="6159B4E3"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60" w:type="dxa"/>
            <w:tcBorders>
              <w:top w:val="nil"/>
              <w:left w:val="nil"/>
              <w:bottom w:val="single" w:sz="4" w:space="0" w:color="auto"/>
              <w:right w:val="single" w:sz="4" w:space="0" w:color="auto"/>
            </w:tcBorders>
          </w:tcPr>
          <w:p w14:paraId="497D651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42" w:type="dxa"/>
            <w:gridSpan w:val="2"/>
            <w:tcBorders>
              <w:top w:val="nil"/>
              <w:left w:val="nil"/>
              <w:bottom w:val="single" w:sz="4" w:space="0" w:color="auto"/>
              <w:right w:val="single" w:sz="4" w:space="0" w:color="auto"/>
            </w:tcBorders>
            <w:noWrap/>
            <w:vAlign w:val="bottom"/>
          </w:tcPr>
          <w:p w14:paraId="6A9B4000"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4E290B3E" w14:textId="77777777" w:rsidTr="00834353">
        <w:trPr>
          <w:trHeight w:val="255"/>
        </w:trPr>
        <w:tc>
          <w:tcPr>
            <w:tcW w:w="6188" w:type="dxa"/>
            <w:tcBorders>
              <w:top w:val="nil"/>
              <w:left w:val="single" w:sz="4" w:space="0" w:color="auto"/>
              <w:bottom w:val="single" w:sz="4" w:space="0" w:color="auto"/>
              <w:right w:val="single" w:sz="4" w:space="0" w:color="auto"/>
            </w:tcBorders>
          </w:tcPr>
          <w:p w14:paraId="6A07D534"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498B2D97"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788" w:type="dxa"/>
            <w:tcBorders>
              <w:top w:val="single" w:sz="4" w:space="0" w:color="auto"/>
              <w:left w:val="nil"/>
              <w:bottom w:val="single" w:sz="4" w:space="0" w:color="auto"/>
              <w:right w:val="single" w:sz="4" w:space="0" w:color="auto"/>
            </w:tcBorders>
          </w:tcPr>
          <w:p w14:paraId="7B60E3CD"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78" w:type="dxa"/>
            <w:gridSpan w:val="2"/>
            <w:tcBorders>
              <w:top w:val="single" w:sz="4" w:space="0" w:color="auto"/>
              <w:left w:val="nil"/>
              <w:bottom w:val="single" w:sz="4" w:space="0" w:color="auto"/>
              <w:right w:val="single" w:sz="4" w:space="0" w:color="auto"/>
            </w:tcBorders>
          </w:tcPr>
          <w:p w14:paraId="4F10298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60" w:type="dxa"/>
            <w:tcBorders>
              <w:top w:val="single" w:sz="4" w:space="0" w:color="auto"/>
              <w:left w:val="nil"/>
              <w:bottom w:val="single" w:sz="4" w:space="0" w:color="auto"/>
              <w:right w:val="single" w:sz="4" w:space="0" w:color="auto"/>
            </w:tcBorders>
          </w:tcPr>
          <w:p w14:paraId="3A161C33"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42" w:type="dxa"/>
            <w:gridSpan w:val="2"/>
            <w:tcBorders>
              <w:top w:val="nil"/>
              <w:left w:val="nil"/>
              <w:bottom w:val="single" w:sz="4" w:space="0" w:color="auto"/>
              <w:right w:val="single" w:sz="4" w:space="0" w:color="auto"/>
            </w:tcBorders>
            <w:noWrap/>
            <w:vAlign w:val="bottom"/>
          </w:tcPr>
          <w:p w14:paraId="7D44A98A"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r>
      <w:tr w:rsidR="00110E29" w:rsidRPr="001514DD" w14:paraId="31BE19EC" w14:textId="77777777" w:rsidTr="00834353">
        <w:trPr>
          <w:trHeight w:val="255"/>
        </w:trPr>
        <w:tc>
          <w:tcPr>
            <w:tcW w:w="6188" w:type="dxa"/>
            <w:tcBorders>
              <w:top w:val="nil"/>
              <w:left w:val="single" w:sz="4" w:space="0" w:color="auto"/>
              <w:bottom w:val="single" w:sz="4" w:space="0" w:color="auto"/>
              <w:right w:val="single" w:sz="4" w:space="0" w:color="auto"/>
            </w:tcBorders>
          </w:tcPr>
          <w:p w14:paraId="17A129F5"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CD36D1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788" w:type="dxa"/>
            <w:tcBorders>
              <w:top w:val="single" w:sz="4" w:space="0" w:color="auto"/>
              <w:left w:val="nil"/>
              <w:bottom w:val="single" w:sz="4" w:space="0" w:color="auto"/>
              <w:right w:val="single" w:sz="4" w:space="0" w:color="auto"/>
            </w:tcBorders>
          </w:tcPr>
          <w:p w14:paraId="760C6045"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78" w:type="dxa"/>
            <w:gridSpan w:val="2"/>
            <w:tcBorders>
              <w:top w:val="single" w:sz="4" w:space="0" w:color="auto"/>
              <w:left w:val="nil"/>
              <w:bottom w:val="single" w:sz="4" w:space="0" w:color="auto"/>
              <w:right w:val="single" w:sz="4" w:space="0" w:color="auto"/>
            </w:tcBorders>
          </w:tcPr>
          <w:p w14:paraId="53D6264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60" w:type="dxa"/>
            <w:tcBorders>
              <w:top w:val="single" w:sz="4" w:space="0" w:color="auto"/>
              <w:left w:val="nil"/>
              <w:bottom w:val="single" w:sz="4" w:space="0" w:color="auto"/>
              <w:right w:val="single" w:sz="4" w:space="0" w:color="auto"/>
            </w:tcBorders>
          </w:tcPr>
          <w:p w14:paraId="5986A11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42" w:type="dxa"/>
            <w:gridSpan w:val="2"/>
            <w:tcBorders>
              <w:top w:val="nil"/>
              <w:left w:val="nil"/>
              <w:bottom w:val="single" w:sz="4" w:space="0" w:color="auto"/>
              <w:right w:val="single" w:sz="4" w:space="0" w:color="auto"/>
            </w:tcBorders>
            <w:noWrap/>
            <w:vAlign w:val="bottom"/>
          </w:tcPr>
          <w:p w14:paraId="1CDEFDDF"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65AFD281" w14:textId="77777777" w:rsidTr="00834353">
        <w:trPr>
          <w:trHeight w:val="255"/>
        </w:trPr>
        <w:tc>
          <w:tcPr>
            <w:tcW w:w="6188" w:type="dxa"/>
            <w:tcBorders>
              <w:top w:val="nil"/>
              <w:left w:val="single" w:sz="4" w:space="0" w:color="auto"/>
              <w:bottom w:val="single" w:sz="4" w:space="0" w:color="auto"/>
              <w:right w:val="single" w:sz="4" w:space="0" w:color="auto"/>
            </w:tcBorders>
          </w:tcPr>
          <w:p w14:paraId="64F53844"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b/>
                <w:bCs/>
                <w:sz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E7C781F"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c>
          <w:tcPr>
            <w:tcW w:w="1788" w:type="dxa"/>
            <w:tcBorders>
              <w:top w:val="single" w:sz="4" w:space="0" w:color="auto"/>
              <w:left w:val="nil"/>
              <w:bottom w:val="single" w:sz="4" w:space="0" w:color="auto"/>
              <w:right w:val="single" w:sz="4" w:space="0" w:color="auto"/>
            </w:tcBorders>
          </w:tcPr>
          <w:p w14:paraId="78191AEB"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c>
          <w:tcPr>
            <w:tcW w:w="1878" w:type="dxa"/>
            <w:gridSpan w:val="2"/>
            <w:tcBorders>
              <w:top w:val="single" w:sz="4" w:space="0" w:color="auto"/>
              <w:left w:val="nil"/>
              <w:bottom w:val="single" w:sz="4" w:space="0" w:color="auto"/>
              <w:right w:val="single" w:sz="4" w:space="0" w:color="auto"/>
            </w:tcBorders>
          </w:tcPr>
          <w:p w14:paraId="762AAB85"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c>
          <w:tcPr>
            <w:tcW w:w="1560" w:type="dxa"/>
            <w:tcBorders>
              <w:top w:val="single" w:sz="4" w:space="0" w:color="auto"/>
              <w:left w:val="nil"/>
              <w:bottom w:val="single" w:sz="4" w:space="0" w:color="auto"/>
              <w:right w:val="single" w:sz="4" w:space="0" w:color="auto"/>
            </w:tcBorders>
          </w:tcPr>
          <w:p w14:paraId="5E02FAC9"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c>
          <w:tcPr>
            <w:tcW w:w="1842" w:type="dxa"/>
            <w:gridSpan w:val="2"/>
            <w:tcBorders>
              <w:top w:val="nil"/>
              <w:left w:val="nil"/>
              <w:bottom w:val="single" w:sz="4" w:space="0" w:color="auto"/>
              <w:right w:val="single" w:sz="4" w:space="0" w:color="auto"/>
            </w:tcBorders>
            <w:noWrap/>
            <w:vAlign w:val="bottom"/>
          </w:tcPr>
          <w:p w14:paraId="335BD965"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4ED3FD6F" w14:textId="77777777" w:rsidTr="0083435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252B7E66"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109CD93D"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6C46A5E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6D570686"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3EA235B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6FF2C09B"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r>
      <w:tr w:rsidR="00110E29" w:rsidRPr="001514DD" w14:paraId="4F41B98E" w14:textId="77777777" w:rsidTr="00834353">
        <w:trPr>
          <w:trHeight w:val="255"/>
        </w:trPr>
        <w:tc>
          <w:tcPr>
            <w:tcW w:w="6188" w:type="dxa"/>
            <w:tcBorders>
              <w:top w:val="nil"/>
              <w:left w:val="single" w:sz="4" w:space="0" w:color="auto"/>
              <w:bottom w:val="single" w:sz="4" w:space="0" w:color="auto"/>
              <w:right w:val="single" w:sz="4" w:space="0" w:color="auto"/>
            </w:tcBorders>
          </w:tcPr>
          <w:p w14:paraId="35AE605E"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7DB3D634"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788" w:type="dxa"/>
            <w:tcBorders>
              <w:top w:val="nil"/>
              <w:left w:val="nil"/>
              <w:bottom w:val="single" w:sz="4" w:space="0" w:color="auto"/>
              <w:right w:val="single" w:sz="4" w:space="0" w:color="auto"/>
            </w:tcBorders>
          </w:tcPr>
          <w:p w14:paraId="772D83D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78" w:type="dxa"/>
            <w:gridSpan w:val="2"/>
            <w:tcBorders>
              <w:top w:val="nil"/>
              <w:left w:val="nil"/>
              <w:bottom w:val="single" w:sz="4" w:space="0" w:color="auto"/>
              <w:right w:val="single" w:sz="4" w:space="0" w:color="auto"/>
            </w:tcBorders>
          </w:tcPr>
          <w:p w14:paraId="2827F885"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60" w:type="dxa"/>
            <w:tcBorders>
              <w:top w:val="nil"/>
              <w:left w:val="nil"/>
              <w:bottom w:val="single" w:sz="4" w:space="0" w:color="auto"/>
              <w:right w:val="single" w:sz="4" w:space="0" w:color="auto"/>
            </w:tcBorders>
          </w:tcPr>
          <w:p w14:paraId="2075D452"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42" w:type="dxa"/>
            <w:gridSpan w:val="2"/>
            <w:tcBorders>
              <w:top w:val="nil"/>
              <w:left w:val="nil"/>
              <w:bottom w:val="single" w:sz="4" w:space="0" w:color="auto"/>
              <w:right w:val="single" w:sz="4" w:space="0" w:color="auto"/>
            </w:tcBorders>
            <w:noWrap/>
            <w:vAlign w:val="bottom"/>
          </w:tcPr>
          <w:p w14:paraId="635F04A2"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r>
      <w:tr w:rsidR="00110E29" w:rsidRPr="001514DD" w14:paraId="0ADA14D6" w14:textId="77777777" w:rsidTr="00834353">
        <w:trPr>
          <w:trHeight w:val="255"/>
        </w:trPr>
        <w:tc>
          <w:tcPr>
            <w:tcW w:w="6188" w:type="dxa"/>
            <w:tcBorders>
              <w:top w:val="nil"/>
              <w:left w:val="single" w:sz="4" w:space="0" w:color="auto"/>
              <w:bottom w:val="single" w:sz="4" w:space="0" w:color="auto"/>
              <w:right w:val="single" w:sz="4" w:space="0" w:color="auto"/>
            </w:tcBorders>
          </w:tcPr>
          <w:p w14:paraId="27785C59"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b/>
                <w:bCs/>
                <w:sz w:val="24"/>
                <w:lang w:eastAsia="sk-SK"/>
              </w:rPr>
              <w:t xml:space="preserve">   z toho vplyv na ŠR</w:t>
            </w:r>
          </w:p>
        </w:tc>
        <w:tc>
          <w:tcPr>
            <w:tcW w:w="1698" w:type="dxa"/>
            <w:tcBorders>
              <w:top w:val="nil"/>
              <w:left w:val="nil"/>
              <w:bottom w:val="single" w:sz="4" w:space="0" w:color="auto"/>
              <w:right w:val="single" w:sz="4" w:space="0" w:color="auto"/>
            </w:tcBorders>
          </w:tcPr>
          <w:p w14:paraId="4F7B7B0D"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788" w:type="dxa"/>
            <w:tcBorders>
              <w:top w:val="nil"/>
              <w:left w:val="nil"/>
              <w:bottom w:val="single" w:sz="4" w:space="0" w:color="auto"/>
              <w:right w:val="single" w:sz="4" w:space="0" w:color="auto"/>
            </w:tcBorders>
          </w:tcPr>
          <w:p w14:paraId="4F2C8ED1"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878" w:type="dxa"/>
            <w:gridSpan w:val="2"/>
            <w:tcBorders>
              <w:top w:val="nil"/>
              <w:left w:val="nil"/>
              <w:bottom w:val="single" w:sz="4" w:space="0" w:color="auto"/>
              <w:right w:val="single" w:sz="4" w:space="0" w:color="auto"/>
            </w:tcBorders>
          </w:tcPr>
          <w:p w14:paraId="7B6FD3BF"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560" w:type="dxa"/>
            <w:tcBorders>
              <w:top w:val="nil"/>
              <w:left w:val="nil"/>
              <w:bottom w:val="single" w:sz="4" w:space="0" w:color="auto"/>
              <w:right w:val="single" w:sz="4" w:space="0" w:color="auto"/>
            </w:tcBorders>
          </w:tcPr>
          <w:p w14:paraId="0C1B2ED7"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842" w:type="dxa"/>
            <w:gridSpan w:val="2"/>
            <w:tcBorders>
              <w:top w:val="nil"/>
              <w:left w:val="nil"/>
              <w:bottom w:val="single" w:sz="4" w:space="0" w:color="auto"/>
              <w:right w:val="single" w:sz="4" w:space="0" w:color="auto"/>
            </w:tcBorders>
            <w:noWrap/>
            <w:vAlign w:val="bottom"/>
          </w:tcPr>
          <w:p w14:paraId="09E0A9AD"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2BA40D4C" w14:textId="77777777" w:rsidTr="00834353">
        <w:trPr>
          <w:trHeight w:val="255"/>
        </w:trPr>
        <w:tc>
          <w:tcPr>
            <w:tcW w:w="6188" w:type="dxa"/>
            <w:tcBorders>
              <w:top w:val="nil"/>
              <w:left w:val="single" w:sz="4" w:space="0" w:color="auto"/>
              <w:bottom w:val="single" w:sz="4" w:space="0" w:color="auto"/>
              <w:right w:val="single" w:sz="4" w:space="0" w:color="auto"/>
            </w:tcBorders>
          </w:tcPr>
          <w:p w14:paraId="6B5E180D"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Poistné a príspevok do poisťovní (620)</w:t>
            </w:r>
          </w:p>
        </w:tc>
        <w:tc>
          <w:tcPr>
            <w:tcW w:w="1698" w:type="dxa"/>
            <w:tcBorders>
              <w:top w:val="nil"/>
              <w:left w:val="nil"/>
              <w:bottom w:val="single" w:sz="4" w:space="0" w:color="auto"/>
              <w:right w:val="single" w:sz="4" w:space="0" w:color="auto"/>
            </w:tcBorders>
          </w:tcPr>
          <w:p w14:paraId="13CDA169"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788" w:type="dxa"/>
            <w:tcBorders>
              <w:top w:val="nil"/>
              <w:left w:val="nil"/>
              <w:bottom w:val="single" w:sz="4" w:space="0" w:color="auto"/>
              <w:right w:val="single" w:sz="4" w:space="0" w:color="auto"/>
            </w:tcBorders>
          </w:tcPr>
          <w:p w14:paraId="52B60831"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78" w:type="dxa"/>
            <w:gridSpan w:val="2"/>
            <w:tcBorders>
              <w:top w:val="nil"/>
              <w:left w:val="nil"/>
              <w:bottom w:val="single" w:sz="4" w:space="0" w:color="auto"/>
              <w:right w:val="single" w:sz="4" w:space="0" w:color="auto"/>
            </w:tcBorders>
          </w:tcPr>
          <w:p w14:paraId="2C6531D8"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560" w:type="dxa"/>
            <w:tcBorders>
              <w:top w:val="nil"/>
              <w:left w:val="nil"/>
              <w:bottom w:val="single" w:sz="4" w:space="0" w:color="auto"/>
              <w:right w:val="single" w:sz="4" w:space="0" w:color="auto"/>
            </w:tcBorders>
          </w:tcPr>
          <w:p w14:paraId="4135F07A" w14:textId="77777777" w:rsidR="00110E29" w:rsidRPr="001514DD" w:rsidRDefault="00110E29" w:rsidP="00834353">
            <w:pPr>
              <w:spacing w:after="0" w:line="240" w:lineRule="auto"/>
              <w:jc w:val="center"/>
              <w:rPr>
                <w:rFonts w:ascii="Times New Roman" w:eastAsia="Times New Roman" w:hAnsi="Times New Roman" w:cs="Times New Roman"/>
                <w:b/>
                <w:bCs/>
                <w:sz w:val="24"/>
                <w:lang w:eastAsia="sk-SK"/>
              </w:rPr>
            </w:pPr>
          </w:p>
        </w:tc>
        <w:tc>
          <w:tcPr>
            <w:tcW w:w="1842" w:type="dxa"/>
            <w:gridSpan w:val="2"/>
            <w:tcBorders>
              <w:top w:val="nil"/>
              <w:left w:val="nil"/>
              <w:bottom w:val="single" w:sz="4" w:space="0" w:color="auto"/>
              <w:right w:val="single" w:sz="4" w:space="0" w:color="auto"/>
            </w:tcBorders>
            <w:noWrap/>
            <w:vAlign w:val="bottom"/>
          </w:tcPr>
          <w:p w14:paraId="4D575D53"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w:t>
            </w:r>
          </w:p>
        </w:tc>
      </w:tr>
      <w:tr w:rsidR="00110E29" w:rsidRPr="001514DD" w14:paraId="62E411D8" w14:textId="77777777" w:rsidTr="00834353">
        <w:trPr>
          <w:trHeight w:val="255"/>
        </w:trPr>
        <w:tc>
          <w:tcPr>
            <w:tcW w:w="6188" w:type="dxa"/>
            <w:tcBorders>
              <w:top w:val="nil"/>
              <w:left w:val="single" w:sz="4" w:space="0" w:color="auto"/>
              <w:bottom w:val="single" w:sz="4" w:space="0" w:color="auto"/>
              <w:right w:val="single" w:sz="4" w:space="0" w:color="auto"/>
            </w:tcBorders>
          </w:tcPr>
          <w:p w14:paraId="4F9EF5C6"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b/>
                <w:bCs/>
                <w:sz w:val="24"/>
                <w:lang w:eastAsia="sk-SK"/>
              </w:rPr>
              <w:t xml:space="preserve">   z toho vplyv na ŠR</w:t>
            </w:r>
          </w:p>
        </w:tc>
        <w:tc>
          <w:tcPr>
            <w:tcW w:w="1698" w:type="dxa"/>
            <w:tcBorders>
              <w:top w:val="nil"/>
              <w:left w:val="nil"/>
              <w:bottom w:val="single" w:sz="4" w:space="0" w:color="auto"/>
              <w:right w:val="single" w:sz="4" w:space="0" w:color="auto"/>
            </w:tcBorders>
          </w:tcPr>
          <w:p w14:paraId="20478C9E"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788" w:type="dxa"/>
            <w:tcBorders>
              <w:top w:val="nil"/>
              <w:left w:val="nil"/>
              <w:bottom w:val="single" w:sz="4" w:space="0" w:color="auto"/>
              <w:right w:val="single" w:sz="4" w:space="0" w:color="auto"/>
            </w:tcBorders>
          </w:tcPr>
          <w:p w14:paraId="73EA3B26"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878" w:type="dxa"/>
            <w:gridSpan w:val="2"/>
            <w:tcBorders>
              <w:top w:val="nil"/>
              <w:left w:val="nil"/>
              <w:bottom w:val="single" w:sz="4" w:space="0" w:color="auto"/>
              <w:right w:val="single" w:sz="4" w:space="0" w:color="auto"/>
            </w:tcBorders>
          </w:tcPr>
          <w:p w14:paraId="7BEC1205"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560" w:type="dxa"/>
            <w:tcBorders>
              <w:top w:val="nil"/>
              <w:left w:val="nil"/>
              <w:bottom w:val="single" w:sz="4" w:space="0" w:color="auto"/>
              <w:right w:val="single" w:sz="4" w:space="0" w:color="auto"/>
            </w:tcBorders>
          </w:tcPr>
          <w:p w14:paraId="2A7C3557" w14:textId="77777777" w:rsidR="00110E29" w:rsidRPr="001514DD" w:rsidRDefault="00110E29" w:rsidP="00834353">
            <w:pPr>
              <w:spacing w:after="0" w:line="240" w:lineRule="auto"/>
              <w:jc w:val="center"/>
              <w:rPr>
                <w:rFonts w:ascii="Times New Roman" w:eastAsia="Times New Roman" w:hAnsi="Times New Roman" w:cs="Times New Roman"/>
                <w:sz w:val="24"/>
                <w:lang w:eastAsia="sk-SK"/>
              </w:rPr>
            </w:pPr>
          </w:p>
        </w:tc>
        <w:tc>
          <w:tcPr>
            <w:tcW w:w="1842" w:type="dxa"/>
            <w:gridSpan w:val="2"/>
            <w:tcBorders>
              <w:top w:val="nil"/>
              <w:left w:val="nil"/>
              <w:bottom w:val="single" w:sz="4" w:space="0" w:color="auto"/>
              <w:right w:val="single" w:sz="4" w:space="0" w:color="auto"/>
            </w:tcBorders>
            <w:noWrap/>
            <w:vAlign w:val="bottom"/>
          </w:tcPr>
          <w:p w14:paraId="7A171741" w14:textId="77777777" w:rsidR="00110E29" w:rsidRPr="001514DD" w:rsidRDefault="00110E29" w:rsidP="00834353">
            <w:pPr>
              <w:spacing w:after="0" w:line="240" w:lineRule="auto"/>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w:t>
            </w:r>
          </w:p>
        </w:tc>
      </w:tr>
      <w:tr w:rsidR="00110E29" w:rsidRPr="001514DD" w14:paraId="6D466402" w14:textId="77777777" w:rsidTr="00834353">
        <w:trPr>
          <w:trHeight w:val="255"/>
        </w:trPr>
        <w:tc>
          <w:tcPr>
            <w:tcW w:w="6188" w:type="dxa"/>
            <w:tcBorders>
              <w:top w:val="nil"/>
              <w:left w:val="nil"/>
              <w:bottom w:val="nil"/>
              <w:right w:val="nil"/>
            </w:tcBorders>
            <w:noWrap/>
            <w:vAlign w:val="bottom"/>
          </w:tcPr>
          <w:p w14:paraId="628D87C6"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698" w:type="dxa"/>
            <w:tcBorders>
              <w:top w:val="nil"/>
              <w:left w:val="nil"/>
              <w:bottom w:val="nil"/>
              <w:right w:val="nil"/>
            </w:tcBorders>
            <w:noWrap/>
            <w:vAlign w:val="bottom"/>
          </w:tcPr>
          <w:p w14:paraId="6A9E9DE1"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788" w:type="dxa"/>
            <w:tcBorders>
              <w:top w:val="nil"/>
              <w:left w:val="nil"/>
              <w:bottom w:val="nil"/>
              <w:right w:val="nil"/>
            </w:tcBorders>
            <w:noWrap/>
            <w:vAlign w:val="bottom"/>
          </w:tcPr>
          <w:p w14:paraId="621BB09B"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878" w:type="dxa"/>
            <w:gridSpan w:val="2"/>
            <w:tcBorders>
              <w:top w:val="nil"/>
              <w:left w:val="nil"/>
              <w:bottom w:val="nil"/>
              <w:right w:val="nil"/>
            </w:tcBorders>
            <w:noWrap/>
            <w:vAlign w:val="bottom"/>
          </w:tcPr>
          <w:p w14:paraId="5B530B6A"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560" w:type="dxa"/>
            <w:tcBorders>
              <w:top w:val="nil"/>
              <w:left w:val="nil"/>
              <w:bottom w:val="nil"/>
              <w:right w:val="nil"/>
            </w:tcBorders>
            <w:noWrap/>
            <w:vAlign w:val="bottom"/>
          </w:tcPr>
          <w:p w14:paraId="1BE9CAEF"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842" w:type="dxa"/>
            <w:gridSpan w:val="2"/>
            <w:tcBorders>
              <w:top w:val="nil"/>
              <w:left w:val="nil"/>
              <w:bottom w:val="nil"/>
              <w:right w:val="nil"/>
            </w:tcBorders>
            <w:noWrap/>
            <w:vAlign w:val="bottom"/>
          </w:tcPr>
          <w:p w14:paraId="731AFC1A"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r>
      <w:tr w:rsidR="00110E29" w:rsidRPr="001514DD" w14:paraId="5D1FD88B" w14:textId="77777777" w:rsidTr="00834353">
        <w:trPr>
          <w:trHeight w:val="255"/>
        </w:trPr>
        <w:tc>
          <w:tcPr>
            <w:tcW w:w="6188" w:type="dxa"/>
            <w:tcBorders>
              <w:top w:val="nil"/>
              <w:left w:val="nil"/>
              <w:bottom w:val="nil"/>
              <w:right w:val="nil"/>
            </w:tcBorders>
          </w:tcPr>
          <w:p w14:paraId="40779697" w14:textId="77777777" w:rsidR="00110E29" w:rsidRPr="001514DD" w:rsidRDefault="00110E29" w:rsidP="00834353">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Poznámka:</w:t>
            </w:r>
          </w:p>
        </w:tc>
        <w:tc>
          <w:tcPr>
            <w:tcW w:w="1698" w:type="dxa"/>
            <w:tcBorders>
              <w:top w:val="nil"/>
              <w:left w:val="nil"/>
              <w:bottom w:val="nil"/>
              <w:right w:val="nil"/>
            </w:tcBorders>
            <w:noWrap/>
            <w:vAlign w:val="bottom"/>
          </w:tcPr>
          <w:p w14:paraId="46D8EE0E"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788" w:type="dxa"/>
            <w:tcBorders>
              <w:top w:val="nil"/>
              <w:left w:val="nil"/>
              <w:bottom w:val="nil"/>
              <w:right w:val="nil"/>
            </w:tcBorders>
            <w:noWrap/>
            <w:vAlign w:val="bottom"/>
          </w:tcPr>
          <w:p w14:paraId="0B3168B4"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878" w:type="dxa"/>
            <w:gridSpan w:val="2"/>
            <w:tcBorders>
              <w:top w:val="nil"/>
              <w:left w:val="nil"/>
              <w:bottom w:val="nil"/>
              <w:right w:val="nil"/>
            </w:tcBorders>
            <w:noWrap/>
            <w:vAlign w:val="bottom"/>
          </w:tcPr>
          <w:p w14:paraId="018A7E29"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560" w:type="dxa"/>
            <w:tcBorders>
              <w:top w:val="nil"/>
              <w:left w:val="nil"/>
              <w:bottom w:val="nil"/>
              <w:right w:val="nil"/>
            </w:tcBorders>
            <w:noWrap/>
            <w:vAlign w:val="bottom"/>
          </w:tcPr>
          <w:p w14:paraId="3916AA49"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842" w:type="dxa"/>
            <w:gridSpan w:val="2"/>
            <w:tcBorders>
              <w:top w:val="nil"/>
              <w:left w:val="nil"/>
              <w:bottom w:val="nil"/>
              <w:right w:val="nil"/>
            </w:tcBorders>
            <w:noWrap/>
            <w:vAlign w:val="bottom"/>
          </w:tcPr>
          <w:p w14:paraId="358F7F9F"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r>
      <w:tr w:rsidR="00110E29" w:rsidRPr="001514DD" w14:paraId="074BD41B" w14:textId="77777777" w:rsidTr="00834353">
        <w:trPr>
          <w:trHeight w:val="255"/>
        </w:trPr>
        <w:tc>
          <w:tcPr>
            <w:tcW w:w="13112" w:type="dxa"/>
            <w:gridSpan w:val="6"/>
            <w:tcBorders>
              <w:top w:val="nil"/>
              <w:left w:val="nil"/>
              <w:bottom w:val="nil"/>
              <w:right w:val="nil"/>
            </w:tcBorders>
            <w:noWrap/>
          </w:tcPr>
          <w:p w14:paraId="29C327E9" w14:textId="77777777" w:rsidR="00110E29" w:rsidRPr="001514DD" w:rsidRDefault="00110E29" w:rsidP="00834353">
            <w:pPr>
              <w:tabs>
                <w:tab w:val="num" w:pos="1080"/>
              </w:tabs>
              <w:spacing w:after="0" w:line="240" w:lineRule="auto"/>
              <w:jc w:val="both"/>
              <w:rPr>
                <w:rFonts w:ascii="Times New Roman" w:eastAsia="Times New Roman" w:hAnsi="Times New Roman" w:cs="Times New Roman"/>
                <w:bCs/>
                <w:sz w:val="24"/>
                <w:szCs w:val="20"/>
                <w:lang w:eastAsia="sk-SK"/>
              </w:rPr>
            </w:pPr>
            <w:r w:rsidRPr="001514DD">
              <w:rPr>
                <w:rFonts w:ascii="Times New Roman" w:hAnsi="Times New Roman" w:cs="Times New Roman"/>
                <w:bCs/>
                <w:sz w:val="24"/>
              </w:rPr>
              <w:t>Z predloženého návrhu novely zákona nevyplývajú zvýšené nároky na počty zamestnancov zainteresovaného subjektu verejnej správy podieľajúcich sa na realizácií hlasovania na zastupiteľských úradoch vo voľbách do Národnej rady Slovenskej republiky, ktorých konanie sa predpokladá v riadnom termíne v roku 2027 a volieb prezidenta Slovenskej republiky, ktorých konanie sa predpokladá v dvoch kolách v roku 2029. Úlohy vyplývajúce z návrhu budú realizované s doterajším stavom zamestnancov. Zo mzdových prostriedkov budú hradené zákonné nároky osôb zabezpečujúcich organizačnú a technickú prípravu hlasovania na zastupiteľských úradoch v zahraničí. Nadväzne na uvedené sa tabuľka č. 5 nevypĺňa.</w:t>
            </w:r>
          </w:p>
        </w:tc>
        <w:tc>
          <w:tcPr>
            <w:tcW w:w="1842" w:type="dxa"/>
            <w:gridSpan w:val="2"/>
            <w:tcBorders>
              <w:top w:val="nil"/>
              <w:left w:val="nil"/>
              <w:bottom w:val="nil"/>
              <w:right w:val="nil"/>
            </w:tcBorders>
            <w:noWrap/>
            <w:vAlign w:val="bottom"/>
          </w:tcPr>
          <w:p w14:paraId="3EDEE033"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r>
      <w:tr w:rsidR="00110E29" w:rsidRPr="001514DD" w14:paraId="1C828425" w14:textId="77777777" w:rsidTr="00834353">
        <w:trPr>
          <w:trHeight w:val="255"/>
        </w:trPr>
        <w:tc>
          <w:tcPr>
            <w:tcW w:w="10394" w:type="dxa"/>
            <w:gridSpan w:val="4"/>
            <w:tcBorders>
              <w:top w:val="nil"/>
              <w:left w:val="nil"/>
              <w:bottom w:val="nil"/>
              <w:right w:val="nil"/>
            </w:tcBorders>
            <w:noWrap/>
            <w:vAlign w:val="bottom"/>
          </w:tcPr>
          <w:p w14:paraId="0314BF8B"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1158" w:type="dxa"/>
            <w:tcBorders>
              <w:top w:val="nil"/>
              <w:left w:val="nil"/>
              <w:bottom w:val="nil"/>
              <w:right w:val="nil"/>
            </w:tcBorders>
            <w:noWrap/>
            <w:vAlign w:val="bottom"/>
          </w:tcPr>
          <w:p w14:paraId="4E04DFA8"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2892" w:type="dxa"/>
            <w:gridSpan w:val="2"/>
            <w:tcBorders>
              <w:top w:val="nil"/>
              <w:left w:val="nil"/>
              <w:bottom w:val="nil"/>
              <w:right w:val="nil"/>
            </w:tcBorders>
            <w:noWrap/>
            <w:vAlign w:val="bottom"/>
          </w:tcPr>
          <w:p w14:paraId="2C0517A9"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c>
          <w:tcPr>
            <w:tcW w:w="510" w:type="dxa"/>
            <w:tcBorders>
              <w:top w:val="nil"/>
              <w:left w:val="nil"/>
              <w:bottom w:val="nil"/>
              <w:right w:val="nil"/>
            </w:tcBorders>
            <w:noWrap/>
            <w:vAlign w:val="bottom"/>
          </w:tcPr>
          <w:p w14:paraId="5A6980E4" w14:textId="77777777" w:rsidR="00110E29" w:rsidRPr="001514DD" w:rsidRDefault="00110E29" w:rsidP="00834353">
            <w:pPr>
              <w:spacing w:after="0" w:line="240" w:lineRule="auto"/>
              <w:rPr>
                <w:rFonts w:ascii="Times New Roman" w:eastAsia="Times New Roman" w:hAnsi="Times New Roman" w:cs="Times New Roman"/>
                <w:sz w:val="24"/>
                <w:lang w:eastAsia="sk-SK"/>
              </w:rPr>
            </w:pPr>
          </w:p>
        </w:tc>
      </w:tr>
    </w:tbl>
    <w:p w14:paraId="561446B2" w14:textId="77777777" w:rsidR="00110E29" w:rsidRPr="001514DD" w:rsidRDefault="00110E29" w:rsidP="00110E29">
      <w:pPr>
        <w:spacing w:after="0" w:line="240" w:lineRule="auto"/>
        <w:rPr>
          <w:rFonts w:ascii="Times New Roman" w:eastAsia="Times New Roman" w:hAnsi="Times New Roman" w:cs="Times New Roman"/>
          <w:b/>
          <w:bCs/>
          <w:sz w:val="24"/>
          <w:lang w:eastAsia="sk-SK"/>
        </w:rPr>
        <w:sectPr w:rsidR="00110E29" w:rsidRPr="001514DD" w:rsidSect="00110E29">
          <w:pgSz w:w="16838" w:h="11906" w:orient="landscape"/>
          <w:pgMar w:top="1418" w:right="1418" w:bottom="1418" w:left="1418" w:header="709" w:footer="709" w:gutter="0"/>
          <w:cols w:space="708"/>
          <w:docGrid w:linePitch="360"/>
        </w:sectPr>
      </w:pPr>
    </w:p>
    <w:p w14:paraId="62E910E6"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p>
    <w:p w14:paraId="223A3986" w14:textId="77777777" w:rsidR="00110E29" w:rsidRPr="001514DD" w:rsidRDefault="00110E29" w:rsidP="00110E29">
      <w:pPr>
        <w:spacing w:after="0" w:line="240" w:lineRule="auto"/>
        <w:rPr>
          <w:rFonts w:ascii="Times New Roman" w:eastAsia="Times New Roman" w:hAnsi="Times New Roman" w:cs="Times New Roman"/>
          <w:b/>
          <w:bCs/>
          <w:sz w:val="24"/>
          <w:lang w:eastAsia="sk-SK"/>
        </w:rPr>
      </w:pPr>
      <w:r w:rsidRPr="001514DD">
        <w:rPr>
          <w:rFonts w:ascii="Times New Roman" w:eastAsia="Times New Roman" w:hAnsi="Times New Roman" w:cs="Times New Roman"/>
          <w:b/>
          <w:bCs/>
          <w:sz w:val="24"/>
          <w:lang w:eastAsia="sk-SK"/>
        </w:rPr>
        <w:t xml:space="preserve">                                                                 </w:t>
      </w:r>
    </w:p>
    <w:p w14:paraId="2EBD87B9" w14:textId="77777777" w:rsidR="00110E29" w:rsidRPr="001514DD" w:rsidRDefault="00110E29" w:rsidP="00110E29">
      <w:pPr>
        <w:spacing w:after="0" w:line="240" w:lineRule="auto"/>
        <w:jc w:val="both"/>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 xml:space="preserve">2.2.5. Výpočet vplyvov na dlhodobú udržateľnosť verejných financií </w:t>
      </w:r>
    </w:p>
    <w:p w14:paraId="380C86F8"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53A2ABDD" w14:textId="77777777" w:rsidR="00110E29" w:rsidRPr="001514DD" w:rsidRDefault="00110E29" w:rsidP="00110E29">
      <w:pPr>
        <w:spacing w:after="0" w:line="240" w:lineRule="auto"/>
        <w:ind w:firstLine="708"/>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22A819F9"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ab/>
      </w:r>
      <w:r w:rsidRPr="001514DD">
        <w:rPr>
          <w:rFonts w:ascii="Times New Roman" w:eastAsia="Times New Roman" w:hAnsi="Times New Roman" w:cs="Times New Roman"/>
          <w:sz w:val="24"/>
          <w:lang w:eastAsia="sk-SK"/>
        </w:rPr>
        <w:tab/>
      </w:r>
    </w:p>
    <w:p w14:paraId="25F93362" w14:textId="77777777" w:rsidR="00110E29" w:rsidRPr="001514DD" w:rsidRDefault="00110E29" w:rsidP="00110E29">
      <w:pPr>
        <w:spacing w:after="0" w:line="240" w:lineRule="auto"/>
        <w:jc w:val="both"/>
        <w:rPr>
          <w:rFonts w:ascii="Times New Roman" w:eastAsia="Times New Roman" w:hAnsi="Times New Roman" w:cs="Times New Roman"/>
          <w:szCs w:val="20"/>
          <w:lang w:eastAsia="sk-SK"/>
        </w:rPr>
      </w:pPr>
      <w:r w:rsidRPr="001514DD">
        <w:rPr>
          <w:rFonts w:ascii="Times New Roman" w:eastAsia="Times New Roman" w:hAnsi="Times New Roman" w:cs="Times New Roman"/>
          <w:szCs w:val="20"/>
          <w:lang w:eastAsia="sk-SK"/>
        </w:rPr>
        <w:t xml:space="preserve">                                                                                                                                                                                                                                                                Tabuľka č.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63"/>
        <w:gridCol w:w="1134"/>
        <w:gridCol w:w="992"/>
        <w:gridCol w:w="993"/>
        <w:gridCol w:w="992"/>
        <w:gridCol w:w="41"/>
        <w:gridCol w:w="1376"/>
      </w:tblGrid>
      <w:tr w:rsidR="00110E29" w:rsidRPr="001514DD" w14:paraId="7AE2CC12" w14:textId="77777777" w:rsidTr="00834353">
        <w:trPr>
          <w:trHeight w:val="284"/>
        </w:trPr>
        <w:tc>
          <w:tcPr>
            <w:tcW w:w="2943" w:type="dxa"/>
            <w:vMerge w:val="restart"/>
            <w:shd w:val="clear" w:color="auto" w:fill="BFBFBF" w:themeFill="background1" w:themeFillShade="BF"/>
            <w:vAlign w:val="center"/>
          </w:tcPr>
          <w:p w14:paraId="64350CD8"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Dlhodobá udržateľnosť</w:t>
            </w:r>
          </w:p>
        </w:tc>
        <w:tc>
          <w:tcPr>
            <w:tcW w:w="5315" w:type="dxa"/>
            <w:gridSpan w:val="6"/>
            <w:shd w:val="clear" w:color="auto" w:fill="BFBFBF" w:themeFill="background1" w:themeFillShade="BF"/>
          </w:tcPr>
          <w:p w14:paraId="623A96EE"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Vplyv na verejné financie</w:t>
            </w:r>
          </w:p>
        </w:tc>
        <w:tc>
          <w:tcPr>
            <w:tcW w:w="1376" w:type="dxa"/>
            <w:shd w:val="clear" w:color="auto" w:fill="BFBFBF" w:themeFill="background1" w:themeFillShade="BF"/>
            <w:vAlign w:val="center"/>
          </w:tcPr>
          <w:p w14:paraId="7CBD07D7"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Poznámka</w:t>
            </w:r>
          </w:p>
        </w:tc>
      </w:tr>
      <w:tr w:rsidR="00110E29" w:rsidRPr="001514DD" w14:paraId="2073079C" w14:textId="77777777" w:rsidTr="00834353">
        <w:trPr>
          <w:trHeight w:val="284"/>
        </w:trPr>
        <w:tc>
          <w:tcPr>
            <w:tcW w:w="2943" w:type="dxa"/>
            <w:vMerge/>
            <w:shd w:val="clear" w:color="auto" w:fill="BFBFBF" w:themeFill="background1" w:themeFillShade="BF"/>
          </w:tcPr>
          <w:p w14:paraId="69BBD03D"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163" w:type="dxa"/>
            <w:shd w:val="clear" w:color="auto" w:fill="BFBFBF" w:themeFill="background1" w:themeFillShade="BF"/>
          </w:tcPr>
          <w:p w14:paraId="65309E2F"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d</w:t>
            </w:r>
          </w:p>
        </w:tc>
        <w:tc>
          <w:tcPr>
            <w:tcW w:w="1134" w:type="dxa"/>
            <w:shd w:val="clear" w:color="auto" w:fill="BFBFBF" w:themeFill="background1" w:themeFillShade="BF"/>
          </w:tcPr>
          <w:p w14:paraId="15314BBE"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d + 10</w:t>
            </w:r>
          </w:p>
        </w:tc>
        <w:tc>
          <w:tcPr>
            <w:tcW w:w="992" w:type="dxa"/>
            <w:shd w:val="clear" w:color="auto" w:fill="BFBFBF" w:themeFill="background1" w:themeFillShade="BF"/>
          </w:tcPr>
          <w:p w14:paraId="1F336342"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d + 20</w:t>
            </w:r>
          </w:p>
        </w:tc>
        <w:tc>
          <w:tcPr>
            <w:tcW w:w="993" w:type="dxa"/>
            <w:shd w:val="clear" w:color="auto" w:fill="BFBFBF" w:themeFill="background1" w:themeFillShade="BF"/>
          </w:tcPr>
          <w:p w14:paraId="1173AD67" w14:textId="77777777" w:rsidR="00110E29" w:rsidRPr="001514DD" w:rsidRDefault="00110E29" w:rsidP="008343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d + 30</w:t>
            </w:r>
          </w:p>
        </w:tc>
        <w:tc>
          <w:tcPr>
            <w:tcW w:w="992" w:type="dxa"/>
            <w:shd w:val="clear" w:color="auto" w:fill="BFBFBF" w:themeFill="background1" w:themeFillShade="BF"/>
          </w:tcPr>
          <w:p w14:paraId="1DCFF467" w14:textId="77777777" w:rsidR="00110E29" w:rsidRPr="001514DD" w:rsidRDefault="00110E29" w:rsidP="00834353">
            <w:pPr>
              <w:widowControl w:val="0"/>
              <w:overflowPunct w:val="0"/>
              <w:autoSpaceDE w:val="0"/>
              <w:autoSpaceDN w:val="0"/>
              <w:adjustRightInd w:val="0"/>
              <w:spacing w:after="0" w:line="240" w:lineRule="auto"/>
              <w:ind w:hanging="39"/>
              <w:jc w:val="center"/>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d + 40</w:t>
            </w:r>
          </w:p>
        </w:tc>
        <w:tc>
          <w:tcPr>
            <w:tcW w:w="1417" w:type="dxa"/>
            <w:gridSpan w:val="2"/>
            <w:shd w:val="clear" w:color="auto" w:fill="BFBFBF" w:themeFill="background1" w:themeFillShade="BF"/>
          </w:tcPr>
          <w:p w14:paraId="4DDFDECC"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r>
      <w:tr w:rsidR="00110E29" w:rsidRPr="001514DD" w14:paraId="44FC506C" w14:textId="77777777" w:rsidTr="00834353">
        <w:trPr>
          <w:trHeight w:val="284"/>
        </w:trPr>
        <w:tc>
          <w:tcPr>
            <w:tcW w:w="2943" w:type="dxa"/>
            <w:vAlign w:val="bottom"/>
          </w:tcPr>
          <w:p w14:paraId="77F7BACB" w14:textId="77777777" w:rsidR="00110E29" w:rsidRPr="001514DD" w:rsidRDefault="00110E29" w:rsidP="008343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Vplyv na výdavky v p. b. HDP</w:t>
            </w:r>
          </w:p>
        </w:tc>
        <w:tc>
          <w:tcPr>
            <w:tcW w:w="1163" w:type="dxa"/>
          </w:tcPr>
          <w:p w14:paraId="75C5F6C1"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134" w:type="dxa"/>
          </w:tcPr>
          <w:p w14:paraId="46983170"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2" w:type="dxa"/>
          </w:tcPr>
          <w:p w14:paraId="57AD821C"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3" w:type="dxa"/>
          </w:tcPr>
          <w:p w14:paraId="36653FA5"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2" w:type="dxa"/>
          </w:tcPr>
          <w:p w14:paraId="65475DC1"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417" w:type="dxa"/>
            <w:gridSpan w:val="2"/>
          </w:tcPr>
          <w:p w14:paraId="7DE49385"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r>
      <w:tr w:rsidR="00110E29" w:rsidRPr="001514DD" w14:paraId="618467D0" w14:textId="77777777" w:rsidTr="00834353">
        <w:trPr>
          <w:trHeight w:val="284"/>
        </w:trPr>
        <w:tc>
          <w:tcPr>
            <w:tcW w:w="2943" w:type="dxa"/>
          </w:tcPr>
          <w:p w14:paraId="1EA629DC" w14:textId="77777777" w:rsidR="00110E29" w:rsidRPr="001514DD" w:rsidRDefault="00110E29" w:rsidP="008343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Vplyv na príjmy v p. b. HDP</w:t>
            </w:r>
          </w:p>
        </w:tc>
        <w:tc>
          <w:tcPr>
            <w:tcW w:w="1163" w:type="dxa"/>
          </w:tcPr>
          <w:p w14:paraId="67A0A29A"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134" w:type="dxa"/>
          </w:tcPr>
          <w:p w14:paraId="188AEB4E"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2" w:type="dxa"/>
          </w:tcPr>
          <w:p w14:paraId="2471BE65"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3" w:type="dxa"/>
          </w:tcPr>
          <w:p w14:paraId="3AA1DEDD"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2" w:type="dxa"/>
          </w:tcPr>
          <w:p w14:paraId="6EEFAAA2"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417" w:type="dxa"/>
            <w:gridSpan w:val="2"/>
          </w:tcPr>
          <w:p w14:paraId="7B720DB2"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r>
      <w:tr w:rsidR="00110E29" w:rsidRPr="001514DD" w14:paraId="08EF28B6" w14:textId="77777777" w:rsidTr="00834353">
        <w:trPr>
          <w:trHeight w:val="284"/>
        </w:trPr>
        <w:tc>
          <w:tcPr>
            <w:tcW w:w="2943" w:type="dxa"/>
          </w:tcPr>
          <w:p w14:paraId="2F8F8409" w14:textId="77777777" w:rsidR="00110E29" w:rsidRPr="001514DD" w:rsidRDefault="00110E29" w:rsidP="008343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Vplyv na bilanciu  v p. b. HDP</w:t>
            </w:r>
          </w:p>
        </w:tc>
        <w:tc>
          <w:tcPr>
            <w:tcW w:w="1163" w:type="dxa"/>
          </w:tcPr>
          <w:p w14:paraId="2FC90F35"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134" w:type="dxa"/>
          </w:tcPr>
          <w:p w14:paraId="4F593819"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2" w:type="dxa"/>
          </w:tcPr>
          <w:p w14:paraId="2CC9FABD"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3" w:type="dxa"/>
          </w:tcPr>
          <w:p w14:paraId="5BA4EE77"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992" w:type="dxa"/>
          </w:tcPr>
          <w:p w14:paraId="615D21D9"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c>
          <w:tcPr>
            <w:tcW w:w="1417" w:type="dxa"/>
            <w:gridSpan w:val="2"/>
          </w:tcPr>
          <w:p w14:paraId="4CE85AC5" w14:textId="77777777" w:rsidR="00110E29" w:rsidRPr="001514DD" w:rsidRDefault="00110E29" w:rsidP="0083435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sk-SK"/>
              </w:rPr>
            </w:pPr>
          </w:p>
        </w:tc>
      </w:tr>
    </w:tbl>
    <w:p w14:paraId="59F98C3B"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5585A386" w14:textId="77777777" w:rsidR="00110E29" w:rsidRPr="001514DD" w:rsidRDefault="00110E29" w:rsidP="00110E29">
      <w:pPr>
        <w:spacing w:after="0" w:line="240" w:lineRule="auto"/>
        <w:jc w:val="both"/>
        <w:rPr>
          <w:rFonts w:ascii="Times New Roman" w:eastAsia="Times New Roman" w:hAnsi="Times New Roman" w:cs="Times New Roman"/>
          <w:b/>
          <w:sz w:val="24"/>
          <w:lang w:eastAsia="sk-SK"/>
        </w:rPr>
      </w:pPr>
      <w:r w:rsidRPr="001514DD">
        <w:rPr>
          <w:rFonts w:ascii="Times New Roman" w:eastAsia="Times New Roman" w:hAnsi="Times New Roman" w:cs="Times New Roman"/>
          <w:b/>
          <w:sz w:val="24"/>
          <w:lang w:eastAsia="sk-SK"/>
        </w:rPr>
        <w:t xml:space="preserve">Poznámka: </w:t>
      </w:r>
    </w:p>
    <w:p w14:paraId="02DF41B2"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 xml:space="preserve">Písmeno „d“ označuje prvý rok nasledujúcej dekády. </w:t>
      </w:r>
    </w:p>
    <w:p w14:paraId="49E8005D"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r w:rsidRPr="001514DD">
        <w:rPr>
          <w:rFonts w:ascii="Times New Roman" w:eastAsia="Times New Roman" w:hAnsi="Times New Roman" w:cs="Times New Roman"/>
          <w:sz w:val="24"/>
          <w:lang w:eastAsia="sk-SK"/>
        </w:rPr>
        <w:t>Tabuľka sa vypĺňa pre každé opatrenie samostatne. V prípade zavádzania viacerých opatrení sa vyplní aj tabuľka obsahujúca aj kumulatívny efekt zavedenia všetkých opatrení súčasne.</w:t>
      </w:r>
    </w:p>
    <w:p w14:paraId="6462BA30"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3A8DC271"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6B693E51" w14:textId="77777777" w:rsidR="00110E29" w:rsidRPr="001514DD" w:rsidRDefault="00110E29" w:rsidP="00110E29">
      <w:pPr>
        <w:spacing w:after="0" w:line="240" w:lineRule="auto"/>
        <w:jc w:val="both"/>
        <w:rPr>
          <w:rFonts w:ascii="Times New Roman" w:eastAsia="Times New Roman" w:hAnsi="Times New Roman" w:cs="Times New Roman"/>
          <w:sz w:val="24"/>
          <w:lang w:eastAsia="sk-SK"/>
        </w:rPr>
      </w:pPr>
    </w:p>
    <w:p w14:paraId="3F889E64" w14:textId="77777777" w:rsidR="00110E29" w:rsidRPr="001514DD" w:rsidRDefault="00110E29" w:rsidP="00110E29">
      <w:pPr>
        <w:pStyle w:val="Bezriadkovania"/>
        <w:spacing w:after="240"/>
        <w:jc w:val="both"/>
        <w:rPr>
          <w:rFonts w:ascii="Times New Roman" w:hAnsi="Times New Roman" w:cs="Times New Roman"/>
          <w:sz w:val="24"/>
          <w:szCs w:val="24"/>
        </w:rPr>
      </w:pPr>
    </w:p>
    <w:p w14:paraId="77312AA2" w14:textId="77777777" w:rsidR="00110E29" w:rsidRPr="001514DD" w:rsidRDefault="00110E29" w:rsidP="00110E29">
      <w:pPr>
        <w:pStyle w:val="Bezriadkovania"/>
        <w:spacing w:after="240"/>
        <w:jc w:val="both"/>
        <w:rPr>
          <w:rFonts w:ascii="Times New Roman" w:hAnsi="Times New Roman" w:cs="Times New Roman"/>
          <w:sz w:val="24"/>
          <w:szCs w:val="24"/>
        </w:rPr>
      </w:pPr>
    </w:p>
    <w:p w14:paraId="343D6D8E" w14:textId="77777777" w:rsidR="00110E29" w:rsidRPr="001514DD" w:rsidRDefault="00110E29" w:rsidP="00110E29">
      <w:pPr>
        <w:pStyle w:val="Bezriadkovania"/>
        <w:spacing w:after="240"/>
        <w:jc w:val="both"/>
        <w:rPr>
          <w:rFonts w:ascii="Times New Roman" w:hAnsi="Times New Roman" w:cs="Times New Roman"/>
          <w:sz w:val="24"/>
          <w:szCs w:val="24"/>
        </w:rPr>
      </w:pPr>
    </w:p>
    <w:p w14:paraId="33A0BF39"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38D4B0FE"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5296DE75"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00E114B6"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55E4344D"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2EB751EE"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49CEE23D" w14:textId="77777777" w:rsidR="00110E29" w:rsidRPr="001514DD" w:rsidRDefault="00110E29" w:rsidP="00110E29">
      <w:pPr>
        <w:pStyle w:val="Bezriadkovania"/>
        <w:spacing w:after="240"/>
        <w:ind w:firstLine="284"/>
        <w:jc w:val="both"/>
        <w:rPr>
          <w:rFonts w:ascii="Times New Roman" w:hAnsi="Times New Roman" w:cs="Times New Roman"/>
          <w:sz w:val="24"/>
          <w:szCs w:val="24"/>
        </w:rPr>
      </w:pPr>
    </w:p>
    <w:p w14:paraId="6EB058B8" w14:textId="77777777" w:rsidR="004359B1" w:rsidRDefault="004359B1"/>
    <w:sectPr w:rsidR="00435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D60C" w14:textId="77777777" w:rsidR="00110E29" w:rsidRDefault="00110E2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0</w:t>
    </w:r>
    <w:r>
      <w:rPr>
        <w:rStyle w:val="slostrany"/>
      </w:rPr>
      <w:fldChar w:fldCharType="end"/>
    </w:r>
  </w:p>
  <w:p w14:paraId="78E47A60" w14:textId="77777777" w:rsidR="00110E29" w:rsidRDefault="00110E2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4FB5" w14:textId="77777777" w:rsidR="00110E29" w:rsidRDefault="00110E2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DA1" w14:textId="77777777" w:rsidR="00110E29" w:rsidRDefault="00110E29">
    <w:pPr>
      <w:pStyle w:val="Pta"/>
      <w:jc w:val="right"/>
    </w:pPr>
    <w:r>
      <w:fldChar w:fldCharType="begin"/>
    </w:r>
    <w:r>
      <w:instrText>PAGE   \* MERGEFORMAT</w:instrText>
    </w:r>
    <w:r>
      <w:fldChar w:fldCharType="separate"/>
    </w:r>
    <w:r>
      <w:rPr>
        <w:noProof/>
      </w:rPr>
      <w:t>0</w:t>
    </w:r>
    <w:r>
      <w:fldChar w:fldCharType="end"/>
    </w:r>
  </w:p>
  <w:p w14:paraId="423244CB" w14:textId="77777777" w:rsidR="00110E29" w:rsidRDefault="00110E29">
    <w:pPr>
      <w:pStyle w:val="Pt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22A4" w14:textId="77777777" w:rsidR="00110E29" w:rsidRDefault="00110E29" w:rsidP="00696590">
    <w:pPr>
      <w:pStyle w:val="Hlavika"/>
      <w:jc w:val="right"/>
      <w:rPr>
        <w:sz w:val="24"/>
      </w:rPr>
    </w:pPr>
    <w:r>
      <w:rPr>
        <w:sz w:val="24"/>
      </w:rPr>
      <w:t>Príloha č. 2</w:t>
    </w:r>
  </w:p>
  <w:p w14:paraId="059FB750" w14:textId="77777777" w:rsidR="00110E29" w:rsidRPr="00EB59C8" w:rsidRDefault="00110E29" w:rsidP="00696590">
    <w:pPr>
      <w:pStyle w:val="Hlavika"/>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3064" w14:textId="77777777" w:rsidR="00110E29" w:rsidRDefault="00110E29">
    <w:pPr>
      <w:pStyle w:val="Hlavika"/>
      <w:jc w:val="right"/>
      <w:rPr>
        <w:sz w:val="24"/>
      </w:rPr>
    </w:pPr>
  </w:p>
  <w:p w14:paraId="62315D18" w14:textId="77777777" w:rsidR="00110E29" w:rsidRPr="0024067A" w:rsidRDefault="00110E29">
    <w:pPr>
      <w:pStyle w:val="Hlavika"/>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5A36" w14:textId="77777777" w:rsidR="00110E29" w:rsidRPr="000A15AE" w:rsidRDefault="00110E29" w:rsidP="00696590">
    <w:pPr>
      <w:pStyle w:val="Hlavika"/>
      <w:jc w:val="right"/>
      <w:rPr>
        <w:sz w:val="24"/>
      </w:rPr>
    </w:pPr>
    <w:r>
      <w:rPr>
        <w:sz w:val="24"/>
      </w:rPr>
      <w:t>Príloha č.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29"/>
    <w:rsid w:val="00110E29"/>
    <w:rsid w:val="004359B1"/>
    <w:rsid w:val="006B0361"/>
    <w:rsid w:val="0071742E"/>
    <w:rsid w:val="00C259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8273"/>
  <w15:chartTrackingRefBased/>
  <w15:docId w15:val="{CCB7598F-C079-4D68-B651-AAF06CE7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0E29"/>
    <w:rPr>
      <w:rFonts w:ascii="Fira Sans" w:hAnsi="Fira Sans"/>
      <w:color w:val="232323"/>
      <w:kern w:val="0"/>
      <w:sz w:val="20"/>
      <w14:ligatures w14:val="none"/>
    </w:rPr>
  </w:style>
  <w:style w:type="paragraph" w:styleId="Nadpis1">
    <w:name w:val="heading 1"/>
    <w:basedOn w:val="Normlny"/>
    <w:next w:val="Normlny"/>
    <w:link w:val="Nadpis1Char"/>
    <w:uiPriority w:val="9"/>
    <w:qFormat/>
    <w:rsid w:val="00110E2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110E2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110E2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110E29"/>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Nadpis5">
    <w:name w:val="heading 5"/>
    <w:basedOn w:val="Normlny"/>
    <w:next w:val="Normlny"/>
    <w:link w:val="Nadpis5Char"/>
    <w:uiPriority w:val="9"/>
    <w:semiHidden/>
    <w:unhideWhenUsed/>
    <w:qFormat/>
    <w:rsid w:val="00110E29"/>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Nadpis6">
    <w:name w:val="heading 6"/>
    <w:basedOn w:val="Normlny"/>
    <w:next w:val="Normlny"/>
    <w:link w:val="Nadpis6Char"/>
    <w:uiPriority w:val="9"/>
    <w:semiHidden/>
    <w:unhideWhenUsed/>
    <w:qFormat/>
    <w:rsid w:val="00110E29"/>
    <w:pPr>
      <w:keepNext/>
      <w:keepLines/>
      <w:spacing w:before="40" w:after="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Nadpis7">
    <w:name w:val="heading 7"/>
    <w:basedOn w:val="Normlny"/>
    <w:next w:val="Normlny"/>
    <w:link w:val="Nadpis7Char"/>
    <w:uiPriority w:val="9"/>
    <w:semiHidden/>
    <w:unhideWhenUsed/>
    <w:qFormat/>
    <w:rsid w:val="00110E29"/>
    <w:pPr>
      <w:keepNext/>
      <w:keepLines/>
      <w:spacing w:before="40" w:after="0"/>
      <w:outlineLvl w:val="6"/>
    </w:pPr>
    <w:rPr>
      <w:rFonts w:asciiTheme="minorHAnsi" w:eastAsiaTheme="majorEastAsia" w:hAnsiTheme="minorHAnsi" w:cstheme="majorBidi"/>
      <w:color w:val="595959" w:themeColor="text1" w:themeTint="A6"/>
      <w:kern w:val="2"/>
      <w:sz w:val="24"/>
      <w14:ligatures w14:val="standardContextual"/>
    </w:rPr>
  </w:style>
  <w:style w:type="paragraph" w:styleId="Nadpis8">
    <w:name w:val="heading 8"/>
    <w:basedOn w:val="Normlny"/>
    <w:next w:val="Normlny"/>
    <w:link w:val="Nadpis8Char"/>
    <w:uiPriority w:val="9"/>
    <w:semiHidden/>
    <w:unhideWhenUsed/>
    <w:qFormat/>
    <w:rsid w:val="00110E29"/>
    <w:pPr>
      <w:keepNext/>
      <w:keepLines/>
      <w:spacing w:after="0"/>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Nadpis9">
    <w:name w:val="heading 9"/>
    <w:basedOn w:val="Normlny"/>
    <w:next w:val="Normlny"/>
    <w:link w:val="Nadpis9Char"/>
    <w:uiPriority w:val="9"/>
    <w:semiHidden/>
    <w:unhideWhenUsed/>
    <w:qFormat/>
    <w:rsid w:val="00110E29"/>
    <w:pPr>
      <w:keepNext/>
      <w:keepLines/>
      <w:spacing w:after="0"/>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10E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10E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10E2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10E2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10E2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10E2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10E2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10E2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10E29"/>
    <w:rPr>
      <w:rFonts w:eastAsiaTheme="majorEastAsia" w:cstheme="majorBidi"/>
      <w:color w:val="272727" w:themeColor="text1" w:themeTint="D8"/>
    </w:rPr>
  </w:style>
  <w:style w:type="paragraph" w:styleId="Nzov">
    <w:name w:val="Title"/>
    <w:basedOn w:val="Normlny"/>
    <w:next w:val="Normlny"/>
    <w:link w:val="NzovChar"/>
    <w:uiPriority w:val="10"/>
    <w:qFormat/>
    <w:rsid w:val="00110E29"/>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NzovChar">
    <w:name w:val="Názov Char"/>
    <w:basedOn w:val="Predvolenpsmoodseku"/>
    <w:link w:val="Nzov"/>
    <w:uiPriority w:val="10"/>
    <w:rsid w:val="00110E2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10E29"/>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110E2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10E29"/>
    <w:pPr>
      <w:spacing w:before="160"/>
      <w:jc w:val="center"/>
    </w:pPr>
    <w:rPr>
      <w:rFonts w:asciiTheme="minorHAnsi" w:hAnsiTheme="minorHAnsi"/>
      <w:i/>
      <w:iCs/>
      <w:color w:val="404040" w:themeColor="text1" w:themeTint="BF"/>
      <w:kern w:val="2"/>
      <w:sz w:val="24"/>
      <w14:ligatures w14:val="standardContextual"/>
    </w:rPr>
  </w:style>
  <w:style w:type="character" w:customStyle="1" w:styleId="CitciaChar">
    <w:name w:val="Citácia Char"/>
    <w:basedOn w:val="Predvolenpsmoodseku"/>
    <w:link w:val="Citcia"/>
    <w:uiPriority w:val="29"/>
    <w:rsid w:val="00110E29"/>
    <w:rPr>
      <w:i/>
      <w:iCs/>
      <w:color w:val="404040" w:themeColor="text1" w:themeTint="BF"/>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110E29"/>
    <w:pPr>
      <w:ind w:left="720"/>
      <w:contextualSpacing/>
    </w:pPr>
    <w:rPr>
      <w:rFonts w:asciiTheme="minorHAnsi" w:hAnsiTheme="minorHAnsi"/>
      <w:color w:val="auto"/>
      <w:kern w:val="2"/>
      <w:sz w:val="24"/>
      <w14:ligatures w14:val="standardContextual"/>
    </w:rPr>
  </w:style>
  <w:style w:type="character" w:styleId="Intenzvnezvraznenie">
    <w:name w:val="Intense Emphasis"/>
    <w:basedOn w:val="Predvolenpsmoodseku"/>
    <w:uiPriority w:val="21"/>
    <w:qFormat/>
    <w:rsid w:val="00110E29"/>
    <w:rPr>
      <w:i/>
      <w:iCs/>
      <w:color w:val="0F4761" w:themeColor="accent1" w:themeShade="BF"/>
    </w:rPr>
  </w:style>
  <w:style w:type="paragraph" w:styleId="Zvraznencitcia">
    <w:name w:val="Intense Quote"/>
    <w:basedOn w:val="Normlny"/>
    <w:next w:val="Normlny"/>
    <w:link w:val="ZvraznencitciaChar"/>
    <w:uiPriority w:val="30"/>
    <w:qFormat/>
    <w:rsid w:val="00110E2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14:ligatures w14:val="standardContextual"/>
    </w:rPr>
  </w:style>
  <w:style w:type="character" w:customStyle="1" w:styleId="ZvraznencitciaChar">
    <w:name w:val="Zvýraznená citácia Char"/>
    <w:basedOn w:val="Predvolenpsmoodseku"/>
    <w:link w:val="Zvraznencitcia"/>
    <w:uiPriority w:val="30"/>
    <w:rsid w:val="00110E29"/>
    <w:rPr>
      <w:i/>
      <w:iCs/>
      <w:color w:val="0F4761" w:themeColor="accent1" w:themeShade="BF"/>
    </w:rPr>
  </w:style>
  <w:style w:type="character" w:styleId="Zvraznenodkaz">
    <w:name w:val="Intense Reference"/>
    <w:basedOn w:val="Predvolenpsmoodseku"/>
    <w:uiPriority w:val="32"/>
    <w:qFormat/>
    <w:rsid w:val="00110E29"/>
    <w:rPr>
      <w:b/>
      <w:bCs/>
      <w:smallCaps/>
      <w:color w:val="0F4761" w:themeColor="accent1" w:themeShade="BF"/>
      <w:spacing w:val="5"/>
    </w:rPr>
  </w:style>
  <w:style w:type="paragraph" w:styleId="Hlavika">
    <w:name w:val="header"/>
    <w:basedOn w:val="Normlny"/>
    <w:link w:val="HlavikaChar"/>
    <w:uiPriority w:val="99"/>
    <w:unhideWhenUsed/>
    <w:rsid w:val="00110E29"/>
    <w:pPr>
      <w:tabs>
        <w:tab w:val="center" w:pos="4536"/>
        <w:tab w:val="right" w:pos="9072"/>
      </w:tabs>
      <w:spacing w:after="0"/>
    </w:pPr>
  </w:style>
  <w:style w:type="character" w:customStyle="1" w:styleId="HlavikaChar">
    <w:name w:val="Hlavička Char"/>
    <w:basedOn w:val="Predvolenpsmoodseku"/>
    <w:link w:val="Hlavika"/>
    <w:uiPriority w:val="99"/>
    <w:rsid w:val="00110E29"/>
    <w:rPr>
      <w:rFonts w:ascii="Fira Sans" w:hAnsi="Fira Sans"/>
      <w:color w:val="232323"/>
      <w:kern w:val="0"/>
      <w:sz w:val="20"/>
      <w14:ligatures w14:val="none"/>
    </w:rPr>
  </w:style>
  <w:style w:type="paragraph" w:styleId="Pta">
    <w:name w:val="footer"/>
    <w:basedOn w:val="Normlny"/>
    <w:link w:val="PtaChar"/>
    <w:uiPriority w:val="99"/>
    <w:unhideWhenUsed/>
    <w:rsid w:val="00110E29"/>
    <w:pPr>
      <w:tabs>
        <w:tab w:val="center" w:pos="4536"/>
        <w:tab w:val="right" w:pos="9072"/>
      </w:tabs>
      <w:spacing w:after="0"/>
    </w:pPr>
  </w:style>
  <w:style w:type="character" w:customStyle="1" w:styleId="PtaChar">
    <w:name w:val="Päta Char"/>
    <w:basedOn w:val="Predvolenpsmoodseku"/>
    <w:link w:val="Pta"/>
    <w:uiPriority w:val="99"/>
    <w:rsid w:val="00110E29"/>
    <w:rPr>
      <w:rFonts w:ascii="Fira Sans" w:hAnsi="Fira Sans"/>
      <w:color w:val="232323"/>
      <w:kern w:val="0"/>
      <w:sz w:val="20"/>
      <w14:ligatures w14:val="none"/>
    </w:rPr>
  </w:style>
  <w:style w:type="paragraph" w:styleId="Bezriadkovania">
    <w:name w:val="No Spacing"/>
    <w:uiPriority w:val="1"/>
    <w:qFormat/>
    <w:rsid w:val="00110E29"/>
    <w:pPr>
      <w:spacing w:after="0" w:line="240" w:lineRule="auto"/>
    </w:pPr>
    <w:rPr>
      <w:kern w:val="0"/>
      <w:sz w:val="22"/>
      <w:szCs w:val="22"/>
      <w14:ligatures w14:val="none"/>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110E29"/>
  </w:style>
  <w:style w:type="character" w:styleId="slostrany">
    <w:name w:val="page number"/>
    <w:basedOn w:val="Predvolenpsmoodseku"/>
    <w:uiPriority w:val="99"/>
    <w:rsid w:val="00110E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3175</Words>
  <Characters>18100</Characters>
  <DocSecurity>0</DocSecurity>
  <Lines>150</Lines>
  <Paragraphs>42</Paragraphs>
  <ScaleCrop>false</ScaleCrop>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2026-03-27T17:17:00Z</dcterms:created>
  <dcterms:modified xsi:type="dcterms:W3CDTF">2026-03-27T17:18:00Z</dcterms:modified>
</cp:coreProperties>
</file>