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EFC18" w14:textId="77777777" w:rsidR="00387704" w:rsidRPr="001514DD" w:rsidRDefault="00387704" w:rsidP="006E0AF4">
      <w:pPr>
        <w:spacing w:after="240" w:line="240" w:lineRule="auto"/>
        <w:jc w:val="center"/>
        <w:outlineLvl w:val="0"/>
        <w:rPr>
          <w:rFonts w:ascii="Times New Roman" w:hAnsi="Times New Roman"/>
          <w:b/>
          <w:sz w:val="36"/>
          <w:szCs w:val="36"/>
          <w:lang w:eastAsia="sk-SK"/>
        </w:rPr>
      </w:pPr>
      <w:r w:rsidRPr="001514DD">
        <w:rPr>
          <w:rFonts w:ascii="Times New Roman" w:hAnsi="Times New Roman"/>
          <w:b/>
          <w:sz w:val="36"/>
          <w:szCs w:val="36"/>
          <w:lang w:eastAsia="sk-SK"/>
        </w:rPr>
        <w:t>Dôvodová správa</w:t>
      </w:r>
    </w:p>
    <w:p w14:paraId="7C141DC4" w14:textId="77777777" w:rsidR="001514DD" w:rsidRDefault="001514DD" w:rsidP="00387704">
      <w:pPr>
        <w:spacing w:before="240" w:after="0" w:line="240" w:lineRule="auto"/>
        <w:ind w:firstLine="284"/>
        <w:jc w:val="both"/>
        <w:rPr>
          <w:rFonts w:ascii="Times New Roman" w:hAnsi="Times New Roman"/>
          <w:b/>
          <w:sz w:val="24"/>
          <w:lang w:eastAsia="sk-SK"/>
        </w:rPr>
      </w:pPr>
    </w:p>
    <w:p w14:paraId="2B3A187C" w14:textId="41F200C3" w:rsidR="00387704" w:rsidRPr="001514DD" w:rsidRDefault="00387704" w:rsidP="00387704">
      <w:pPr>
        <w:spacing w:before="240" w:after="0" w:line="240" w:lineRule="auto"/>
        <w:ind w:firstLine="284"/>
        <w:jc w:val="both"/>
        <w:rPr>
          <w:rFonts w:ascii="Times New Roman" w:hAnsi="Times New Roman"/>
          <w:b/>
          <w:sz w:val="28"/>
          <w:szCs w:val="28"/>
          <w:lang w:eastAsia="sk-SK"/>
        </w:rPr>
      </w:pPr>
      <w:r w:rsidRPr="001514DD">
        <w:rPr>
          <w:rFonts w:ascii="Times New Roman" w:hAnsi="Times New Roman"/>
          <w:b/>
          <w:sz w:val="28"/>
          <w:szCs w:val="28"/>
          <w:lang w:eastAsia="sk-SK"/>
        </w:rPr>
        <w:t>A. Všeobecná časť</w:t>
      </w:r>
    </w:p>
    <w:p w14:paraId="6ECA18DF" w14:textId="4CBD4737" w:rsidR="00387704" w:rsidRPr="001514DD" w:rsidRDefault="00387704" w:rsidP="00387704">
      <w:pPr>
        <w:tabs>
          <w:tab w:val="left" w:pos="284"/>
        </w:tabs>
        <w:spacing w:before="240" w:after="0" w:line="240" w:lineRule="auto"/>
        <w:jc w:val="both"/>
        <w:rPr>
          <w:rFonts w:ascii="Times New Roman" w:hAnsi="Times New Roman"/>
          <w:sz w:val="24"/>
          <w:lang w:eastAsia="sk-SK"/>
        </w:rPr>
      </w:pPr>
      <w:r w:rsidRPr="001514DD">
        <w:rPr>
          <w:rFonts w:ascii="Times New Roman" w:hAnsi="Times New Roman"/>
          <w:b/>
          <w:sz w:val="24"/>
          <w:lang w:eastAsia="sk-SK"/>
        </w:rPr>
        <w:t xml:space="preserve">     </w:t>
      </w:r>
      <w:r w:rsidRPr="001514DD">
        <w:rPr>
          <w:rFonts w:ascii="Times New Roman" w:hAnsi="Times New Roman"/>
          <w:bCs/>
          <w:sz w:val="24"/>
          <w:lang w:eastAsia="sk-SK"/>
        </w:rPr>
        <w:t>N</w:t>
      </w:r>
      <w:r w:rsidRPr="001514DD">
        <w:rPr>
          <w:rFonts w:ascii="Times New Roman" w:hAnsi="Times New Roman"/>
          <w:sz w:val="24"/>
          <w:lang w:eastAsia="sk-SK"/>
        </w:rPr>
        <w:t xml:space="preserve">ávrh zákona, ktorým sa mení a dopĺňa zákon č. 180/2014 Z. z. o podmienkach výkonu volebného práva a o zmene a doplnení niektorých zákonov v znení neskorších predpisov predkladá na rokovanie Národnej rady Slovenskej republiky </w:t>
      </w:r>
      <w:r w:rsidR="00BD457A">
        <w:rPr>
          <w:rFonts w:ascii="Times New Roman" w:hAnsi="Times New Roman"/>
          <w:sz w:val="24"/>
          <w:lang w:eastAsia="sk-SK"/>
        </w:rPr>
        <w:t xml:space="preserve">skupina </w:t>
      </w:r>
      <w:r w:rsidRPr="001514DD">
        <w:rPr>
          <w:rFonts w:ascii="Times New Roman" w:hAnsi="Times New Roman"/>
          <w:sz w:val="24"/>
          <w:lang w:eastAsia="sk-SK"/>
        </w:rPr>
        <w:t>p</w:t>
      </w:r>
      <w:r w:rsidRPr="001514DD">
        <w:rPr>
          <w:rFonts w:ascii="Times New Roman" w:hAnsi="Times New Roman"/>
          <w:bCs/>
          <w:sz w:val="24"/>
          <w:lang w:eastAsia="sk-SK"/>
        </w:rPr>
        <w:t>oslan</w:t>
      </w:r>
      <w:r w:rsidR="00BD457A">
        <w:rPr>
          <w:rFonts w:ascii="Times New Roman" w:hAnsi="Times New Roman"/>
          <w:bCs/>
          <w:sz w:val="24"/>
          <w:lang w:eastAsia="sk-SK"/>
        </w:rPr>
        <w:t>cov</w:t>
      </w:r>
      <w:r w:rsidRPr="001514DD">
        <w:rPr>
          <w:rFonts w:ascii="Times New Roman" w:hAnsi="Times New Roman"/>
          <w:bCs/>
          <w:sz w:val="24"/>
          <w:lang w:eastAsia="sk-SK"/>
        </w:rPr>
        <w:t xml:space="preserve"> Národnej rad</w:t>
      </w:r>
      <w:r w:rsidR="00BD457A">
        <w:rPr>
          <w:rFonts w:ascii="Times New Roman" w:hAnsi="Times New Roman"/>
          <w:bCs/>
          <w:sz w:val="24"/>
          <w:lang w:eastAsia="sk-SK"/>
        </w:rPr>
        <w:t>y Slovenskej republiky.</w:t>
      </w:r>
    </w:p>
    <w:p w14:paraId="5A291C52"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r w:rsidRPr="001514DD">
        <w:rPr>
          <w:rFonts w:ascii="Times New Roman" w:hAnsi="Times New Roman"/>
          <w:sz w:val="24"/>
          <w:lang w:eastAsia="sk-SK"/>
        </w:rPr>
        <w:t xml:space="preserve">Návrhom zákona sa zavádza nový spôsob hlasovania voličov – štátnych občanov Slovenskej republiky, ktorí nemajú trvalý pobyt na území Slovenskej republiky, a ktorí majú trvalý pobyt na území Slovenskej republiky, avšak sa dočasne, napr. z dôvodu výkonu zamestnania či štúdia, zdržiavajú mimo jej územia, spočívajúci vo voľbe na zastupiteľských úradoch Slovenskej republiky v zahraničí. </w:t>
      </w:r>
    </w:p>
    <w:p w14:paraId="7630529F"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r w:rsidRPr="001514DD">
        <w:rPr>
          <w:rFonts w:ascii="Times New Roman" w:hAnsi="Times New Roman"/>
          <w:sz w:val="24"/>
          <w:lang w:eastAsia="sk-SK"/>
        </w:rPr>
        <w:t xml:space="preserve">Nová právna úprava reflektuje na dlhoročnú požiadavku voličov žijúcich v cudzine zúčastniť sa osobného hlasovania v celoštátnych voľbách na zastupiteľských úradoch a umožniť tak výkon práva voliť na území štátu, v ktorom sa voliči v čase volieb nachádzajú, bez nutnosti cestovať na územie Slovenskej republiky za účelom vykonania volebného aktu, resp. bez nutnosti realizácie úkonov súvisiacich s voľbou poštou. </w:t>
      </w:r>
    </w:p>
    <w:p w14:paraId="36DE9FFD"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r w:rsidRPr="001514DD">
        <w:rPr>
          <w:rFonts w:ascii="Times New Roman" w:hAnsi="Times New Roman"/>
          <w:sz w:val="24"/>
          <w:lang w:eastAsia="sk-SK"/>
        </w:rPr>
        <w:t xml:space="preserve">Zámerom zákonodarcu je umožniť namiesto voľby poštou hlasovanie na zastupiteľských úradoch vo voľbách do Národnej rady Slovenskej republiky a v referende. Naviac sa hlasovanie na zastupiteľských úradoch navrhuje zaviesť aj pre voľby prezidenta Slovenskej republiky. Doteraz mohli voliči bez trvalého pobytu na území Slovenskej republiky hlasovať vo voľbách prezidenta Slovenskej republiky výlučne osobne v deň konania volieb vo volebnej miestnosti na území Slovenskej republiky, na základe dopísania do zoznamu voličov po predložení cestovného dokladu vydaného Slovensku republikou. Nahradením osobného hlasovania vo volebnej miestnosti na území Slovenskej republiky hlasovaním na ambasáde sa tejto skupine voličov významne zvýši nielen ich voličský komfort, ale tiež reálna dostupnosť možnosti aktívne sa podieľať na voľbe hlavy štátu zo zahraničia. </w:t>
      </w:r>
    </w:p>
    <w:p w14:paraId="15AC7B10"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r w:rsidRPr="001514DD">
        <w:rPr>
          <w:rFonts w:ascii="Times New Roman" w:hAnsi="Times New Roman"/>
          <w:sz w:val="24"/>
          <w:lang w:eastAsia="sk-SK"/>
        </w:rPr>
        <w:t xml:space="preserve">Hlasovanie na zastupiteľských úradoch v zahraničí sa navrhuje realizovať za rovnakých podmienok, ako hlasovanie vo volebnej miestnosti na území Slovenskej republiky - dôstojným, reprezentatívnym spôsobom pod dohľadom okrskovej volebnej komisie utvorenej pre osobitný volebný okrsok, rešpektujúc úplnú tajnosť hlasovania, tzn. odovzdaním hlasu v osobitnom priestore na úpravu hlasovacích lístkov a jeho následnom vložení do volebnej schránky. </w:t>
      </w:r>
    </w:p>
    <w:p w14:paraId="14F9D99A"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r w:rsidRPr="001514DD">
        <w:rPr>
          <w:rFonts w:ascii="Times New Roman" w:hAnsi="Times New Roman"/>
          <w:sz w:val="24"/>
          <w:lang w:eastAsia="sk-SK"/>
        </w:rPr>
        <w:t xml:space="preserve">Zachovaním možnosti verejnosti osobne pozorovať priebeh hlasovania a sčítania hlasov na ambasáde sa posilní demokratický prvok a transparentnosť tohto spôsobu hlasovania, ktorého výsledky budú zisťované v reálnom - miestnom čase, a ich zaznamenanie v elektronickej zápisnici spracúvanej Štatistickým úradom Slovenskej republiky sa stane súčasťou celkových výsledkov hlasovania z príslušných volieb po skončení hlasovania na území Slovenskej republiky.       </w:t>
      </w:r>
    </w:p>
    <w:p w14:paraId="501D92AE" w14:textId="77777777" w:rsidR="00387704" w:rsidRPr="001514DD" w:rsidRDefault="00387704" w:rsidP="00387704">
      <w:pPr>
        <w:spacing w:before="240" w:after="0" w:line="240" w:lineRule="auto"/>
        <w:ind w:firstLine="284"/>
        <w:jc w:val="both"/>
        <w:rPr>
          <w:rFonts w:ascii="Times New Roman" w:hAnsi="Times New Roman"/>
          <w:sz w:val="24"/>
          <w:lang w:eastAsia="sk-SK"/>
        </w:rPr>
      </w:pPr>
      <w:r w:rsidRPr="001514DD">
        <w:rPr>
          <w:rFonts w:ascii="Times New Roman" w:hAnsi="Times New Roman" w:cs="Times New Roman"/>
          <w:sz w:val="24"/>
        </w:rPr>
        <w:t xml:space="preserve">Navrhuje sa zmena nastavenia výpočtu výšky volebnej kaucie pre voľby do Národnej rady Slovenskej republiky a pre voľby do Európskeho parlamentu z fixnej sumy 17 000 eur, resp. </w:t>
      </w:r>
      <w:r w:rsidRPr="001514DD">
        <w:rPr>
          <w:rFonts w:ascii="Times New Roman" w:hAnsi="Times New Roman" w:cs="Times New Roman"/>
          <w:sz w:val="24"/>
        </w:rPr>
        <w:br/>
        <w:t xml:space="preserve">1 700 eur na sumu, ktorá sa bude odvíjať od výšky priemernej nominálnej mesačnej mzdy </w:t>
      </w:r>
      <w:r w:rsidRPr="001514DD">
        <w:rPr>
          <w:rFonts w:ascii="Times New Roman" w:hAnsi="Times New Roman" w:cs="Times New Roman"/>
          <w:sz w:val="24"/>
        </w:rPr>
        <w:lastRenderedPageBreak/>
        <w:t xml:space="preserve">v hospodárstve Slovenskej republiky zverejňovanej Štatistickým úradom Slovenskej republiky. Súčasná výška volebnej kaucie sa nemenila od jej zavedenia, pričom jej výška už nepredstavuje relevantnú sumu na preukázanie vážnosti kandidatúry do orgánov takého významu, akými sú Národná rada Slovenskej republiky a Európsky parlament. Takýto mechanizmus výpočtu výšky volebnej kaucie zabezpečí primeraný rast alebo pokles výšky volebnej kaucie v závislosti od objektívneho ekonomického ukazovateľa v hospodárstve Slovenskej republiky. </w:t>
      </w:r>
      <w:r w:rsidRPr="001514DD">
        <w:rPr>
          <w:rFonts w:ascii="Times New Roman" w:hAnsi="Times New Roman"/>
          <w:sz w:val="24"/>
          <w:lang w:eastAsia="sk-SK"/>
        </w:rPr>
        <w:t xml:space="preserve">Navrhovaný mechanizmus výpočtu volebnej kaucie zároveň reflektuje na závery nálezu Ústavného súdu Slovenskej republiky </w:t>
      </w:r>
      <w:proofErr w:type="spellStart"/>
      <w:r w:rsidRPr="001514DD">
        <w:rPr>
          <w:rFonts w:ascii="Times New Roman" w:hAnsi="Times New Roman"/>
          <w:sz w:val="24"/>
          <w:lang w:eastAsia="sk-SK"/>
        </w:rPr>
        <w:t>sp</w:t>
      </w:r>
      <w:proofErr w:type="spellEnd"/>
      <w:r w:rsidRPr="001514DD">
        <w:rPr>
          <w:rFonts w:ascii="Times New Roman" w:hAnsi="Times New Roman"/>
          <w:sz w:val="24"/>
          <w:lang w:eastAsia="sk-SK"/>
        </w:rPr>
        <w:t>. zn. PL. ÚS 6/08.</w:t>
      </w:r>
    </w:p>
    <w:p w14:paraId="1990FDB9" w14:textId="77777777" w:rsidR="00387704" w:rsidRPr="001514DD" w:rsidRDefault="00387704" w:rsidP="00387704">
      <w:pPr>
        <w:spacing w:before="240" w:after="0" w:line="240" w:lineRule="auto"/>
        <w:ind w:firstLine="284"/>
        <w:jc w:val="both"/>
        <w:rPr>
          <w:rFonts w:ascii="Times New Roman" w:hAnsi="Times New Roman"/>
          <w:sz w:val="24"/>
          <w:lang w:eastAsia="sk-SK"/>
        </w:rPr>
      </w:pPr>
      <w:r w:rsidRPr="001514DD">
        <w:rPr>
          <w:rFonts w:ascii="Times New Roman" w:hAnsi="Times New Roman"/>
          <w:sz w:val="24"/>
          <w:lang w:eastAsia="sk-SK"/>
        </w:rPr>
        <w:t xml:space="preserve">Návrh zákona je v súlade s Ústavou Slovenskej republiky, ústavnými zákonmi, nálezmi Ústavného súdu Slovenskej republiky, medzinárodnými zmluvami a inými medzinárodnými dokumentmi, ktorými je Slovenská republika viazaná, a súčasne je v súlade aj s právom Európskej únie. </w:t>
      </w:r>
    </w:p>
    <w:p w14:paraId="6A6253E2" w14:textId="77777777" w:rsidR="00387704" w:rsidRPr="001514DD" w:rsidRDefault="00387704" w:rsidP="00387704">
      <w:pPr>
        <w:spacing w:before="240" w:after="0" w:line="240" w:lineRule="auto"/>
        <w:ind w:firstLine="284"/>
        <w:jc w:val="both"/>
        <w:rPr>
          <w:rFonts w:ascii="Times New Roman" w:hAnsi="Times New Roman" w:cs="Times New Roman"/>
          <w:sz w:val="24"/>
        </w:rPr>
      </w:pPr>
      <w:r w:rsidRPr="001514DD">
        <w:rPr>
          <w:rFonts w:ascii="Times New Roman" w:hAnsi="Times New Roman" w:cs="Times New Roman"/>
          <w:sz w:val="24"/>
          <w:lang w:eastAsia="sk-SK"/>
        </w:rPr>
        <w:t xml:space="preserve">Návrh zákona bude mať vplyv na rozpočet verejnej správy, </w:t>
      </w:r>
      <w:r w:rsidRPr="001514DD">
        <w:rPr>
          <w:rFonts w:ascii="Times New Roman" w:hAnsi="Times New Roman" w:cs="Times New Roman"/>
          <w:sz w:val="24"/>
        </w:rPr>
        <w:t>na informatizáciu spoločnosti, na služby verejnej správy pre občana a tiež bude mať sociálny vplyv, čo</w:t>
      </w:r>
      <w:r w:rsidRPr="001514DD">
        <w:rPr>
          <w:rFonts w:ascii="Times New Roman" w:hAnsi="Times New Roman" w:cs="Times New Roman"/>
          <w:sz w:val="24"/>
          <w:lang w:eastAsia="sk-SK"/>
        </w:rPr>
        <w:t xml:space="preserve"> je zachytené v doložke vybraných vplyvov. Finančné dopady návrhu zákona na rozpočet verejnej správy sú vyčíslené v analýze vplyvov na rozpočet verejnej správy. Návrh zákona nemá vplyv </w:t>
      </w:r>
      <w:r w:rsidRPr="001514DD">
        <w:rPr>
          <w:rFonts w:ascii="Times New Roman" w:hAnsi="Times New Roman" w:cs="Times New Roman"/>
          <w:sz w:val="24"/>
          <w:lang w:eastAsia="sk-SK"/>
        </w:rPr>
        <w:br/>
      </w:r>
      <w:r w:rsidRPr="001514DD">
        <w:rPr>
          <w:rFonts w:ascii="Times New Roman" w:hAnsi="Times New Roman" w:cs="Times New Roman"/>
          <w:sz w:val="24"/>
        </w:rPr>
        <w:t>na podnikateľské prostredie, vplyv na životné prostredie ani vplyv na manželstvo, rodičovstvo a rodinu.</w:t>
      </w:r>
    </w:p>
    <w:p w14:paraId="5938EF59"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p>
    <w:p w14:paraId="784318E6"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p>
    <w:p w14:paraId="411F1B27"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p>
    <w:p w14:paraId="61617AB6"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p>
    <w:p w14:paraId="73AD8642"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p>
    <w:p w14:paraId="630492A0"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p>
    <w:p w14:paraId="4179FFAF"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p>
    <w:p w14:paraId="0052A436"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p>
    <w:p w14:paraId="7D72519A"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p>
    <w:p w14:paraId="25B184AC"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p>
    <w:p w14:paraId="263B88C9"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p>
    <w:p w14:paraId="54FB59BD"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p>
    <w:p w14:paraId="49AE95E1"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p>
    <w:p w14:paraId="49B8B9FF" w14:textId="77777777" w:rsidR="00387704" w:rsidRPr="001514DD" w:rsidRDefault="00387704" w:rsidP="00387704">
      <w:pPr>
        <w:tabs>
          <w:tab w:val="left" w:pos="284"/>
        </w:tabs>
        <w:spacing w:before="240" w:after="0" w:line="240" w:lineRule="auto"/>
        <w:jc w:val="both"/>
        <w:rPr>
          <w:rFonts w:ascii="Times New Roman" w:hAnsi="Times New Roman"/>
          <w:sz w:val="24"/>
          <w:lang w:eastAsia="sk-SK"/>
        </w:rPr>
      </w:pPr>
    </w:p>
    <w:p w14:paraId="4EC43CA2" w14:textId="77777777" w:rsidR="00387704" w:rsidRPr="001514DD" w:rsidRDefault="00387704" w:rsidP="00387704">
      <w:pPr>
        <w:tabs>
          <w:tab w:val="left" w:pos="284"/>
        </w:tabs>
        <w:spacing w:before="240" w:after="0" w:line="240" w:lineRule="auto"/>
        <w:jc w:val="both"/>
        <w:rPr>
          <w:rFonts w:ascii="Times New Roman" w:hAnsi="Times New Roman"/>
          <w:sz w:val="24"/>
          <w:lang w:eastAsia="sk-SK"/>
        </w:rPr>
      </w:pPr>
    </w:p>
    <w:p w14:paraId="5956FA40"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p>
    <w:p w14:paraId="2CAAEF0F" w14:textId="28C34903" w:rsidR="00387704" w:rsidRDefault="00387704" w:rsidP="00387704">
      <w:pPr>
        <w:spacing w:line="259" w:lineRule="auto"/>
        <w:ind w:firstLine="284"/>
        <w:rPr>
          <w:rFonts w:ascii="Times New Roman" w:hAnsi="Times New Roman"/>
          <w:b/>
          <w:sz w:val="28"/>
          <w:szCs w:val="28"/>
          <w:lang w:eastAsia="sk-SK"/>
        </w:rPr>
      </w:pPr>
      <w:r w:rsidRPr="001514DD">
        <w:rPr>
          <w:rFonts w:ascii="Times New Roman" w:hAnsi="Times New Roman"/>
          <w:b/>
          <w:sz w:val="28"/>
          <w:szCs w:val="28"/>
          <w:lang w:eastAsia="sk-SK"/>
        </w:rPr>
        <w:lastRenderedPageBreak/>
        <w:t>B. Osobitná časť</w:t>
      </w:r>
    </w:p>
    <w:p w14:paraId="66D4BDC5" w14:textId="77777777" w:rsidR="001514DD" w:rsidRPr="001514DD" w:rsidRDefault="001514DD" w:rsidP="00387704">
      <w:pPr>
        <w:spacing w:line="259" w:lineRule="auto"/>
        <w:ind w:firstLine="284"/>
        <w:rPr>
          <w:rFonts w:ascii="Times New Roman" w:hAnsi="Times New Roman"/>
          <w:b/>
          <w:sz w:val="28"/>
          <w:szCs w:val="28"/>
          <w:lang w:eastAsia="sk-SK"/>
        </w:rPr>
      </w:pPr>
    </w:p>
    <w:p w14:paraId="34A1D7E9" w14:textId="77777777" w:rsidR="00387704" w:rsidRPr="001514DD" w:rsidRDefault="00387704" w:rsidP="00387704">
      <w:pPr>
        <w:tabs>
          <w:tab w:val="left" w:pos="284"/>
        </w:tabs>
        <w:spacing w:before="240" w:after="0" w:line="240" w:lineRule="auto"/>
        <w:ind w:firstLine="284"/>
        <w:jc w:val="both"/>
        <w:rPr>
          <w:rFonts w:ascii="Times New Roman" w:hAnsi="Times New Roman"/>
          <w:b/>
          <w:bCs/>
          <w:sz w:val="24"/>
          <w:lang w:eastAsia="sk-SK"/>
        </w:rPr>
      </w:pPr>
      <w:r w:rsidRPr="001514DD">
        <w:rPr>
          <w:rFonts w:ascii="Times New Roman" w:hAnsi="Times New Roman"/>
          <w:b/>
          <w:bCs/>
          <w:sz w:val="24"/>
          <w:lang w:eastAsia="sk-SK"/>
        </w:rPr>
        <w:t>K Čl. I</w:t>
      </w:r>
    </w:p>
    <w:p w14:paraId="3FE4C7BB"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1 (§ 8 ods. 5)</w:t>
      </w:r>
    </w:p>
    <w:p w14:paraId="46CF32B7"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r w:rsidRPr="001514DD">
        <w:rPr>
          <w:rFonts w:ascii="Times New Roman" w:hAnsi="Times New Roman"/>
          <w:sz w:val="24"/>
          <w:lang w:eastAsia="sk-SK"/>
        </w:rPr>
        <w:t xml:space="preserve">Hlasovanie v zahraničí vo voľbách do Národnej rady Slovenskej republiky, voľbách prezidenta Slovenskej republiky a v referende sa bude realizovať na zastupiteľských úradoch Slovenskej republiky, konkrétne na diplomatických misiách a konzulárnych úradoch. Zapojením konzulárnych úradov do organizácie volieb v zahraničí sa naviac zabezpečí ešte väčšia dostupnosť volebných miestností v krajinách s najväčším zastúpením štátnych občanov Slovenskej republiky. Právomoc utvárať osobitné volebné okrsky a určovať volebné miestnosti na ambasádach sa navrhuje zveriť Ministerstvu zahraničných vecí a európskych záležitostí Slovenskej republiky. Definitívny počet zastupiteľských úradov, na ktorých sa bude realizovať hlasovanie voličov, resp. celkový počet osobitných volebných okrskov na ambasádach bude závisieť od celkového počtu voličov, ktorí v zákonom ustanovenej lehote prejavia záujem hlasovať na niektorom z našich zastupiteľských úradov v zahraničí. To znamená, že ak na niektorom zastupiteľskom úrade v zákonom ustanovenej lehote neprejaví záujem hlasovať žiaden volič, logicky sa na takomto zastupiteľskom úrade osobitný volebný okrsok neutvorí. Naopak, v krajinách s veľkým zastúpením štátnych občanov Slovenskej republiky, sa v prípade vysokého záujmu voličov o hlasovanie zo zahraničia predpokladá utvorenie vyššieho počtu osobitných volebných okrskov na príslušnom zastupiteľskom úrade.   </w:t>
      </w:r>
    </w:p>
    <w:p w14:paraId="15D971E5"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2 (§ 11a až 11c)</w:t>
      </w:r>
    </w:p>
    <w:p w14:paraId="51F328BF"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r w:rsidRPr="001514DD">
        <w:rPr>
          <w:rFonts w:ascii="Times New Roman" w:hAnsi="Times New Roman"/>
          <w:sz w:val="24"/>
          <w:lang w:eastAsia="sk-SK"/>
        </w:rPr>
        <w:t xml:space="preserve">Za subjekt oprávnený prijímať elektronické žiadosti voličov o voľbu v zahraničí </w:t>
      </w:r>
      <w:r w:rsidRPr="001514DD">
        <w:rPr>
          <w:rFonts w:ascii="Times New Roman" w:hAnsi="Times New Roman"/>
          <w:sz w:val="24"/>
          <w:lang w:eastAsia="sk-SK"/>
        </w:rPr>
        <w:br/>
        <w:t xml:space="preserve">a viesť osobitný zoznam voličov, ktorí požiadali o tento spôsob hlasovania sa navrhuje ustanoviť Ministerstvo vnútra  Slovenskej republiky. S ohľadom na priorizovanie elektronizácie procesov verejnej správy sa navrhuje umožniť podanie žiadosti o zápis </w:t>
      </w:r>
      <w:r w:rsidRPr="001514DD">
        <w:rPr>
          <w:rFonts w:ascii="Times New Roman" w:hAnsi="Times New Roman"/>
          <w:sz w:val="24"/>
          <w:lang w:eastAsia="sk-SK"/>
        </w:rPr>
        <w:br/>
        <w:t xml:space="preserve">do osobitného zoznamu voličov výlučne v elektronickej podobe, prostredníctvom služieb informačného systému pre hlasovanie na zastupiteľských úradoch. Z osobitného zoznamu voličov sa následne vyhotovia zoznamy voličov pre osobitné volebné okrsky utvorené Ministerstvom zahraničných vecí a európskych záležitostí Slovenskej republiky </w:t>
      </w:r>
      <w:r w:rsidRPr="001514DD">
        <w:rPr>
          <w:rFonts w:ascii="Times New Roman" w:hAnsi="Times New Roman"/>
          <w:sz w:val="24"/>
          <w:lang w:eastAsia="sk-SK"/>
        </w:rPr>
        <w:br/>
        <w:t xml:space="preserve">na jednotlivých zastupiteľských úradoch, ktoré budú elektronicky distribuované na príslušné zastupiteľské úrady. Osobou zodpovednou za odovzdanie zoznamu voličov okrskovej volebnej komisii utvorenej pre osobitný volebný okrsok pred začatím hlasovania na ambasáde bude vedúci daného zastupiteľského úradu. </w:t>
      </w:r>
    </w:p>
    <w:p w14:paraId="786EF6F5"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r w:rsidRPr="001514DD">
        <w:rPr>
          <w:rFonts w:ascii="Times New Roman" w:hAnsi="Times New Roman"/>
          <w:sz w:val="24"/>
          <w:lang w:eastAsia="sk-SK"/>
        </w:rPr>
        <w:t xml:space="preserve">S ohľadom na doterajšiu prax Ministerstva vnútra Slovenskej republiky súvisiacu </w:t>
      </w:r>
      <w:r w:rsidRPr="001514DD">
        <w:rPr>
          <w:rFonts w:ascii="Times New Roman" w:hAnsi="Times New Roman"/>
          <w:sz w:val="24"/>
          <w:lang w:eastAsia="sk-SK"/>
        </w:rPr>
        <w:br/>
        <w:t xml:space="preserve">so zabezpečením agendy vedenia informačného systému pre voľbu poštou a prijímania žiadostí voličov o voľbu zo zahraničia sa vytvorenie a správa nového informačného systému pre hlasovanie na zastupiteľských úradoch navrhuje zveriť tomuto ústrednému orgánu štátnej správy. </w:t>
      </w:r>
    </w:p>
    <w:p w14:paraId="54051175"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r w:rsidRPr="001514DD">
        <w:rPr>
          <w:rFonts w:ascii="Times New Roman" w:hAnsi="Times New Roman"/>
          <w:sz w:val="24"/>
          <w:lang w:eastAsia="sk-SK"/>
        </w:rPr>
        <w:t xml:space="preserve">S poukazom na nevyhnutnosť úpravy lehoty na začatie vydávania hlasovacích preukazov v súvislosti so zavedením možnosti hlasovania na ambasádach, ako aj praktickú potrebu precizovať a sprehľadniť jednotlivé spôsoby podania žiadosti o vydanie hlasovacieho preukazu sa navrhuje nové znenie § 11c. V predmetnom ustanovení sa naviac Ministerstvu vnútra Slovenskej republiky ukladá povinnosť najneskôr 35 dní predo dňom konania volieb </w:t>
      </w:r>
      <w:r w:rsidRPr="001514DD">
        <w:rPr>
          <w:rFonts w:ascii="Times New Roman" w:hAnsi="Times New Roman"/>
          <w:sz w:val="24"/>
          <w:lang w:eastAsia="sk-SK"/>
        </w:rPr>
        <w:lastRenderedPageBreak/>
        <w:t xml:space="preserve">informovať obec trvalého pobytu voliča o tom, že volič požiadal o hlasovanie </w:t>
      </w:r>
      <w:r w:rsidRPr="001514DD">
        <w:rPr>
          <w:rFonts w:ascii="Times New Roman" w:hAnsi="Times New Roman"/>
          <w:sz w:val="24"/>
          <w:lang w:eastAsia="sk-SK"/>
        </w:rPr>
        <w:br/>
        <w:t>na zastupiteľskom úrade, následkom čoho obec takéhoto voliča vyčiarkne zo zoznamu voličov jeho volebného okrsku. Ustanovením lehoty 30 dní predo dňom konania volieb na začatie vydávania hlasovacích preukazov sa garantuje, že voličovi, ktorý požiadal o hlasovanie na zastupiteľskom úrade, obec jeho trvalého pobytu nevydá hlasovací preukaz, čím sa zabráni možnosti viacnásobného hlasovania takéhoto voliča.</w:t>
      </w:r>
    </w:p>
    <w:p w14:paraId="617BAA77"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bodom 3 a 4 (§ 12 ods. 3 písm. b), § 15 ods. 9)</w:t>
      </w:r>
    </w:p>
    <w:p w14:paraId="604785D3"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sz w:val="24"/>
          <w:lang w:eastAsia="sk-SK"/>
        </w:rPr>
      </w:pPr>
      <w:r w:rsidRPr="001514DD">
        <w:rPr>
          <w:rFonts w:ascii="Times New Roman" w:hAnsi="Times New Roman" w:cs="Times New Roman"/>
          <w:bCs/>
          <w:sz w:val="24"/>
        </w:rPr>
        <w:t xml:space="preserve">V súvislosti s potrebou zabezpečenia procesov týkajúcich sa hlasovania na zastupiteľských úradoch Slovenskej republiky v zahraničí sa medzi volebné orgány navrhuje zaradiť </w:t>
      </w:r>
      <w:r w:rsidRPr="001514DD">
        <w:rPr>
          <w:rFonts w:ascii="Times New Roman" w:hAnsi="Times New Roman"/>
          <w:sz w:val="24"/>
          <w:lang w:eastAsia="sk-SK"/>
        </w:rPr>
        <w:t>Ministerstvo zahraničných vecí a európskych záležitostí Slovenskej republiky, ktoré je ústredným orgánom štátnej správy zodpovedným za riadenie zastupiteľských úradov Slovenskej republiky v zahraničí.</w:t>
      </w:r>
    </w:p>
    <w:p w14:paraId="32E5CD64"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sz w:val="24"/>
          <w:lang w:eastAsia="sk-SK"/>
        </w:rPr>
      </w:pPr>
      <w:r w:rsidRPr="001514DD">
        <w:rPr>
          <w:rFonts w:ascii="Times New Roman" w:hAnsi="Times New Roman"/>
          <w:sz w:val="24"/>
          <w:lang w:eastAsia="sk-SK"/>
        </w:rPr>
        <w:t>Ministerstvu zahraničných vecí a európskych záležitostí Slovenskej republiky sa navrhuje zveriť organizačno-technické zabezpečenie hlasovania v zahraničí, vrátane utvárania osobitných volebných okrskov a určovania volebných miestností na zastupiteľských úradoch, informovanie voličov o hlasovaní na ambasádach, spoluprácu so Štatistickým úradom Slovenskej republiky v súvislosti s prípravou a zabezpečením zisťovania výsledkov hlasovania na ambasádach a v spolupráci s jednotlivými zastupiteľskými úradmi aj tlač hlasovacích lístkov, zabezpečenie vybavenia volebnej miestnosti na zastupiteľskom úrade, ako aj poskytnutie materiálnych prostriedkov a personálnych kapacít na organizačnú a technickú prípravu tohto spôsobu hlasovania.</w:t>
      </w:r>
    </w:p>
    <w:p w14:paraId="350531B9"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5 (§ 15 ods. 10)</w:t>
      </w:r>
    </w:p>
    <w:p w14:paraId="2351491F"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Ide o legislatívno-technickú úpravu textu v súvislosti s kreovaním nového druhu volebnej komisie – osobitnej okresnej volebnej komisie.</w:t>
      </w:r>
    </w:p>
    <w:p w14:paraId="006EE59C"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6 (§ 18 ods. 1 a ods. 5)</w:t>
      </w:r>
    </w:p>
    <w:p w14:paraId="396B3FC1"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Navrhovanou právnou úpravou sa poskytuje možnosť v osobitnej časti zákona upraviť podmienky členstva v okrskovej volebnej komisii utvorenej pre osobitný volebný okrsok odlišným spôsobom, s ohľadom na špecifické okolnosti kreovania a pôsobenia tohto druhu volebnej komisie.</w:t>
      </w:r>
    </w:p>
    <w:p w14:paraId="62799DCA"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7 (§ 19 ods. 4)</w:t>
      </w:r>
    </w:p>
    <w:p w14:paraId="6EA7290B"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 xml:space="preserve">Právomoc menovať a odvolávať zapisovateľa okrskovej volebnej komisie utvorenej </w:t>
      </w:r>
      <w:r w:rsidRPr="001514DD">
        <w:rPr>
          <w:rFonts w:ascii="Times New Roman" w:hAnsi="Times New Roman" w:cs="Times New Roman"/>
          <w:bCs/>
          <w:sz w:val="24"/>
        </w:rPr>
        <w:br/>
        <w:t>pre osobitný volebný okrsok na zastupiteľskom úrade sa navrhuje zveriť ministrovi zahraničných vecí a európskych záležitostí Slovenskej republiky.</w:t>
      </w:r>
    </w:p>
    <w:p w14:paraId="1DDE82F5"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8 (§ 20 ods. 3)</w:t>
      </w:r>
    </w:p>
    <w:p w14:paraId="7C52C37F"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 xml:space="preserve">Ustanovenie reaguje na osobitnú právnu úpravu času hlasovania vo voľbách konaných </w:t>
      </w:r>
      <w:r w:rsidRPr="001514DD">
        <w:rPr>
          <w:rFonts w:ascii="Times New Roman" w:hAnsi="Times New Roman" w:cs="Times New Roman"/>
          <w:bCs/>
          <w:sz w:val="24"/>
        </w:rPr>
        <w:br/>
        <w:t xml:space="preserve">na zastupiteľských úradoch v zahraničí, ktorá je odlišná od právnej úpravy času hlasovania </w:t>
      </w:r>
      <w:r w:rsidRPr="001514DD">
        <w:rPr>
          <w:rFonts w:ascii="Times New Roman" w:hAnsi="Times New Roman" w:cs="Times New Roman"/>
          <w:bCs/>
          <w:sz w:val="24"/>
        </w:rPr>
        <w:br/>
        <w:t>vo volebných miestnostiach na území Slovenskej republiky.</w:t>
      </w:r>
    </w:p>
    <w:p w14:paraId="62D1A238" w14:textId="77777777" w:rsidR="001514DD" w:rsidRDefault="001514DD" w:rsidP="00387704">
      <w:pPr>
        <w:autoSpaceDE w:val="0"/>
        <w:autoSpaceDN w:val="0"/>
        <w:adjustRightInd w:val="0"/>
        <w:spacing w:before="240" w:after="0" w:line="240" w:lineRule="auto"/>
        <w:ind w:firstLine="284"/>
        <w:jc w:val="both"/>
        <w:rPr>
          <w:rFonts w:ascii="Times New Roman" w:hAnsi="Times New Roman" w:cs="Times New Roman"/>
          <w:b/>
          <w:sz w:val="24"/>
        </w:rPr>
      </w:pPr>
    </w:p>
    <w:p w14:paraId="0E22DED1" w14:textId="65149CD6"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lastRenderedPageBreak/>
        <w:t>K bodu 9 (§ 20 ods. 4)</w:t>
      </w:r>
    </w:p>
    <w:p w14:paraId="6ACABF2E" w14:textId="77777777" w:rsidR="00387704" w:rsidRPr="001514DD" w:rsidRDefault="00387704" w:rsidP="00387704">
      <w:pPr>
        <w:tabs>
          <w:tab w:val="left" w:pos="284"/>
        </w:tabs>
        <w:spacing w:before="240" w:after="0" w:line="240" w:lineRule="auto"/>
        <w:ind w:firstLine="284"/>
        <w:jc w:val="both"/>
        <w:rPr>
          <w:rFonts w:ascii="Times New Roman" w:hAnsi="Times New Roman"/>
          <w:strike/>
          <w:sz w:val="24"/>
          <w:lang w:eastAsia="sk-SK"/>
        </w:rPr>
      </w:pPr>
      <w:r w:rsidRPr="001514DD">
        <w:rPr>
          <w:rFonts w:ascii="Times New Roman" w:hAnsi="Times New Roman"/>
          <w:sz w:val="24"/>
          <w:lang w:eastAsia="sk-SK"/>
        </w:rPr>
        <w:t xml:space="preserve">S cieľom poskytnúť voličom hlasujúcim v cudzine rovnaký časový priestor na vykonanie volebného aktu na ambasáde ako voličom hlasujúcim vo volebných miestnostiach na území Slovenskej republiky (t. j. 15 hodín hlasovania), zohľadňujúc pritom časový posun v jednotlivých krajinách, v ktorých má Slovenská republika svoje zastúpenie, sa navrhuje ustanoviť pre hlasovanie na zastupiteľských úradoch dve zóny štátov (zóna štátov Ameriky a zóna ostatných štátov). Navrhovaný čas hlasovania v zahraničí, spravujúci sa miestnym časom, zohľadňuje jednotlivé časové pásma v krajinách sídiel zastupiteľských úradov Slovenskej republiky tak, aby ukončenie hlasovania na zastupiteľských úradoch na západnej pologuli korelovalo s ukončením celkového času hlasovania vo volebných miestnostiach na území Slovenskej republiky.  </w:t>
      </w:r>
    </w:p>
    <w:p w14:paraId="7F153DF2" w14:textId="77777777" w:rsidR="00387704" w:rsidRPr="001514DD" w:rsidRDefault="00387704" w:rsidP="00387704">
      <w:pPr>
        <w:tabs>
          <w:tab w:val="left" w:pos="284"/>
        </w:tabs>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10 (§ 21 ods. 5)</w:t>
      </w:r>
    </w:p>
    <w:p w14:paraId="6CF65F07" w14:textId="77777777" w:rsidR="00387704" w:rsidRPr="001514DD" w:rsidRDefault="00387704" w:rsidP="00387704">
      <w:pPr>
        <w:tabs>
          <w:tab w:val="left" w:pos="284"/>
        </w:tabs>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Cs/>
          <w:sz w:val="24"/>
        </w:rPr>
        <w:t>Ustanovuje sa povinnosť Ministerstva zahraničných vecí a európskych záležitostí Slovenskej republiky informovať voličov o podmienkach práva voliť na zastupiteľských úradoch, ako aj o podrobnostiach súvisiacich s hlasovaním na konkrétnych zastupiteľských úradoch, o hlasovanie na ktorých požiadali voliči prostredníctvom príslušného informačného systému. Praktické splnenie tejto úlohy sa zabezpečí zverejnením relevantných informácií k hlasovaniu na ambasádach čo najdostupnejšími spôsobmi, napr. na webovom sídle Ministerstva zahraničných vecí a európskych záležitostí Slovenskej republiky, prostredníctvom webových stránok jednotlivých zastupiteľských úradov, na ich úradných tabuliach, ako aj prostredníctvom oficiálnych komunikačných kanálov týchto inštitúcií na sociálnych sieťach.</w:t>
      </w:r>
    </w:p>
    <w:p w14:paraId="42A881F5"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11 (§ 22 ods. 7)</w:t>
      </w:r>
    </w:p>
    <w:p w14:paraId="558E7BEE"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V ustanovení sa uvádzajú podrobnosti vybavenia volebnej miestnosti na zastupiteľskom úrade, berúc do úvahy osobitosť podmienok hlasovania v zahraničí, a tiež sa určuje subjekt zodpovedný za zabezpečenie vybavenia volebnej miestnosti na ambasáde.</w:t>
      </w:r>
    </w:p>
    <w:p w14:paraId="563530D4"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
          <w:sz w:val="24"/>
        </w:rPr>
        <w:t>K bodu 12 (§ 24 ods. 7)</w:t>
      </w:r>
      <w:r w:rsidRPr="001514DD">
        <w:rPr>
          <w:rFonts w:ascii="Times New Roman" w:hAnsi="Times New Roman" w:cs="Times New Roman"/>
          <w:bCs/>
          <w:sz w:val="24"/>
        </w:rPr>
        <w:t xml:space="preserve">   </w:t>
      </w:r>
    </w:p>
    <w:p w14:paraId="519F06E9"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 xml:space="preserve">Špecifické okolnosti osobného hlasovania voličov v cudzine z logických dôvodov vylučujú možnosť hlasovania mimo volebnej miestnosti. Z uvedeného dôvodu sa navrhuje v ustanovení explicitne vylúčiť možnosť voľby prostredníctvom prenosnej volebnej schránky na území iného štátu. </w:t>
      </w:r>
    </w:p>
    <w:p w14:paraId="5CD906F0"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13 (§ 30 ods. 2)</w:t>
      </w:r>
    </w:p>
    <w:p w14:paraId="0CEC0D6B"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 xml:space="preserve">Navrhuje sa možnosť v osobitných častiach zákona odlišným spôsobom upraviť podrobnosti o fyzickom doručení zápisnice okrskovej volebnej komisie utvorenej pre osobitný volebný okrsok o výsledku hlasovania na zastupiteľskom úrade volebnej komisii vyššieho stupňa. </w:t>
      </w:r>
    </w:p>
    <w:p w14:paraId="56CB6862"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14 (§ 30 ods. 6)</w:t>
      </w:r>
    </w:p>
    <w:p w14:paraId="54705F60"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 xml:space="preserve">V záujme zásady transparentného zverejňovania výsledkov hlasovania v osobitnom volebnom okrsku budú zápisnice okrskových volebných komisií utvorených pre osobitné volebné okrsky, ako aj zápisnica osobitnej okresnej volebnej komisie o výsledku volieb </w:t>
      </w:r>
      <w:r w:rsidRPr="001514DD">
        <w:rPr>
          <w:rFonts w:ascii="Times New Roman" w:hAnsi="Times New Roman" w:cs="Times New Roman"/>
          <w:bCs/>
          <w:sz w:val="24"/>
        </w:rPr>
        <w:br/>
        <w:t>na zastupiteľských úradoch zverejňované na webovom sídle Štátnej komisie pre voľby a kontrolu financovania politických strán.</w:t>
      </w:r>
    </w:p>
    <w:p w14:paraId="7607D5AA"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p>
    <w:p w14:paraId="259CDB43"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p>
    <w:p w14:paraId="0D94609A"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15 (§ 31 ods. 2)</w:t>
      </w:r>
    </w:p>
    <w:p w14:paraId="104A9D75"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Orgánom zodpovedným za úschovu volebných dokumentov z činnosti volebných komisií zabezpečujúcich hlasovanie na zastupiteľských úradoch bude Ministerstvo zahraničných vecí a európskych záležitostí Slovenskej republiky.</w:t>
      </w:r>
    </w:p>
    <w:p w14:paraId="19875D1C"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 xml:space="preserve">K bodom 16 až 23 (§ 34 ods. 1 písm. c), § 34 ods. 1 písm. e), § 34 ods. 1 písm. f), </w:t>
      </w:r>
      <w:r w:rsidRPr="001514DD">
        <w:rPr>
          <w:rFonts w:ascii="Times New Roman" w:hAnsi="Times New Roman" w:cs="Times New Roman"/>
          <w:b/>
          <w:sz w:val="24"/>
        </w:rPr>
        <w:br/>
        <w:t xml:space="preserve">§ 34 ods. 4, § 36 ods. 2 písm. b), § 36 ods. 2 písm. d), § 36 ods. 4, § 36 ods. 5) </w:t>
      </w:r>
    </w:p>
    <w:p w14:paraId="790BB936"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 xml:space="preserve">Zabezpečenie materiálnych prostriedkov na činnosť okrskových volebných komisií utvorených pre osobitné  volebné okrsky a tiež osôb na organizačnú a technickú prípravu volieb na zastupiteľskom úrade a ich vykonanie sa navrhuje zveriť do kompetencie Ministerstva zahraničných vecí a európskych záležitostí Slovenskej republiky. Rovnako na tomto orgáne si zamestnávatelia osôb vykonávajúcich funkciu člena a zapisovateľa okrskovej volebnej komisie utvorenej pre osobitný volebný okrsok, resp. osobitnej okresnej volebnej komisie </w:t>
      </w:r>
      <w:r w:rsidRPr="001514DD">
        <w:rPr>
          <w:rFonts w:ascii="Times New Roman" w:hAnsi="Times New Roman" w:cs="Times New Roman"/>
          <w:bCs/>
          <w:sz w:val="24"/>
        </w:rPr>
        <w:br/>
        <w:t xml:space="preserve">a tiež samostatne zárobkovo činné osoby budú môcť uplatniť nárok na náhradu. </w:t>
      </w:r>
    </w:p>
    <w:p w14:paraId="51CD35BE"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Ministerstvo zahraničných vecí a európskych záležitostí Slovenskej republiky bude tiež zodpovedné za vyplatenie odmeny za výkon funkcie člena a zapisovateľa vyššie uvedených volebných komisií za dni konania volieb na zastupiteľskom úrade, ak člen alebo zapisovateľ za tieto dni nemá nárok na náhradu mzdy alebo platu.</w:t>
      </w:r>
    </w:p>
    <w:p w14:paraId="48938DDE"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 xml:space="preserve">Špecifikáciu jednotlivých výdavkov súvisiacich so zabezpečením hlasovania </w:t>
      </w:r>
      <w:r w:rsidRPr="001514DD">
        <w:rPr>
          <w:rFonts w:ascii="Times New Roman" w:hAnsi="Times New Roman" w:cs="Times New Roman"/>
          <w:bCs/>
          <w:sz w:val="24"/>
        </w:rPr>
        <w:br/>
        <w:t xml:space="preserve">na zastupiteľských úradoch, ako aj podrobnosti o výplate odmeny za výkon funkcie člena a zapisovateľa volebných komisií zabezpečujúcich hlasovanie na ambasádach a zisťovanie jeho výsledkov za dni konania volieb na zastupiteľských úradoch ustanoví vyhláška </w:t>
      </w:r>
      <w:r w:rsidRPr="001514DD">
        <w:rPr>
          <w:rFonts w:ascii="Times New Roman" w:hAnsi="Times New Roman" w:cs="Times New Roman"/>
          <w:bCs/>
          <w:sz w:val="24"/>
        </w:rPr>
        <w:br/>
        <w:t>Ministerstva vnútra Slovenskej republiky č. 308/2015 Z. z. o výdavkoch spojených s voľbami v znení neskorších predpisov. Súvisiace legislatívne zmeny predmetného vykonávacieho právneho predpisu budú realizované po prijatí predkladaného návrhu zákona.</w:t>
      </w:r>
    </w:p>
    <w:p w14:paraId="5FB6614D"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24 (§ 37 ods. 3)</w:t>
      </w:r>
    </w:p>
    <w:p w14:paraId="72BFB723"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sz w:val="24"/>
          <w:lang w:eastAsia="sk-SK"/>
        </w:rPr>
        <w:t>Zodpovednosť za finančné zabezpečenie hlasovania na zastupiteľských úradoch sa zveruje Ministerstvu</w:t>
      </w:r>
      <w:r w:rsidRPr="001514DD">
        <w:rPr>
          <w:rFonts w:ascii="Times New Roman" w:hAnsi="Times New Roman" w:cs="Times New Roman"/>
          <w:bCs/>
          <w:sz w:val="24"/>
        </w:rPr>
        <w:t xml:space="preserve"> zahraničných vecí a európskych záležitostí Slovenskej republiky, z ktorého rozpočtovej kapitoly budú uhrádzané výdavky súvisiace napr. s materiálno-technickým vybavením volebných miestností na ambasádach, so zabezpečením tlače hlasovacích lístkov </w:t>
      </w:r>
      <w:r w:rsidRPr="001514DD">
        <w:rPr>
          <w:rFonts w:ascii="Times New Roman" w:hAnsi="Times New Roman" w:cs="Times New Roman"/>
          <w:bCs/>
          <w:sz w:val="24"/>
        </w:rPr>
        <w:br/>
        <w:t>vo voľbách prezidenta Slovenskej republiky a v referende a po dohode s Ministerstvom vnútra Slovenskej republiky aj vo voľbách do Národnej rady Slovenskej republiky alebo výdavky súvisiace s vyplácaním odmien členom a zapisovateľom okrskových volebných komisií utvorených pre osobitné volebné okrsky a členom a zapisovateľovi osobitnej okresnej volebnej komisie za dni konania volieb na zastupiteľskom úrade.</w:t>
      </w:r>
    </w:p>
    <w:p w14:paraId="3FE1B6B2"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 xml:space="preserve">V tejto súvislosti patrí </w:t>
      </w:r>
      <w:r w:rsidRPr="001514DD">
        <w:rPr>
          <w:rFonts w:ascii="Times New Roman" w:hAnsi="Times New Roman"/>
          <w:sz w:val="24"/>
          <w:lang w:eastAsia="sk-SK"/>
        </w:rPr>
        <w:t>Ministerstvu</w:t>
      </w:r>
      <w:r w:rsidRPr="001514DD">
        <w:rPr>
          <w:rFonts w:ascii="Times New Roman" w:hAnsi="Times New Roman" w:cs="Times New Roman"/>
          <w:bCs/>
          <w:sz w:val="24"/>
        </w:rPr>
        <w:t xml:space="preserve"> zahraničných vecí a európskych záležitostí Slovenskej republiky právomoc usmerňovať zastupiteľské úrady pri vynakladaní finančných prostriedkov v súvislosti so zabezpečením volieb na ambasádach s cieľom zaistiť efektívnosť, hospodárnosť a transparentnosť použitia rozpočtových prostriedkov.</w:t>
      </w:r>
    </w:p>
    <w:p w14:paraId="512AA39A"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lastRenderedPageBreak/>
        <w:t>K bodu 25 (§ 39 ods. 1)</w:t>
      </w:r>
    </w:p>
    <w:p w14:paraId="6BD33C16"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 xml:space="preserve">Rozširuje sa výpočet subjektov zodpovedných za úschovu volebných dokumentov o Ministerstvo zahraničných vecí a európskych záležitostí Slovenskej republiky, do ktorého úschovy budú odovzdané volebné dokumenty z činnosti okrskových volebných komisií utvorených pre osobitné volebné okrsky, osobitnej okresnej volebnej komisie ako aj ďalšie relevantné volebné dokumenty súvisiace so zabezpečením a realizáciou hlasovania </w:t>
      </w:r>
      <w:r w:rsidRPr="001514DD">
        <w:rPr>
          <w:rFonts w:ascii="Times New Roman" w:hAnsi="Times New Roman" w:cs="Times New Roman"/>
          <w:bCs/>
          <w:sz w:val="24"/>
        </w:rPr>
        <w:br/>
        <w:t>na zastupiteľských úradoch.</w:t>
      </w:r>
    </w:p>
    <w:p w14:paraId="21B4FC79"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bodom 26 až 30, 59 a 60 (§ 47 ods. 2, § 47 ods. 5, § 47 ods. 6, § 47 ods. 9, § 47 ods. 11, § 199 ods. 2, § 199 ods. 5, § 199 ods. 6, § 199 ods. 8, § 199 ods. 10)</w:t>
      </w:r>
    </w:p>
    <w:p w14:paraId="374677C3" w14:textId="77777777" w:rsidR="00387704" w:rsidRPr="001514DD" w:rsidRDefault="00387704" w:rsidP="00387704">
      <w:pPr>
        <w:tabs>
          <w:tab w:val="left" w:pos="284"/>
        </w:tabs>
        <w:spacing w:before="240" w:after="0" w:line="240" w:lineRule="auto"/>
        <w:ind w:firstLine="284"/>
        <w:jc w:val="both"/>
        <w:rPr>
          <w:rFonts w:ascii="Times New Roman" w:hAnsi="Times New Roman" w:cs="Times New Roman"/>
          <w:bCs/>
          <w:sz w:val="24"/>
        </w:rPr>
      </w:pPr>
      <w:r w:rsidRPr="001514DD">
        <w:rPr>
          <w:rFonts w:ascii="Times New Roman" w:hAnsi="Times New Roman"/>
          <w:sz w:val="24"/>
          <w:lang w:eastAsia="sk-SK"/>
        </w:rPr>
        <w:t xml:space="preserve">Na priebeh volieb do Národnej rady Slovenskej republiky a referenda na zastupiteľských úradoch Slovenskej republiky v zahraničí bude dohliadať, a celkové výsledky tohto spôsobu hlasovania zisťovať, osobitná okresná volebná komisia so sídlom na Ministerstve zahraničných vecí a európskych záležitostí Slovenskej republiky, zložená z členov delegovaných subjektmi, ktoré majú právo nominovať svojich zástupcov aj do bežnej okresnej volebnej komisie </w:t>
      </w:r>
      <w:r w:rsidRPr="001514DD">
        <w:rPr>
          <w:rFonts w:ascii="Times New Roman" w:hAnsi="Times New Roman"/>
          <w:sz w:val="24"/>
          <w:lang w:eastAsia="sk-SK"/>
        </w:rPr>
        <w:br/>
        <w:t xml:space="preserve">vo voľbách do Národnej rady Slovenskej republiky, resp. v referende. </w:t>
      </w:r>
      <w:r w:rsidRPr="001514DD">
        <w:rPr>
          <w:rFonts w:ascii="Times New Roman" w:hAnsi="Times New Roman" w:cs="Times New Roman"/>
          <w:bCs/>
          <w:sz w:val="24"/>
        </w:rPr>
        <w:t>Za osobu oprávnenú prijímať oznámenia o delegovaní člena a náhradníka do osobitnej okresnej volebnej komisie, dopĺňať jej členov prípade poklesu minimálneho zákonného počtu členov a tiež zvolávať prvé zasadanie predmetnej volebnej komisie sa navrhuje ustanoviť ministra zahraničných vecí a európskych záležitostí Slovenskej republiky.</w:t>
      </w:r>
    </w:p>
    <w:p w14:paraId="256D4A75"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bodom 31 a 48 (§ 48, § 101, § 200)</w:t>
      </w:r>
    </w:p>
    <w:p w14:paraId="6CCE4371"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Navrhuje sa zodpovednosť za vymenovanie a odvolávanie zapisovateľa osobitnej okresnej volebnej komisie vo všetkých druhoch volieb, v ktorých sa zavádza hlasovanie na ambasádach zveriť ministrovi zahraničných vecí a európskych záležitostí Slovenskej republiky.</w:t>
      </w:r>
    </w:p>
    <w:p w14:paraId="3FFE3731"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bodom 32, 33, 61 a 62 (§ 49, § 201)</w:t>
      </w:r>
    </w:p>
    <w:p w14:paraId="1698376F"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 xml:space="preserve">Ide o legislatívno-technickú úpravu v súvislosti s vypustením irelevantných ustanovení týkajúcich sa okrskovej volebnej komisie utvorenej  pre osobitný volebný okrsok, ktorá zabezpečovala hlasovanie poštou vo voľbách do Národnej rady Slovenskej republiky </w:t>
      </w:r>
      <w:r w:rsidRPr="001514DD">
        <w:rPr>
          <w:rFonts w:ascii="Times New Roman" w:hAnsi="Times New Roman" w:cs="Times New Roman"/>
          <w:bCs/>
          <w:sz w:val="24"/>
        </w:rPr>
        <w:br/>
        <w:t>a v referende.</w:t>
      </w:r>
    </w:p>
    <w:p w14:paraId="68934EA0"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bodom 34, 49 a 63 (§ 49a, § 102a, § 201a)</w:t>
      </w:r>
    </w:p>
    <w:p w14:paraId="763C3DE4"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r w:rsidRPr="001514DD">
        <w:rPr>
          <w:rFonts w:ascii="Times New Roman" w:hAnsi="Times New Roman"/>
          <w:sz w:val="24"/>
          <w:lang w:eastAsia="sk-SK"/>
        </w:rPr>
        <w:t xml:space="preserve">Garantom dôstojného a zákonného priebehu hlasovania na zastupiteľskom úrade vo voľbách do Národnej rady Slovenskej republiky, voľbách prezidenta Slovenskej republiky a v referende a zisťovania jeho výsledkov bude v každej volebnej miestnosti na ambasáde okrsková volebná komisia utvorená pre osobitný volebný okrsok, tvorená predsedom a ďalšími dvoma, „profesionálnymi“ členmi, menovanými ministrom zahraničných vecí a európskych záležitostí Slovenskej republiky spravidla zo zamestnancov pôsobiacich na danom zastupiteľskom úrade. Zároveň sa navrhuje predmetnú volebnú komisiu doplniť o zástupcov subjektov, ktorí sú oprávnení delegovať svojich členov aj do volebných komisií na území Slovenskej republiky v tých-ktorých voľbách. Zástupca kandidujúceho politického subjektu, resp. zástupca petičného výboru v okrskovej volebnej komisii na ambasáde tak bude dohliadať nad zákonnosťou volebného procesu v zahraničí, čím sa významným spôsobom posilní demokratický aspekt hlasovania na zastupiteľských úradoch a zvýši jeho transparentnosť. Ustanovenie podmienky pobytu delegovaného člena a náhradníka v krajine sídla zastupiteľského úradu, na území </w:t>
      </w:r>
      <w:r w:rsidRPr="001514DD">
        <w:rPr>
          <w:rFonts w:ascii="Times New Roman" w:hAnsi="Times New Roman"/>
          <w:sz w:val="24"/>
          <w:lang w:eastAsia="sk-SK"/>
        </w:rPr>
        <w:lastRenderedPageBreak/>
        <w:t xml:space="preserve">ktorého bude plniť úlohy člena okrskovej volebnej komisie utvorenej pre osobitný volebný okrsok zvyšuje istotu fyzickej dostupnosti danej osoby na území tejto krajiny v čase volieb </w:t>
      </w:r>
      <w:r w:rsidRPr="001514DD">
        <w:rPr>
          <w:rFonts w:ascii="Times New Roman" w:hAnsi="Times New Roman"/>
          <w:sz w:val="24"/>
          <w:lang w:eastAsia="sk-SK"/>
        </w:rPr>
        <w:br/>
        <w:t xml:space="preserve">s cieľom plniť úlohy člena príslušnej volebnej komisie, čím sa taktiež poskytne záruka </w:t>
      </w:r>
      <w:r w:rsidRPr="001514DD">
        <w:rPr>
          <w:rFonts w:ascii="Times New Roman" w:hAnsi="Times New Roman"/>
          <w:sz w:val="24"/>
          <w:lang w:eastAsia="sk-SK"/>
        </w:rPr>
        <w:br/>
        <w:t xml:space="preserve">pre subjekt, ktorý tohto člena delegoval, že bude mať v predmetnej volebnej komisii v deň volieb na zastupiteľskom úrade prítomného svojho zástupcu. Vzhľadom na osobitné okolnosti personálneho zloženia okrskovej volebnej komisie utvorenej pre osobitný volebný okrsok, ako aj miesto jej pôsobenia sa navrhuje ustanoviť odlišné podmienky účasti na prvom zasadaní tejto volebnej komisie delegovaným členom a z logistických dôvodov sa ujatie funkcie člena predmetnej volebnej komisie bude viazať na zloženie sľubu najneskôr pred začatím hlasovania na príslušnom zastupiteľskom úrade. </w:t>
      </w:r>
    </w:p>
    <w:p w14:paraId="001F5801"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bodom 36, 64 a 65 (§ 55 ods. 3, § 204 ods. 3 a 4)</w:t>
      </w:r>
    </w:p>
    <w:p w14:paraId="4D7FE1B9"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 xml:space="preserve">Ide o legislatívno-technickú úpravu týkajúcu sa vypustenia </w:t>
      </w:r>
      <w:proofErr w:type="spellStart"/>
      <w:r w:rsidRPr="001514DD">
        <w:rPr>
          <w:rFonts w:ascii="Times New Roman" w:hAnsi="Times New Roman" w:cs="Times New Roman"/>
          <w:bCs/>
          <w:sz w:val="24"/>
        </w:rPr>
        <w:t>obsolétnych</w:t>
      </w:r>
      <w:proofErr w:type="spellEnd"/>
      <w:r w:rsidRPr="001514DD">
        <w:rPr>
          <w:rFonts w:ascii="Times New Roman" w:hAnsi="Times New Roman" w:cs="Times New Roman"/>
          <w:bCs/>
          <w:sz w:val="24"/>
        </w:rPr>
        <w:t xml:space="preserve"> ustanovení vzťahujúcich sa na originál hlasovacieho lístka pre voľbu poštou.</w:t>
      </w:r>
    </w:p>
    <w:p w14:paraId="3E035B5D" w14:textId="77777777" w:rsidR="00387704" w:rsidRPr="001514DD" w:rsidRDefault="00387704" w:rsidP="00387704">
      <w:pPr>
        <w:spacing w:before="240" w:after="0" w:line="240" w:lineRule="auto"/>
        <w:ind w:firstLine="284"/>
        <w:rPr>
          <w:rFonts w:ascii="Times New Roman" w:hAnsi="Times New Roman" w:cs="Times New Roman"/>
          <w:b/>
          <w:sz w:val="24"/>
        </w:rPr>
      </w:pPr>
      <w:r w:rsidRPr="001514DD">
        <w:rPr>
          <w:rFonts w:ascii="Times New Roman" w:hAnsi="Times New Roman" w:cs="Times New Roman"/>
          <w:b/>
          <w:sz w:val="24"/>
        </w:rPr>
        <w:t>K bodu 35 (§ 50 ods. 4 písm. b))</w:t>
      </w:r>
    </w:p>
    <w:p w14:paraId="21D4C8E4" w14:textId="77777777" w:rsidR="00387704" w:rsidRPr="001514DD" w:rsidRDefault="00387704" w:rsidP="00387704">
      <w:pPr>
        <w:spacing w:before="240" w:after="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Volebná kaucia sa ustanovuje vo výške 25-násobku priemernej nominálnej mesačnej mzdy v hospodárstve Slovenskej republiky podľa najaktuálnejšieho údaja zverejňovaného Štatistickým úradom Slovenskej republiky. Takto ustanovená výška volebnej kaucie je považovaná za ústavne konformnú aj podľa nálezu Ústavného súdu Slovenskej republiky </w:t>
      </w:r>
      <w:proofErr w:type="spellStart"/>
      <w:r w:rsidRPr="001514DD">
        <w:rPr>
          <w:rFonts w:ascii="Times New Roman" w:hAnsi="Times New Roman" w:cs="Times New Roman"/>
          <w:sz w:val="24"/>
        </w:rPr>
        <w:t>sp</w:t>
      </w:r>
      <w:proofErr w:type="spellEnd"/>
      <w:r w:rsidRPr="001514DD">
        <w:rPr>
          <w:rFonts w:ascii="Times New Roman" w:hAnsi="Times New Roman" w:cs="Times New Roman"/>
          <w:sz w:val="24"/>
        </w:rPr>
        <w:t>. zn. PL. ÚS 6/08.</w:t>
      </w:r>
    </w:p>
    <w:p w14:paraId="7B2B9EF4"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37 (§ 55 ods. 6)</w:t>
      </w:r>
    </w:p>
    <w:p w14:paraId="537DE575"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 xml:space="preserve">V súvislosti so zabezpečením hlasovacích lístkov pre potreby hlasovania na ambasádach vo voľbách do Národnej rady Slovenskej republiky sa predpokladá súčinnosť Ministerstva vnútra Slovenskej republiky, predovšetkým v prípade nutnosti dodania veľkého počtu hlasovacích lístkov pre zastupiteľské úrady, na ktorých požiadal o hlasovanie veľký počet voličov. Zároveň sa však v prípade zastupiteľských úradov s malým počtom voličov navrhuje z ekonomických dôvodov, možnosť zabezpečenia tlače hlasovacích lístkov v réžii príslušného zastupiteľského úradu. Na tento účel Ministerstvo vnútra Slovenskej republiky poskytne Ministerstvu zahraničných vecí a európskych záležitostí originály hlasovacích lístkov politických subjektov, ktorých kandidátna listina bola zaregistrovaná, opatrených úradnou pečiatkou Štátnej komisie pre voľby a kontrolu financovania politických strán.   </w:t>
      </w:r>
    </w:p>
    <w:p w14:paraId="1FD8AC39"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bodom 38 a 66 (§ 55 ods. 7, § 204 ods. 6)</w:t>
      </w:r>
    </w:p>
    <w:p w14:paraId="5653BDB4"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 xml:space="preserve">Navrhovaná právna úprava reaguje na skutočnosť, že voliči vo voľbách do Národnej rady Slovenskej republiky a v referende, či už hlasujúci na území Slovenskej republiky, alebo na ambasádach, dostanú hlasovacie lístky až v deň konania volieb v príslušnej volebnej miestnosti. </w:t>
      </w:r>
    </w:p>
    <w:p w14:paraId="65A188AA"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bodom 39 a 40 (§ 57 ods. 2 a 3)</w:t>
      </w:r>
    </w:p>
    <w:p w14:paraId="0104DFA4"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Ide o legislatívno-technickú úpravu v súvislosti s nahradením inštitútu voľby poštou hlasovaním na zastupiteľských úradoch Slovenskej republiky v zahraničí.</w:t>
      </w:r>
    </w:p>
    <w:p w14:paraId="7FFB918F" w14:textId="77777777" w:rsidR="001514DD" w:rsidRDefault="001514DD" w:rsidP="00387704">
      <w:pPr>
        <w:autoSpaceDE w:val="0"/>
        <w:autoSpaceDN w:val="0"/>
        <w:adjustRightInd w:val="0"/>
        <w:spacing w:before="240" w:after="0" w:line="240" w:lineRule="auto"/>
        <w:ind w:firstLine="284"/>
        <w:jc w:val="both"/>
        <w:rPr>
          <w:rFonts w:ascii="Times New Roman" w:hAnsi="Times New Roman" w:cs="Times New Roman"/>
          <w:b/>
          <w:sz w:val="24"/>
        </w:rPr>
      </w:pPr>
    </w:p>
    <w:p w14:paraId="578285FC" w14:textId="77777777" w:rsidR="001514DD" w:rsidRDefault="001514DD" w:rsidP="00387704">
      <w:pPr>
        <w:autoSpaceDE w:val="0"/>
        <w:autoSpaceDN w:val="0"/>
        <w:adjustRightInd w:val="0"/>
        <w:spacing w:before="240" w:after="0" w:line="240" w:lineRule="auto"/>
        <w:ind w:firstLine="284"/>
        <w:jc w:val="both"/>
        <w:rPr>
          <w:rFonts w:ascii="Times New Roman" w:hAnsi="Times New Roman" w:cs="Times New Roman"/>
          <w:b/>
          <w:sz w:val="24"/>
        </w:rPr>
      </w:pPr>
    </w:p>
    <w:p w14:paraId="3304500D" w14:textId="0C634609"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lastRenderedPageBreak/>
        <w:t>K bodom 41 a 52 (§ 58, § 107, § 206)</w:t>
      </w:r>
    </w:p>
    <w:p w14:paraId="477FC26A"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Navrhovaná zmena súvisí s potrebou diferenciácie spôsobu hlasovania na území Slovenskej republiky, s ohľadom na zavedenie nového spôsobu hlasovania voličov na zastupiteľských úradoch v zahraničí.</w:t>
      </w:r>
    </w:p>
    <w:p w14:paraId="0B522AA0"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bodom 42 a 67 (§ 59, § 60, § 207, § 208)</w:t>
      </w:r>
    </w:p>
    <w:p w14:paraId="6A39EA47"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r w:rsidRPr="001514DD">
        <w:rPr>
          <w:rFonts w:ascii="Times New Roman" w:hAnsi="Times New Roman"/>
          <w:sz w:val="24"/>
          <w:lang w:eastAsia="sk-SK"/>
        </w:rPr>
        <w:t xml:space="preserve">Elektronické podanie žiadosti voliča o hlasovanie na zastupiteľskom úrade vo voľbách </w:t>
      </w:r>
      <w:r w:rsidRPr="001514DD">
        <w:rPr>
          <w:rFonts w:ascii="Times New Roman" w:hAnsi="Times New Roman"/>
          <w:sz w:val="24"/>
          <w:lang w:eastAsia="sk-SK"/>
        </w:rPr>
        <w:br/>
        <w:t>do Národnej rady Slovenskej republiky a v referende prostredníctvom informačného systému pre hlasovanie na zastupiteľských úradoch predstavuje flexibilný, komfortný, časovo a </w:t>
      </w:r>
      <w:proofErr w:type="spellStart"/>
      <w:r w:rsidRPr="001514DD">
        <w:rPr>
          <w:rFonts w:ascii="Times New Roman" w:hAnsi="Times New Roman"/>
          <w:sz w:val="24"/>
          <w:lang w:eastAsia="sk-SK"/>
        </w:rPr>
        <w:t>úkonovo</w:t>
      </w:r>
      <w:proofErr w:type="spellEnd"/>
      <w:r w:rsidRPr="001514DD">
        <w:rPr>
          <w:rFonts w:ascii="Times New Roman" w:hAnsi="Times New Roman"/>
          <w:sz w:val="24"/>
          <w:lang w:eastAsia="sk-SK"/>
        </w:rPr>
        <w:t xml:space="preserve"> nenáročný spôsob prihlásenia sa o voľbu v cudzine. Navrhovaná lehota 40 dní predo dňom konania volieb na podanie žiadosti o hlasovanie na zastupiteľskom úrade je dostatočná jednak pre voliča na zrealizovanie jeho zámeru požiadať o voľbu v zahraničí, a jednak pre Ministerstvo zahraničných vecí a európskych záležitostí Slovenskej republiky na následné utvorenie osobitných volebných okrskov na jednotlivých zastupiteľských úradoch. </w:t>
      </w:r>
    </w:p>
    <w:p w14:paraId="4ADDA1CD"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r w:rsidRPr="001514DD">
        <w:rPr>
          <w:rFonts w:ascii="Times New Roman" w:hAnsi="Times New Roman"/>
          <w:sz w:val="24"/>
          <w:lang w:eastAsia="sk-SK"/>
        </w:rPr>
        <w:t xml:space="preserve">Právo hlasovať vo volebnej miestnosti osobitného volebného okrsku utvoreného </w:t>
      </w:r>
      <w:r w:rsidRPr="001514DD">
        <w:rPr>
          <w:rFonts w:ascii="Times New Roman" w:hAnsi="Times New Roman"/>
          <w:sz w:val="24"/>
          <w:lang w:eastAsia="sk-SK"/>
        </w:rPr>
        <w:br/>
        <w:t xml:space="preserve">na zastupiteľskom úrade bude mať teda ten volič, ktorý v zákonom ustanovenej lehote a zákonom ustanoveným spôsobom požiadal Ministerstvo vnútra Slovenskej republiky o hlasovanie na príslušnom zastupiteľskom úrade, na základe čoho bol zapísaný do osobitného zoznamu voličov a v deň volieb na zastupiteľských úradoch bude zapísaný v zozname voličov daného osobitného volebného okrsku. Takýto volič preukáže príslušnej okrskovej volebnej komisii utvorenej pre osobitný volebný okrsok svoju totožnosť predložením občianskeho preukazu alebo cestovného dokladu vydaného Slovenskou republikou. </w:t>
      </w:r>
    </w:p>
    <w:p w14:paraId="3395008D"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r w:rsidRPr="001514DD">
        <w:rPr>
          <w:rFonts w:ascii="Times New Roman" w:hAnsi="Times New Roman"/>
          <w:sz w:val="24"/>
          <w:lang w:eastAsia="sk-SK"/>
        </w:rPr>
        <w:t xml:space="preserve">Samotný spôsob realizácie volebného aktu v zahraničí bude totožný ako vo volebnej miestnosti na území Slovenskej republiky. Voliči na zastupiteľskom úrade si tak uplatnia svoje právo voliť rovnako dôstojným a vážnym spôsobom, ako voliči na území Slovenskej republiky – v priestore určenom na úpravu hlasovacích lístkov, pri úplnom zachovaní tajnosti ich hlasovania. K sčítaniu hlasov pristúpi okrsková volebná komisia utvorená pre osobitný volebný okrsok po skončení času hlasovania na príslušnom zastupiteľskom úrade. Navrhuje sa možnosť skoršieho začiatku zisťovania výsledkov hlasovania v tom osobitnom volebnom okrsku, </w:t>
      </w:r>
      <w:r w:rsidRPr="001514DD">
        <w:rPr>
          <w:rFonts w:ascii="Times New Roman" w:hAnsi="Times New Roman"/>
          <w:sz w:val="24"/>
          <w:lang w:eastAsia="sk-SK"/>
        </w:rPr>
        <w:br/>
        <w:t xml:space="preserve">v ktorom už odhlasovali všetci voliči zapísaní v zozname voličov. Spracovanie výsledkov hlasovania na zastupiteľskom úrade bude prebiehať rovnakým spôsobom, ako je tomu </w:t>
      </w:r>
      <w:r w:rsidRPr="001514DD">
        <w:rPr>
          <w:rFonts w:ascii="Times New Roman" w:hAnsi="Times New Roman"/>
          <w:sz w:val="24"/>
          <w:lang w:eastAsia="sk-SK"/>
        </w:rPr>
        <w:br/>
        <w:t xml:space="preserve">vo volebnom okrsku na území Slovenskej republiky, tzn. elektronicky prostredníctvom informačného systému Štatistického úradu Slovenskej republiky. K zverejneniu výsledkov volieb na zastupiteľských úradoch na webovom sídle Štatistického úradu Slovenskej republiky však bude môcť dôjsť až po skončení hlasovania na území Slovenskej republiky, čím sa posilní objektivita a nestrannosť tohto spôsobu hlasovania a zároveň sa vylúči možnosť ovplyvnenia hlasovania voličov na území Slovenskej republiky výsledkami hlasovania v zahraničí.  </w:t>
      </w:r>
    </w:p>
    <w:p w14:paraId="7642FB35"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43 (vypustenie § 60a a § 208a)</w:t>
      </w:r>
    </w:p>
    <w:p w14:paraId="02AC263B"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
          <w:sz w:val="24"/>
        </w:rPr>
        <w:t xml:space="preserve"> </w:t>
      </w:r>
      <w:r w:rsidRPr="001514DD">
        <w:rPr>
          <w:rFonts w:ascii="Times New Roman" w:hAnsi="Times New Roman" w:cs="Times New Roman"/>
          <w:bCs/>
          <w:sz w:val="24"/>
        </w:rPr>
        <w:t xml:space="preserve">Navrhuje sa vypustiť z textu zákona </w:t>
      </w:r>
      <w:proofErr w:type="spellStart"/>
      <w:r w:rsidRPr="001514DD">
        <w:rPr>
          <w:rFonts w:ascii="Times New Roman" w:hAnsi="Times New Roman" w:cs="Times New Roman"/>
          <w:bCs/>
          <w:sz w:val="24"/>
        </w:rPr>
        <w:t>obsolétne</w:t>
      </w:r>
      <w:proofErr w:type="spellEnd"/>
      <w:r w:rsidRPr="001514DD">
        <w:rPr>
          <w:rFonts w:ascii="Times New Roman" w:hAnsi="Times New Roman" w:cs="Times New Roman"/>
          <w:bCs/>
          <w:sz w:val="24"/>
        </w:rPr>
        <w:t xml:space="preserve"> ustanovenia o zabezpečení voľby poštou a zisťovaní jej výsledkov vo voľbách do Národnej rady Slovenskej republiky a v referende.</w:t>
      </w:r>
    </w:p>
    <w:p w14:paraId="21435038"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44 (§ 62 ods. 1)</w:t>
      </w:r>
    </w:p>
    <w:p w14:paraId="2E694352"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 xml:space="preserve"> Ide o legislatívno-technickú úpravu s ohľadom na vypustenie voľby poštou z textu zákona.</w:t>
      </w:r>
    </w:p>
    <w:p w14:paraId="17487C81"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lastRenderedPageBreak/>
        <w:t>K bodu 45 (§ 69 ods. 1 písm. f), § 214 ods. 1 písm. f))</w:t>
      </w:r>
    </w:p>
    <w:p w14:paraId="52DD20ED"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 xml:space="preserve">Nevyhnutnosť úpravy príslušného údaja zápisnice Štátnej komisie pre voľby a kontrolu financovania politických strán o výsledku volieb do Národnej rady Slovenskej republiky a o výsledku referenda bezprostredne súvisí s nahradením voľby poštou hlasovaním </w:t>
      </w:r>
      <w:r w:rsidRPr="001514DD">
        <w:rPr>
          <w:rFonts w:ascii="Times New Roman" w:hAnsi="Times New Roman" w:cs="Times New Roman"/>
          <w:bCs/>
          <w:sz w:val="24"/>
        </w:rPr>
        <w:br/>
        <w:t xml:space="preserve">na zastupiteľských úradoch v zahraničí. </w:t>
      </w:r>
    </w:p>
    <w:p w14:paraId="0845098E"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p>
    <w:p w14:paraId="5B8C3DD0" w14:textId="77777777" w:rsidR="00387704" w:rsidRPr="001514DD" w:rsidRDefault="00387704" w:rsidP="00387704">
      <w:pPr>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46 (§ 80 ods. 4 písm. a))</w:t>
      </w:r>
    </w:p>
    <w:p w14:paraId="2E2C3B5E" w14:textId="77777777" w:rsidR="00387704" w:rsidRPr="001514DD" w:rsidRDefault="00387704" w:rsidP="00387704">
      <w:pPr>
        <w:spacing w:before="240" w:after="0" w:line="240" w:lineRule="auto"/>
        <w:ind w:firstLine="284"/>
        <w:jc w:val="both"/>
        <w:rPr>
          <w:rFonts w:ascii="Times New Roman" w:hAnsi="Times New Roman" w:cs="Times New Roman"/>
          <w:sz w:val="24"/>
        </w:rPr>
      </w:pPr>
      <w:r w:rsidRPr="001514DD">
        <w:rPr>
          <w:rFonts w:ascii="Times New Roman" w:hAnsi="Times New Roman" w:cs="Times New Roman"/>
          <w:sz w:val="24"/>
        </w:rPr>
        <w:t xml:space="preserve">Volebná kaucia sa ustanovuje vo výške 2,5-násobku priemernej nominálnej mesačnej mzdy v hospodárstve Slovenskej republiky podľa najaktuálnejšieho údaja zverejňovaného Štatistickým úradom Slovenskej republiky. Takto ustanovená výška volebnej kaucie je považovaná za ústavne konformnú aj podľa nálezu Ústavného súdu Slovenskej republiky </w:t>
      </w:r>
      <w:r w:rsidRPr="001514DD">
        <w:rPr>
          <w:rFonts w:ascii="Times New Roman" w:hAnsi="Times New Roman" w:cs="Times New Roman"/>
          <w:sz w:val="24"/>
        </w:rPr>
        <w:br/>
      </w:r>
      <w:proofErr w:type="spellStart"/>
      <w:r w:rsidRPr="001514DD">
        <w:rPr>
          <w:rFonts w:ascii="Times New Roman" w:hAnsi="Times New Roman" w:cs="Times New Roman"/>
          <w:sz w:val="24"/>
        </w:rPr>
        <w:t>sp</w:t>
      </w:r>
      <w:proofErr w:type="spellEnd"/>
      <w:r w:rsidRPr="001514DD">
        <w:rPr>
          <w:rFonts w:ascii="Times New Roman" w:hAnsi="Times New Roman" w:cs="Times New Roman"/>
          <w:sz w:val="24"/>
        </w:rPr>
        <w:t>. zn. PL. ÚS 6/08.</w:t>
      </w:r>
    </w:p>
    <w:p w14:paraId="71EE40B7" w14:textId="77777777" w:rsidR="00387704" w:rsidRPr="001514DD" w:rsidRDefault="00387704" w:rsidP="00387704">
      <w:pPr>
        <w:spacing w:before="240" w:after="0" w:line="240" w:lineRule="auto"/>
        <w:ind w:firstLine="284"/>
        <w:jc w:val="both"/>
        <w:rPr>
          <w:rFonts w:ascii="Times New Roman" w:hAnsi="Times New Roman" w:cs="Times New Roman"/>
          <w:b/>
          <w:bCs/>
          <w:sz w:val="24"/>
        </w:rPr>
      </w:pPr>
      <w:r w:rsidRPr="001514DD">
        <w:rPr>
          <w:rFonts w:ascii="Times New Roman" w:hAnsi="Times New Roman" w:cs="Times New Roman"/>
          <w:b/>
          <w:bCs/>
          <w:sz w:val="24"/>
        </w:rPr>
        <w:t>K bodu 47 (§ 100)</w:t>
      </w:r>
    </w:p>
    <w:p w14:paraId="5C3595D4" w14:textId="77777777" w:rsidR="00387704" w:rsidRPr="001514DD" w:rsidRDefault="00387704" w:rsidP="00387704">
      <w:pPr>
        <w:spacing w:before="240" w:after="0" w:line="240" w:lineRule="auto"/>
        <w:ind w:firstLine="284"/>
        <w:jc w:val="both"/>
        <w:rPr>
          <w:rFonts w:ascii="Times New Roman" w:hAnsi="Times New Roman" w:cs="Times New Roman"/>
          <w:sz w:val="24"/>
        </w:rPr>
      </w:pPr>
      <w:r w:rsidRPr="001514DD">
        <w:rPr>
          <w:rFonts w:ascii="Times New Roman" w:hAnsi="Times New Roman" w:cs="Times New Roman"/>
          <w:bCs/>
          <w:sz w:val="24"/>
        </w:rPr>
        <w:t xml:space="preserve">Zavedením možnosti hlasovania na zastupiteľských úradoch Slovenskej republiky </w:t>
      </w:r>
      <w:r w:rsidRPr="001514DD">
        <w:rPr>
          <w:rFonts w:ascii="Times New Roman" w:hAnsi="Times New Roman" w:cs="Times New Roman"/>
          <w:bCs/>
          <w:sz w:val="24"/>
        </w:rPr>
        <w:br/>
        <w:t>vo voľbách prezidenta Slovenskej republiky bolo potrebné zahrnúť do štruktúry volebných komisií aj osobitnú okresnú volebnú komisiu, ktorá bude</w:t>
      </w:r>
      <w:r w:rsidRPr="001514DD">
        <w:rPr>
          <w:rFonts w:ascii="Times New Roman" w:hAnsi="Times New Roman" w:cs="Times New Roman"/>
          <w:b/>
          <w:sz w:val="24"/>
        </w:rPr>
        <w:t xml:space="preserve"> </w:t>
      </w:r>
      <w:r w:rsidRPr="001514DD">
        <w:rPr>
          <w:rFonts w:ascii="Times New Roman" w:hAnsi="Times New Roman"/>
          <w:sz w:val="24"/>
          <w:lang w:eastAsia="sk-SK"/>
        </w:rPr>
        <w:t xml:space="preserve">dohliadať na priebeh volieb prezidenta Slovenskej republiky konaných na ambasádach a zodpovedať za spracovanie ich výsledkov. Osobitná okresná volebná komisia pre voľby prezidenta Slovenskej republiky bude pôsobiť </w:t>
      </w:r>
      <w:r w:rsidRPr="001514DD">
        <w:rPr>
          <w:rFonts w:ascii="Times New Roman" w:hAnsi="Times New Roman"/>
          <w:sz w:val="24"/>
          <w:lang w:eastAsia="sk-SK"/>
        </w:rPr>
        <w:br/>
        <w:t>na Ministerstve zahraničných vecí a európskych záležitostí Slovenskej republiky a právo delegovať svojho zástupcu do nej budú mať politické strany a koalície zastúpené v Národnej rade Slovenskej republiky a petičný výbor.</w:t>
      </w:r>
    </w:p>
    <w:p w14:paraId="0EC1CED8"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50 (§ 105 ods. 2,  § 204 ods. 2)</w:t>
      </w:r>
    </w:p>
    <w:p w14:paraId="3C28EC5E"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 xml:space="preserve">Z dôvodu hospodárnosti a účelnosti tlače hlasovacích lístkov pre potreby hlasovania </w:t>
      </w:r>
      <w:r w:rsidRPr="001514DD">
        <w:rPr>
          <w:rFonts w:ascii="Times New Roman" w:hAnsi="Times New Roman" w:cs="Times New Roman"/>
          <w:bCs/>
          <w:sz w:val="24"/>
        </w:rPr>
        <w:br/>
        <w:t xml:space="preserve">na zastupiteľských úradoch vo voľbách prezidenta Slovenskej republiky a v referende, ako aj s ohľadom na krátkosť času medzi konaním prvého kola a druhého kola volieb prezidenta Slovenskej republiky sa navrhuje poveriť zabezpečením tlače hlasovacích lístkov vo vyššie uvedených voľbách príslušný zastupiteľský úrad, ktorý bude pri splnení tejto úlohy spolupracovať s Ministerstvom zahraničných vecí a európskych záležitostí Slovenskej republiky.  Pre potreby zabezpečenia tlače hlasovacích lístkov v miestnych podmienkach zastupiteľského úradu Ministerstvo vnútra Slovenskej republiky poskytne Ministerstvu zahraničných vecí a európskych záležitostí Slovenskej republiky originál hlasovacieho lístka pre voľby prezidenta Slovenskej republiky, rovnako ako aj originál hlasovacieho lístka v referende, oba opatrené úradnou pečiatkou Štátnej komisie pre voľby a kontrolu financovania politických strán.   </w:t>
      </w:r>
    </w:p>
    <w:p w14:paraId="090098F6"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51 (§ 106a, § 106b)</w:t>
      </w:r>
    </w:p>
    <w:p w14:paraId="76F8BB6E"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 xml:space="preserve">Vzhľadom na zavedenie možnosti hlasovania na zastupiteľských úradoch vo voľbách prezidenta Slovenskej republiky bolo potrebné v osobitnej časti zákona upravujúcej predmetné voľby explicitne upraviť podrobnosti o jednotlivých spôsoboch hlasovania  v týchto voľbách, analogicky ako tomu je vo voľbách do Národnej rady Slovenskej republiky a v referende. </w:t>
      </w:r>
    </w:p>
    <w:p w14:paraId="3F3B4F4A"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lastRenderedPageBreak/>
        <w:t xml:space="preserve">Forma a spôsob podania žiadosti o hlasovanie na zastupiteľskom úrade Slovenskej republiky vo voľbách prezidenta Slovenskej republiky, ako aj lehota na realizáciu tohto úkonu zodpovedá právnej úprave obdobnej problematiky vo voľbách do Národnej rady Slovenskej republiky </w:t>
      </w:r>
      <w:r w:rsidRPr="001514DD">
        <w:rPr>
          <w:rFonts w:ascii="Times New Roman" w:hAnsi="Times New Roman" w:cs="Times New Roman"/>
          <w:bCs/>
          <w:sz w:val="24"/>
        </w:rPr>
        <w:br/>
        <w:t xml:space="preserve">a v referende. Vzhľadom na predpoklad konania volieb prezidenta Slovenskej republiky </w:t>
      </w:r>
      <w:r w:rsidRPr="001514DD">
        <w:rPr>
          <w:rFonts w:ascii="Times New Roman" w:hAnsi="Times New Roman" w:cs="Times New Roman"/>
          <w:bCs/>
          <w:sz w:val="24"/>
        </w:rPr>
        <w:br/>
        <w:t xml:space="preserve">vo dvoch kolách sa voličovi pri elektronickom podávaní žiadosti prostredníctvom informačného systému pre hlasovanie na zastupiteľských úradoch poskytuje možnosť požiadať o hlasovanie na zastupiteľskom úrade len v prvom kole volieb, alebo len v druhom kole volieb, alebo v oboch kolách volieb, čomu môže prispôsobiť aj výber zastupiteľského úradu, na ktorom bude chcieť vykonať hlasovanie. Je však potrebné mať na pamäti, že konečná lehota 40 dní </w:t>
      </w:r>
      <w:r w:rsidRPr="001514DD">
        <w:rPr>
          <w:rFonts w:ascii="Times New Roman" w:hAnsi="Times New Roman" w:cs="Times New Roman"/>
          <w:bCs/>
          <w:sz w:val="24"/>
        </w:rPr>
        <w:br/>
        <w:t>na podanie žiadosti o hlasovanie na ambasáde platí aj v prípade, ak chce volič hlasovať v zahraničí len v druhom kole volieb prezidenta Slovenskej republiky.</w:t>
      </w:r>
    </w:p>
    <w:p w14:paraId="615DAC1D"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53 (§ 107 ods. 1)</w:t>
      </w:r>
    </w:p>
    <w:p w14:paraId="61A0B365"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 xml:space="preserve">Navrhovanou právnou úpravou sa text dotknutého ustanovenia o hlasovaní na území Slovenskej republiky vo voľbách prezidenta Slovenskej republiky zosúlaďuje s obdobnými ustanoveniami upravujúcimi spôsob hlasovania vo volebnej miestnosti na území Slovenskej republiky vo voľbách do Národnej rady Slovenskej republiky a v referende.  </w:t>
      </w:r>
    </w:p>
    <w:p w14:paraId="6D0F01E1"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54 (§ 107 ods. 5)</w:t>
      </w:r>
    </w:p>
    <w:p w14:paraId="73C80CEC"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 xml:space="preserve">Zavedením možnosti hlasovania vo voľbách prezidenta Slovenskej republiky </w:t>
      </w:r>
      <w:r w:rsidRPr="001514DD">
        <w:rPr>
          <w:rFonts w:ascii="Times New Roman" w:hAnsi="Times New Roman" w:cs="Times New Roman"/>
          <w:bCs/>
          <w:sz w:val="24"/>
        </w:rPr>
        <w:br/>
        <w:t>na zastupiteľských úradoch voličmi, ktorí nemajú trvalý pobyt na území Slovenskej republiky sa navrhuje zo zákona vypustiť možnosť osobného hlasovania týchto voličov vo volebnej miestnosti na území Slovenskej republiky po ich dopísaní do zoznamu voličov na základe predloženého cestovného dokladu vydaného Slovenskou republikou.</w:t>
      </w:r>
    </w:p>
    <w:p w14:paraId="5CA4A10F"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55 (§ 107a)</w:t>
      </w:r>
    </w:p>
    <w:p w14:paraId="32C3A8DF" w14:textId="77777777" w:rsidR="00387704" w:rsidRPr="001514DD" w:rsidRDefault="00387704" w:rsidP="00387704">
      <w:pPr>
        <w:tabs>
          <w:tab w:val="left" w:pos="284"/>
        </w:tabs>
        <w:spacing w:before="240" w:after="0" w:line="240" w:lineRule="auto"/>
        <w:ind w:firstLine="284"/>
        <w:jc w:val="both"/>
        <w:rPr>
          <w:rFonts w:ascii="Times New Roman" w:hAnsi="Times New Roman"/>
          <w:sz w:val="24"/>
          <w:lang w:eastAsia="sk-SK"/>
        </w:rPr>
      </w:pPr>
      <w:r w:rsidRPr="001514DD">
        <w:rPr>
          <w:rFonts w:ascii="Times New Roman" w:hAnsi="Times New Roman"/>
          <w:sz w:val="24"/>
          <w:lang w:eastAsia="sk-SK"/>
        </w:rPr>
        <w:t>Vo volebnej miestnosti osobitného volebného okrsku na zastupiteľskom úrade si bude môcť uplatniť svoje aktívne volebné právo vo voľbách prezidenta Slovenskej republiky len ten volič,  ktorý je zapísaný v zozname voličov daného osobitného volebného okrsku. Po preukázaní totožnosti občianskym preukazom alebo cestovným dokladom vydaným Slovenskou republikou okrsková volebná komisia utvorená pre osobitný volebný okrsok zakrúžkuje poradové číslo voliča v zozname voličov osobitného volebného okrsku a vydá voličovi hlasovací lístok a prázdnu obálku opatrenú úradnou pečiatkou zastupiteľského úradu. S volebnými materiálmi sa volič odoberie za zástenu, kde vykoná volebný akt rovnakým spôsobom, ako volič hlasujúci vo volebnej miestnosti na území Slovenskej republiky. K zisťovaniu výsledkov hlasovania v osobitnom volebnom okrsku pristúpi príslušná volebná komisia po skončení zákonom ustanoveného času pre hlasovanie na zastupiteľských úradoch alebo bezodkladne po odhlasovaní všetkých voličov zapísaných v zozname voličov osobitného volebného okrsku. Výsledky sčítania hlasov v osobitnom volebnom okrsku, zaznamenané v elektronickej zápisnici, budú v reálnom čase spracovávané prostredníctvom informačného systému Štatistického úradu Slovenskej republiky, avšak v záujme zachovania objektivity sa výsledky hlasovania na zastupiteľských úradoch sprístupnia na webových stránkach zodpovedných štátnych orgánov až po skončení hlasovania na území Slovenskej republiky.</w:t>
      </w:r>
    </w:p>
    <w:p w14:paraId="1732467C"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56 (§ 113 ods. 1 písm. f))</w:t>
      </w:r>
    </w:p>
    <w:p w14:paraId="7EC6C3DB"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 xml:space="preserve">Nevyhnutnosť evidencie účasti voličov hlasujúcich na zastupiteľských úradoch v kontexte celorepublikových výsledkov volieb prezidenta Slovenskej republiky si vyžiadala doplnenie </w:t>
      </w:r>
      <w:r w:rsidRPr="001514DD">
        <w:rPr>
          <w:rFonts w:ascii="Times New Roman" w:hAnsi="Times New Roman" w:cs="Times New Roman"/>
          <w:bCs/>
          <w:sz w:val="24"/>
        </w:rPr>
        <w:lastRenderedPageBreak/>
        <w:t>predmetného údaja do zápisnice Štátnej komisie pre voľby a kontrolu financovania politických strán o výsledku volieb prezidenta Slovenskej republiky.</w:t>
      </w:r>
    </w:p>
    <w:p w14:paraId="2A54AD55"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bodom 57 a 58 (§ 115 ods. 2 a 3)</w:t>
      </w:r>
    </w:p>
    <w:p w14:paraId="0D8A6AA0"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Osobitné ustanovenie o organizácii druhého kola volieb prezidenta Slovenskej republiky sa dopĺňa o relevantné skutočnosti týkajúce sa druhého kola volieb na zastupiteľských úradoch Slovenskej republiky.</w:t>
      </w:r>
    </w:p>
    <w:p w14:paraId="12294050"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68 (§ 216)</w:t>
      </w:r>
    </w:p>
    <w:p w14:paraId="5394FBC7"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Cs/>
          <w:sz w:val="24"/>
        </w:rPr>
      </w:pPr>
      <w:r w:rsidRPr="001514DD">
        <w:rPr>
          <w:rFonts w:ascii="Times New Roman" w:hAnsi="Times New Roman" w:cs="Times New Roman"/>
          <w:bCs/>
          <w:sz w:val="24"/>
        </w:rPr>
        <w:t>Okruh ústredných orgánov štátnej správy, ktoré participujú na tvorbe vykonávacieho právneho predpisu o výdavkoch súvisiacich s voľbami sa dopĺňa o Ministerstvo zahraničných vecí a európskych záležitostí Slovenskej republiky.</w:t>
      </w:r>
    </w:p>
    <w:p w14:paraId="158BDC69" w14:textId="77777777" w:rsidR="00387704" w:rsidRPr="001514DD" w:rsidRDefault="00387704" w:rsidP="00387704">
      <w:pPr>
        <w:autoSpaceDE w:val="0"/>
        <w:autoSpaceDN w:val="0"/>
        <w:adjustRightInd w:val="0"/>
        <w:spacing w:before="240" w:after="0" w:line="240" w:lineRule="auto"/>
        <w:ind w:firstLine="284"/>
        <w:jc w:val="both"/>
        <w:rPr>
          <w:rFonts w:ascii="Times New Roman" w:hAnsi="Times New Roman" w:cs="Times New Roman"/>
          <w:b/>
          <w:sz w:val="24"/>
        </w:rPr>
      </w:pPr>
      <w:r w:rsidRPr="001514DD">
        <w:rPr>
          <w:rFonts w:ascii="Times New Roman" w:hAnsi="Times New Roman" w:cs="Times New Roman"/>
          <w:b/>
          <w:sz w:val="24"/>
        </w:rPr>
        <w:t>K bodu 69 (§ 220c)</w:t>
      </w:r>
    </w:p>
    <w:p w14:paraId="319356D3" w14:textId="77777777" w:rsidR="00387704" w:rsidRPr="001514DD" w:rsidRDefault="00387704" w:rsidP="00387704">
      <w:pPr>
        <w:autoSpaceDE w:val="0"/>
        <w:autoSpaceDN w:val="0"/>
        <w:adjustRightInd w:val="0"/>
        <w:spacing w:before="240" w:after="0" w:line="240" w:lineRule="auto"/>
        <w:ind w:firstLine="284"/>
        <w:jc w:val="both"/>
      </w:pPr>
      <w:r w:rsidRPr="001514DD">
        <w:rPr>
          <w:rFonts w:ascii="Times New Roman" w:hAnsi="Times New Roman" w:cs="Times New Roman"/>
          <w:bCs/>
          <w:sz w:val="24"/>
        </w:rPr>
        <w:t>Účinnosť návrhu zákona sa navrhuje ustanoviť s ohľadom na potrebu dostatočného časového priestoru na zabezpečenie technického riešenia vytvorenia informačného systému pre hlasovanie na zastupiteľských úradoch a zmeny vykonávacieho právneho predpisu o výdavkoch spojených s voľbami.</w:t>
      </w:r>
    </w:p>
    <w:p w14:paraId="7C76BCB5" w14:textId="77777777" w:rsidR="00387704" w:rsidRPr="001514DD" w:rsidRDefault="00387704" w:rsidP="00387704">
      <w:pPr>
        <w:autoSpaceDE w:val="0"/>
        <w:autoSpaceDN w:val="0"/>
        <w:adjustRightInd w:val="0"/>
        <w:spacing w:after="240" w:line="240" w:lineRule="auto"/>
        <w:ind w:firstLine="284"/>
        <w:jc w:val="both"/>
      </w:pPr>
    </w:p>
    <w:p w14:paraId="723266B5" w14:textId="77777777" w:rsidR="00387704" w:rsidRPr="001514DD" w:rsidRDefault="00387704" w:rsidP="00387704">
      <w:pPr>
        <w:autoSpaceDE w:val="0"/>
        <w:autoSpaceDN w:val="0"/>
        <w:adjustRightInd w:val="0"/>
        <w:spacing w:after="240" w:line="240" w:lineRule="auto"/>
        <w:ind w:firstLine="284"/>
        <w:jc w:val="both"/>
      </w:pPr>
    </w:p>
    <w:p w14:paraId="129B30CE" w14:textId="77777777" w:rsidR="00387704" w:rsidRPr="001514DD" w:rsidRDefault="00387704" w:rsidP="00387704">
      <w:pPr>
        <w:autoSpaceDE w:val="0"/>
        <w:autoSpaceDN w:val="0"/>
        <w:adjustRightInd w:val="0"/>
        <w:spacing w:after="240" w:line="240" w:lineRule="auto"/>
        <w:ind w:firstLine="284"/>
        <w:jc w:val="both"/>
      </w:pPr>
    </w:p>
    <w:p w14:paraId="66AC1CD6" w14:textId="77777777" w:rsidR="00387704" w:rsidRPr="001514DD" w:rsidRDefault="00387704" w:rsidP="00387704">
      <w:pPr>
        <w:autoSpaceDE w:val="0"/>
        <w:autoSpaceDN w:val="0"/>
        <w:adjustRightInd w:val="0"/>
        <w:spacing w:after="240" w:line="240" w:lineRule="auto"/>
        <w:ind w:firstLine="284"/>
        <w:jc w:val="both"/>
      </w:pPr>
    </w:p>
    <w:p w14:paraId="73DB1AF3" w14:textId="77777777" w:rsidR="00387704" w:rsidRPr="001514DD" w:rsidRDefault="00387704" w:rsidP="00387704">
      <w:pPr>
        <w:autoSpaceDE w:val="0"/>
        <w:autoSpaceDN w:val="0"/>
        <w:adjustRightInd w:val="0"/>
        <w:spacing w:after="240" w:line="240" w:lineRule="auto"/>
        <w:ind w:firstLine="284"/>
        <w:jc w:val="both"/>
      </w:pPr>
    </w:p>
    <w:p w14:paraId="37A5DAFB" w14:textId="77777777" w:rsidR="00387704" w:rsidRPr="001514DD" w:rsidRDefault="00387704" w:rsidP="00387704">
      <w:pPr>
        <w:autoSpaceDE w:val="0"/>
        <w:autoSpaceDN w:val="0"/>
        <w:adjustRightInd w:val="0"/>
        <w:spacing w:after="240" w:line="240" w:lineRule="auto"/>
        <w:ind w:firstLine="284"/>
        <w:jc w:val="both"/>
      </w:pPr>
    </w:p>
    <w:p w14:paraId="70CEAF04" w14:textId="77777777" w:rsidR="00387704" w:rsidRPr="001514DD" w:rsidRDefault="00387704" w:rsidP="00387704">
      <w:pPr>
        <w:autoSpaceDE w:val="0"/>
        <w:autoSpaceDN w:val="0"/>
        <w:adjustRightInd w:val="0"/>
        <w:spacing w:after="240" w:line="240" w:lineRule="auto"/>
        <w:ind w:firstLine="284"/>
        <w:jc w:val="both"/>
      </w:pPr>
    </w:p>
    <w:p w14:paraId="441D1281" w14:textId="77777777" w:rsidR="00387704" w:rsidRPr="001514DD" w:rsidRDefault="00387704" w:rsidP="00387704">
      <w:pPr>
        <w:autoSpaceDE w:val="0"/>
        <w:autoSpaceDN w:val="0"/>
        <w:adjustRightInd w:val="0"/>
        <w:spacing w:after="240" w:line="240" w:lineRule="auto"/>
        <w:ind w:firstLine="284"/>
        <w:jc w:val="both"/>
      </w:pPr>
    </w:p>
    <w:p w14:paraId="2A5BC7FD" w14:textId="77777777" w:rsidR="00387704" w:rsidRPr="001514DD" w:rsidRDefault="00387704" w:rsidP="00387704">
      <w:pPr>
        <w:autoSpaceDE w:val="0"/>
        <w:autoSpaceDN w:val="0"/>
        <w:adjustRightInd w:val="0"/>
        <w:spacing w:after="240" w:line="240" w:lineRule="auto"/>
        <w:ind w:firstLine="284"/>
        <w:jc w:val="both"/>
      </w:pPr>
    </w:p>
    <w:p w14:paraId="1E1408AF" w14:textId="77777777" w:rsidR="00387704" w:rsidRPr="001514DD" w:rsidRDefault="00387704" w:rsidP="00387704">
      <w:pPr>
        <w:autoSpaceDE w:val="0"/>
        <w:autoSpaceDN w:val="0"/>
        <w:adjustRightInd w:val="0"/>
        <w:spacing w:after="240" w:line="240" w:lineRule="auto"/>
        <w:ind w:firstLine="284"/>
        <w:jc w:val="both"/>
      </w:pPr>
    </w:p>
    <w:p w14:paraId="019DD7E7" w14:textId="77777777" w:rsidR="00387704" w:rsidRPr="001514DD" w:rsidRDefault="00387704" w:rsidP="00387704">
      <w:pPr>
        <w:autoSpaceDE w:val="0"/>
        <w:autoSpaceDN w:val="0"/>
        <w:adjustRightInd w:val="0"/>
        <w:spacing w:after="240" w:line="240" w:lineRule="auto"/>
        <w:ind w:firstLine="284"/>
        <w:jc w:val="both"/>
      </w:pPr>
    </w:p>
    <w:p w14:paraId="1F70607C" w14:textId="77777777" w:rsidR="00387704" w:rsidRPr="001514DD" w:rsidRDefault="00387704" w:rsidP="00387704">
      <w:pPr>
        <w:autoSpaceDE w:val="0"/>
        <w:autoSpaceDN w:val="0"/>
        <w:adjustRightInd w:val="0"/>
        <w:spacing w:after="240" w:line="240" w:lineRule="auto"/>
        <w:ind w:firstLine="284"/>
        <w:jc w:val="both"/>
      </w:pPr>
    </w:p>
    <w:p w14:paraId="353224EE" w14:textId="77777777" w:rsidR="00387704" w:rsidRPr="001514DD" w:rsidRDefault="00387704" w:rsidP="00387704">
      <w:pPr>
        <w:autoSpaceDE w:val="0"/>
        <w:autoSpaceDN w:val="0"/>
        <w:adjustRightInd w:val="0"/>
        <w:spacing w:after="240" w:line="240" w:lineRule="auto"/>
        <w:ind w:firstLine="284"/>
        <w:jc w:val="both"/>
      </w:pPr>
    </w:p>
    <w:p w14:paraId="5FBF800F" w14:textId="77777777" w:rsidR="00387704" w:rsidRPr="001514DD" w:rsidRDefault="00387704" w:rsidP="00387704">
      <w:pPr>
        <w:autoSpaceDE w:val="0"/>
        <w:autoSpaceDN w:val="0"/>
        <w:adjustRightInd w:val="0"/>
        <w:spacing w:after="240" w:line="240" w:lineRule="auto"/>
        <w:ind w:firstLine="284"/>
        <w:jc w:val="both"/>
      </w:pPr>
    </w:p>
    <w:p w14:paraId="50A0AD7B" w14:textId="77777777" w:rsidR="00387704" w:rsidRPr="001514DD" w:rsidRDefault="00387704" w:rsidP="00387704">
      <w:pPr>
        <w:autoSpaceDE w:val="0"/>
        <w:autoSpaceDN w:val="0"/>
        <w:adjustRightInd w:val="0"/>
        <w:spacing w:after="240" w:line="240" w:lineRule="auto"/>
        <w:ind w:firstLine="284"/>
        <w:jc w:val="both"/>
      </w:pPr>
    </w:p>
    <w:p w14:paraId="3F2C2ABD" w14:textId="77777777" w:rsidR="00387704" w:rsidRPr="001514DD" w:rsidRDefault="00387704" w:rsidP="00387704">
      <w:pPr>
        <w:autoSpaceDE w:val="0"/>
        <w:autoSpaceDN w:val="0"/>
        <w:adjustRightInd w:val="0"/>
        <w:spacing w:after="240" w:line="240" w:lineRule="auto"/>
        <w:ind w:firstLine="284"/>
        <w:jc w:val="both"/>
      </w:pPr>
    </w:p>
    <w:p w14:paraId="1C707372" w14:textId="77777777" w:rsidR="00387704" w:rsidRPr="001514DD" w:rsidRDefault="00387704" w:rsidP="00387704">
      <w:pPr>
        <w:autoSpaceDE w:val="0"/>
        <w:autoSpaceDN w:val="0"/>
        <w:adjustRightInd w:val="0"/>
        <w:spacing w:after="240" w:line="240" w:lineRule="auto"/>
        <w:jc w:val="both"/>
      </w:pPr>
    </w:p>
    <w:p w14:paraId="2109ADA3" w14:textId="77777777" w:rsidR="00387704" w:rsidRPr="001514DD" w:rsidRDefault="00387704" w:rsidP="00387704">
      <w:pPr>
        <w:autoSpaceDE w:val="0"/>
        <w:autoSpaceDN w:val="0"/>
        <w:adjustRightInd w:val="0"/>
        <w:spacing w:after="240" w:line="240" w:lineRule="auto"/>
        <w:jc w:val="both"/>
      </w:pPr>
    </w:p>
    <w:p w14:paraId="27E0117C" w14:textId="77777777" w:rsidR="00387704" w:rsidRPr="001514DD" w:rsidRDefault="00387704" w:rsidP="00387704">
      <w:pPr>
        <w:suppressAutoHyphens/>
        <w:spacing w:after="0"/>
        <w:rPr>
          <w:rFonts w:ascii="Times New Roman" w:eastAsia="SimSun" w:hAnsi="Times New Roman" w:cs="Mangal"/>
          <w:b/>
          <w:smallCaps/>
          <w:kern w:val="1"/>
          <w:sz w:val="24"/>
          <w:lang w:eastAsia="hi-IN" w:bidi="hi-IN"/>
        </w:rPr>
      </w:pPr>
    </w:p>
    <w:p w14:paraId="5A0B8B8D" w14:textId="77777777" w:rsidR="00387704" w:rsidRPr="001514DD" w:rsidRDefault="00387704" w:rsidP="00387704">
      <w:pPr>
        <w:suppressAutoHyphens/>
        <w:spacing w:after="0"/>
        <w:rPr>
          <w:rFonts w:ascii="Times New Roman" w:eastAsia="SimSun" w:hAnsi="Times New Roman" w:cs="Mangal"/>
          <w:b/>
          <w:smallCaps/>
          <w:kern w:val="1"/>
          <w:sz w:val="24"/>
          <w:lang w:eastAsia="hi-IN" w:bidi="hi-IN"/>
        </w:rPr>
      </w:pPr>
    </w:p>
    <w:sectPr w:rsidR="00387704" w:rsidRPr="001514DD" w:rsidSect="006E0AF4">
      <w:footerReference w:type="default" r:id="rId8"/>
      <w:pgSz w:w="11906" w:h="16838"/>
      <w:pgMar w:top="1417" w:right="1417" w:bottom="1560"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1EE18" w14:textId="77777777" w:rsidR="00061DA2" w:rsidRDefault="00061DA2" w:rsidP="00D23D1F">
      <w:pPr>
        <w:spacing w:after="0" w:line="240" w:lineRule="auto"/>
      </w:pPr>
      <w:r>
        <w:separator/>
      </w:r>
    </w:p>
  </w:endnote>
  <w:endnote w:type="continuationSeparator" w:id="0">
    <w:p w14:paraId="1A5591EA" w14:textId="77777777" w:rsidR="00061DA2" w:rsidRDefault="00061DA2" w:rsidP="00D2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ira Sans">
    <w:altName w:val="Arial"/>
    <w:charset w:val="00"/>
    <w:family w:val="swiss"/>
    <w:pitch w:val="variable"/>
    <w:sig w:usb0="600002FF" w:usb1="00000001"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05B0" w14:textId="68AED684" w:rsidR="00696590" w:rsidRDefault="00696590">
    <w:pPr>
      <w:pStyle w:val="Pta"/>
      <w:jc w:val="center"/>
    </w:pPr>
  </w:p>
  <w:p w14:paraId="0FA9CE2C" w14:textId="77777777" w:rsidR="00696590" w:rsidRDefault="0069659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18BD1" w14:textId="77777777" w:rsidR="00061DA2" w:rsidRDefault="00061DA2" w:rsidP="00D23D1F">
      <w:pPr>
        <w:spacing w:after="0" w:line="240" w:lineRule="auto"/>
      </w:pPr>
      <w:r>
        <w:separator/>
      </w:r>
    </w:p>
  </w:footnote>
  <w:footnote w:type="continuationSeparator" w:id="0">
    <w:p w14:paraId="2A9F8808" w14:textId="77777777" w:rsidR="00061DA2" w:rsidRDefault="00061DA2" w:rsidP="00D23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041"/>
    <w:multiLevelType w:val="hybridMultilevel"/>
    <w:tmpl w:val="9D9ACC56"/>
    <w:lvl w:ilvl="0" w:tplc="2632B98E">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1D40C7"/>
    <w:multiLevelType w:val="hybridMultilevel"/>
    <w:tmpl w:val="C9705614"/>
    <w:lvl w:ilvl="0" w:tplc="3D98622C">
      <w:start w:val="1"/>
      <w:numFmt w:val="upperLetter"/>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2BF7615"/>
    <w:multiLevelType w:val="hybridMultilevel"/>
    <w:tmpl w:val="DAFED6B0"/>
    <w:lvl w:ilvl="0" w:tplc="7D10303C">
      <w:start w:val="2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39A5818"/>
    <w:multiLevelType w:val="hybridMultilevel"/>
    <w:tmpl w:val="B826FB9A"/>
    <w:lvl w:ilvl="0" w:tplc="CFF81268">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0A407511"/>
    <w:multiLevelType w:val="hybridMultilevel"/>
    <w:tmpl w:val="730ADD80"/>
    <w:lvl w:ilvl="0" w:tplc="2632B98E">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B77779"/>
    <w:multiLevelType w:val="hybridMultilevel"/>
    <w:tmpl w:val="4E4041C8"/>
    <w:lvl w:ilvl="0" w:tplc="FFFFFFFF">
      <w:start w:val="1"/>
      <w:numFmt w:val="lowerLetter"/>
      <w:lvlText w:val="%1)"/>
      <w:lvlJc w:val="left"/>
      <w:pPr>
        <w:ind w:left="100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312647"/>
    <w:multiLevelType w:val="hybridMultilevel"/>
    <w:tmpl w:val="78107E52"/>
    <w:lvl w:ilvl="0" w:tplc="041B000F">
      <w:start w:val="1"/>
      <w:numFmt w:val="decimal"/>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8" w15:restartNumberingAfterBreak="0">
    <w:nsid w:val="19337662"/>
    <w:multiLevelType w:val="hybridMultilevel"/>
    <w:tmpl w:val="24D429D0"/>
    <w:lvl w:ilvl="0" w:tplc="EDDE19E0">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1A2A7B38"/>
    <w:multiLevelType w:val="hybridMultilevel"/>
    <w:tmpl w:val="329879B8"/>
    <w:lvl w:ilvl="0" w:tplc="13863A9C">
      <w:start w:val="1"/>
      <w:numFmt w:val="decimal"/>
      <w:lvlText w:val="(%1)"/>
      <w:lvlJc w:val="left"/>
      <w:pPr>
        <w:ind w:left="786" w:hanging="360"/>
      </w:pPr>
      <w:rPr>
        <w:rFonts w:ascii="Times New Roman" w:hAnsi="Times New Roman" w:hint="default"/>
        <w:color w:val="auto"/>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0" w15:restartNumberingAfterBreak="0">
    <w:nsid w:val="1B280396"/>
    <w:multiLevelType w:val="hybridMultilevel"/>
    <w:tmpl w:val="9508CB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185DC7"/>
    <w:multiLevelType w:val="hybridMultilevel"/>
    <w:tmpl w:val="BCEACE60"/>
    <w:lvl w:ilvl="0" w:tplc="FFFFFFFF">
      <w:start w:val="1"/>
      <w:numFmt w:val="lowerLetter"/>
      <w:lvlText w:val="%1)"/>
      <w:lvlJc w:val="left"/>
      <w:pPr>
        <w:ind w:left="100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1F0284"/>
    <w:multiLevelType w:val="hybridMultilevel"/>
    <w:tmpl w:val="266678B6"/>
    <w:lvl w:ilvl="0" w:tplc="041B0017">
      <w:start w:val="1"/>
      <w:numFmt w:val="lowerLetter"/>
      <w:lvlText w:val="%1)"/>
      <w:lvlJc w:val="left"/>
      <w:pPr>
        <w:ind w:left="2636" w:hanging="360"/>
      </w:pPr>
      <w:rPr>
        <w:rFonts w:hint="default"/>
      </w:rPr>
    </w:lvl>
    <w:lvl w:ilvl="1" w:tplc="041B0019" w:tentative="1">
      <w:start w:val="1"/>
      <w:numFmt w:val="lowerLetter"/>
      <w:lvlText w:val="%2."/>
      <w:lvlJc w:val="left"/>
      <w:pPr>
        <w:ind w:left="3356" w:hanging="360"/>
      </w:pPr>
    </w:lvl>
    <w:lvl w:ilvl="2" w:tplc="041B001B" w:tentative="1">
      <w:start w:val="1"/>
      <w:numFmt w:val="lowerRoman"/>
      <w:lvlText w:val="%3."/>
      <w:lvlJc w:val="right"/>
      <w:pPr>
        <w:ind w:left="4076" w:hanging="180"/>
      </w:pPr>
    </w:lvl>
    <w:lvl w:ilvl="3" w:tplc="041B000F" w:tentative="1">
      <w:start w:val="1"/>
      <w:numFmt w:val="decimal"/>
      <w:lvlText w:val="%4."/>
      <w:lvlJc w:val="left"/>
      <w:pPr>
        <w:ind w:left="4796" w:hanging="360"/>
      </w:pPr>
    </w:lvl>
    <w:lvl w:ilvl="4" w:tplc="041B0019" w:tentative="1">
      <w:start w:val="1"/>
      <w:numFmt w:val="lowerLetter"/>
      <w:lvlText w:val="%5."/>
      <w:lvlJc w:val="left"/>
      <w:pPr>
        <w:ind w:left="5516" w:hanging="360"/>
      </w:pPr>
    </w:lvl>
    <w:lvl w:ilvl="5" w:tplc="041B001B" w:tentative="1">
      <w:start w:val="1"/>
      <w:numFmt w:val="lowerRoman"/>
      <w:lvlText w:val="%6."/>
      <w:lvlJc w:val="right"/>
      <w:pPr>
        <w:ind w:left="6236" w:hanging="180"/>
      </w:pPr>
    </w:lvl>
    <w:lvl w:ilvl="6" w:tplc="041B000F" w:tentative="1">
      <w:start w:val="1"/>
      <w:numFmt w:val="decimal"/>
      <w:lvlText w:val="%7."/>
      <w:lvlJc w:val="left"/>
      <w:pPr>
        <w:ind w:left="6956" w:hanging="360"/>
      </w:pPr>
    </w:lvl>
    <w:lvl w:ilvl="7" w:tplc="041B0019" w:tentative="1">
      <w:start w:val="1"/>
      <w:numFmt w:val="lowerLetter"/>
      <w:lvlText w:val="%8."/>
      <w:lvlJc w:val="left"/>
      <w:pPr>
        <w:ind w:left="7676" w:hanging="360"/>
      </w:pPr>
    </w:lvl>
    <w:lvl w:ilvl="8" w:tplc="041B001B" w:tentative="1">
      <w:start w:val="1"/>
      <w:numFmt w:val="lowerRoman"/>
      <w:lvlText w:val="%9."/>
      <w:lvlJc w:val="right"/>
      <w:pPr>
        <w:ind w:left="8396" w:hanging="180"/>
      </w:pPr>
    </w:lvl>
  </w:abstractNum>
  <w:abstractNum w:abstractNumId="14" w15:restartNumberingAfterBreak="0">
    <w:nsid w:val="23227C46"/>
    <w:multiLevelType w:val="hybridMultilevel"/>
    <w:tmpl w:val="AFE6834A"/>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15:restartNumberingAfterBreak="0">
    <w:nsid w:val="337A7C75"/>
    <w:multiLevelType w:val="hybridMultilevel"/>
    <w:tmpl w:val="D174D658"/>
    <w:lvl w:ilvl="0" w:tplc="FFFFFFFF">
      <w:start w:val="1"/>
      <w:numFmt w:val="lowerLetter"/>
      <w:lvlText w:val="%1)"/>
      <w:lvlJc w:val="left"/>
      <w:pPr>
        <w:ind w:left="100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CE2D60"/>
    <w:multiLevelType w:val="hybridMultilevel"/>
    <w:tmpl w:val="98F67B26"/>
    <w:lvl w:ilvl="0" w:tplc="FD2E7BB2">
      <w:start w:val="1"/>
      <w:numFmt w:val="decimal"/>
      <w:lvlText w:val="(%1)"/>
      <w:lvlJc w:val="left"/>
      <w:pPr>
        <w:ind w:left="502" w:hanging="360"/>
      </w:pPr>
      <w:rPr>
        <w:rFonts w:ascii="Times New Roman" w:hAnsi="Times New Roman" w:hint="default"/>
        <w:color w:val="FF0000"/>
      </w:rPr>
    </w:lvl>
    <w:lvl w:ilvl="1" w:tplc="041B0019" w:tentative="1">
      <w:start w:val="1"/>
      <w:numFmt w:val="lowerLetter"/>
      <w:lvlText w:val="%2."/>
      <w:lvlJc w:val="left"/>
      <w:pPr>
        <w:ind w:left="1291" w:hanging="360"/>
      </w:pPr>
    </w:lvl>
    <w:lvl w:ilvl="2" w:tplc="041B001B" w:tentative="1">
      <w:start w:val="1"/>
      <w:numFmt w:val="lowerRoman"/>
      <w:lvlText w:val="%3."/>
      <w:lvlJc w:val="right"/>
      <w:pPr>
        <w:ind w:left="2011" w:hanging="180"/>
      </w:pPr>
    </w:lvl>
    <w:lvl w:ilvl="3" w:tplc="041B000F" w:tentative="1">
      <w:start w:val="1"/>
      <w:numFmt w:val="decimal"/>
      <w:lvlText w:val="%4."/>
      <w:lvlJc w:val="left"/>
      <w:pPr>
        <w:ind w:left="2731" w:hanging="360"/>
      </w:pPr>
    </w:lvl>
    <w:lvl w:ilvl="4" w:tplc="041B0019" w:tentative="1">
      <w:start w:val="1"/>
      <w:numFmt w:val="lowerLetter"/>
      <w:lvlText w:val="%5."/>
      <w:lvlJc w:val="left"/>
      <w:pPr>
        <w:ind w:left="3451" w:hanging="360"/>
      </w:pPr>
    </w:lvl>
    <w:lvl w:ilvl="5" w:tplc="041B001B" w:tentative="1">
      <w:start w:val="1"/>
      <w:numFmt w:val="lowerRoman"/>
      <w:lvlText w:val="%6."/>
      <w:lvlJc w:val="right"/>
      <w:pPr>
        <w:ind w:left="4171" w:hanging="180"/>
      </w:pPr>
    </w:lvl>
    <w:lvl w:ilvl="6" w:tplc="041B000F" w:tentative="1">
      <w:start w:val="1"/>
      <w:numFmt w:val="decimal"/>
      <w:lvlText w:val="%7."/>
      <w:lvlJc w:val="left"/>
      <w:pPr>
        <w:ind w:left="4891" w:hanging="360"/>
      </w:pPr>
    </w:lvl>
    <w:lvl w:ilvl="7" w:tplc="041B0019" w:tentative="1">
      <w:start w:val="1"/>
      <w:numFmt w:val="lowerLetter"/>
      <w:lvlText w:val="%8."/>
      <w:lvlJc w:val="left"/>
      <w:pPr>
        <w:ind w:left="5611" w:hanging="360"/>
      </w:pPr>
    </w:lvl>
    <w:lvl w:ilvl="8" w:tplc="041B001B" w:tentative="1">
      <w:start w:val="1"/>
      <w:numFmt w:val="lowerRoman"/>
      <w:lvlText w:val="%9."/>
      <w:lvlJc w:val="right"/>
      <w:pPr>
        <w:ind w:left="6331" w:hanging="180"/>
      </w:pPr>
    </w:lvl>
  </w:abstractNum>
  <w:abstractNum w:abstractNumId="17"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0876FB"/>
    <w:multiLevelType w:val="hybridMultilevel"/>
    <w:tmpl w:val="EF482CC4"/>
    <w:lvl w:ilvl="0" w:tplc="C7EA182E">
      <w:start w:val="4"/>
      <w:numFmt w:val="decimal"/>
      <w:lvlText w:val="(%1)"/>
      <w:lvlJc w:val="left"/>
      <w:pPr>
        <w:ind w:left="786" w:hanging="360"/>
      </w:pPr>
      <w:rPr>
        <w:rFonts w:hint="default"/>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9" w15:restartNumberingAfterBreak="0">
    <w:nsid w:val="38ED2796"/>
    <w:multiLevelType w:val="hybridMultilevel"/>
    <w:tmpl w:val="C4DCC1A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0" w15:restartNumberingAfterBreak="0">
    <w:nsid w:val="3C776C4A"/>
    <w:multiLevelType w:val="hybridMultilevel"/>
    <w:tmpl w:val="522CE2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DF350DE"/>
    <w:multiLevelType w:val="hybridMultilevel"/>
    <w:tmpl w:val="5BD68B9E"/>
    <w:lvl w:ilvl="0" w:tplc="FFFFFFFF">
      <w:start w:val="1"/>
      <w:numFmt w:val="lowerLetter"/>
      <w:lvlText w:val="%1)"/>
      <w:lvlJc w:val="left"/>
      <w:pPr>
        <w:ind w:left="3268" w:hanging="360"/>
      </w:pPr>
    </w:lvl>
    <w:lvl w:ilvl="1" w:tplc="041B0019" w:tentative="1">
      <w:start w:val="1"/>
      <w:numFmt w:val="lowerLetter"/>
      <w:lvlText w:val="%2."/>
      <w:lvlJc w:val="left"/>
      <w:pPr>
        <w:ind w:left="3704" w:hanging="360"/>
      </w:pPr>
    </w:lvl>
    <w:lvl w:ilvl="2" w:tplc="041B001B" w:tentative="1">
      <w:start w:val="1"/>
      <w:numFmt w:val="lowerRoman"/>
      <w:lvlText w:val="%3."/>
      <w:lvlJc w:val="right"/>
      <w:pPr>
        <w:ind w:left="4424" w:hanging="180"/>
      </w:pPr>
    </w:lvl>
    <w:lvl w:ilvl="3" w:tplc="041B000F" w:tentative="1">
      <w:start w:val="1"/>
      <w:numFmt w:val="decimal"/>
      <w:lvlText w:val="%4."/>
      <w:lvlJc w:val="left"/>
      <w:pPr>
        <w:ind w:left="5144" w:hanging="360"/>
      </w:pPr>
    </w:lvl>
    <w:lvl w:ilvl="4" w:tplc="041B0019" w:tentative="1">
      <w:start w:val="1"/>
      <w:numFmt w:val="lowerLetter"/>
      <w:lvlText w:val="%5."/>
      <w:lvlJc w:val="left"/>
      <w:pPr>
        <w:ind w:left="5864" w:hanging="360"/>
      </w:pPr>
    </w:lvl>
    <w:lvl w:ilvl="5" w:tplc="041B001B" w:tentative="1">
      <w:start w:val="1"/>
      <w:numFmt w:val="lowerRoman"/>
      <w:lvlText w:val="%6."/>
      <w:lvlJc w:val="right"/>
      <w:pPr>
        <w:ind w:left="6584" w:hanging="180"/>
      </w:pPr>
    </w:lvl>
    <w:lvl w:ilvl="6" w:tplc="041B000F" w:tentative="1">
      <w:start w:val="1"/>
      <w:numFmt w:val="decimal"/>
      <w:lvlText w:val="%7."/>
      <w:lvlJc w:val="left"/>
      <w:pPr>
        <w:ind w:left="7304" w:hanging="360"/>
      </w:pPr>
    </w:lvl>
    <w:lvl w:ilvl="7" w:tplc="041B0019" w:tentative="1">
      <w:start w:val="1"/>
      <w:numFmt w:val="lowerLetter"/>
      <w:lvlText w:val="%8."/>
      <w:lvlJc w:val="left"/>
      <w:pPr>
        <w:ind w:left="8024" w:hanging="360"/>
      </w:pPr>
    </w:lvl>
    <w:lvl w:ilvl="8" w:tplc="041B001B" w:tentative="1">
      <w:start w:val="1"/>
      <w:numFmt w:val="lowerRoman"/>
      <w:lvlText w:val="%9."/>
      <w:lvlJc w:val="right"/>
      <w:pPr>
        <w:ind w:left="8744" w:hanging="180"/>
      </w:pPr>
    </w:lvl>
  </w:abstractNum>
  <w:abstractNum w:abstractNumId="22" w15:restartNumberingAfterBreak="0">
    <w:nsid w:val="3ECD7B15"/>
    <w:multiLevelType w:val="hybridMultilevel"/>
    <w:tmpl w:val="41DAB7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7C6B48"/>
    <w:multiLevelType w:val="hybridMultilevel"/>
    <w:tmpl w:val="E3DAD6DC"/>
    <w:lvl w:ilvl="0" w:tplc="2632B98E">
      <w:start w:val="1"/>
      <w:numFmt w:val="decimal"/>
      <w:lvlText w:val="%1."/>
      <w:lvlJc w:val="left"/>
      <w:pPr>
        <w:ind w:left="1004" w:hanging="360"/>
      </w:pPr>
      <w:rPr>
        <w:rFonts w:ascii="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4ABA7D2E"/>
    <w:multiLevelType w:val="hybridMultilevel"/>
    <w:tmpl w:val="24C2AE9E"/>
    <w:lvl w:ilvl="0" w:tplc="FFFFFFFF">
      <w:start w:val="1"/>
      <w:numFmt w:val="lowerLetter"/>
      <w:lvlText w:val="%1)"/>
      <w:lvlJc w:val="left"/>
      <w:pPr>
        <w:ind w:left="100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C854102"/>
    <w:multiLevelType w:val="hybridMultilevel"/>
    <w:tmpl w:val="6922DC46"/>
    <w:lvl w:ilvl="0" w:tplc="FFFFFFFF">
      <w:start w:val="1"/>
      <w:numFmt w:val="lowerLetter"/>
      <w:lvlText w:val="%1)"/>
      <w:lvlJc w:val="left"/>
      <w:pPr>
        <w:ind w:left="1004" w:hanging="360"/>
      </w:pPr>
    </w:lvl>
    <w:lvl w:ilvl="1" w:tplc="041B0017">
      <w:start w:val="1"/>
      <w:numFmt w:val="lowerLetter"/>
      <w:lvlText w:val="%2)"/>
      <w:lvlJc w:val="left"/>
      <w:pPr>
        <w:ind w:left="1724" w:hanging="360"/>
      </w:pPr>
    </w:lvl>
    <w:lvl w:ilvl="2" w:tplc="7DA00560">
      <w:start w:val="1"/>
      <w:numFmt w:val="decimal"/>
      <w:lvlText w:val="(%3)"/>
      <w:lvlJc w:val="left"/>
      <w:pPr>
        <w:ind w:left="2624" w:hanging="360"/>
      </w:pPr>
      <w:rPr>
        <w:rFonts w:hint="default"/>
      </w:rPr>
    </w:lvl>
    <w:lvl w:ilvl="3" w:tplc="01C659C8">
      <w:start w:val="3"/>
      <w:numFmt w:val="bullet"/>
      <w:lvlText w:val="-"/>
      <w:lvlJc w:val="left"/>
      <w:pPr>
        <w:ind w:left="3164" w:hanging="360"/>
      </w:pPr>
      <w:rPr>
        <w:rFonts w:ascii="Times New Roman" w:eastAsiaTheme="minorHAnsi" w:hAnsi="Times New Roman" w:cs="Times New Roman" w:hint="default"/>
      </w:r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53BA4387"/>
    <w:multiLevelType w:val="hybridMultilevel"/>
    <w:tmpl w:val="FAA2A3D0"/>
    <w:lvl w:ilvl="0" w:tplc="6FE62B0C">
      <w:start w:val="1"/>
      <w:numFmt w:val="decimal"/>
      <w:lvlText w:val="(%1)"/>
      <w:lvlJc w:val="left"/>
      <w:pPr>
        <w:ind w:left="360" w:hanging="360"/>
      </w:pPr>
      <w:rPr>
        <w:rFonts w:ascii="Times New Roman" w:hAnsi="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7676332"/>
    <w:multiLevelType w:val="hybridMultilevel"/>
    <w:tmpl w:val="9446E70E"/>
    <w:lvl w:ilvl="0" w:tplc="CFF812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23E326F"/>
    <w:multiLevelType w:val="hybridMultilevel"/>
    <w:tmpl w:val="E0629370"/>
    <w:lvl w:ilvl="0" w:tplc="91F0446E">
      <w:start w:val="1"/>
      <w:numFmt w:val="decimal"/>
      <w:lvlText w:val="%1."/>
      <w:lvlJc w:val="left"/>
      <w:pPr>
        <w:ind w:left="644" w:hanging="360"/>
      </w:pPr>
      <w:rPr>
        <w:rFonts w:hint="default"/>
        <w:color w:val="auto"/>
      </w:rPr>
    </w:lvl>
    <w:lvl w:ilvl="1" w:tplc="E1AC070A">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681A76FA"/>
    <w:multiLevelType w:val="hybridMultilevel"/>
    <w:tmpl w:val="2F041B4A"/>
    <w:lvl w:ilvl="0" w:tplc="36CA5598">
      <w:start w:val="1"/>
      <w:numFmt w:val="decimal"/>
      <w:lvlText w:val="(%1)"/>
      <w:lvlJc w:val="left"/>
      <w:pPr>
        <w:ind w:left="720" w:hanging="360"/>
      </w:pPr>
      <w:rPr>
        <w:rFonts w:ascii="Times New Roman" w:hAnsi="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4673FB"/>
    <w:multiLevelType w:val="hybridMultilevel"/>
    <w:tmpl w:val="E7460BF8"/>
    <w:lvl w:ilvl="0" w:tplc="4B2AD996">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1" w15:restartNumberingAfterBreak="0">
    <w:nsid w:val="6D7A30A8"/>
    <w:multiLevelType w:val="hybridMultilevel"/>
    <w:tmpl w:val="B13605C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0594C26"/>
    <w:multiLevelType w:val="hybridMultilevel"/>
    <w:tmpl w:val="162862B4"/>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70DB4BFA"/>
    <w:multiLevelType w:val="hybridMultilevel"/>
    <w:tmpl w:val="7C868EAE"/>
    <w:lvl w:ilvl="0" w:tplc="5BB6D1D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878547C"/>
    <w:multiLevelType w:val="hybridMultilevel"/>
    <w:tmpl w:val="C31EE078"/>
    <w:lvl w:ilvl="0" w:tplc="CFF812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9312318"/>
    <w:multiLevelType w:val="hybridMultilevel"/>
    <w:tmpl w:val="E5521D5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16cid:durableId="1366102365">
    <w:abstractNumId w:val="28"/>
  </w:num>
  <w:num w:numId="2" w16cid:durableId="1958443076">
    <w:abstractNumId w:val="13"/>
  </w:num>
  <w:num w:numId="3" w16cid:durableId="1747531527">
    <w:abstractNumId w:val="18"/>
  </w:num>
  <w:num w:numId="4" w16cid:durableId="705565849">
    <w:abstractNumId w:val="10"/>
  </w:num>
  <w:num w:numId="5" w16cid:durableId="127863205">
    <w:abstractNumId w:val="30"/>
  </w:num>
  <w:num w:numId="6" w16cid:durableId="848982115">
    <w:abstractNumId w:val="32"/>
  </w:num>
  <w:num w:numId="7" w16cid:durableId="1403672141">
    <w:abstractNumId w:val="25"/>
  </w:num>
  <w:num w:numId="8" w16cid:durableId="1792244521">
    <w:abstractNumId w:val="14"/>
  </w:num>
  <w:num w:numId="9" w16cid:durableId="969089372">
    <w:abstractNumId w:val="3"/>
  </w:num>
  <w:num w:numId="10" w16cid:durableId="1269629878">
    <w:abstractNumId w:val="16"/>
  </w:num>
  <w:num w:numId="11" w16cid:durableId="414133306">
    <w:abstractNumId w:val="24"/>
  </w:num>
  <w:num w:numId="12" w16cid:durableId="930624167">
    <w:abstractNumId w:val="15"/>
  </w:num>
  <w:num w:numId="13" w16cid:durableId="2110277655">
    <w:abstractNumId w:val="27"/>
  </w:num>
  <w:num w:numId="14" w16cid:durableId="1009680289">
    <w:abstractNumId w:val="21"/>
  </w:num>
  <w:num w:numId="15" w16cid:durableId="835996336">
    <w:abstractNumId w:val="11"/>
  </w:num>
  <w:num w:numId="16" w16cid:durableId="663431056">
    <w:abstractNumId w:val="6"/>
  </w:num>
  <w:num w:numId="17" w16cid:durableId="136457938">
    <w:abstractNumId w:val="34"/>
  </w:num>
  <w:num w:numId="18" w16cid:durableId="1601404664">
    <w:abstractNumId w:val="35"/>
  </w:num>
  <w:num w:numId="19" w16cid:durableId="1413894565">
    <w:abstractNumId w:val="19"/>
  </w:num>
  <w:num w:numId="20" w16cid:durableId="232204821">
    <w:abstractNumId w:val="4"/>
  </w:num>
  <w:num w:numId="21" w16cid:durableId="313339796">
    <w:abstractNumId w:val="9"/>
  </w:num>
  <w:num w:numId="22" w16cid:durableId="72091529">
    <w:abstractNumId w:val="7"/>
  </w:num>
  <w:num w:numId="23" w16cid:durableId="409931255">
    <w:abstractNumId w:val="29"/>
  </w:num>
  <w:num w:numId="24" w16cid:durableId="940642965">
    <w:abstractNumId w:val="23"/>
  </w:num>
  <w:num w:numId="25" w16cid:durableId="321546345">
    <w:abstractNumId w:val="0"/>
  </w:num>
  <w:num w:numId="26" w16cid:durableId="1794516344">
    <w:abstractNumId w:val="26"/>
  </w:num>
  <w:num w:numId="27" w16cid:durableId="669216370">
    <w:abstractNumId w:val="31"/>
  </w:num>
  <w:num w:numId="28" w16cid:durableId="1686906671">
    <w:abstractNumId w:val="20"/>
  </w:num>
  <w:num w:numId="29" w16cid:durableId="1817602925">
    <w:abstractNumId w:val="8"/>
  </w:num>
  <w:num w:numId="30" w16cid:durableId="339742545">
    <w:abstractNumId w:val="1"/>
  </w:num>
  <w:num w:numId="31" w16cid:durableId="1270817161">
    <w:abstractNumId w:val="12"/>
  </w:num>
  <w:num w:numId="32" w16cid:durableId="1725904435">
    <w:abstractNumId w:val="17"/>
  </w:num>
  <w:num w:numId="33" w16cid:durableId="96565376">
    <w:abstractNumId w:val="5"/>
  </w:num>
  <w:num w:numId="34" w16cid:durableId="744575635">
    <w:abstractNumId w:val="2"/>
  </w:num>
  <w:num w:numId="35" w16cid:durableId="2076319930">
    <w:abstractNumId w:val="33"/>
  </w:num>
  <w:num w:numId="36" w16cid:durableId="1912496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24599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D0"/>
    <w:rsid w:val="0000624B"/>
    <w:rsid w:val="000111D9"/>
    <w:rsid w:val="00012D38"/>
    <w:rsid w:val="00014673"/>
    <w:rsid w:val="00051377"/>
    <w:rsid w:val="00061DA2"/>
    <w:rsid w:val="000630E7"/>
    <w:rsid w:val="00064178"/>
    <w:rsid w:val="000733BA"/>
    <w:rsid w:val="00075F25"/>
    <w:rsid w:val="00094851"/>
    <w:rsid w:val="000A7EA6"/>
    <w:rsid w:val="000C31CE"/>
    <w:rsid w:val="000E3C51"/>
    <w:rsid w:val="000F091A"/>
    <w:rsid w:val="000F2965"/>
    <w:rsid w:val="00107033"/>
    <w:rsid w:val="00124432"/>
    <w:rsid w:val="00127181"/>
    <w:rsid w:val="001403D9"/>
    <w:rsid w:val="001405F7"/>
    <w:rsid w:val="0014111D"/>
    <w:rsid w:val="001514DD"/>
    <w:rsid w:val="0015485E"/>
    <w:rsid w:val="0018792D"/>
    <w:rsid w:val="001A3440"/>
    <w:rsid w:val="001B7D72"/>
    <w:rsid w:val="001D16D1"/>
    <w:rsid w:val="001D171A"/>
    <w:rsid w:val="001D7727"/>
    <w:rsid w:val="001F0699"/>
    <w:rsid w:val="001F1793"/>
    <w:rsid w:val="001F1B1A"/>
    <w:rsid w:val="001F46D9"/>
    <w:rsid w:val="002048D3"/>
    <w:rsid w:val="00206645"/>
    <w:rsid w:val="00225E76"/>
    <w:rsid w:val="002410CE"/>
    <w:rsid w:val="00250A40"/>
    <w:rsid w:val="002524A7"/>
    <w:rsid w:val="0027410D"/>
    <w:rsid w:val="00290210"/>
    <w:rsid w:val="00293F5D"/>
    <w:rsid w:val="002A106E"/>
    <w:rsid w:val="002A4B09"/>
    <w:rsid w:val="002B5FC8"/>
    <w:rsid w:val="002E3552"/>
    <w:rsid w:val="0030376D"/>
    <w:rsid w:val="00304114"/>
    <w:rsid w:val="003065CC"/>
    <w:rsid w:val="003108B1"/>
    <w:rsid w:val="003406EB"/>
    <w:rsid w:val="00361939"/>
    <w:rsid w:val="00366664"/>
    <w:rsid w:val="003844D3"/>
    <w:rsid w:val="00387704"/>
    <w:rsid w:val="003A110E"/>
    <w:rsid w:val="003A14EE"/>
    <w:rsid w:val="003B566D"/>
    <w:rsid w:val="003E1791"/>
    <w:rsid w:val="003F117B"/>
    <w:rsid w:val="003F4ECE"/>
    <w:rsid w:val="00403B39"/>
    <w:rsid w:val="004215C8"/>
    <w:rsid w:val="004362DF"/>
    <w:rsid w:val="004629B6"/>
    <w:rsid w:val="00462D6B"/>
    <w:rsid w:val="00480C7F"/>
    <w:rsid w:val="004829D3"/>
    <w:rsid w:val="00491D73"/>
    <w:rsid w:val="004C0DA7"/>
    <w:rsid w:val="004C1A23"/>
    <w:rsid w:val="004D2EA8"/>
    <w:rsid w:val="004D6E72"/>
    <w:rsid w:val="004F3160"/>
    <w:rsid w:val="004F618D"/>
    <w:rsid w:val="0053422D"/>
    <w:rsid w:val="00546611"/>
    <w:rsid w:val="00546F35"/>
    <w:rsid w:val="00550C36"/>
    <w:rsid w:val="00553F5A"/>
    <w:rsid w:val="00557552"/>
    <w:rsid w:val="005750C7"/>
    <w:rsid w:val="005A2668"/>
    <w:rsid w:val="005C123F"/>
    <w:rsid w:val="005D4AC6"/>
    <w:rsid w:val="005D598D"/>
    <w:rsid w:val="005E2CF1"/>
    <w:rsid w:val="005F48DA"/>
    <w:rsid w:val="00614703"/>
    <w:rsid w:val="006178B3"/>
    <w:rsid w:val="00635A7B"/>
    <w:rsid w:val="00641601"/>
    <w:rsid w:val="00644221"/>
    <w:rsid w:val="006506D9"/>
    <w:rsid w:val="006555E8"/>
    <w:rsid w:val="006621C6"/>
    <w:rsid w:val="00665EB3"/>
    <w:rsid w:val="00672B20"/>
    <w:rsid w:val="006865EA"/>
    <w:rsid w:val="00686B7B"/>
    <w:rsid w:val="00696590"/>
    <w:rsid w:val="006A0B47"/>
    <w:rsid w:val="006A475F"/>
    <w:rsid w:val="006A7FA7"/>
    <w:rsid w:val="006D647C"/>
    <w:rsid w:val="006E0AF4"/>
    <w:rsid w:val="006E199C"/>
    <w:rsid w:val="006F3423"/>
    <w:rsid w:val="006F3AD0"/>
    <w:rsid w:val="00703416"/>
    <w:rsid w:val="00705DA0"/>
    <w:rsid w:val="00710959"/>
    <w:rsid w:val="00710D0E"/>
    <w:rsid w:val="00717872"/>
    <w:rsid w:val="00745EE7"/>
    <w:rsid w:val="00777599"/>
    <w:rsid w:val="007928F8"/>
    <w:rsid w:val="00793B8C"/>
    <w:rsid w:val="007B576A"/>
    <w:rsid w:val="007C053E"/>
    <w:rsid w:val="007C3222"/>
    <w:rsid w:val="007D347B"/>
    <w:rsid w:val="007D76C0"/>
    <w:rsid w:val="007E1429"/>
    <w:rsid w:val="007E1A67"/>
    <w:rsid w:val="007E60AD"/>
    <w:rsid w:val="00805901"/>
    <w:rsid w:val="00806365"/>
    <w:rsid w:val="00842810"/>
    <w:rsid w:val="00874ACB"/>
    <w:rsid w:val="00882C8F"/>
    <w:rsid w:val="00887972"/>
    <w:rsid w:val="00891BD9"/>
    <w:rsid w:val="0089234D"/>
    <w:rsid w:val="008A1E6E"/>
    <w:rsid w:val="008C2114"/>
    <w:rsid w:val="008D41A2"/>
    <w:rsid w:val="008E7421"/>
    <w:rsid w:val="008F4948"/>
    <w:rsid w:val="00917CEF"/>
    <w:rsid w:val="00926384"/>
    <w:rsid w:val="00987366"/>
    <w:rsid w:val="00997CA8"/>
    <w:rsid w:val="009A374D"/>
    <w:rsid w:val="009A4FD8"/>
    <w:rsid w:val="009D0D64"/>
    <w:rsid w:val="00A069E2"/>
    <w:rsid w:val="00A63467"/>
    <w:rsid w:val="00A676FE"/>
    <w:rsid w:val="00A76157"/>
    <w:rsid w:val="00A82DF4"/>
    <w:rsid w:val="00AB03DE"/>
    <w:rsid w:val="00AB29D8"/>
    <w:rsid w:val="00AD0A0A"/>
    <w:rsid w:val="00AD23CD"/>
    <w:rsid w:val="00AE1745"/>
    <w:rsid w:val="00AF2EFE"/>
    <w:rsid w:val="00AF33FC"/>
    <w:rsid w:val="00B00B47"/>
    <w:rsid w:val="00B23BDB"/>
    <w:rsid w:val="00B25C94"/>
    <w:rsid w:val="00B34445"/>
    <w:rsid w:val="00B41CBB"/>
    <w:rsid w:val="00B45EF2"/>
    <w:rsid w:val="00B5416A"/>
    <w:rsid w:val="00B54DDA"/>
    <w:rsid w:val="00B56B22"/>
    <w:rsid w:val="00B77D1A"/>
    <w:rsid w:val="00BB435E"/>
    <w:rsid w:val="00BD457A"/>
    <w:rsid w:val="00BF5CC8"/>
    <w:rsid w:val="00BF7239"/>
    <w:rsid w:val="00C0258C"/>
    <w:rsid w:val="00C06CFD"/>
    <w:rsid w:val="00C12AA6"/>
    <w:rsid w:val="00C44941"/>
    <w:rsid w:val="00C6426B"/>
    <w:rsid w:val="00C66E1D"/>
    <w:rsid w:val="00C6731B"/>
    <w:rsid w:val="00C67CD2"/>
    <w:rsid w:val="00C7217D"/>
    <w:rsid w:val="00C73C1C"/>
    <w:rsid w:val="00C85FE9"/>
    <w:rsid w:val="00CB5172"/>
    <w:rsid w:val="00CE0E03"/>
    <w:rsid w:val="00CF0966"/>
    <w:rsid w:val="00D23D1F"/>
    <w:rsid w:val="00D2729C"/>
    <w:rsid w:val="00D412EA"/>
    <w:rsid w:val="00D72418"/>
    <w:rsid w:val="00D76919"/>
    <w:rsid w:val="00DA70E2"/>
    <w:rsid w:val="00DB246E"/>
    <w:rsid w:val="00DC0C63"/>
    <w:rsid w:val="00DC0D67"/>
    <w:rsid w:val="00DF1057"/>
    <w:rsid w:val="00E25267"/>
    <w:rsid w:val="00E36085"/>
    <w:rsid w:val="00E56232"/>
    <w:rsid w:val="00E610CD"/>
    <w:rsid w:val="00E67231"/>
    <w:rsid w:val="00E74D3E"/>
    <w:rsid w:val="00EA24B3"/>
    <w:rsid w:val="00EC6812"/>
    <w:rsid w:val="00ED4A06"/>
    <w:rsid w:val="00EE3456"/>
    <w:rsid w:val="00EF0E06"/>
    <w:rsid w:val="00EF1E6B"/>
    <w:rsid w:val="00F05306"/>
    <w:rsid w:val="00F1223D"/>
    <w:rsid w:val="00F16875"/>
    <w:rsid w:val="00F41F9D"/>
    <w:rsid w:val="00F64ADE"/>
    <w:rsid w:val="00F65516"/>
    <w:rsid w:val="00F71E45"/>
    <w:rsid w:val="00F946F7"/>
    <w:rsid w:val="00FD06F8"/>
    <w:rsid w:val="00FE62D1"/>
    <w:rsid w:val="00FF0D7C"/>
    <w:rsid w:val="00FF4E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B2C3"/>
  <w15:chartTrackingRefBased/>
  <w15:docId w15:val="{AC047A8F-7D99-40A9-8990-BD521371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25C94"/>
    <w:rPr>
      <w:rFonts w:ascii="Fira Sans" w:hAnsi="Fira Sans"/>
      <w:color w:val="232323"/>
      <w:kern w:val="0"/>
      <w:sz w:val="20"/>
      <w14:ligatures w14:val="none"/>
    </w:rPr>
  </w:style>
  <w:style w:type="paragraph" w:styleId="Nadpis1">
    <w:name w:val="heading 1"/>
    <w:basedOn w:val="Normlny"/>
    <w:next w:val="Normlny"/>
    <w:link w:val="Nadpis1Char"/>
    <w:uiPriority w:val="9"/>
    <w:qFormat/>
    <w:rsid w:val="006F3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6F3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6F3A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6F3A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F3AD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F3AD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F3AD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F3AD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F3AD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F3A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F3A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F3AD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6F3AD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F3AD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F3AD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F3AD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F3AD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F3AD0"/>
    <w:rPr>
      <w:rFonts w:eastAsiaTheme="majorEastAsia" w:cstheme="majorBidi"/>
      <w:color w:val="272727" w:themeColor="text1" w:themeTint="D8"/>
    </w:rPr>
  </w:style>
  <w:style w:type="paragraph" w:styleId="Nzov">
    <w:name w:val="Title"/>
    <w:basedOn w:val="Normlny"/>
    <w:next w:val="Normlny"/>
    <w:link w:val="NzovChar"/>
    <w:qFormat/>
    <w:rsid w:val="006F3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6F3AD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F3AD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F3AD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F3AD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F3AD0"/>
    <w:rPr>
      <w:i/>
      <w:iCs/>
      <w:color w:val="404040" w:themeColor="text1" w:themeTint="BF"/>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6F3AD0"/>
    <w:pPr>
      <w:ind w:left="720"/>
      <w:contextualSpacing/>
    </w:pPr>
  </w:style>
  <w:style w:type="character" w:styleId="Intenzvnezvraznenie">
    <w:name w:val="Intense Emphasis"/>
    <w:basedOn w:val="Predvolenpsmoodseku"/>
    <w:uiPriority w:val="21"/>
    <w:qFormat/>
    <w:rsid w:val="006F3AD0"/>
    <w:rPr>
      <w:i/>
      <w:iCs/>
      <w:color w:val="0F4761" w:themeColor="accent1" w:themeShade="BF"/>
    </w:rPr>
  </w:style>
  <w:style w:type="paragraph" w:styleId="Zvraznencitcia">
    <w:name w:val="Intense Quote"/>
    <w:basedOn w:val="Normlny"/>
    <w:next w:val="Normlny"/>
    <w:link w:val="ZvraznencitciaChar"/>
    <w:uiPriority w:val="30"/>
    <w:qFormat/>
    <w:rsid w:val="006F3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F3AD0"/>
    <w:rPr>
      <w:i/>
      <w:iCs/>
      <w:color w:val="0F4761" w:themeColor="accent1" w:themeShade="BF"/>
    </w:rPr>
  </w:style>
  <w:style w:type="character" w:styleId="Zvraznenodkaz">
    <w:name w:val="Intense Reference"/>
    <w:basedOn w:val="Predvolenpsmoodseku"/>
    <w:uiPriority w:val="32"/>
    <w:qFormat/>
    <w:rsid w:val="006F3AD0"/>
    <w:rPr>
      <w:b/>
      <w:bCs/>
      <w:smallCaps/>
      <w:color w:val="0F4761" w:themeColor="accent1" w:themeShade="BF"/>
      <w:spacing w:val="5"/>
    </w:rPr>
  </w:style>
  <w:style w:type="character" w:styleId="Hypertextovprepojenie">
    <w:name w:val="Hyperlink"/>
    <w:basedOn w:val="Predvolenpsmoodseku"/>
    <w:uiPriority w:val="99"/>
    <w:unhideWhenUsed/>
    <w:rsid w:val="00B25C94"/>
    <w:rPr>
      <w:color w:val="467886" w:themeColor="hyperlink"/>
      <w:u w:val="single"/>
    </w:rPr>
  </w:style>
  <w:style w:type="character" w:customStyle="1" w:styleId="Nevyrieenzmienka1">
    <w:name w:val="Nevyriešená zmienka1"/>
    <w:basedOn w:val="Predvolenpsmoodseku"/>
    <w:uiPriority w:val="99"/>
    <w:semiHidden/>
    <w:unhideWhenUsed/>
    <w:rsid w:val="00B25C94"/>
    <w:rPr>
      <w:color w:val="605E5C"/>
      <w:shd w:val="clear" w:color="auto" w:fill="E1DFDD"/>
    </w:rPr>
  </w:style>
  <w:style w:type="paragraph" w:styleId="Hlavika">
    <w:name w:val="header"/>
    <w:basedOn w:val="Normlny"/>
    <w:link w:val="HlavikaChar"/>
    <w:uiPriority w:val="99"/>
    <w:unhideWhenUsed/>
    <w:rsid w:val="00D23D1F"/>
    <w:pPr>
      <w:tabs>
        <w:tab w:val="center" w:pos="4536"/>
        <w:tab w:val="right" w:pos="9072"/>
      </w:tabs>
      <w:spacing w:after="0"/>
    </w:pPr>
  </w:style>
  <w:style w:type="character" w:customStyle="1" w:styleId="HlavikaChar">
    <w:name w:val="Hlavička Char"/>
    <w:basedOn w:val="Predvolenpsmoodseku"/>
    <w:link w:val="Hlavika"/>
    <w:uiPriority w:val="99"/>
    <w:rsid w:val="00D23D1F"/>
    <w:rPr>
      <w:rFonts w:ascii="Fira Sans" w:hAnsi="Fira Sans"/>
      <w:color w:val="232323"/>
      <w:kern w:val="0"/>
      <w:sz w:val="20"/>
      <w14:ligatures w14:val="none"/>
    </w:rPr>
  </w:style>
  <w:style w:type="paragraph" w:styleId="Pta">
    <w:name w:val="footer"/>
    <w:basedOn w:val="Normlny"/>
    <w:link w:val="PtaChar"/>
    <w:uiPriority w:val="99"/>
    <w:unhideWhenUsed/>
    <w:rsid w:val="00D23D1F"/>
    <w:pPr>
      <w:tabs>
        <w:tab w:val="center" w:pos="4536"/>
        <w:tab w:val="right" w:pos="9072"/>
      </w:tabs>
      <w:spacing w:after="0"/>
    </w:pPr>
  </w:style>
  <w:style w:type="character" w:customStyle="1" w:styleId="PtaChar">
    <w:name w:val="Päta Char"/>
    <w:basedOn w:val="Predvolenpsmoodseku"/>
    <w:link w:val="Pta"/>
    <w:uiPriority w:val="99"/>
    <w:rsid w:val="00D23D1F"/>
    <w:rPr>
      <w:rFonts w:ascii="Fira Sans" w:hAnsi="Fira Sans"/>
      <w:color w:val="232323"/>
      <w:kern w:val="0"/>
      <w:sz w:val="20"/>
      <w14:ligatures w14:val="none"/>
    </w:rPr>
  </w:style>
  <w:style w:type="character" w:styleId="PouitHypertextovPrepojenie">
    <w:name w:val="FollowedHyperlink"/>
    <w:basedOn w:val="Predvolenpsmoodseku"/>
    <w:uiPriority w:val="99"/>
    <w:semiHidden/>
    <w:unhideWhenUsed/>
    <w:rsid w:val="00D23D1F"/>
    <w:rPr>
      <w:color w:val="96607D" w:themeColor="followedHyperlink"/>
      <w:u w:val="single"/>
    </w:rPr>
  </w:style>
  <w:style w:type="paragraph" w:styleId="Bezriadkovania">
    <w:name w:val="No Spacing"/>
    <w:uiPriority w:val="1"/>
    <w:qFormat/>
    <w:rsid w:val="00387704"/>
    <w:pPr>
      <w:spacing w:after="0" w:line="240" w:lineRule="auto"/>
    </w:pPr>
    <w:rPr>
      <w:kern w:val="0"/>
      <w:sz w:val="22"/>
      <w:szCs w:val="22"/>
      <w14:ligatures w14:val="none"/>
    </w:rPr>
  </w:style>
  <w:style w:type="character" w:customStyle="1" w:styleId="awspan">
    <w:name w:val="awspan"/>
    <w:basedOn w:val="Predvolenpsmoodseku"/>
    <w:rsid w:val="00387704"/>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qFormat/>
    <w:locked/>
    <w:rsid w:val="00387704"/>
    <w:rPr>
      <w:rFonts w:ascii="Fira Sans" w:hAnsi="Fira Sans"/>
      <w:color w:val="232323"/>
      <w:kern w:val="0"/>
      <w:sz w:val="20"/>
      <w14:ligatures w14:val="none"/>
    </w:rPr>
  </w:style>
  <w:style w:type="table" w:styleId="Mriekatabuky">
    <w:name w:val="Table Grid"/>
    <w:basedOn w:val="Normlnatabuka"/>
    <w:uiPriority w:val="59"/>
    <w:rsid w:val="0038770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387704"/>
    <w:rPr>
      <w:rFonts w:cs="Times New Roman"/>
    </w:rPr>
  </w:style>
  <w:style w:type="paragraph" w:styleId="Textbubliny">
    <w:name w:val="Balloon Text"/>
    <w:basedOn w:val="Normlny"/>
    <w:link w:val="TextbublinyChar"/>
    <w:uiPriority w:val="99"/>
    <w:semiHidden/>
    <w:unhideWhenUsed/>
    <w:rsid w:val="00387704"/>
    <w:pPr>
      <w:spacing w:after="0" w:line="240" w:lineRule="auto"/>
    </w:pPr>
    <w:rPr>
      <w:rFonts w:ascii="Tahoma" w:hAnsi="Tahoma" w:cs="Tahoma"/>
      <w:color w:val="auto"/>
      <w:sz w:val="16"/>
      <w:szCs w:val="16"/>
    </w:rPr>
  </w:style>
  <w:style w:type="character" w:customStyle="1" w:styleId="TextbublinyChar">
    <w:name w:val="Text bubliny Char"/>
    <w:basedOn w:val="Predvolenpsmoodseku"/>
    <w:link w:val="Textbubliny"/>
    <w:uiPriority w:val="99"/>
    <w:semiHidden/>
    <w:rsid w:val="00387704"/>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309211">
      <w:bodyDiv w:val="1"/>
      <w:marLeft w:val="0"/>
      <w:marRight w:val="0"/>
      <w:marTop w:val="0"/>
      <w:marBottom w:val="0"/>
      <w:divBdr>
        <w:top w:val="none" w:sz="0" w:space="0" w:color="auto"/>
        <w:left w:val="none" w:sz="0" w:space="0" w:color="auto"/>
        <w:bottom w:val="none" w:sz="0" w:space="0" w:color="auto"/>
        <w:right w:val="none" w:sz="0" w:space="0" w:color="auto"/>
      </w:divBdr>
    </w:div>
    <w:div w:id="154324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7B1FF-BEF6-4E03-AE2C-B5168B6DE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4920</Words>
  <Characters>28047</Characters>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2026-03-27T09:02:00Z</cp:lastPrinted>
  <dcterms:created xsi:type="dcterms:W3CDTF">2026-03-27T17:11:00Z</dcterms:created>
  <dcterms:modified xsi:type="dcterms:W3CDTF">2026-03-27T17:11:00Z</dcterms:modified>
</cp:coreProperties>
</file>