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2442" w:rsidRDefault="00F96B2D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722442" w:rsidRDefault="00F96B2D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0000003" w14:textId="77777777" w:rsidR="00722442" w:rsidRDefault="00F96B2D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č. 284/2014 Z. z. o Fonde na podporu umenia </w:t>
      </w:r>
      <w:r>
        <w:rPr>
          <w:rFonts w:ascii="Times New Roman" w:eastAsia="Times New Roman" w:hAnsi="Times New Roman" w:cs="Times New Roman"/>
          <w:sz w:val="24"/>
          <w:szCs w:val="24"/>
        </w:rPr>
        <w:t>a o zmene a doplnení zákona č. 434/2010 Z. z. o poskytovaní dotácií v pôsobnosti Ministerstva kultúry Slovenskej republiky v znení zákona č. 79/2013 Z. z. v znení neskorších predpisov (ďalej len „návrh zákona“), reaguje na praktickú skúsenosť s poslednou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ovelizáciou tohto zákona, ktorá presunula kľúčové kompetencie z riaditeľa fondu na radu fondu. Táto zmena spôsobila závažné problémy vo fungovaní Fondu na podporu umenia, priniesla zásadné problémy pri nominácii nových členov rady a overovaní ich odbornej </w:t>
      </w:r>
      <w:r>
        <w:rPr>
          <w:rFonts w:ascii="Times New Roman" w:eastAsia="Times New Roman" w:hAnsi="Times New Roman" w:cs="Times New Roman"/>
          <w:sz w:val="24"/>
          <w:szCs w:val="24"/>
        </w:rPr>
        <w:t>spôsobilosti, ale aj vážne skomplikovala rozhodovací proces pri prideľovaní podpory z fondu.</w:t>
      </w:r>
    </w:p>
    <w:p w14:paraId="00000004" w14:textId="77777777" w:rsidR="00722442" w:rsidRDefault="00F96B2D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Fond na podporu umenia je pritom hlavným zdrojom podpory pre nezriaďovanú kultúrnu obec, ktorá je na jeho fungovaní existenčne závislá. Predložený návrh zákona pri</w:t>
      </w:r>
      <w:r>
        <w:rPr>
          <w:rFonts w:ascii="Times New Roman" w:eastAsia="Times New Roman" w:hAnsi="Times New Roman" w:cs="Times New Roman"/>
          <w:sz w:val="24"/>
          <w:szCs w:val="24"/>
        </w:rPr>
        <w:t>speje k opätovnému naštartovaniu fondu tým, že vráti pôvodný rozhodovací mechanizmus pri prideľovaní dotácií, v ktorom o prideľovaní dotácií rozhoduje riaditeľ na základe stanovísk odborných komisií, čím sa zabezpečí odborné a apolitické rozhodovanie. Tiet</w:t>
      </w:r>
      <w:r>
        <w:rPr>
          <w:rFonts w:ascii="Times New Roman" w:eastAsia="Times New Roman" w:hAnsi="Times New Roman" w:cs="Times New Roman"/>
          <w:sz w:val="24"/>
          <w:szCs w:val="24"/>
        </w:rPr>
        <w:t>o zmeny dlhodobo požaduje široká kultúrna obec, ktorá opakovane žiadala Národnú radu SR a Výbor NR SR pre kultúru a médiá o nápravu súčasnej situácie. Navrhovaná legislatíva reflektuje potrebu zabezpečiť stabilnú, transparentnú a efektívnu podporu umelecký</w:t>
      </w:r>
      <w:r>
        <w:rPr>
          <w:rFonts w:ascii="Times New Roman" w:eastAsia="Times New Roman" w:hAnsi="Times New Roman" w:cs="Times New Roman"/>
          <w:sz w:val="24"/>
          <w:szCs w:val="24"/>
        </w:rPr>
        <w:t>ch a kultúrnych aktivít na Slovensku.</w:t>
      </w:r>
    </w:p>
    <w:p w14:paraId="00000005" w14:textId="77777777" w:rsidR="00722442" w:rsidRDefault="00F96B2D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Okrem toho návrh zákona obsahuje ďalšie legislatívne úpravy, ktoré súvisia s fungovaním odborných komisií, dozorných orgánov a kontrolou finančných prostriedkov. Tieto zmeny majú za cieľ zabezpečiť väčšiu transparentno</w:t>
      </w:r>
      <w:r>
        <w:rPr>
          <w:rFonts w:ascii="Times New Roman" w:eastAsia="Times New Roman" w:hAnsi="Times New Roman" w:cs="Times New Roman"/>
          <w:sz w:val="24"/>
          <w:szCs w:val="24"/>
        </w:rPr>
        <w:t>sť, zodpovednosť a právnu istotu v oblasti rozhodovania o verejných financiách. Navrhované zmeny vychádzajú z praktických skúseností z fungovania fondu a z požiadaviek odborníkov, ktorí dlhodobo poukazovali na potrebu zefektívniť a skvalitniť niektoré proc</w:t>
      </w:r>
      <w:r>
        <w:rPr>
          <w:rFonts w:ascii="Times New Roman" w:eastAsia="Times New Roman" w:hAnsi="Times New Roman" w:cs="Times New Roman"/>
          <w:sz w:val="24"/>
          <w:szCs w:val="24"/>
        </w:rPr>
        <w:t>esy.</w:t>
      </w:r>
    </w:p>
    <w:p w14:paraId="00000006" w14:textId="77777777" w:rsidR="00722442" w:rsidRDefault="00F96B2D">
      <w:pPr>
        <w:shd w:val="clear" w:color="auto" w:fill="auto"/>
        <w:spacing w:before="0" w:after="20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je v súlade s Ústavou Slovenskej republiky, ústavnými zákonmi  a ostatnými všeobecne záväznými právnymi predpismi Slovenskej republiky, nálezmi Ústavného súdu Slovenskej republiky, medzinárodnými zmluvami a inými medzinárodným</w:t>
      </w:r>
      <w:r>
        <w:rPr>
          <w:rFonts w:ascii="Times New Roman" w:eastAsia="Times New Roman" w:hAnsi="Times New Roman" w:cs="Times New Roman"/>
          <w:sz w:val="24"/>
          <w:szCs w:val="24"/>
        </w:rPr>
        <w:t>i dokumentami, ktorými je Slovenská republika viazaná, ako aj v súlade s právom Európskej únie.</w:t>
      </w:r>
    </w:p>
    <w:p w14:paraId="00000007" w14:textId="77777777" w:rsidR="00722442" w:rsidRDefault="00F96B2D">
      <w:pPr>
        <w:shd w:val="clear" w:color="auto" w:fill="auto"/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Návrh zákona ne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mať vplyv na rozpočet verejnej správy, vplyv na podnikateľské prostredie, vplyv na životné prostredie, sociálne vplyvy, vplyv na služby vere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jnej správy pre občana, vplyv na informatizáciu spoločnosti ani vplyv na manželstvo, rodičovstvo a rodinu.</w:t>
      </w:r>
    </w:p>
    <w:p w14:paraId="00000008" w14:textId="77777777" w:rsidR="00722442" w:rsidRDefault="00722442">
      <w:pPr>
        <w:shd w:val="clear" w:color="auto" w:fill="auto"/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22442" w:rsidRDefault="00F96B2D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Osobitná časť</w:t>
      </w:r>
    </w:p>
    <w:p w14:paraId="0000000A" w14:textId="77777777" w:rsidR="00722442" w:rsidRDefault="00F96B2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14:paraId="0000000B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bodom 1 až 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 návrhu sa vypúšťajú ustanovenia, ktoré dávajú rade fondu právomoci rozhodovať o poskytovaní finančných pros</w:t>
      </w:r>
      <w:r>
        <w:rPr>
          <w:rFonts w:ascii="Times New Roman" w:eastAsia="Times New Roman" w:hAnsi="Times New Roman" w:cs="Times New Roman"/>
          <w:sz w:val="24"/>
          <w:szCs w:val="24"/>
        </w:rPr>
        <w:t>triedkov, voliť a odvolať členov dozornej komisie a zriaďovať, zlučovať a zrušovať odborné komisie. Kompetencie sa prenášajú na riaditeľa fondu.</w:t>
      </w:r>
    </w:p>
    <w:p w14:paraId="0000000D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Znižuje sa počet členov rady fondu na 9. Všetci členovia rady, ktorých vymenúva minister kultúry, m</w:t>
      </w:r>
      <w:r>
        <w:rPr>
          <w:rFonts w:ascii="Times New Roman" w:eastAsia="Times New Roman" w:hAnsi="Times New Roman" w:cs="Times New Roman"/>
          <w:sz w:val="24"/>
          <w:szCs w:val="24"/>
        </w:rPr>
        <w:t>usia byť vymenovaní výlučne na základe návrhu, pričom dôraz sa kladie na odbornú reprezentáciu jednotlivých umeleckých a kultúrnych oblastí. Táto zmena podporuje efektívnejšie a apolitické fungovanie rady fondu.</w:t>
      </w:r>
    </w:p>
    <w:p w14:paraId="00000010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Vypúšťa sa odsek týkajúci sa kon</w:t>
      </w:r>
      <w:r>
        <w:rPr>
          <w:rFonts w:ascii="Times New Roman" w:eastAsia="Times New Roman" w:hAnsi="Times New Roman" w:cs="Times New Roman"/>
          <w:sz w:val="24"/>
          <w:szCs w:val="24"/>
        </w:rPr>
        <w:t>fliktu záujmov členov rady fondu, keďže rada už nebude vstupovať do rozhodovania o poskytnutí finančných prostriedkov.</w:t>
      </w:r>
    </w:p>
    <w:p w14:paraId="00000013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 v nadväznosti na úpravu v § 4 ods. 2.</w:t>
      </w:r>
    </w:p>
    <w:p w14:paraId="00000016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bohu 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Dopĺňa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kompetencia dozornej komisie vyjadrovať stanovisko k podnetom žiadateľa voči rozhodnutiu voči rozhodnutiu riaditeľa podľa § 18 ods. 8 písm. b), ak žiadateľ namieta nedodržanie pravidiel a zásad podpornej činnosti fondu.</w:t>
      </w:r>
    </w:p>
    <w:p w14:paraId="00000019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bodom 9 až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B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Nové znenia u</w:t>
      </w:r>
      <w:r>
        <w:rPr>
          <w:rFonts w:ascii="Times New Roman" w:eastAsia="Times New Roman" w:hAnsi="Times New Roman" w:cs="Times New Roman"/>
          <w:sz w:val="24"/>
          <w:szCs w:val="24"/>
        </w:rPr>
        <w:t>stanovení upravujú zloženie a spôsob vymenovania členov dozornej komisie, pričom sa zabezpečuje ich väčšia nezávislosť.</w:t>
      </w:r>
    </w:p>
    <w:p w14:paraId="0000001C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D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bodom 12 až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E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Kompetencia rozhodovania o poskytnutí finančných prostriedkov sa presúva na riaditeľa fondu, pričom kľúčovú úlohu v </w:t>
      </w:r>
      <w:r>
        <w:rPr>
          <w:rFonts w:ascii="Times New Roman" w:eastAsia="Times New Roman" w:hAnsi="Times New Roman" w:cs="Times New Roman"/>
          <w:sz w:val="24"/>
          <w:szCs w:val="24"/>
        </w:rPr>
        <w:t>procese posudzovania projektov budú zohrávať odborné komisie svojimi stanoviskami. Tieto zmeny reflektujú potrebu odborného a efektívneho rozhodovania o žiadostiach.</w:t>
      </w:r>
    </w:p>
    <w:p w14:paraId="0000001F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0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1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Zavádza sa možnosť obmedziť poskytovanie finančných prostriedkov subjektom, k</w:t>
      </w:r>
      <w:r>
        <w:rPr>
          <w:rFonts w:ascii="Times New Roman" w:eastAsia="Times New Roman" w:hAnsi="Times New Roman" w:cs="Times New Roman"/>
          <w:sz w:val="24"/>
          <w:szCs w:val="24"/>
        </w:rPr>
        <w:t>torých štatutárny orgán opakovane nedodržiava povinnosti voči fondu. Tento krok zlepšuje právnu ochranu fondu pred neplnením záväzkov.</w:t>
      </w:r>
    </w:p>
    <w:p w14:paraId="00000022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3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Ustanovuje sa možnosť žiadateľa podať podnet na dozornú komisiu z dôvodu nedodržania pravidiel a zásad podpo</w:t>
      </w:r>
      <w:r>
        <w:rPr>
          <w:rFonts w:ascii="Times New Roman" w:eastAsia="Times New Roman" w:hAnsi="Times New Roman" w:cs="Times New Roman"/>
          <w:sz w:val="24"/>
          <w:szCs w:val="24"/>
        </w:rPr>
        <w:t>rnej činnosti fondu voči rozhodnutiu rady o neposkytnutí finančných prostriedkov. Podnet môže žiadateľ podať v lehote do troch týždňov od zverejnenia rozhodnutia rady.</w:t>
      </w:r>
    </w:p>
    <w:p w14:paraId="00000025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6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Ide o úpravu v nadväznosti na prenos kompetencií z rady na riaditeľa fondu.</w:t>
      </w:r>
    </w:p>
    <w:p w14:paraId="00000028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9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Dopĺňa sa ustanovenie umožňujúce financovanie odmien členov odborných komisií z podpory fondu. Výkon členstva v odbornej komisii je neoddeliteľne spätý s podpornou činnosťou fondu, keďže odborné komisie zohrávajú kľúčovú úlohu pri posudzovaní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žiadostí a poskytovaní kvalifikovaných stanovísk. Dopĺňané ustanovenie jednoznačne vyjasňuje túto situáciu a zabezpečuje súlad s doterajšou praxou a požiadavkami transparentnosti.</w:t>
      </w:r>
    </w:p>
    <w:p w14:paraId="0000002B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C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 v nadväznosti na úpravu v § 4 od</w:t>
      </w:r>
      <w:r>
        <w:rPr>
          <w:rFonts w:ascii="Times New Roman" w:eastAsia="Times New Roman" w:hAnsi="Times New Roman" w:cs="Times New Roman"/>
          <w:sz w:val="24"/>
          <w:szCs w:val="24"/>
        </w:rPr>
        <w:t>s. 2.</w:t>
      </w:r>
    </w:p>
    <w:p w14:paraId="0000002E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F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0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Zníženie percenta na pôvodný stav, tzn. stav pred prijatím poslednej novely (zákon č. 169/2022 Z. z.).</w:t>
      </w:r>
    </w:p>
    <w:p w14:paraId="00000031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2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3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Legislatívno-technická úprava v nadväznosti na zmenu v § 13 ods. 2.</w:t>
      </w:r>
    </w:p>
    <w:p w14:paraId="00000034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5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29:</w:t>
      </w:r>
    </w:p>
    <w:p w14:paraId="00000036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sa, že fond zverejní na svojom webovom sídle doklad preukazujúci splnenie podmienky odbornej praxe člena rady fondu, tzn. splnenie najmenej päťročnej odbornej praxe v oblasti umenia, kultúry alebo kreatívneho priemyslu, ktorý mu na žiadosť poskytn</w:t>
      </w:r>
      <w:r>
        <w:rPr>
          <w:rFonts w:ascii="Times New Roman" w:eastAsia="Times New Roman" w:hAnsi="Times New Roman" w:cs="Times New Roman"/>
          <w:sz w:val="24"/>
          <w:szCs w:val="24"/>
        </w:rPr>
        <w:t>e ministerstvo kultúry.</w:t>
      </w:r>
    </w:p>
    <w:p w14:paraId="00000037" w14:textId="77777777" w:rsidR="00722442" w:rsidRDefault="00722442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bodu 30: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722442" w:rsidRDefault="00F96B2D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praxi sa ukázalo, že na základe súčasného ustanovenia sú dotknuté body pozastavené už piaty rok, čo v praxi znamená, že prijímatelia dotácií napríklad nepredkladajú k vyúčtovaniu dotácie účtovné doklady, hoci aktuálne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vyhlásená krízová situácia nemá taký dopad na kultúru, aby bránila riadnemu vyúčtovaniu vrátane účtovných dokladov. Táto úprava zužuje rozsah výnimiek na prípady, kde je krízová situácia skutočne relevantná.</w:t>
      </w:r>
    </w:p>
    <w:p w14:paraId="0000003A" w14:textId="77777777" w:rsidR="00722442" w:rsidRDefault="00F96B2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0000003B" w14:textId="303181CB" w:rsidR="00722442" w:rsidRDefault="00F96B2D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účinnosť zákona od 1.6.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2026, čo zabezpečuje dostatočný čas na adaptáciu procesov v súlade s novelou.</w:t>
      </w:r>
    </w:p>
    <w:p w14:paraId="0000003C" w14:textId="77777777" w:rsidR="00722442" w:rsidRDefault="00722442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722442" w:rsidRDefault="00722442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72244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2525"/>
    <w:multiLevelType w:val="multilevel"/>
    <w:tmpl w:val="4F0004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42"/>
    <w:rsid w:val="00722442"/>
    <w:rsid w:val="00F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71CA"/>
  <w15:docId w15:val="{FD5FB1D4-B1DD-4547-B8C6-14C9253D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hd w:val="clear" w:color="auto" w:fill="FFFFFF"/>
        <w:spacing w:before="240" w:after="240" w:line="276" w:lineRule="auto"/>
        <w:ind w:firstLine="56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before="0"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5327</Characters>
  <DocSecurity>0</DocSecurity>
  <Lines>44</Lines>
  <Paragraphs>12</Paragraphs>
  <ScaleCrop>false</ScaleCrop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2026-03-26T09:17:00Z</dcterms:created>
  <dcterms:modified xsi:type="dcterms:W3CDTF">2026-03-26T09:18:00Z</dcterms:modified>
</cp:coreProperties>
</file>