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991E" w14:textId="77777777" w:rsidR="00E57DD5" w:rsidRDefault="00E57DD5" w:rsidP="00E57DD5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C579E9">
        <w:rPr>
          <w:b/>
          <w:bCs/>
          <w:sz w:val="28"/>
          <w:szCs w:val="28"/>
        </w:rPr>
        <w:t xml:space="preserve">OLOŽKA </w:t>
      </w:r>
    </w:p>
    <w:p w14:paraId="773AD1DC" w14:textId="77777777" w:rsidR="00E57DD5" w:rsidRDefault="00E57DD5" w:rsidP="00E57DD5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vybraných vplyvov</w:t>
      </w:r>
    </w:p>
    <w:p w14:paraId="2691ED71" w14:textId="77777777" w:rsidR="00E57DD5" w:rsidRDefault="00E57DD5" w:rsidP="00E57DD5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474EE017" w14:textId="77777777" w:rsidR="00E57DD5" w:rsidRPr="00FA3A21" w:rsidRDefault="00E57DD5" w:rsidP="00E57DD5">
      <w:pPr>
        <w:pStyle w:val="Normlnywebov"/>
        <w:spacing w:before="0" w:beforeAutospacing="0" w:after="0" w:afterAutospacing="0"/>
        <w:jc w:val="both"/>
      </w:pPr>
      <w:r w:rsidRPr="00FA3A21">
        <w:rPr>
          <w:rStyle w:val="awspan"/>
          <w:rFonts w:eastAsiaTheme="majorEastAsia"/>
          <w:b/>
        </w:rPr>
        <w:t>A.1.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Názov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materiálu:</w:t>
      </w:r>
      <w:r w:rsidRPr="00FA3A21">
        <w:rPr>
          <w:rStyle w:val="awspan"/>
          <w:rFonts w:eastAsiaTheme="majorEastAsia"/>
          <w:spacing w:val="37"/>
        </w:rPr>
        <w:t xml:space="preserve"> </w:t>
      </w:r>
      <w:r w:rsidRPr="00FA3A21">
        <w:rPr>
          <w:rStyle w:val="awspan"/>
          <w:rFonts w:eastAsiaTheme="majorEastAsia"/>
        </w:rPr>
        <w:t>Návrh</w:t>
      </w:r>
      <w:r w:rsidRPr="00FA3A21">
        <w:rPr>
          <w:rStyle w:val="awspan"/>
          <w:rFonts w:eastAsiaTheme="majorEastAsia"/>
          <w:spacing w:val="37"/>
        </w:rPr>
        <w:t xml:space="preserve"> </w:t>
      </w:r>
      <w:r w:rsidRPr="00FA3A21">
        <w:rPr>
          <w:rStyle w:val="awspan"/>
          <w:rFonts w:eastAsiaTheme="majorEastAsia"/>
        </w:rPr>
        <w:t>zákona,</w:t>
      </w:r>
      <w:r w:rsidRPr="00FA3A21">
        <w:t xml:space="preserve"> </w:t>
      </w:r>
      <w:r w:rsidRPr="006E4867">
        <w:t xml:space="preserve">ktorým sa mení </w:t>
      </w:r>
      <w:r w:rsidRPr="00333B5E">
        <w:t xml:space="preserve">zákon č. </w:t>
      </w:r>
      <w:r w:rsidRPr="003C65DE">
        <w:t>461/2003 Z. z. o sociálnom poistení v znení neskorších predpisov</w:t>
      </w:r>
    </w:p>
    <w:p w14:paraId="37F7BC9B" w14:textId="77777777" w:rsidR="00E57DD5" w:rsidRPr="00FA3A21" w:rsidRDefault="00E57DD5" w:rsidP="00E57DD5">
      <w:pPr>
        <w:pStyle w:val="Normlnywebov"/>
        <w:spacing w:before="0" w:beforeAutospacing="0" w:after="0" w:afterAutospacing="0"/>
        <w:jc w:val="both"/>
      </w:pPr>
    </w:p>
    <w:p w14:paraId="360B4F84" w14:textId="77777777" w:rsidR="00E57DD5" w:rsidRPr="00FA3A21" w:rsidRDefault="00E57DD5" w:rsidP="00E57DD5">
      <w:pPr>
        <w:widowControl w:val="0"/>
        <w:suppressAutoHyphens/>
        <w:jc w:val="both"/>
        <w:rPr>
          <w:rFonts w:eastAsia="SimSun"/>
          <w:lang w:val="cs-CZ"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E57DD5" w:rsidRPr="00FA3A21" w14:paraId="65EC44FE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AF6402F" w14:textId="77777777" w:rsidR="00E57DD5" w:rsidRPr="00FA3A21" w:rsidRDefault="00E57DD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 w:rsidRPr="00FA3A21"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40944FD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2A83F66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B9533AD" w14:textId="77777777" w:rsidR="00E57DD5" w:rsidRPr="00FA3A21" w:rsidRDefault="00E57DD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E57DD5" w:rsidRPr="00FA3A21" w14:paraId="7176CFCB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41FB99D" w14:textId="77777777" w:rsidR="00E57DD5" w:rsidRPr="00FA3A21" w:rsidRDefault="00E57DD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402080BF" w14:textId="77777777" w:rsidR="00E57DD5" w:rsidRPr="00FA3A21" w:rsidRDefault="00E57DD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7E884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769FF494" w14:textId="77777777" w:rsidR="00E57DD5" w:rsidRPr="00FA3A21" w:rsidRDefault="00E57DD5" w:rsidP="006109C9">
            <w:pPr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E57DD5" w:rsidRPr="00FA3A21" w14:paraId="245D4C25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60E8CAA" w14:textId="77777777" w:rsidR="00E57DD5" w:rsidRPr="00FA3A21" w:rsidRDefault="00E57DD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7374195" w14:textId="77777777" w:rsidR="00E57DD5" w:rsidRPr="00FA3A21" w:rsidRDefault="00E57DD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DBB34B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407A06A2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E57DD5" w:rsidRPr="00FA3A21" w14:paraId="5D40E80C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A3EF25F" w14:textId="77777777" w:rsidR="00E57DD5" w:rsidRPr="00FA3A21" w:rsidRDefault="00E57DD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4BE4F290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3A662A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06E29A8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E57DD5" w:rsidRPr="00FA3A21" w14:paraId="63E0C239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E130248" w14:textId="77777777" w:rsidR="00E57DD5" w:rsidRPr="00FA3A21" w:rsidRDefault="00E57DD5" w:rsidP="00E57DD5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5A4B498A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51149E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290B0F0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E57DD5" w:rsidRPr="00FA3A21" w14:paraId="6255FAFD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087F925" w14:textId="77777777" w:rsidR="00E57DD5" w:rsidRPr="00FA3A21" w:rsidRDefault="00E57DD5" w:rsidP="00E57DD5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 xml:space="preserve">sociálnu </w:t>
            </w:r>
            <w:r>
              <w:rPr>
                <w:rFonts w:eastAsia="SimSun"/>
                <w:kern w:val="2"/>
                <w:lang w:eastAsia="ar-SA"/>
              </w:rPr>
              <w:t>in</w:t>
            </w:r>
            <w:r w:rsidRPr="00FA3A21">
              <w:rPr>
                <w:rFonts w:eastAsia="SimSun"/>
                <w:kern w:val="2"/>
                <w:lang w:eastAsia="ar-SA"/>
              </w:rPr>
              <w:t>klúziu,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3B6DE49F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E87BFC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EE92C51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57DD5" w:rsidRPr="00FA3A21" w14:paraId="2E4BF217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78AAB68" w14:textId="77777777" w:rsidR="00E57DD5" w:rsidRPr="00FA3A21" w:rsidRDefault="00E57DD5" w:rsidP="00E57DD5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DDE730C" w14:textId="77777777" w:rsidR="00E57DD5" w:rsidRPr="00FA3A21" w:rsidRDefault="00E57DD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F06B07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3746B2F3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57DD5" w:rsidRPr="00FA3A21" w14:paraId="701548D1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2931FB8" w14:textId="77777777" w:rsidR="00E57DD5" w:rsidRPr="00FA3A21" w:rsidRDefault="00E57DD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13494A2" w14:textId="77777777" w:rsidR="00E57DD5" w:rsidRPr="00FA3A21" w:rsidRDefault="00E57DD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36ECEE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B2C5DBE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57DD5" w:rsidRPr="00FA3A21" w14:paraId="56764DCD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B97716F" w14:textId="77777777" w:rsidR="00E57DD5" w:rsidRPr="00FA3A21" w:rsidRDefault="00E57DD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BE7A4BC" w14:textId="77777777" w:rsidR="00E57DD5" w:rsidRPr="00FA3A21" w:rsidRDefault="00E57DD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A7B26B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3C745890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57DD5" w:rsidRPr="00FA3A21" w14:paraId="3DCCF1F9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3938D56" w14:textId="77777777" w:rsidR="00E57DD5" w:rsidRPr="00FA3A21" w:rsidRDefault="00E57DD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EA1EA3F" w14:textId="77777777" w:rsidR="00E57DD5" w:rsidRPr="00FA3A21" w:rsidRDefault="00E57DD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A429BC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8E1E9A3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57DD5" w:rsidRPr="00FA3A21" w14:paraId="687F6B92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A6BBC8A" w14:textId="77777777" w:rsidR="00E57DD5" w:rsidRPr="00FA3A21" w:rsidRDefault="00E57DD5" w:rsidP="00E57DD5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22CE73B" w14:textId="77777777" w:rsidR="00E57DD5" w:rsidRPr="00FA3A21" w:rsidRDefault="00E57DD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AF87E4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BFD1E47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57DD5" w:rsidRPr="00FA3A21" w14:paraId="038AB570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B4EC1E3" w14:textId="77777777" w:rsidR="00E57DD5" w:rsidRPr="00FA3A21" w:rsidRDefault="00E57DD5" w:rsidP="00E57DD5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771195A" w14:textId="77777777" w:rsidR="00E57DD5" w:rsidRPr="00FA3A21" w:rsidRDefault="00E57DD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E65D25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8905145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E57DD5" w:rsidRPr="00FA3A21" w14:paraId="680AFF4C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B5F3657" w14:textId="77777777" w:rsidR="00E57DD5" w:rsidRPr="00FA3A21" w:rsidRDefault="00E57DD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EB4B1B4" w14:textId="77777777" w:rsidR="00E57DD5" w:rsidRPr="00FA3A21" w:rsidRDefault="00E57DD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11F0E0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5C529AD7" w14:textId="77777777" w:rsidR="00E57DD5" w:rsidRPr="00FA3A21" w:rsidRDefault="00E57DD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</w:tbl>
    <w:p w14:paraId="08F0F49C" w14:textId="77777777" w:rsidR="00E57DD5" w:rsidRPr="00FA3A21" w:rsidRDefault="00E57DD5" w:rsidP="00E57DD5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FA3A21">
        <w:rPr>
          <w:rFonts w:eastAsia="SimSun"/>
          <w:kern w:val="2"/>
          <w:lang w:eastAsia="ar-SA"/>
        </w:rPr>
        <w:t> </w:t>
      </w:r>
    </w:p>
    <w:p w14:paraId="1EE4AAAA" w14:textId="77777777" w:rsidR="00E57DD5" w:rsidRDefault="00E57DD5" w:rsidP="00E57DD5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A.3. Poznámky</w:t>
      </w:r>
      <w:r>
        <w:rPr>
          <w:rFonts w:eastAsia="SimSun"/>
          <w:b/>
          <w:bCs/>
          <w:kern w:val="2"/>
          <w:lang w:eastAsia="ar-SA"/>
        </w:rPr>
        <w:t>:</w:t>
      </w:r>
    </w:p>
    <w:p w14:paraId="4573F2C1" w14:textId="77777777" w:rsidR="00E57DD5" w:rsidRDefault="00E57DD5" w:rsidP="00E57DD5">
      <w:pPr>
        <w:widowControl w:val="0"/>
        <w:suppressAutoHyphens/>
        <w:ind w:firstLine="708"/>
        <w:jc w:val="both"/>
        <w:rPr>
          <w:color w:val="000000"/>
        </w:rPr>
      </w:pPr>
      <w:r>
        <w:rPr>
          <w:color w:val="000000"/>
        </w:rPr>
        <w:t>Predkladaný návrh zákona má negatívny vplyv na rozpočet verejnej správy. Tento vplyv spočíva vo výpadku príjmov Sociálnej poisťovne z dôchodkového poistenia v dôsledku zvýšenia odvodovej odpočítateľnej položky a rozšírenia okruhu osôb oprávnených na jej uplatnenie. Verejne dostupné administratívne štatistiky neumožňujú presne určiť počet osôb a dohôd, pri ktorých bude odvodová odpočítateľná položka v navrhovanom rozsahu reálne uplatnená, ani ich príjmové rozloženie. Z tohto dôvodu nie je možné rozpočtový dopad presne kvantifikovať na základe verejne dostupných údajov. Mechanizmus vzniku negatívneho vplyvu je však zrejmý, keďže návrh rozširuje rozsah príjmu z dohody, pri ktorom sa neuplatní poistné v doterajšom rozsahu, a zároveň rozširuje okruh oprávnených osôb.</w:t>
      </w:r>
    </w:p>
    <w:p w14:paraId="0C34BC65" w14:textId="77777777" w:rsidR="00E57DD5" w:rsidRDefault="00E57DD5" w:rsidP="00E57DD5">
      <w:pPr>
        <w:widowControl w:val="0"/>
        <w:suppressAutoHyphens/>
        <w:ind w:firstLine="708"/>
        <w:jc w:val="both"/>
      </w:pPr>
      <w:r>
        <w:t xml:space="preserve">Pozitívny vplyv na podnikateľské prostredie spočíva v nižšom odvodovom náklade zamestnávateľov pri dohodách, na ktoré sa odvodová odpočítateľná položka uplatní vo vyššej sume alebo po novom aj pri rodičoch na materskej dovolenke, otcovskej dovolenke a rodičovskej dovolenke. </w:t>
      </w:r>
    </w:p>
    <w:p w14:paraId="5E2C1FD8" w14:textId="77777777" w:rsidR="00E57DD5" w:rsidRDefault="00E57DD5" w:rsidP="00E57DD5">
      <w:pPr>
        <w:widowControl w:val="0"/>
        <w:suppressAutoHyphens/>
        <w:ind w:firstLine="708"/>
        <w:jc w:val="both"/>
      </w:pPr>
      <w:r>
        <w:t xml:space="preserve">Pozitívne sociálne vplyvy na hospodárenie obyvateľstva spočívajú v nižšom odvodovom zaťažení príjmu z dohôd u študentov, poberateľov dôchodkových dávok a rodičov na materskej dovolenke, otcovskej dovolenke alebo rodičovskej dovolenke.  </w:t>
      </w:r>
    </w:p>
    <w:p w14:paraId="5DCE814D" w14:textId="77777777" w:rsidR="00E57DD5" w:rsidRPr="009F0CF9" w:rsidRDefault="00E57DD5" w:rsidP="00E57DD5">
      <w:pPr>
        <w:widowControl w:val="0"/>
        <w:suppressAutoHyphens/>
        <w:ind w:firstLine="708"/>
        <w:jc w:val="both"/>
      </w:pPr>
      <w:r>
        <w:t>Pozitívny vplyv na manželstvo, rodičovstvo a rodinu spočíva v zlepšení ekonomických podmienok rodičov starajúcich sa o dieťa pri výkone práce na základe dohody a v možnom zvýšení disponibilného príjmu dotknutých domácností. Návrh zákona sa vecne nedotýka životného prostredia, informatizácie spoločnosti ani služieb verejnej správy pre občana, preto sa v týchto oblastiach predpokladá žiadny vplyv.</w:t>
      </w:r>
    </w:p>
    <w:p w14:paraId="56434D06" w14:textId="77777777" w:rsidR="00E57DD5" w:rsidRPr="00FA3A21" w:rsidRDefault="00E57DD5" w:rsidP="00E57DD5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6EEEC827" w14:textId="77777777" w:rsidR="00E57DD5" w:rsidRPr="00FA3A21" w:rsidRDefault="00E57DD5" w:rsidP="00E57DD5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A.4. Alternatívne riešenia</w:t>
      </w:r>
      <w:r>
        <w:rPr>
          <w:rFonts w:eastAsia="SimSun"/>
          <w:b/>
          <w:bCs/>
          <w:kern w:val="2"/>
          <w:lang w:eastAsia="ar-SA"/>
        </w:rPr>
        <w:t>:</w:t>
      </w:r>
    </w:p>
    <w:p w14:paraId="59816C5D" w14:textId="77777777" w:rsidR="00E57DD5" w:rsidRPr="00FA3A21" w:rsidRDefault="00E57DD5" w:rsidP="00E57DD5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Nepredkladajú sa.</w:t>
      </w:r>
    </w:p>
    <w:p w14:paraId="552710B6" w14:textId="77777777" w:rsidR="00E57DD5" w:rsidRPr="00FA3A21" w:rsidRDefault="00E57DD5" w:rsidP="00E57DD5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56B909A8" w14:textId="77777777" w:rsidR="00E57DD5" w:rsidRPr="00FA3A21" w:rsidRDefault="00E57DD5" w:rsidP="00E57DD5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lastRenderedPageBreak/>
        <w:t xml:space="preserve">A.5. </w:t>
      </w:r>
      <w:r w:rsidRPr="00FA3A21">
        <w:rPr>
          <w:rFonts w:eastAsia="SimSun"/>
          <w:b/>
          <w:bCs/>
          <w:kern w:val="2"/>
          <w:lang w:eastAsia="ar-SA"/>
        </w:rPr>
        <w:t>Stanovisko gestorov</w:t>
      </w:r>
      <w:r>
        <w:rPr>
          <w:rFonts w:eastAsia="SimSun"/>
          <w:b/>
          <w:bCs/>
          <w:kern w:val="2"/>
          <w:lang w:eastAsia="ar-SA"/>
        </w:rPr>
        <w:t>:</w:t>
      </w:r>
    </w:p>
    <w:p w14:paraId="13B44F52" w14:textId="77777777" w:rsidR="00E57DD5" w:rsidRPr="00DE3975" w:rsidRDefault="00E57DD5" w:rsidP="00E57DD5">
      <w:pPr>
        <w:pStyle w:val="Normlnywebov"/>
        <w:spacing w:before="0" w:beforeAutospacing="0" w:after="0" w:afterAutospacing="0"/>
        <w:jc w:val="both"/>
      </w:pPr>
      <w:r>
        <w:t>Vyžiadané.</w:t>
      </w:r>
    </w:p>
    <w:p w14:paraId="0753B5BD" w14:textId="77777777" w:rsidR="00E57DD5" w:rsidRDefault="00E57DD5" w:rsidP="00E57DD5">
      <w:pPr>
        <w:pStyle w:val="Normlnywebov"/>
        <w:spacing w:before="0" w:beforeAutospacing="0" w:after="0" w:afterAutospacing="0"/>
        <w:jc w:val="both"/>
        <w:rPr>
          <w:b/>
          <w:bCs/>
        </w:rPr>
      </w:pPr>
    </w:p>
    <w:p w14:paraId="316FC8EF" w14:textId="77777777" w:rsidR="00E57DD5" w:rsidRDefault="00E57DD5" w:rsidP="00E57DD5">
      <w:pPr>
        <w:pStyle w:val="Normlnywebov"/>
        <w:spacing w:before="0" w:beforeAutospacing="0" w:after="0" w:afterAutospacing="0"/>
        <w:jc w:val="both"/>
        <w:rPr>
          <w:b/>
          <w:bCs/>
        </w:rPr>
      </w:pPr>
    </w:p>
    <w:p w14:paraId="287C5849" w14:textId="77777777" w:rsidR="00E57DD5" w:rsidRDefault="00E57DD5" w:rsidP="00E57DD5">
      <w:pPr>
        <w:pStyle w:val="Normlnywebov"/>
        <w:spacing w:before="0" w:beforeAutospacing="0" w:after="0" w:afterAutospacing="0"/>
        <w:jc w:val="both"/>
        <w:rPr>
          <w:b/>
          <w:bCs/>
        </w:rPr>
      </w:pPr>
    </w:p>
    <w:p w14:paraId="4553ABBB" w14:textId="77777777" w:rsidR="00E57DD5" w:rsidRDefault="00E57DD5" w:rsidP="00E57DD5">
      <w:pPr>
        <w:pStyle w:val="Normlnywebov"/>
        <w:spacing w:before="0" w:beforeAutospacing="0" w:after="0" w:afterAutospacing="0"/>
        <w:jc w:val="both"/>
        <w:rPr>
          <w:b/>
          <w:bCs/>
        </w:rPr>
      </w:pPr>
    </w:p>
    <w:p w14:paraId="2BABAFB1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0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D5"/>
    <w:rsid w:val="002B55CB"/>
    <w:rsid w:val="00D9786F"/>
    <w:rsid w:val="00E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5958"/>
  <w15:chartTrackingRefBased/>
  <w15:docId w15:val="{217AE786-4B6A-4CAE-9355-A9240901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D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D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D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D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D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DD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DD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D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D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D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D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DD5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E57DD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DD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D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DD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DD5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E57DD5"/>
    <w:pPr>
      <w:spacing w:before="100" w:beforeAutospacing="1" w:after="100" w:afterAutospacing="1"/>
    </w:pPr>
  </w:style>
  <w:style w:type="character" w:customStyle="1" w:styleId="awspan">
    <w:name w:val="awspan"/>
    <w:rsid w:val="00E57DD5"/>
  </w:style>
  <w:style w:type="character" w:customStyle="1" w:styleId="OdsekzoznamuChar">
    <w:name w:val="Odsek zoznamu Char"/>
    <w:link w:val="Odsekzoznamu"/>
    <w:uiPriority w:val="34"/>
    <w:locked/>
    <w:rsid w:val="00E5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DocSecurity>0</DocSecurity>
  <Lines>18</Lines>
  <Paragraphs>5</Paragraphs>
  <ScaleCrop>false</ScaleCrop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2026-03-27T16:53:00Z</dcterms:created>
  <dcterms:modified xsi:type="dcterms:W3CDTF">2026-03-27T16:54:00Z</dcterms:modified>
</cp:coreProperties>
</file>