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C7F9" w14:textId="77777777" w:rsidR="001B341F" w:rsidRPr="00C4043A" w:rsidRDefault="001B341F" w:rsidP="001B341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C4043A">
        <w:rPr>
          <w:rFonts w:ascii="Palatino Linotype" w:eastAsia="Times New Roman" w:hAnsi="Palatino Linotype" w:cs="Times New Roman"/>
          <w:b/>
        </w:rPr>
        <w:t>Doložka vybraných vplyvov</w:t>
      </w:r>
    </w:p>
    <w:p w14:paraId="21F154DB" w14:textId="77777777" w:rsidR="001B341F" w:rsidRPr="00C4043A" w:rsidRDefault="001B341F" w:rsidP="001B341F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42510E48" w14:textId="77777777" w:rsidR="001B341F" w:rsidRPr="00C4043A" w:rsidRDefault="001B341F" w:rsidP="001B341F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1B341F" w:rsidRPr="00C4043A" w14:paraId="4D183E49" w14:textId="77777777" w:rsidTr="006109C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3A9DA6E4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Základné údaje</w:t>
            </w:r>
          </w:p>
        </w:tc>
      </w:tr>
      <w:tr w:rsidR="001B341F" w:rsidRPr="00C4043A" w14:paraId="2CBA31E0" w14:textId="77777777" w:rsidTr="006109C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361A5EF8" w14:textId="77777777" w:rsidR="001B341F" w:rsidRPr="00C4043A" w:rsidRDefault="001B341F" w:rsidP="006109C9">
            <w:pPr>
              <w:spacing w:after="200" w:line="276" w:lineRule="auto"/>
              <w:ind w:left="142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Názov návrhu zákona</w:t>
            </w:r>
          </w:p>
        </w:tc>
      </w:tr>
      <w:tr w:rsidR="001B341F" w:rsidRPr="00C4043A" w14:paraId="026DC4F1" w14:textId="77777777" w:rsidTr="006109C9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7E1839C9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  <w:color w:val="000000"/>
              </w:rPr>
              <w:t xml:space="preserve">  </w:t>
            </w:r>
            <w:r w:rsidRPr="00C4043A">
              <w:rPr>
                <w:rFonts w:ascii="Palatino Linotype" w:hAnsi="Palatino Linotype"/>
              </w:rPr>
              <w:t xml:space="preserve">Návrh </w:t>
            </w:r>
            <w:r w:rsidRPr="00C4043A">
              <w:rPr>
                <w:rFonts w:ascii="Palatino Linotype" w:hAnsi="Palatino Linotype"/>
                <w:bCs/>
              </w:rPr>
              <w:t xml:space="preserve">zákona, </w:t>
            </w:r>
            <w:r w:rsidRPr="00C4043A">
              <w:rPr>
                <w:rFonts w:ascii="Palatino Linotype" w:hAnsi="Palatino Linotype"/>
              </w:rPr>
              <w:t xml:space="preserve">ktorým sa mení  zákon </w:t>
            </w:r>
            <w:r>
              <w:rPr>
                <w:rFonts w:ascii="Palatino Linotype" w:eastAsia="Times New Roman" w:hAnsi="Palatino Linotype" w:cs="Times New Roman"/>
              </w:rPr>
              <w:t xml:space="preserve">č. 30/2019 Z. z. </w:t>
            </w:r>
            <w:r w:rsidRPr="00C95AD7">
              <w:rPr>
                <w:rFonts w:ascii="Palatino Linotype" w:eastAsia="Times New Roman" w:hAnsi="Palatino Linotype" w:cs="Times New Roman"/>
              </w:rPr>
              <w:t>o hazardných hrách a o zmene a doplnení niektorých zákonov</w:t>
            </w:r>
          </w:p>
        </w:tc>
      </w:tr>
      <w:tr w:rsidR="001B341F" w:rsidRPr="00C4043A" w14:paraId="672BC0CE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828FAD6" w14:textId="77777777" w:rsidR="001B341F" w:rsidRPr="00C4043A" w:rsidRDefault="001B341F" w:rsidP="006109C9">
            <w:pPr>
              <w:spacing w:after="200" w:line="276" w:lineRule="auto"/>
              <w:ind w:left="142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Navrhovateľ</w:t>
            </w:r>
          </w:p>
        </w:tc>
      </w:tr>
      <w:tr w:rsidR="001B341F" w:rsidRPr="00C4043A" w14:paraId="0694A976" w14:textId="77777777" w:rsidTr="006109C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0803F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hAnsi="Palatino Linotype" w:cs="Book Antiqua"/>
              </w:rPr>
              <w:t xml:space="preserve">poslanci </w:t>
            </w:r>
            <w:r w:rsidRPr="00C4043A">
              <w:rPr>
                <w:rFonts w:ascii="Palatino Linotype" w:hAnsi="Palatino Linotype"/>
              </w:rPr>
              <w:t>Národnej rady Slovenskej republiky Marián ČAUČÍK,</w:t>
            </w:r>
            <w:r w:rsidRPr="00C95AD7">
              <w:rPr>
                <w:rFonts w:ascii="Palatino Linotype" w:eastAsia="Times New Roman" w:hAnsi="Palatino Linotype" w:cs="Times New Roman"/>
              </w:rPr>
              <w:t> Jozef HAJKO</w:t>
            </w:r>
            <w:r>
              <w:rPr>
                <w:rFonts w:ascii="Palatino Linotype" w:hAnsi="Palatino Linotype"/>
              </w:rPr>
              <w:t xml:space="preserve"> a Rastislav KRÁTKY.</w:t>
            </w:r>
          </w:p>
        </w:tc>
      </w:tr>
      <w:tr w:rsidR="001B341F" w:rsidRPr="00C4043A" w14:paraId="7AF96375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35CCAB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</w:p>
        </w:tc>
      </w:tr>
      <w:tr w:rsidR="001B341F" w:rsidRPr="00C4043A" w14:paraId="02A91EB8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C696734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Definovanie problému</w:t>
            </w:r>
          </w:p>
        </w:tc>
      </w:tr>
      <w:tr w:rsidR="001B341F" w:rsidRPr="00C4043A" w14:paraId="47B6AFD5" w14:textId="77777777" w:rsidTr="006109C9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C30BE" w14:textId="77777777" w:rsidR="001B341F" w:rsidRPr="00C4043A" w:rsidRDefault="001B341F" w:rsidP="006109C9">
            <w:pPr>
              <w:jc w:val="both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V aktuálnej právnej úprave zákona o</w:t>
            </w:r>
            <w:r w:rsidRPr="00C95AD7">
              <w:rPr>
                <w:rFonts w:ascii="Palatino Linotype" w:eastAsia="Times New Roman" w:hAnsi="Palatino Linotype" w:cs="Times New Roman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</w:rPr>
              <w:t>h</w:t>
            </w:r>
            <w:r w:rsidRPr="00C95AD7">
              <w:rPr>
                <w:rFonts w:ascii="Palatino Linotype" w:eastAsia="Times New Roman" w:hAnsi="Palatino Linotype" w:cs="Times New Roman"/>
              </w:rPr>
              <w:t>azardných hrách</w:t>
            </w:r>
            <w:r w:rsidRPr="00C4043A">
              <w:rPr>
                <w:rFonts w:ascii="Palatino Linotype" w:hAnsi="Palatino Linotype"/>
              </w:rPr>
              <w:t> </w:t>
            </w:r>
            <w:r>
              <w:rPr>
                <w:rFonts w:ascii="Palatino Linotype" w:hAnsi="Palatino Linotype"/>
              </w:rPr>
              <w:t xml:space="preserve">sú stanovené rôzne a často neprimerane nízke percentá odvodov za hazardné hry pri tak výnosnom odvetví podnikanie s mnohými negatívnymi </w:t>
            </w:r>
            <w:proofErr w:type="spellStart"/>
            <w:r>
              <w:rPr>
                <w:rFonts w:ascii="Palatino Linotype" w:hAnsi="Palatino Linotype"/>
              </w:rPr>
              <w:t>externalitami</w:t>
            </w:r>
            <w:proofErr w:type="spellEnd"/>
            <w:r>
              <w:rPr>
                <w:rFonts w:ascii="Palatino Linotype" w:hAnsi="Palatino Linotype"/>
              </w:rPr>
              <w:t xml:space="preserve"> na spoločnosť. </w:t>
            </w:r>
          </w:p>
        </w:tc>
      </w:tr>
      <w:tr w:rsidR="001B341F" w:rsidRPr="00C4043A" w14:paraId="5FA91D76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68461CF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Ciele a výsledný stav</w:t>
            </w:r>
          </w:p>
        </w:tc>
      </w:tr>
      <w:tr w:rsidR="001B341F" w:rsidRPr="00C4043A" w14:paraId="37DC34E0" w14:textId="77777777" w:rsidTr="006109C9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1AD8" w14:textId="77777777" w:rsidR="001B341F" w:rsidRPr="00C4043A" w:rsidRDefault="001B341F" w:rsidP="006109C9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Cieľom navrhovanej právnej úpravy je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 zvýšenie odvodu pri takmer všetkých formách hazardných hier.  </w:t>
            </w:r>
          </w:p>
          <w:p w14:paraId="17FECEA7" w14:textId="77777777" w:rsidR="001B341F" w:rsidRPr="00C4043A" w:rsidRDefault="001B341F" w:rsidP="006109C9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</w:p>
          <w:p w14:paraId="254A8BA6" w14:textId="77777777" w:rsidR="001B341F" w:rsidRPr="00C4043A" w:rsidRDefault="001B341F" w:rsidP="006109C9">
            <w:pPr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Pozitívom navrhovanej úpravy 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je </w:t>
            </w:r>
            <w:r w:rsidRPr="00C95AD7">
              <w:rPr>
                <w:rFonts w:ascii="Palatino Linotype" w:hAnsi="Palatino Linotype"/>
              </w:rPr>
              <w:t>ochran</w:t>
            </w:r>
            <w:r>
              <w:rPr>
                <w:rFonts w:ascii="Palatino Linotype" w:hAnsi="Palatino Linotype"/>
              </w:rPr>
              <w:t>a</w:t>
            </w:r>
            <w:r w:rsidRPr="00C95AD7">
              <w:rPr>
                <w:rFonts w:ascii="Palatino Linotype" w:hAnsi="Palatino Linotype"/>
              </w:rPr>
              <w:t xml:space="preserve"> verejného zdravia, posilň</w:t>
            </w:r>
            <w:r>
              <w:rPr>
                <w:rFonts w:ascii="Palatino Linotype" w:hAnsi="Palatino Linotype"/>
              </w:rPr>
              <w:t>ovanie</w:t>
            </w:r>
            <w:r w:rsidRPr="00C95AD7">
              <w:rPr>
                <w:rFonts w:ascii="Palatino Linotype" w:hAnsi="Palatino Linotype"/>
              </w:rPr>
              <w:t xml:space="preserve"> prevenci</w:t>
            </w:r>
            <w:r>
              <w:rPr>
                <w:rFonts w:ascii="Palatino Linotype" w:hAnsi="Palatino Linotype"/>
              </w:rPr>
              <w:t>e</w:t>
            </w:r>
            <w:r w:rsidRPr="00C95AD7">
              <w:rPr>
                <w:rFonts w:ascii="Palatino Linotype" w:hAnsi="Palatino Linotype"/>
              </w:rPr>
              <w:t xml:space="preserve"> negatívnych spoločenských javov a zvyš</w:t>
            </w:r>
            <w:r>
              <w:rPr>
                <w:rFonts w:ascii="Palatino Linotype" w:hAnsi="Palatino Linotype"/>
              </w:rPr>
              <w:t>ovanie</w:t>
            </w:r>
            <w:r w:rsidRPr="00C95AD7">
              <w:rPr>
                <w:rFonts w:ascii="Palatino Linotype" w:hAnsi="Palatino Linotype"/>
              </w:rPr>
              <w:t xml:space="preserve"> ochra</w:t>
            </w:r>
            <w:r>
              <w:rPr>
                <w:rFonts w:ascii="Palatino Linotype" w:hAnsi="Palatino Linotype"/>
              </w:rPr>
              <w:t xml:space="preserve">ny </w:t>
            </w:r>
            <w:r w:rsidRPr="00C95AD7">
              <w:rPr>
                <w:rFonts w:ascii="Palatino Linotype" w:hAnsi="Palatino Linotype"/>
              </w:rPr>
              <w:t>zraniteľných skupín pred škodlivými vplyvmi hazardných hier</w:t>
            </w:r>
            <w:r w:rsidRPr="00C4043A">
              <w:rPr>
                <w:rFonts w:ascii="Palatino Linotype" w:eastAsia="Times New Roman" w:hAnsi="Palatino Linotype" w:cs="Times New Roman"/>
                <w:iCs/>
              </w:rPr>
              <w:t>.</w:t>
            </w:r>
          </w:p>
        </w:tc>
      </w:tr>
      <w:tr w:rsidR="001B341F" w:rsidRPr="00C4043A" w14:paraId="15DB2829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5E5397D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Dotknuté subjekty</w:t>
            </w:r>
          </w:p>
        </w:tc>
      </w:tr>
      <w:tr w:rsidR="001B341F" w:rsidRPr="00C4043A" w14:paraId="0B6CE4E0" w14:textId="77777777" w:rsidTr="006109C9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065C5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Návrh zákona sa týka všetkých 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prevádzok herní a kasín a ďalších foriem hazardných hier </w:t>
            </w:r>
            <w:r w:rsidRPr="00C4043A">
              <w:rPr>
                <w:rFonts w:ascii="Palatino Linotype" w:eastAsia="Times New Roman" w:hAnsi="Palatino Linotype" w:cs="Times New Roman"/>
                <w:iCs/>
              </w:rPr>
              <w:t>v Slovenskej republike.</w:t>
            </w:r>
          </w:p>
        </w:tc>
      </w:tr>
      <w:tr w:rsidR="001B341F" w:rsidRPr="00C4043A" w14:paraId="535CE40E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952297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Alternatívne riešenia</w:t>
            </w:r>
          </w:p>
        </w:tc>
      </w:tr>
      <w:tr w:rsidR="001B341F" w:rsidRPr="00C4043A" w14:paraId="4BEFC238" w14:textId="77777777" w:rsidTr="006109C9">
        <w:trPr>
          <w:trHeight w:val="93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C7D3" w14:textId="77777777" w:rsidR="001B341F" w:rsidRPr="00CB050B" w:rsidRDefault="001B341F" w:rsidP="006109C9">
            <w:pPr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Nulový variant by znamenal, že </w:t>
            </w:r>
            <w:r>
              <w:rPr>
                <w:rFonts w:ascii="Palatino Linotype" w:eastAsia="Times New Roman" w:hAnsi="Palatino Linotype" w:cs="Times New Roman"/>
                <w:iCs/>
              </w:rPr>
              <w:t>zisky prevádzkovateľov hazardných hier by naďalej neúmerne zvyšovali, pričom štát by za vlastné rozpočtové prostriedky musel čeliť rastúcim negatívnym spoločenským dôsledkom, rozpadu rodín, ,masívnemu zadlžovaniu, kriminalite a pod.</w:t>
            </w:r>
          </w:p>
        </w:tc>
      </w:tr>
      <w:tr w:rsidR="001B341F" w:rsidRPr="00C4043A" w14:paraId="76BE08A9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7FAACA5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Vykonávacie predpisy</w:t>
            </w:r>
          </w:p>
        </w:tc>
      </w:tr>
      <w:tr w:rsidR="001B341F" w:rsidRPr="00C4043A" w14:paraId="24CC4D5E" w14:textId="77777777" w:rsidTr="006109C9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F299C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Navrhovaná právna úprava nepredpokladá prijatie alebo zmenu už existujúcich vykonávacích predpisov.</w:t>
            </w:r>
          </w:p>
        </w:tc>
      </w:tr>
      <w:tr w:rsidR="001B341F" w:rsidRPr="00C4043A" w14:paraId="1F7206B0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CC0E730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 xml:space="preserve">Transpozícia práva EÚ </w:t>
            </w:r>
          </w:p>
        </w:tc>
      </w:tr>
      <w:tr w:rsidR="001B341F" w:rsidRPr="00C4043A" w14:paraId="2156EBAD" w14:textId="77777777" w:rsidTr="006109C9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74775724" w14:textId="77777777" w:rsidR="001B341F" w:rsidRPr="00C4043A" w:rsidRDefault="001B341F" w:rsidP="006109C9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Neaplikuje sa v tomto prípade.</w:t>
            </w:r>
          </w:p>
        </w:tc>
      </w:tr>
      <w:tr w:rsidR="001B341F" w:rsidRPr="00C4043A" w14:paraId="666D2D78" w14:textId="77777777" w:rsidTr="006109C9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C1F65" w14:textId="77777777" w:rsidR="001B341F" w:rsidRPr="00C4043A" w:rsidRDefault="001B341F" w:rsidP="006109C9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</w:tr>
      <w:tr w:rsidR="001B341F" w:rsidRPr="00C4043A" w14:paraId="27B12702" w14:textId="77777777" w:rsidTr="006109C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5765540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Preskúmanie účelnosti</w:t>
            </w:r>
          </w:p>
        </w:tc>
      </w:tr>
      <w:tr w:rsidR="001B341F" w:rsidRPr="00C4043A" w14:paraId="7952A975" w14:textId="77777777" w:rsidTr="006109C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3864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Navrhujeme preskúmanie účinnosti a účelnosti a zároveň vyhodnotenie vplyvov tejto právnej úpravy po roku od jej prijatia.</w:t>
            </w:r>
          </w:p>
          <w:p w14:paraId="6BAA24CC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Ako kritérium navrhujeme 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porovnať obrat a ziskovosť prevádzkovateľov rôznych typov hazardných hier. </w:t>
            </w:r>
          </w:p>
        </w:tc>
      </w:tr>
      <w:tr w:rsidR="001B341F" w:rsidRPr="00C4043A" w14:paraId="59C2710A" w14:textId="77777777" w:rsidTr="006109C9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33BD760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Vybrané vplyvy materiálu</w:t>
            </w:r>
          </w:p>
        </w:tc>
      </w:tr>
      <w:tr w:rsidR="001B341F" w:rsidRPr="00C4043A" w14:paraId="789C6B1A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776D85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7B13578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5D389A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7513706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B8BB2B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6F1403C" w14:textId="77777777" w:rsidR="001B341F" w:rsidRPr="00C4043A" w:rsidRDefault="001B341F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39E894" w14:textId="77777777" w:rsidR="001B341F" w:rsidRPr="00C4043A" w:rsidRDefault="001B341F" w:rsidP="006109C9">
            <w:pPr>
              <w:ind w:left="3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B341F" w:rsidRPr="00C4043A" w14:paraId="4E358A98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3C5AFAB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 z toho rozpočtovo zabezpečené vplyvy,         </w:t>
            </w:r>
          </w:p>
          <w:p w14:paraId="71F10A43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lastRenderedPageBreak/>
              <w:t xml:space="preserve">    v prípade identifikovaného negatívneho </w:t>
            </w:r>
          </w:p>
          <w:p w14:paraId="47238FB2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A4C741C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0F24D9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A056808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74D484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909D573" w14:textId="77777777" w:rsidR="001B341F" w:rsidRPr="00C4043A" w:rsidRDefault="001B341F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4E5C3D" w14:textId="77777777" w:rsidR="001B341F" w:rsidRPr="00C4043A" w:rsidRDefault="001B341F" w:rsidP="006109C9">
            <w:pPr>
              <w:ind w:left="34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Čiastočne</w:t>
            </w:r>
          </w:p>
        </w:tc>
      </w:tr>
      <w:tr w:rsidR="001B341F" w:rsidRPr="00C4043A" w14:paraId="1E2C14A2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712BB90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4B2750E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169BB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1822E5D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3949F9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2D7CB66" w14:textId="77777777" w:rsidR="001B341F" w:rsidRPr="00C4043A" w:rsidRDefault="001B341F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BA2C353" w14:textId="77777777" w:rsidR="001B341F" w:rsidRPr="00C4043A" w:rsidRDefault="001B341F" w:rsidP="006109C9">
            <w:pPr>
              <w:ind w:left="3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B341F" w:rsidRPr="00C4043A" w14:paraId="6F682131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1C204E4A" w14:textId="77777777" w:rsidR="001B341F" w:rsidRPr="00C4043A" w:rsidRDefault="001B341F" w:rsidP="006109C9">
            <w:pPr>
              <w:ind w:left="171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z toho rozpočtovo zabezpečené vplyvy,</w:t>
            </w:r>
          </w:p>
          <w:p w14:paraId="1E6832A5" w14:textId="77777777" w:rsidR="001B341F" w:rsidRPr="00C4043A" w:rsidRDefault="001B341F" w:rsidP="006109C9">
            <w:pPr>
              <w:ind w:left="171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E6B9B8A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3ACE6F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80E2EDF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2903D9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853F59" w14:textId="77777777" w:rsidR="001B341F" w:rsidRPr="00C4043A" w:rsidRDefault="001B341F" w:rsidP="006109C9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DC16EC" w14:textId="77777777" w:rsidR="001B341F" w:rsidRPr="00C4043A" w:rsidRDefault="001B341F" w:rsidP="006109C9">
            <w:pPr>
              <w:ind w:left="34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Čiastočne</w:t>
            </w:r>
          </w:p>
        </w:tc>
      </w:tr>
      <w:tr w:rsidR="001B341F" w:rsidRPr="00C4043A" w14:paraId="7CE6D41C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CE3D41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B10A22E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2AA80F" w14:textId="77777777" w:rsidR="001B341F" w:rsidRPr="00C4043A" w:rsidRDefault="001B341F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77E3047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0ECBC3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ABEBFA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88C47D" w14:textId="77777777" w:rsidR="001B341F" w:rsidRPr="00C4043A" w:rsidRDefault="001B341F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B341F" w:rsidRPr="00C4043A" w14:paraId="33F03E84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643B2C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ECA59" w14:textId="77777777" w:rsidR="001B341F" w:rsidRPr="00C4043A" w:rsidRDefault="001B341F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5771F" w14:textId="77777777" w:rsidR="001B341F" w:rsidRPr="00C4043A" w:rsidRDefault="001B341F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7C257" w14:textId="77777777" w:rsidR="001B341F" w:rsidRPr="00C4043A" w:rsidRDefault="001B341F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77AE5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25D43" w14:textId="77777777" w:rsidR="001B341F" w:rsidRPr="00C4043A" w:rsidRDefault="001B341F" w:rsidP="006109C9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A469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1B341F" w:rsidRPr="00C4043A" w14:paraId="369B6D70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29B16DC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C8C5A6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32EF8" w14:textId="77777777" w:rsidR="001B341F" w:rsidRPr="00C4043A" w:rsidRDefault="001B341F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3DCCBE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5709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4EBCF16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43829" w14:textId="77777777" w:rsidR="001B341F" w:rsidRPr="00C4043A" w:rsidRDefault="001B341F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B341F" w:rsidRPr="00C4043A" w14:paraId="1ED38DCF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3C234C9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C6FC75B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FBAB5" w14:textId="77777777" w:rsidR="001B341F" w:rsidRPr="00C4043A" w:rsidRDefault="001B341F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EAAAFC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E81DA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4B86F26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CCE4E" w14:textId="77777777" w:rsidR="001B341F" w:rsidRPr="00C4043A" w:rsidRDefault="001B341F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B341F" w:rsidRPr="00C4043A" w14:paraId="700A4D7E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F40143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FE1309F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30FF7" w14:textId="77777777" w:rsidR="001B341F" w:rsidRPr="00C4043A" w:rsidRDefault="001B341F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F584627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834B0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5A1AC8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23222" w14:textId="77777777" w:rsidR="001B341F" w:rsidRPr="00C4043A" w:rsidRDefault="001B341F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1B341F" w:rsidRPr="00C4043A" w14:paraId="0D23EB4B" w14:textId="77777777" w:rsidTr="006109C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4BC073" w14:textId="77777777" w:rsidR="001B341F" w:rsidRPr="00C4043A" w:rsidRDefault="001B341F" w:rsidP="006109C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22E859" w14:textId="77777777" w:rsidR="001B341F" w:rsidRPr="00C4043A" w:rsidRDefault="001B341F" w:rsidP="006109C9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87FBD" w14:textId="77777777" w:rsidR="001B341F" w:rsidRPr="00C4043A" w:rsidRDefault="001B341F" w:rsidP="006109C9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95498" w14:textId="77777777" w:rsidR="001B341F" w:rsidRPr="00C4043A" w:rsidRDefault="001B341F" w:rsidP="006109C9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F2A61" w14:textId="77777777" w:rsidR="001B341F" w:rsidRPr="00C4043A" w:rsidRDefault="001B341F" w:rsidP="006109C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998F1" w14:textId="77777777" w:rsidR="001B341F" w:rsidRPr="00C4043A" w:rsidRDefault="001B341F" w:rsidP="006109C9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BD16E3" w14:textId="77777777" w:rsidR="001B341F" w:rsidRPr="00C4043A" w:rsidRDefault="001B341F" w:rsidP="006109C9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1B341F" w:rsidRPr="00C4043A" w14:paraId="76C14301" w14:textId="77777777" w:rsidTr="006109C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6065425" w14:textId="77777777" w:rsidR="001B341F" w:rsidRPr="00C4043A" w:rsidRDefault="001B341F" w:rsidP="006109C9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BD6D640" w14:textId="77777777" w:rsidR="001B341F" w:rsidRPr="00C4043A" w:rsidRDefault="001B341F" w:rsidP="006109C9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E621AD" w14:textId="77777777" w:rsidR="001B341F" w:rsidRPr="00C4043A" w:rsidRDefault="001B341F" w:rsidP="006109C9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6A6CE2C" w14:textId="77777777" w:rsidR="001B341F" w:rsidRPr="00C4043A" w:rsidRDefault="001B341F" w:rsidP="006109C9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07693" w14:textId="77777777" w:rsidR="001B341F" w:rsidRPr="00C4043A" w:rsidRDefault="001B341F" w:rsidP="006109C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C11EAB3" w14:textId="77777777" w:rsidR="001B341F" w:rsidRPr="00C4043A" w:rsidRDefault="001B341F" w:rsidP="006109C9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65B443" w14:textId="77777777" w:rsidR="001B341F" w:rsidRPr="00C4043A" w:rsidRDefault="001B341F" w:rsidP="006109C9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1B341F" w:rsidRPr="00C4043A" w14:paraId="0EEF0C5E" w14:textId="77777777" w:rsidTr="006109C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F34874E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D37A49C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2D673" w14:textId="77777777" w:rsidR="001B341F" w:rsidRPr="00C4043A" w:rsidRDefault="001B341F" w:rsidP="006109C9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9FB8D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44123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93D1A7" w14:textId="77777777" w:rsidR="001B341F" w:rsidRPr="00C4043A" w:rsidRDefault="001B341F" w:rsidP="006109C9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C9C3" w14:textId="77777777" w:rsidR="001B341F" w:rsidRPr="00C4043A" w:rsidRDefault="001B341F" w:rsidP="006109C9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p w14:paraId="03BA336A" w14:textId="77777777" w:rsidR="001B341F" w:rsidRPr="00C4043A" w:rsidRDefault="001B341F" w:rsidP="001B341F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341F" w:rsidRPr="00C4043A" w14:paraId="25BF5362" w14:textId="77777777" w:rsidTr="006109C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532501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Poznámky</w:t>
            </w:r>
          </w:p>
        </w:tc>
      </w:tr>
      <w:tr w:rsidR="001B341F" w:rsidRPr="00C4043A" w14:paraId="409260EA" w14:textId="77777777" w:rsidTr="006109C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9D09" w14:textId="77777777" w:rsidR="001B341F" w:rsidRPr="00C4043A" w:rsidRDefault="001B341F" w:rsidP="006109C9">
            <w:pPr>
              <w:tabs>
                <w:tab w:val="left" w:pos="708"/>
              </w:tabs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Návrh zákona má pozitívne sociálne vplyvy</w:t>
            </w:r>
            <w:r>
              <w:rPr>
                <w:rFonts w:ascii="Palatino Linotype" w:eastAsia="Times New Roman" w:hAnsi="Palatino Linotype" w:cs="Times New Roman"/>
              </w:rPr>
              <w:t>, pozitívny vplyv na manželstvo, rodičovstvo a rodinu, pozitívny vplyv na rozpočet SR ako aj miest a </w:t>
            </w:r>
            <w:proofErr w:type="spellStart"/>
            <w:r>
              <w:rPr>
                <w:rFonts w:ascii="Palatino Linotype" w:eastAsia="Times New Roman" w:hAnsi="Palatino Linotype" w:cs="Times New Roman"/>
              </w:rPr>
              <w:t>obncí</w:t>
            </w:r>
            <w:proofErr w:type="spellEnd"/>
            <w:r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a nepriamo aj pozitívne vplyvy na služby verejnej správy pre občana. Návrh zákona nemá žiaden vplyv podnikateľské prostredie, rozpočet verejnej správy, informatizáciu spoločnosti a na životné  prostredie. </w:t>
            </w:r>
          </w:p>
          <w:p w14:paraId="580B3238" w14:textId="77777777" w:rsidR="001B341F" w:rsidRPr="00C4043A" w:rsidRDefault="001B341F" w:rsidP="006109C9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1B341F" w:rsidRPr="00C4043A" w14:paraId="7D15ED61" w14:textId="77777777" w:rsidTr="006109C9">
        <w:tc>
          <w:tcPr>
            <w:tcW w:w="9176" w:type="dxa"/>
          </w:tcPr>
          <w:p w14:paraId="4A9CD14A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 xml:space="preserve">Kontakt na spracovateľa/súčinnosť </w:t>
            </w:r>
          </w:p>
        </w:tc>
      </w:tr>
      <w:tr w:rsidR="001B341F" w:rsidRPr="00C4043A" w14:paraId="799E7276" w14:textId="77777777" w:rsidTr="006109C9">
        <w:trPr>
          <w:trHeight w:val="586"/>
        </w:trPr>
        <w:tc>
          <w:tcPr>
            <w:tcW w:w="9176" w:type="dxa"/>
          </w:tcPr>
          <w:p w14:paraId="4D4098D9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Navrhovateľ spracoval návrh zákona v súčinnosti s odbornými tímami Kresťanskodemokratického hnutia.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        </w:t>
            </w:r>
          </w:p>
          <w:p w14:paraId="4234AB5A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i/>
              </w:rPr>
            </w:pPr>
          </w:p>
        </w:tc>
      </w:tr>
      <w:tr w:rsidR="001B341F" w:rsidRPr="00C4043A" w14:paraId="04F50500" w14:textId="77777777" w:rsidTr="006109C9">
        <w:tc>
          <w:tcPr>
            <w:tcW w:w="9176" w:type="dxa"/>
          </w:tcPr>
          <w:p w14:paraId="4E99FFBE" w14:textId="77777777" w:rsidR="001B341F" w:rsidRPr="00C4043A" w:rsidRDefault="001B341F" w:rsidP="001B341F">
            <w:pPr>
              <w:numPr>
                <w:ilvl w:val="0"/>
                <w:numId w:val="1"/>
              </w:numPr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Stanovisko gestorov</w:t>
            </w:r>
          </w:p>
        </w:tc>
      </w:tr>
      <w:tr w:rsidR="001B341F" w:rsidRPr="00C4043A" w14:paraId="5846E3A9" w14:textId="77777777" w:rsidTr="006109C9">
        <w:trPr>
          <w:trHeight w:val="401"/>
        </w:trPr>
        <w:tc>
          <w:tcPr>
            <w:tcW w:w="9176" w:type="dxa"/>
          </w:tcPr>
          <w:p w14:paraId="46CD96D5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</w:rPr>
              <w:t>Stanovisko Ministerstva financií SR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priložené</w:t>
            </w:r>
          </w:p>
          <w:p w14:paraId="58204E4E" w14:textId="77777777" w:rsidR="001B341F" w:rsidRPr="00C4043A" w:rsidRDefault="001B341F" w:rsidP="006109C9">
            <w:pPr>
              <w:jc w:val="both"/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</w:rPr>
              <w:t xml:space="preserve">Stanovisko Ministerstva hospodárstva SR                                         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priložené</w:t>
            </w:r>
          </w:p>
          <w:p w14:paraId="6A68F9E0" w14:textId="77777777" w:rsidR="001B341F" w:rsidRPr="00C4043A" w:rsidRDefault="001B341F" w:rsidP="006109C9">
            <w:pPr>
              <w:rPr>
                <w:rFonts w:ascii="Palatino Linotype" w:eastAsia="Times New Roman" w:hAnsi="Palatino Linotype" w:cs="Times New Roman"/>
                <w:bCs/>
                <w:i/>
                <w:iCs/>
              </w:rPr>
            </w:pPr>
          </w:p>
        </w:tc>
      </w:tr>
    </w:tbl>
    <w:p w14:paraId="3298A9B4" w14:textId="77777777" w:rsidR="001B341F" w:rsidRPr="00B14A4C" w:rsidRDefault="001B341F" w:rsidP="001B341F">
      <w:pPr>
        <w:rPr>
          <w:rFonts w:ascii="Book Antiqua" w:hAnsi="Book Antiqua" w:cs="Book Antiqua"/>
          <w:b/>
          <w:bCs/>
          <w:caps/>
          <w:spacing w:val="30"/>
        </w:rPr>
      </w:pPr>
    </w:p>
    <w:p w14:paraId="51C3BF31" w14:textId="77777777" w:rsidR="00D9786F" w:rsidRDefault="00D9786F"/>
    <w:sectPr w:rsidR="00D9786F" w:rsidSect="001B341F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Content>
      <w:p w14:paraId="25B33A08" w14:textId="77777777" w:rsidR="001B341F" w:rsidRDefault="001B341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7C5FE00" w14:textId="77777777" w:rsidR="001B341F" w:rsidRDefault="001B341F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1593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1F"/>
    <w:rsid w:val="001B341F"/>
    <w:rsid w:val="002B55CB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ACF6"/>
  <w15:chartTrackingRefBased/>
  <w15:docId w15:val="{93AC83F6-1B86-4B27-8824-81007B76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1F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1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1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34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34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34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341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34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341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341F"/>
    <w:rPr>
      <w:b/>
      <w:bCs/>
      <w:smallCaps/>
      <w:color w:val="2E74B5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1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341F"/>
    <w:rPr>
      <w:rFonts w:ascii="Calibri" w:eastAsia="Calibri" w:hAnsi="Calibri" w:cs="Calibri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1B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DocSecurity>0</DocSecurity>
  <Lines>24</Lines>
  <Paragraphs>6</Paragraphs>
  <ScaleCrop>false</ScaleCrop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2026-03-27T15:39:00Z</dcterms:created>
  <dcterms:modified xsi:type="dcterms:W3CDTF">2026-03-27T15:39:00Z</dcterms:modified>
</cp:coreProperties>
</file>