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7D62" w14:textId="77777777" w:rsidR="00BC2CBD" w:rsidRPr="00C4043A" w:rsidRDefault="00BC2CBD" w:rsidP="00BC2CB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>DÔVODOVÁ SPRÁVA</w:t>
      </w:r>
    </w:p>
    <w:p w14:paraId="0B0C0061" w14:textId="77777777" w:rsidR="00BC2CBD" w:rsidRPr="00C4043A" w:rsidRDefault="00BC2CBD" w:rsidP="00BC2CB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667752BE" w14:textId="77777777" w:rsidR="00BC2CBD" w:rsidRPr="00C4043A" w:rsidRDefault="00BC2CBD" w:rsidP="00BC2CB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 xml:space="preserve">A. VŠEOBECNÁ ČASŤ </w:t>
      </w:r>
    </w:p>
    <w:p w14:paraId="0AAE2422" w14:textId="77777777" w:rsidR="00BC2CBD" w:rsidRPr="00C4043A" w:rsidRDefault="00BC2CBD" w:rsidP="00BC2CBD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55ACEF69" w14:textId="77777777" w:rsidR="00BC2CBD" w:rsidRDefault="00BC2CBD" w:rsidP="00BC2CBD">
      <w:pPr>
        <w:tabs>
          <w:tab w:val="left" w:pos="1095"/>
        </w:tabs>
        <w:spacing w:before="120" w:after="120" w:line="276" w:lineRule="auto"/>
        <w:jc w:val="both"/>
        <w:rPr>
          <w:rFonts w:ascii="Palatino Linotype" w:eastAsia="Times New Roman" w:hAnsi="Palatino Linotype" w:cs="Times New Roman"/>
        </w:rPr>
      </w:pPr>
      <w:bookmarkStart w:id="0" w:name="_Hlk112060754"/>
      <w:bookmarkStart w:id="1" w:name="_Hlk118722197"/>
      <w:r w:rsidRPr="00C95AD7">
        <w:rPr>
          <w:rFonts w:ascii="Palatino Linotype" w:eastAsia="Times New Roman" w:hAnsi="Palatino Linotype" w:cs="Times New Roman"/>
        </w:rPr>
        <w:t>Návrh zákona</w:t>
      </w:r>
      <w:bookmarkEnd w:id="0"/>
      <w:r>
        <w:rPr>
          <w:rFonts w:ascii="Palatino Linotype" w:eastAsia="Times New Roman" w:hAnsi="Palatino Linotype" w:cs="Times New Roman"/>
        </w:rPr>
        <w:t xml:space="preserve">, ktorým sa </w:t>
      </w:r>
      <w:r w:rsidRPr="00C95AD7">
        <w:rPr>
          <w:rFonts w:ascii="Palatino Linotype" w:eastAsia="Times New Roman" w:hAnsi="Palatino Linotype" w:cs="Times New Roman"/>
        </w:rPr>
        <w:t xml:space="preserve">dopĺňa zákon </w:t>
      </w:r>
      <w:r>
        <w:rPr>
          <w:rFonts w:ascii="Palatino Linotype" w:eastAsia="Times New Roman" w:hAnsi="Palatino Linotype" w:cs="Times New Roman"/>
        </w:rPr>
        <w:t>č. 30/2019 Z. z.</w:t>
      </w:r>
      <w:r w:rsidRPr="00C95AD7">
        <w:rPr>
          <w:rFonts w:ascii="Palatino Linotype" w:eastAsia="Times New Roman" w:hAnsi="Palatino Linotype" w:cs="Times New Roman"/>
        </w:rPr>
        <w:t xml:space="preserve"> o hazardných hrách a o zmene a doplnení niektorých zákonov (ďalej len „návrh zákona“) predkladajú poslanci Národnej rady Slovenskej republiky Marián ČAUČÍK, </w:t>
      </w:r>
      <w:r w:rsidRPr="004D7D42">
        <w:rPr>
          <w:rFonts w:ascii="Palatino Linotype" w:eastAsia="Times New Roman" w:hAnsi="Palatino Linotype" w:cs="Times New Roman"/>
        </w:rPr>
        <w:t>Andrea TURČANOVÁ, Branislav ŠKRÍPEK a Jozef HAJKO</w:t>
      </w:r>
      <w:r>
        <w:rPr>
          <w:rFonts w:ascii="Palatino Linotype" w:eastAsia="Times New Roman" w:hAnsi="Palatino Linotype" w:cs="Times New Roman"/>
        </w:rPr>
        <w:t>.</w:t>
      </w:r>
    </w:p>
    <w:p w14:paraId="66697EC9" w14:textId="77777777" w:rsidR="00BC2CBD" w:rsidRPr="00F632D4" w:rsidRDefault="00BC2CBD" w:rsidP="00BC2CBD">
      <w:pPr>
        <w:tabs>
          <w:tab w:val="left" w:pos="1095"/>
        </w:tabs>
        <w:spacing w:before="120" w:after="120" w:line="276" w:lineRule="auto"/>
        <w:jc w:val="both"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Navrhovaná úprava</w:t>
      </w:r>
      <w:r w:rsidRPr="00F632D4">
        <w:rPr>
          <w:rFonts w:ascii="Palatino Linotype" w:eastAsia="Times New Roman" w:hAnsi="Palatino Linotype" w:cs="Times New Roman"/>
        </w:rPr>
        <w:t xml:space="preserve"> obsahuje dve vzájomne prepojené opatrenia na posilnenie ochrany spotrebiteľov a prevencie patologického hráčstva:</w:t>
      </w:r>
    </w:p>
    <w:p w14:paraId="7831D795" w14:textId="77777777" w:rsidR="00BC2CBD" w:rsidRPr="00F632D4" w:rsidRDefault="00BC2CBD" w:rsidP="00BC2CBD">
      <w:pPr>
        <w:tabs>
          <w:tab w:val="left" w:pos="1095"/>
        </w:tabs>
        <w:spacing w:before="120" w:after="120" w:line="276" w:lineRule="auto"/>
        <w:jc w:val="both"/>
        <w:rPr>
          <w:rFonts w:ascii="Palatino Linotype" w:eastAsia="Times New Roman" w:hAnsi="Palatino Linotype" w:cs="Times New Roman"/>
        </w:rPr>
      </w:pPr>
      <w:r w:rsidRPr="00F632D4">
        <w:rPr>
          <w:rFonts w:ascii="Palatino Linotype" w:eastAsia="Times New Roman" w:hAnsi="Palatino Linotype" w:cs="Times New Roman"/>
        </w:rPr>
        <w:t xml:space="preserve">a) zavedenie výslovného zákazu poskytovania tzv. </w:t>
      </w:r>
      <w:proofErr w:type="spellStart"/>
      <w:r w:rsidRPr="00F632D4">
        <w:rPr>
          <w:rFonts w:ascii="Palatino Linotype" w:eastAsia="Times New Roman" w:hAnsi="Palatino Linotype" w:cs="Times New Roman"/>
        </w:rPr>
        <w:t>freespinov</w:t>
      </w:r>
      <w:proofErr w:type="spellEnd"/>
      <w:r w:rsidRPr="00F632D4">
        <w:rPr>
          <w:rFonts w:ascii="Palatino Linotype" w:eastAsia="Times New Roman" w:hAnsi="Palatino Linotype" w:cs="Times New Roman"/>
        </w:rPr>
        <w:t xml:space="preserve"> (voľných zatočení) a iných mechanizmov bezodplatnej účasti v hazardnej hre,</w:t>
      </w:r>
    </w:p>
    <w:p w14:paraId="2B2864EB" w14:textId="77777777" w:rsidR="00BC2CBD" w:rsidRDefault="00BC2CBD" w:rsidP="00BC2CBD">
      <w:pPr>
        <w:tabs>
          <w:tab w:val="left" w:pos="1095"/>
        </w:tabs>
        <w:spacing w:before="120" w:after="120" w:line="276" w:lineRule="auto"/>
        <w:jc w:val="both"/>
        <w:rPr>
          <w:rFonts w:ascii="Palatino Linotype" w:eastAsia="Times New Roman" w:hAnsi="Palatino Linotype" w:cs="Times New Roman"/>
        </w:rPr>
      </w:pPr>
      <w:r w:rsidRPr="00F632D4">
        <w:rPr>
          <w:rFonts w:ascii="Palatino Linotype" w:eastAsia="Times New Roman" w:hAnsi="Palatino Linotype" w:cs="Times New Roman"/>
        </w:rPr>
        <w:t>b) zavedenie povinnosti prevádzkovateľov hazardných hier zasielať hráčom raz mesačne výpis z hráčskeho konta, ktorý bude obsahovať súhrn vložených finančných prostriedkov, dosiahnutých výhier a čistý rozdiel medzi nimi.</w:t>
      </w:r>
    </w:p>
    <w:p w14:paraId="47B45387" w14:textId="77777777" w:rsidR="00BC2CBD" w:rsidRDefault="00BC2CBD" w:rsidP="00BC2CBD">
      <w:pPr>
        <w:tabs>
          <w:tab w:val="left" w:pos="1095"/>
        </w:tabs>
        <w:spacing w:before="120" w:after="120" w:line="276" w:lineRule="auto"/>
        <w:jc w:val="both"/>
        <w:rPr>
          <w:rFonts w:ascii="Palatino Linotype" w:eastAsia="Times New Roman" w:hAnsi="Palatino Linotype" w:cs="Times New Roman"/>
        </w:rPr>
      </w:pPr>
    </w:p>
    <w:p w14:paraId="6BF538CF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Ciele návrhu zákona</w:t>
      </w:r>
    </w:p>
    <w:p w14:paraId="39914414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Návrh zákona sleduje legitímny cieľ ochrany zdravia obyvateľstva a prevencie závislostí na hazardných hrách prostredníctvom:</w:t>
      </w:r>
    </w:p>
    <w:p w14:paraId="14ED75E1" w14:textId="77777777" w:rsidR="00BC2CBD" w:rsidRDefault="00BC2CBD" w:rsidP="00BC2CBD">
      <w:pPr>
        <w:pStyle w:val="Normlnywebov"/>
        <w:numPr>
          <w:ilvl w:val="0"/>
          <w:numId w:val="1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obmedzenia marketingových nástrojov, ktoré podporujú nadmerné a neuvážené hranie (</w:t>
      </w:r>
      <w:r>
        <w:rPr>
          <w:rFonts w:ascii="Palatino Linotype" w:hAnsi="Palatino Linotype"/>
          <w:sz w:val="22"/>
          <w:szCs w:val="22"/>
        </w:rPr>
        <w:t xml:space="preserve">v tomto prípade </w:t>
      </w:r>
      <w:proofErr w:type="spellStart"/>
      <w:r w:rsidRPr="00F632D4">
        <w:rPr>
          <w:rFonts w:ascii="Palatino Linotype" w:hAnsi="Palatino Linotype"/>
          <w:sz w:val="22"/>
          <w:szCs w:val="22"/>
        </w:rPr>
        <w:t>freespiny</w:t>
      </w:r>
      <w:proofErr w:type="spellEnd"/>
      <w:r w:rsidRPr="00F632D4">
        <w:rPr>
          <w:rFonts w:ascii="Palatino Linotype" w:hAnsi="Palatino Linotype"/>
          <w:sz w:val="22"/>
          <w:szCs w:val="22"/>
        </w:rPr>
        <w:t>),</w:t>
      </w:r>
    </w:p>
    <w:p w14:paraId="74CFFE92" w14:textId="77777777" w:rsidR="00BC2CBD" w:rsidRPr="00F632D4" w:rsidRDefault="00BC2CBD" w:rsidP="00BC2CBD">
      <w:pPr>
        <w:pStyle w:val="Normlnywebov"/>
        <w:numPr>
          <w:ilvl w:val="0"/>
          <w:numId w:val="1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posilnenia transparentnosti a informovanosti hráčov o ich hernej aktivite (mesačné výpisy).</w:t>
      </w:r>
    </w:p>
    <w:p w14:paraId="6A660BF7" w14:textId="77777777" w:rsidR="00BC2CBD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7E5F658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Východiská a právny rámec</w:t>
      </w:r>
    </w:p>
    <w:p w14:paraId="7C287238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 xml:space="preserve">Zákon č. 30/2019 Z. z. obsahuje základné pravidlá pre bonusy a propagáciu hazardných hier, avšak výslovne nerieši zákaz </w:t>
      </w:r>
      <w:proofErr w:type="spellStart"/>
      <w:r w:rsidRPr="00F632D4">
        <w:rPr>
          <w:rFonts w:ascii="Palatino Linotype" w:hAnsi="Palatino Linotype"/>
          <w:sz w:val="22"/>
          <w:szCs w:val="22"/>
        </w:rPr>
        <w:t>freespinov</w:t>
      </w:r>
      <w:proofErr w:type="spellEnd"/>
      <w:r w:rsidRPr="00F632D4">
        <w:rPr>
          <w:rFonts w:ascii="Palatino Linotype" w:hAnsi="Palatino Linotype"/>
          <w:sz w:val="22"/>
          <w:szCs w:val="22"/>
        </w:rPr>
        <w:t xml:space="preserve"> ani povinnosť poskytovať hráčom pravidelné finančné výpisy.</w:t>
      </w:r>
    </w:p>
    <w:p w14:paraId="36B2CFE5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 xml:space="preserve">V prípade </w:t>
      </w:r>
      <w:proofErr w:type="spellStart"/>
      <w:r w:rsidRPr="00F632D4">
        <w:rPr>
          <w:rFonts w:ascii="Palatino Linotype" w:hAnsi="Palatino Linotype"/>
          <w:sz w:val="22"/>
          <w:szCs w:val="22"/>
        </w:rPr>
        <w:t>freespinov</w:t>
      </w:r>
      <w:proofErr w:type="spellEnd"/>
      <w:r w:rsidRPr="00F632D4">
        <w:rPr>
          <w:rFonts w:ascii="Palatino Linotype" w:hAnsi="Palatino Linotype"/>
          <w:sz w:val="22"/>
          <w:szCs w:val="22"/>
        </w:rPr>
        <w:t xml:space="preserve"> sa ukazuje, že ide o nástroj, ktorý zvyšuje expozíciu hazardnému správaniu tým, že hráčovi umožňuje pokračovať v hre bez vlastného vkladu, čím sa predlžuje čas hrania a zvyšuje riziko závislosti.</w:t>
      </w:r>
    </w:p>
    <w:p w14:paraId="04DE6048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V prípade mesačných výpisov ide o preventívny nástroj, ktorý má hráčom poskytnúť jasný prehľad o ich hazardnej aktivite a podporiť informované rozhodovanie. Podobné mechanizmy sú zavedené v niektorých štátoch EÚ (napr. Švédsko, Dánsko, Holandsko).</w:t>
      </w:r>
    </w:p>
    <w:p w14:paraId="622066B2" w14:textId="77777777" w:rsidR="00BC2CBD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010B1E1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lastRenderedPageBreak/>
        <w:t>Verejný záujem a ústavný rámec</w:t>
      </w:r>
    </w:p>
    <w:p w14:paraId="6B84B7D6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Návrh zákona je v súlade s článkom 40 Ústavy Slovenskej republiky (právo na ochranu zdravia) a článkom 35 ods. 3 Ústavy Slovenskej republiky (možnosť obmedziť podnikateľskú činnosť zákonom, ak je to nevyhnutné na ochranu zdravia, bezpečnosti a mravnosti).</w:t>
      </w:r>
    </w:p>
    <w:p w14:paraId="5D8D884C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Obe opatrenia predstavujú primerané obmedzenie podnikateľskej slobody prevádzkovateľov hazardných hier – nevylučujú samotné poskytovanie služieb, ale regulujú ich spôsob tak, aby sa minimalizovali negatívne spoločenské dôsledky hazardného hrania.</w:t>
      </w:r>
    </w:p>
    <w:p w14:paraId="19B2B9AF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88A1B87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Očakávané prínosy</w:t>
      </w:r>
    </w:p>
    <w:p w14:paraId="654F09A5" w14:textId="77777777" w:rsidR="00BC2CBD" w:rsidRDefault="00BC2CBD" w:rsidP="00BC2CBD">
      <w:pPr>
        <w:pStyle w:val="Normlnywebov"/>
        <w:numPr>
          <w:ilvl w:val="0"/>
          <w:numId w:val="1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 xml:space="preserve">zníženie motivácie k nadmernému hraniu prostredníctvom zákazu </w:t>
      </w:r>
      <w:proofErr w:type="spellStart"/>
      <w:r w:rsidRPr="00F632D4">
        <w:rPr>
          <w:rFonts w:ascii="Palatino Linotype" w:hAnsi="Palatino Linotype"/>
          <w:sz w:val="22"/>
          <w:szCs w:val="22"/>
        </w:rPr>
        <w:t>freespinov</w:t>
      </w:r>
      <w:proofErr w:type="spellEnd"/>
      <w:r w:rsidRPr="00F632D4">
        <w:rPr>
          <w:rFonts w:ascii="Palatino Linotype" w:hAnsi="Palatino Linotype"/>
          <w:sz w:val="22"/>
          <w:szCs w:val="22"/>
        </w:rPr>
        <w:t>,</w:t>
      </w:r>
    </w:p>
    <w:p w14:paraId="2431E5AC" w14:textId="77777777" w:rsidR="00BC2CBD" w:rsidRDefault="00BC2CBD" w:rsidP="00BC2CBD">
      <w:pPr>
        <w:pStyle w:val="Normlnywebov"/>
        <w:numPr>
          <w:ilvl w:val="0"/>
          <w:numId w:val="1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posilnenie prevencie a včasného uvedomenia si finančných strát zo strany hráčov,</w:t>
      </w:r>
    </w:p>
    <w:p w14:paraId="2944AC16" w14:textId="77777777" w:rsidR="00BC2CBD" w:rsidRDefault="00BC2CBD" w:rsidP="00BC2CBD">
      <w:pPr>
        <w:pStyle w:val="Normlnywebov"/>
        <w:numPr>
          <w:ilvl w:val="0"/>
          <w:numId w:val="1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zvýšenie transparentnosti a dôvery verejnosti v regulačné mechanizmy,</w:t>
      </w:r>
    </w:p>
    <w:p w14:paraId="4A8A8F19" w14:textId="77777777" w:rsidR="00BC2CBD" w:rsidRPr="00F632D4" w:rsidRDefault="00BC2CBD" w:rsidP="00BC2CBD">
      <w:pPr>
        <w:pStyle w:val="Normlnywebov"/>
        <w:numPr>
          <w:ilvl w:val="0"/>
          <w:numId w:val="1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zníženie nákladov spoločnosti spojených s liečbou patologického hráčstva.</w:t>
      </w:r>
    </w:p>
    <w:p w14:paraId="40A09A62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C4F7572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Vplyvy návrhu zákona</w:t>
      </w:r>
    </w:p>
    <w:p w14:paraId="3F597A12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Vplyv na verejné financie: Krátkodobo mierny pokles príjmov z odvodov z hazardných hier, dlhodobo pozitívny efekt v znížení výdavkov na zdravotnú a sociálnu starostlivosť.</w:t>
      </w:r>
    </w:p>
    <w:p w14:paraId="66ACCE7E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 xml:space="preserve">Vplyv na podnikateľské prostredie: Zavedenie nových povinností (zákaz </w:t>
      </w:r>
      <w:proofErr w:type="spellStart"/>
      <w:r w:rsidRPr="00F632D4">
        <w:rPr>
          <w:rFonts w:ascii="Palatino Linotype" w:hAnsi="Palatino Linotype"/>
          <w:sz w:val="22"/>
          <w:szCs w:val="22"/>
        </w:rPr>
        <w:t>freespinov</w:t>
      </w:r>
      <w:proofErr w:type="spellEnd"/>
      <w:r w:rsidRPr="00F632D4">
        <w:rPr>
          <w:rFonts w:ascii="Palatino Linotype" w:hAnsi="Palatino Linotype"/>
          <w:sz w:val="22"/>
          <w:szCs w:val="22"/>
        </w:rPr>
        <w:t>, povinnosť mesačných výpisov), ktoré si vyžiadajú úpravy informačných systémov a zmenu marketingových stratégií.</w:t>
      </w:r>
    </w:p>
    <w:p w14:paraId="0E7A9C55" w14:textId="77777777" w:rsidR="00BC2CBD" w:rsidRPr="00F632D4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Sociálne vplyvy: Výrazne pozitívne, najmä posilnenie ochrany zraniteľných skupín a zníženie rizík vzniku závislosti.</w:t>
      </w:r>
    </w:p>
    <w:p w14:paraId="10CC1337" w14:textId="77777777" w:rsidR="00BC2CBD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Vplyvy na informatizáciu: Prevádzkovatelia budú musieť upraviť svoje informačné systémy, čo bude mať technický dopad, avšak ide o štandardne zvládnuteľnú úpravu.</w:t>
      </w:r>
    </w:p>
    <w:p w14:paraId="0009F083" w14:textId="77777777" w:rsidR="00BC2CBD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85C88AA" w14:textId="77777777" w:rsidR="00BC2CBD" w:rsidRPr="00C95AD7" w:rsidRDefault="00BC2CBD" w:rsidP="00BC2CBD">
      <w:pPr>
        <w:pStyle w:val="Normlnywebov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C95AD7">
        <w:rPr>
          <w:rFonts w:ascii="Palatino Linotype" w:hAnsi="Palatino Linotype"/>
          <w:sz w:val="22"/>
          <w:szCs w:val="22"/>
        </w:rPr>
        <w:t xml:space="preserve">Zvyšovanie negatívnych dôsledkov hazardných hier na jednotlivcov a spoločnosť viedlo k rastúcemu dopytu po efektívnejších nástrojoch na obmedzenie vplyvu hazardu. </w:t>
      </w:r>
      <w:r>
        <w:rPr>
          <w:rFonts w:ascii="Palatino Linotype" w:hAnsi="Palatino Linotype"/>
          <w:sz w:val="22"/>
          <w:szCs w:val="22"/>
        </w:rPr>
        <w:t xml:space="preserve">Zavedením obmedzení týkajúceho marketingového nástroja umožňujúceho účasť na hazardnej hre bez </w:t>
      </w:r>
      <w:proofErr w:type="spellStart"/>
      <w:r>
        <w:rPr>
          <w:rFonts w:ascii="Palatino Linotype" w:hAnsi="Palatino Linotype"/>
          <w:sz w:val="22"/>
          <w:szCs w:val="22"/>
        </w:rPr>
        <w:t>protihondoty</w:t>
      </w:r>
      <w:proofErr w:type="spellEnd"/>
      <w:r>
        <w:rPr>
          <w:rFonts w:ascii="Palatino Linotype" w:hAnsi="Palatino Linotype"/>
          <w:sz w:val="22"/>
          <w:szCs w:val="22"/>
        </w:rPr>
        <w:t xml:space="preserve"> zo strany hráča len zvyšuje riziko </w:t>
      </w:r>
      <w:proofErr w:type="spellStart"/>
      <w:r>
        <w:rPr>
          <w:rFonts w:ascii="Palatino Linotype" w:hAnsi="Palatino Linotype"/>
          <w:sz w:val="22"/>
          <w:szCs w:val="22"/>
        </w:rPr>
        <w:t>vnizku</w:t>
      </w:r>
      <w:proofErr w:type="spellEnd"/>
      <w:r>
        <w:rPr>
          <w:rFonts w:ascii="Palatino Linotype" w:hAnsi="Palatino Linotype"/>
          <w:sz w:val="22"/>
          <w:szCs w:val="22"/>
        </w:rPr>
        <w:t xml:space="preserve"> závislosti na </w:t>
      </w:r>
      <w:proofErr w:type="spellStart"/>
      <w:r>
        <w:rPr>
          <w:rFonts w:ascii="Palatino Linotype" w:hAnsi="Palatino Linotype"/>
          <w:sz w:val="22"/>
          <w:szCs w:val="22"/>
        </w:rPr>
        <w:t>hazadrných</w:t>
      </w:r>
      <w:proofErr w:type="spellEnd"/>
      <w:r>
        <w:rPr>
          <w:rFonts w:ascii="Palatino Linotype" w:hAnsi="Palatino Linotype"/>
          <w:sz w:val="22"/>
          <w:szCs w:val="22"/>
        </w:rPr>
        <w:t xml:space="preserve"> hrách</w:t>
      </w:r>
      <w:r w:rsidRPr="00C95AD7">
        <w:rPr>
          <w:rFonts w:ascii="Palatino Linotype" w:hAnsi="Palatino Linotype"/>
          <w:sz w:val="22"/>
          <w:szCs w:val="22"/>
        </w:rPr>
        <w:t xml:space="preserve">. Tento krok je </w:t>
      </w:r>
      <w:r>
        <w:rPr>
          <w:rFonts w:ascii="Palatino Linotype" w:hAnsi="Palatino Linotype"/>
          <w:sz w:val="22"/>
          <w:szCs w:val="22"/>
        </w:rPr>
        <w:t xml:space="preserve">zároveň </w:t>
      </w:r>
      <w:r w:rsidRPr="00C95AD7">
        <w:rPr>
          <w:rFonts w:ascii="Palatino Linotype" w:hAnsi="Palatino Linotype"/>
          <w:sz w:val="22"/>
          <w:szCs w:val="22"/>
        </w:rPr>
        <w:t>dôležitým opatrením na zvýšenie dôvery verejnosti v regulačné mechanizmy a zabezpečenie udržateľného a zodpovedného prístupu k hazardným hrám.</w:t>
      </w:r>
    </w:p>
    <w:p w14:paraId="30F3A8A5" w14:textId="77777777" w:rsidR="00BC2CBD" w:rsidRPr="00C95AD7" w:rsidRDefault="00BC2CBD" w:rsidP="00BC2CBD">
      <w:pPr>
        <w:tabs>
          <w:tab w:val="left" w:pos="708"/>
        </w:tabs>
        <w:spacing w:after="120" w:line="276" w:lineRule="auto"/>
        <w:jc w:val="both"/>
        <w:rPr>
          <w:rFonts w:ascii="Palatino Linotype" w:eastAsia="Times New Roman" w:hAnsi="Palatino Linotype" w:cs="Times New Roman"/>
        </w:rPr>
      </w:pPr>
      <w:r w:rsidRPr="00C4043A">
        <w:rPr>
          <w:rFonts w:ascii="Palatino Linotype" w:eastAsia="Times New Roman" w:hAnsi="Palatino Linotype" w:cs="Times New Roman"/>
        </w:rPr>
        <w:t>Návrh zákona má pozitívne sociálne vplyvy a</w:t>
      </w:r>
      <w:r>
        <w:rPr>
          <w:rFonts w:ascii="Palatino Linotype" w:eastAsia="Times New Roman" w:hAnsi="Palatino Linotype" w:cs="Times New Roman"/>
        </w:rPr>
        <w:t> pozitívny vplyv na</w:t>
      </w:r>
      <w:r w:rsidRPr="00C4043A">
        <w:rPr>
          <w:rFonts w:ascii="Palatino Linotype" w:eastAsia="Times New Roman" w:hAnsi="Palatino Linotype" w:cs="Times New Roman"/>
        </w:rPr>
        <w:t xml:space="preserve"> služby verejnej správy pre občana</w:t>
      </w:r>
      <w:r>
        <w:rPr>
          <w:rFonts w:ascii="Palatino Linotype" w:eastAsia="Times New Roman" w:hAnsi="Palatino Linotype" w:cs="Times New Roman"/>
        </w:rPr>
        <w:t xml:space="preserve"> a </w:t>
      </w:r>
      <w:r w:rsidRPr="00C4043A">
        <w:rPr>
          <w:rFonts w:ascii="Palatino Linotype" w:eastAsia="Times New Roman" w:hAnsi="Palatino Linotype" w:cs="Times New Roman"/>
        </w:rPr>
        <w:t>na manželstvo, rodičovstvo a rodinu. N</w:t>
      </w:r>
      <w:r>
        <w:rPr>
          <w:rFonts w:ascii="Palatino Linotype" w:eastAsia="Times New Roman" w:hAnsi="Palatino Linotype" w:cs="Times New Roman"/>
        </w:rPr>
        <w:t xml:space="preserve">ávrh zákona </w:t>
      </w:r>
      <w:r w:rsidRPr="00C4043A">
        <w:rPr>
          <w:rFonts w:ascii="Palatino Linotype" w:eastAsia="Times New Roman" w:hAnsi="Palatino Linotype" w:cs="Times New Roman"/>
        </w:rPr>
        <w:t xml:space="preserve">má </w:t>
      </w:r>
      <w:r>
        <w:rPr>
          <w:rFonts w:ascii="Palatino Linotype" w:eastAsia="Times New Roman" w:hAnsi="Palatino Linotype" w:cs="Times New Roman"/>
        </w:rPr>
        <w:t>mierne negatívny vplyv na úzky segment p</w:t>
      </w:r>
      <w:r w:rsidRPr="00C4043A">
        <w:rPr>
          <w:rFonts w:ascii="Palatino Linotype" w:eastAsia="Times New Roman" w:hAnsi="Palatino Linotype" w:cs="Times New Roman"/>
        </w:rPr>
        <w:t>odnikateľské</w:t>
      </w:r>
      <w:r>
        <w:rPr>
          <w:rFonts w:ascii="Palatino Linotype" w:eastAsia="Times New Roman" w:hAnsi="Palatino Linotype" w:cs="Times New Roman"/>
        </w:rPr>
        <w:t>ho prostredia</w:t>
      </w:r>
      <w:r w:rsidRPr="00C4043A">
        <w:rPr>
          <w:rFonts w:ascii="Palatino Linotype" w:eastAsia="Times New Roman" w:hAnsi="Palatino Linotype" w:cs="Times New Roman"/>
        </w:rPr>
        <w:t xml:space="preserve">, </w:t>
      </w:r>
      <w:r>
        <w:rPr>
          <w:rFonts w:ascii="Palatino Linotype" w:eastAsia="Times New Roman" w:hAnsi="Palatino Linotype" w:cs="Times New Roman"/>
        </w:rPr>
        <w:t>krátkodobo negatívny no stredno-a dlhodobo pozitívny vplyv na rozpočet verejnej správy a žiaden vplyv na</w:t>
      </w:r>
      <w:r w:rsidRPr="00C4043A">
        <w:rPr>
          <w:rFonts w:ascii="Palatino Linotype" w:eastAsia="Times New Roman" w:hAnsi="Palatino Linotype" w:cs="Times New Roman"/>
        </w:rPr>
        <w:t xml:space="preserve"> informatizáciu spoločnosti a životné  prostredie. </w:t>
      </w:r>
    </w:p>
    <w:p w14:paraId="0E997CA2" w14:textId="77777777" w:rsidR="00BC2CBD" w:rsidRPr="00C4043A" w:rsidRDefault="00BC2CBD" w:rsidP="00BC2CBD">
      <w:pPr>
        <w:shd w:val="clear" w:color="auto" w:fill="FFFFFF"/>
        <w:spacing w:after="120" w:line="276" w:lineRule="auto"/>
        <w:jc w:val="both"/>
        <w:rPr>
          <w:rFonts w:ascii="Palatino Linotype" w:eastAsia="Times New Roman" w:hAnsi="Palatino Linotype" w:cs="Open Sans"/>
        </w:rPr>
      </w:pPr>
      <w:r w:rsidRPr="00C4043A">
        <w:rPr>
          <w:rFonts w:ascii="Palatino Linotype" w:eastAsia="Times New Roman" w:hAnsi="Palatino Linotype" w:cs="Times New Roman"/>
        </w:rPr>
        <w:t>Návrh zákona je v súlade s Ústavou Slovenskej republiky, ústavnými zákonmi a nálezmi Ústavného súdu Slovenskej republiky, medzinárodnými zmluvami a medzinárodnými dokumentmi, ktorými je Slovenská republika viazaná, zákonmi a s právom Európskej únie.</w:t>
      </w:r>
    </w:p>
    <w:bookmarkEnd w:id="1"/>
    <w:p w14:paraId="314F0714" w14:textId="77777777" w:rsidR="00BC2CBD" w:rsidRPr="00C4043A" w:rsidRDefault="00BC2CBD" w:rsidP="00BC2CB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3FCF54E5" w14:textId="77777777" w:rsidR="00BC2CBD" w:rsidRDefault="00BC2CBD" w:rsidP="00BC2CB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FF8ABBD" w14:textId="77777777" w:rsidR="00BC2CBD" w:rsidRDefault="00BC2CBD" w:rsidP="00BC2CBD">
      <w:pPr>
        <w:rPr>
          <w:rFonts w:ascii="Palatino Linotype" w:eastAsia="Times New Roman" w:hAnsi="Palatino Linotype" w:cs="Times New Roman"/>
          <w:b/>
          <w:color w:val="000000"/>
        </w:rPr>
      </w:pPr>
      <w:r>
        <w:rPr>
          <w:rFonts w:ascii="Palatino Linotype" w:eastAsia="Times New Roman" w:hAnsi="Palatino Linotype" w:cs="Times New Roman"/>
          <w:b/>
          <w:color w:val="000000"/>
        </w:rPr>
        <w:br w:type="page"/>
      </w:r>
    </w:p>
    <w:p w14:paraId="51E11D45" w14:textId="77777777" w:rsidR="00BC2CBD" w:rsidRPr="00C4043A" w:rsidRDefault="00BC2CBD" w:rsidP="00BC2CB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>B. OSOBITNÁ ČASŤ</w:t>
      </w:r>
    </w:p>
    <w:p w14:paraId="442CAEF7" w14:textId="77777777" w:rsidR="00BC2CBD" w:rsidRPr="00C4043A" w:rsidRDefault="00BC2CBD" w:rsidP="00BC2CB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1411DD7" w14:textId="77777777" w:rsidR="00BC2CBD" w:rsidRPr="00C4043A" w:rsidRDefault="00BC2CBD" w:rsidP="00BC2CB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>K Čl. I</w:t>
      </w:r>
    </w:p>
    <w:p w14:paraId="3A2267FE" w14:textId="77777777" w:rsidR="00BC2CBD" w:rsidRPr="004D7D42" w:rsidRDefault="00BC2CBD" w:rsidP="00BC2CBD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  <w:u w:val="single"/>
        </w:rPr>
      </w:pPr>
      <w:r w:rsidRPr="004D7D42">
        <w:rPr>
          <w:rFonts w:ascii="Palatino Linotype" w:eastAsia="Times New Roman" w:hAnsi="Palatino Linotype" w:cs="Times New Roman"/>
          <w:color w:val="000000"/>
          <w:u w:val="single"/>
        </w:rPr>
        <w:t>K čl. I (§ 14 ods. 23 a 24)</w:t>
      </w:r>
    </w:p>
    <w:p w14:paraId="54FC5F87" w14:textId="77777777" w:rsidR="00BC2CBD" w:rsidRPr="00C24F12" w:rsidRDefault="00BC2CBD" w:rsidP="00BC2CBD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632D4">
        <w:rPr>
          <w:rFonts w:ascii="Palatino Linotype" w:eastAsia="Times New Roman" w:hAnsi="Palatino Linotype" w:cs="Times New Roman"/>
          <w:color w:val="000000"/>
        </w:rPr>
        <w:t xml:space="preserve">Doplnením nových odsekov do zákona sa výslovne zakazuje poskytovanie voľných </w:t>
      </w:r>
      <w:r>
        <w:rPr>
          <w:rFonts w:ascii="Palatino Linotype" w:eastAsia="Times New Roman" w:hAnsi="Palatino Linotype" w:cs="Times New Roman"/>
          <w:color w:val="000000"/>
        </w:rPr>
        <w:t xml:space="preserve">kôl (resp. </w:t>
      </w:r>
      <w:r w:rsidRPr="00F632D4">
        <w:rPr>
          <w:rFonts w:ascii="Palatino Linotype" w:eastAsia="Times New Roman" w:hAnsi="Palatino Linotype" w:cs="Times New Roman"/>
          <w:color w:val="000000"/>
        </w:rPr>
        <w:t xml:space="preserve">zatočení </w:t>
      </w:r>
      <w:r>
        <w:rPr>
          <w:rFonts w:ascii="Palatino Linotype" w:eastAsia="Times New Roman" w:hAnsi="Palatino Linotype" w:cs="Times New Roman"/>
          <w:color w:val="000000"/>
        </w:rPr>
        <w:t xml:space="preserve">alebo </w:t>
      </w:r>
      <w:proofErr w:type="spellStart"/>
      <w:r w:rsidRPr="004D7D42">
        <w:rPr>
          <w:rFonts w:ascii="Palatino Linotype" w:eastAsia="Times New Roman" w:hAnsi="Palatino Linotype" w:cs="Times New Roman"/>
          <w:i/>
          <w:color w:val="000000"/>
        </w:rPr>
        <w:t>freespinov</w:t>
      </w:r>
      <w:proofErr w:type="spellEnd"/>
      <w:r w:rsidRPr="00F632D4">
        <w:rPr>
          <w:rFonts w:ascii="Palatino Linotype" w:eastAsia="Times New Roman" w:hAnsi="Palatino Linotype" w:cs="Times New Roman"/>
          <w:color w:val="000000"/>
        </w:rPr>
        <w:t>) a iných bezodplatných herných kôl v akejkoľvek forme. Zákaz sa vzťahuje na všetky druhy hazardných hier a je formulovaný široko, aby sa predišlo obchádzaniu prostredníctvom iných označení. Pri internetových hrách sa osobitne zakazuje aj poskytovanie týchto mechanizmov ako súčasti marketingových a vernostných programov.</w:t>
      </w:r>
    </w:p>
    <w:p w14:paraId="70E9A4B1" w14:textId="77777777" w:rsidR="00BC2CBD" w:rsidRPr="00C24F12" w:rsidRDefault="00BC2CBD" w:rsidP="00BC2CBD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4E6014A8" w14:textId="77777777" w:rsidR="00BC2CBD" w:rsidRPr="004D7D42" w:rsidRDefault="00BC2CBD" w:rsidP="00BC2CBD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  <w:u w:val="single"/>
        </w:rPr>
      </w:pPr>
      <w:r w:rsidRPr="004D7D42">
        <w:rPr>
          <w:rFonts w:ascii="Palatino Linotype" w:eastAsia="Times New Roman" w:hAnsi="Palatino Linotype" w:cs="Times New Roman"/>
          <w:color w:val="000000"/>
          <w:u w:val="single"/>
        </w:rPr>
        <w:t>K čl. I (§ 14 ods. 25 a 26)</w:t>
      </w:r>
    </w:p>
    <w:p w14:paraId="570562B2" w14:textId="77777777" w:rsidR="00BC2CBD" w:rsidRPr="00C24F12" w:rsidRDefault="00BC2CBD" w:rsidP="00BC2CBD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632D4">
        <w:rPr>
          <w:rFonts w:ascii="Palatino Linotype" w:eastAsia="Times New Roman" w:hAnsi="Palatino Linotype" w:cs="Times New Roman"/>
          <w:color w:val="000000"/>
        </w:rPr>
        <w:t>Prevádzkovateľ hazardnej hry je povinný raz mesačne zaslať hráčovi výpis z jeho hráčskeho konta, ktorý obsahuje prehľad vkladov, výhier a čistého rozdielu. Výpis musí byť prehľadný a doplnený o upozornenie na riziká hazardu a kontakty na odbornú pomoc. Úprava zabezpečí, aby hráči mali jasný prehľad o svojej finančnej bilancii, čo podporí ich zodpovedné rozhodovanie.</w:t>
      </w:r>
    </w:p>
    <w:p w14:paraId="04A83590" w14:textId="77777777" w:rsidR="00BC2CBD" w:rsidRPr="004D7D42" w:rsidRDefault="00BC2CBD" w:rsidP="00BC2CBD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4D7D42">
        <w:rPr>
          <w:rFonts w:ascii="Palatino Linotype" w:eastAsia="Times New Roman" w:hAnsi="Palatino Linotype" w:cs="Times New Roman"/>
          <w:b/>
          <w:color w:val="000000"/>
        </w:rPr>
        <w:t>K čl. II</w:t>
      </w:r>
    </w:p>
    <w:p w14:paraId="441B8232" w14:textId="77777777" w:rsidR="00BC2CBD" w:rsidRPr="00C4043A" w:rsidRDefault="00BC2CBD" w:rsidP="00BC2CBD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</w:rPr>
      </w:pPr>
      <w:r w:rsidRPr="00C4043A">
        <w:rPr>
          <w:rFonts w:ascii="Palatino Linotype" w:eastAsia="Times New Roman" w:hAnsi="Palatino Linotype" w:cs="Times New Roman"/>
          <w:color w:val="000000"/>
        </w:rPr>
        <w:t>Navrhuje sa účinnosť návrhu zákona</w:t>
      </w:r>
      <w:r w:rsidRPr="00C4043A">
        <w:rPr>
          <w:rFonts w:ascii="Palatino Linotype" w:eastAsia="Times New Roman" w:hAnsi="Palatino Linotype" w:cs="Times New Roman"/>
        </w:rPr>
        <w:t xml:space="preserve"> od 1. </w:t>
      </w:r>
      <w:r>
        <w:rPr>
          <w:rFonts w:ascii="Palatino Linotype" w:eastAsia="Times New Roman" w:hAnsi="Palatino Linotype" w:cs="Times New Roman"/>
        </w:rPr>
        <w:t xml:space="preserve">septembra </w:t>
      </w:r>
      <w:r w:rsidRPr="00C4043A">
        <w:rPr>
          <w:rFonts w:ascii="Palatino Linotype" w:eastAsia="Times New Roman" w:hAnsi="Palatino Linotype" w:cs="Times New Roman"/>
        </w:rPr>
        <w:t>202</w:t>
      </w:r>
      <w:r>
        <w:rPr>
          <w:rFonts w:ascii="Palatino Linotype" w:eastAsia="Times New Roman" w:hAnsi="Palatino Linotype" w:cs="Times New Roman"/>
        </w:rPr>
        <w:t>6</w:t>
      </w:r>
      <w:r>
        <w:rPr>
          <w:rFonts w:ascii="Palatino Linotype" w:eastAsia="Times New Roman" w:hAnsi="Palatino Linotype" w:cs="Times New Roman"/>
          <w:color w:val="000000"/>
        </w:rPr>
        <w:t>, aby sa prechodnou lehotou ustanovilo dostatočne dlhé p</w:t>
      </w:r>
      <w:r w:rsidRPr="00C24F12">
        <w:rPr>
          <w:rFonts w:ascii="Palatino Linotype" w:eastAsia="Times New Roman" w:hAnsi="Palatino Linotype" w:cs="Times New Roman"/>
          <w:color w:val="000000"/>
        </w:rPr>
        <w:t xml:space="preserve">rechodné </w:t>
      </w:r>
      <w:r>
        <w:rPr>
          <w:rFonts w:ascii="Palatino Linotype" w:eastAsia="Times New Roman" w:hAnsi="Palatino Linotype" w:cs="Times New Roman"/>
          <w:color w:val="000000"/>
        </w:rPr>
        <w:t xml:space="preserve">obdobie </w:t>
      </w:r>
      <w:r w:rsidRPr="00C24F12">
        <w:rPr>
          <w:rFonts w:ascii="Palatino Linotype" w:eastAsia="Times New Roman" w:hAnsi="Palatino Linotype" w:cs="Times New Roman"/>
          <w:color w:val="000000"/>
        </w:rPr>
        <w:t>na zosúladenie podmienok prevádzkovania hazardných hier so zákonom, aby sa minimalizovali negatívne hospodárske dopady na prevádzkovateľov a zároveň zabezpečila rýchla účinnosť opatrenia.</w:t>
      </w:r>
    </w:p>
    <w:p w14:paraId="6E5E8A6F" w14:textId="77777777" w:rsidR="00BC2CBD" w:rsidRPr="00C4043A" w:rsidRDefault="00BC2CBD" w:rsidP="00BC2CB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3BF1AF19" w14:textId="77777777" w:rsidR="00BC2CBD" w:rsidRPr="00C4043A" w:rsidRDefault="00BC2CBD" w:rsidP="00BC2CBD">
      <w:pPr>
        <w:tabs>
          <w:tab w:val="left" w:pos="6015"/>
        </w:tabs>
        <w:spacing w:line="276" w:lineRule="auto"/>
        <w:rPr>
          <w:rFonts w:ascii="Palatino Linotype" w:hAnsi="Palatino Linotype" w:cs="Book Antiqua"/>
          <w:b/>
          <w:bCs/>
          <w:caps/>
          <w:spacing w:val="30"/>
        </w:rPr>
      </w:pPr>
    </w:p>
    <w:p w14:paraId="0A74412B" w14:textId="1DFBDB52" w:rsidR="00D9786F" w:rsidRPr="00BC2CBD" w:rsidRDefault="00D9786F">
      <w:pPr>
        <w:rPr>
          <w:rFonts w:ascii="Book Antiqua" w:hAnsi="Book Antiqua" w:cs="Book Antiqua"/>
          <w:b/>
          <w:bCs/>
          <w:caps/>
          <w:spacing w:val="30"/>
        </w:rPr>
      </w:pPr>
    </w:p>
    <w:sectPr w:rsidR="00D9786F" w:rsidRPr="00BC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63B61"/>
    <w:multiLevelType w:val="hybridMultilevel"/>
    <w:tmpl w:val="E564E666"/>
    <w:lvl w:ilvl="0" w:tplc="C1EADD28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2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BD"/>
    <w:rsid w:val="002B55CB"/>
    <w:rsid w:val="00BC2CBD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3015"/>
  <w15:chartTrackingRefBased/>
  <w15:docId w15:val="{C5ECED49-3291-44AA-83F8-06FA3B1B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2CBD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C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C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C2C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C2C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C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C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C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C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C2C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C2C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C2C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C2CB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C2CB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C2C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C2C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C2C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C2CB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C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C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C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C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C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C2CB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C2CB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C2CBD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C2C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C2CBD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C2CBD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aliases w:val="webb"/>
    <w:basedOn w:val="Normlny"/>
    <w:uiPriority w:val="99"/>
    <w:unhideWhenUsed/>
    <w:qFormat/>
    <w:rsid w:val="00BC2CB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wspan">
    <w:name w:val="awspan"/>
    <w:basedOn w:val="Predvolenpsmoodseku"/>
    <w:rsid w:val="00BC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4845</Characters>
  <Application>Microsoft Office Word</Application>
  <DocSecurity>0</DocSecurity>
  <Lines>40</Lines>
  <Paragraphs>11</Paragraphs>
  <ScaleCrop>false</ScaleCrop>
  <Company>Kancelaria Narodnej rady Slovenskej republiky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Vinický, Filip</dc:creator>
  <cp:keywords/>
  <dc:description/>
  <cp:lastModifiedBy>Vinický, Filip</cp:lastModifiedBy>
  <cp:revision>1</cp:revision>
  <dcterms:created xsi:type="dcterms:W3CDTF">2026-03-27T15:22:00Z</dcterms:created>
  <dcterms:modified xsi:type="dcterms:W3CDTF">2026-03-27T15:24:00Z</dcterms:modified>
</cp:coreProperties>
</file>