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F9835" w14:textId="77777777" w:rsidR="00C4216B" w:rsidRDefault="00CE5DDD">
      <w:pPr>
        <w:widowControl/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  <w:smallCaps/>
        </w:rPr>
        <w:t>DOLOŽKA ZLUČITEĽNOSTI</w:t>
      </w:r>
    </w:p>
    <w:p w14:paraId="3F8EF621" w14:textId="77777777" w:rsidR="00C4216B" w:rsidRDefault="00CE5DDD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>návrhu s právom Európskej únie</w:t>
      </w:r>
      <w:r>
        <w:rPr>
          <w:b/>
        </w:rPr>
        <w:br/>
      </w:r>
    </w:p>
    <w:p w14:paraId="6A8537C3" w14:textId="77777777" w:rsidR="00C4216B" w:rsidRDefault="00C4216B">
      <w:pPr>
        <w:rPr>
          <w:rFonts w:ascii="Calibri" w:eastAsia="Calibri" w:hAnsi="Calibri" w:cs="Calibri"/>
          <w:sz w:val="22"/>
          <w:szCs w:val="22"/>
        </w:rPr>
      </w:pPr>
    </w:p>
    <w:p w14:paraId="13B923A3" w14:textId="77777777" w:rsidR="00C4216B" w:rsidRDefault="00CE5DDD">
      <w:pPr>
        <w:ind w:left="3825" w:hanging="3825"/>
        <w:rPr>
          <w:rFonts w:ascii="Calibri" w:eastAsia="Calibri" w:hAnsi="Calibri" w:cs="Calibri"/>
          <w:sz w:val="22"/>
          <w:szCs w:val="22"/>
        </w:rPr>
      </w:pPr>
      <w:r>
        <w:rPr>
          <w:b/>
        </w:rPr>
        <w:t xml:space="preserve">1. Predkladateľ zákona: </w:t>
      </w:r>
      <w:r>
        <w:rPr>
          <w:b/>
        </w:rPr>
        <w:tab/>
      </w:r>
      <w:r w:rsidR="00402953">
        <w:t>poslanec</w:t>
      </w:r>
      <w:r>
        <w:t xml:space="preserve"> Národnej rady Slovenskej republiky </w:t>
      </w:r>
      <w:r w:rsidR="00402953">
        <w:t xml:space="preserve">Roman </w:t>
      </w:r>
      <w:proofErr w:type="spellStart"/>
      <w:r w:rsidR="00402953">
        <w:t>Malatinec</w:t>
      </w:r>
      <w:proofErr w:type="spellEnd"/>
    </w:p>
    <w:p w14:paraId="4098D7FE" w14:textId="77777777" w:rsidR="00C4216B" w:rsidRDefault="00CE5DDD">
      <w:pPr>
        <w:tabs>
          <w:tab w:val="left" w:pos="360"/>
        </w:tabs>
        <w:ind w:left="360"/>
        <w:jc w:val="both"/>
        <w:rPr>
          <w:rFonts w:ascii="Calibri" w:eastAsia="Calibri" w:hAnsi="Calibri" w:cs="Calibri"/>
          <w:sz w:val="22"/>
          <w:szCs w:val="22"/>
        </w:rPr>
      </w:pPr>
      <w:r>
        <w:t xml:space="preserve"> </w:t>
      </w:r>
    </w:p>
    <w:p w14:paraId="42A2F275" w14:textId="77777777" w:rsidR="00C4216B" w:rsidRDefault="00CE5DDD" w:rsidP="005A1F44">
      <w:pPr>
        <w:ind w:left="3825" w:hanging="3825"/>
        <w:jc w:val="both"/>
      </w:pPr>
      <w:r>
        <w:rPr>
          <w:b/>
        </w:rPr>
        <w:t>2. Názov návrhu zákona:</w:t>
      </w:r>
      <w:r>
        <w:t xml:space="preserve">   </w:t>
      </w:r>
      <w:r>
        <w:tab/>
        <w:t xml:space="preserve">Návrh zákona, </w:t>
      </w:r>
      <w:r w:rsidR="005A1F44" w:rsidRPr="005A1F44">
        <w:t>ktorým sa mení a dopĺňa zákon č. 222/2004 Z. z. o dani z pridanej hodnoty v znení neskorších predpisov</w:t>
      </w:r>
    </w:p>
    <w:p w14:paraId="003C3B6A" w14:textId="77777777" w:rsidR="00C4216B" w:rsidRDefault="00CE5DDD">
      <w:pPr>
        <w:pBdr>
          <w:top w:val="nil"/>
          <w:left w:val="nil"/>
          <w:bottom w:val="nil"/>
          <w:right w:val="nil"/>
          <w:between w:val="nil"/>
        </w:pBdr>
        <w:ind w:left="3825" w:hanging="3825"/>
        <w:rPr>
          <w:b/>
        </w:rPr>
      </w:pPr>
      <w:r>
        <w:rPr>
          <w:b/>
        </w:rPr>
        <w:t>3. Predmet návrhu zákona:</w:t>
      </w:r>
    </w:p>
    <w:p w14:paraId="7FD8E55B" w14:textId="77777777" w:rsidR="002103CC" w:rsidRDefault="002103CC">
      <w:pPr>
        <w:jc w:val="both"/>
      </w:pPr>
    </w:p>
    <w:p w14:paraId="3EE3DB3B" w14:textId="77777777" w:rsidR="002103CC" w:rsidRPr="004A24AD" w:rsidRDefault="002103CC" w:rsidP="002103CC">
      <w:pPr>
        <w:pStyle w:val="Odsekzoznamu"/>
        <w:widowControl/>
        <w:numPr>
          <w:ilvl w:val="1"/>
          <w:numId w:val="1"/>
        </w:numPr>
        <w:ind w:left="851"/>
        <w:jc w:val="both"/>
        <w:rPr>
          <w:bCs/>
        </w:rPr>
      </w:pPr>
      <w:r w:rsidRPr="004A24AD">
        <w:rPr>
          <w:bCs/>
          <w:iCs/>
        </w:rPr>
        <w:t>v primárnom práve</w:t>
      </w:r>
    </w:p>
    <w:p w14:paraId="465E33FC" w14:textId="77777777" w:rsidR="002103CC" w:rsidRPr="00181470" w:rsidRDefault="002103CC" w:rsidP="002103CC">
      <w:pPr>
        <w:pStyle w:val="Zkladntext"/>
        <w:tabs>
          <w:tab w:val="left" w:pos="709"/>
          <w:tab w:val="left" w:pos="851"/>
        </w:tabs>
        <w:spacing w:after="0"/>
        <w:ind w:left="850"/>
        <w:rPr>
          <w:b/>
          <w:bCs/>
          <w:iCs/>
        </w:rPr>
      </w:pPr>
    </w:p>
    <w:p w14:paraId="26FD2450" w14:textId="77777777" w:rsidR="002103CC" w:rsidRPr="00EF09FE" w:rsidRDefault="002103CC" w:rsidP="002103CC">
      <w:pPr>
        <w:pStyle w:val="Zkladntext"/>
        <w:numPr>
          <w:ilvl w:val="0"/>
          <w:numId w:val="2"/>
        </w:numPr>
        <w:tabs>
          <w:tab w:val="clear" w:pos="900"/>
          <w:tab w:val="num" w:pos="851"/>
        </w:tabs>
        <w:spacing w:after="0"/>
        <w:ind w:left="896" w:hanging="329"/>
        <w:jc w:val="both"/>
      </w:pPr>
      <w:r w:rsidRPr="00181470">
        <w:t xml:space="preserve">čl. 110 až </w:t>
      </w:r>
      <w:r w:rsidRPr="00653D2C">
        <w:t>11</w:t>
      </w:r>
      <w:r>
        <w:t>3</w:t>
      </w:r>
      <w:r w:rsidRPr="00181470">
        <w:t>, čl. 349 a 355 ods. 1 Zmluvy o fungovaní Európskej únie</w:t>
      </w:r>
      <w:r>
        <w:t xml:space="preserve"> (Ú. v. EÚ C 202, 7.6.2016</w:t>
      </w:r>
      <w:r w:rsidRPr="00EF09FE">
        <w:t>),</w:t>
      </w:r>
    </w:p>
    <w:p w14:paraId="5866DBC4" w14:textId="77777777" w:rsidR="002103CC" w:rsidRPr="00EF09FE" w:rsidRDefault="002103CC" w:rsidP="002103CC">
      <w:pPr>
        <w:pStyle w:val="Zkladntext"/>
        <w:numPr>
          <w:ilvl w:val="0"/>
          <w:numId w:val="2"/>
        </w:numPr>
        <w:tabs>
          <w:tab w:val="clear" w:pos="900"/>
          <w:tab w:val="num" w:pos="851"/>
        </w:tabs>
        <w:spacing w:after="0"/>
        <w:ind w:left="896" w:hanging="329"/>
      </w:pPr>
      <w:r w:rsidRPr="00EF09FE">
        <w:t>čl. 52 Zmluvy o Európskej únii (Ú. v. EÚ C 202, 7.6.2016).</w:t>
      </w:r>
    </w:p>
    <w:p w14:paraId="7D09CBB6" w14:textId="77777777" w:rsidR="002103CC" w:rsidRPr="00181470" w:rsidRDefault="002103CC" w:rsidP="002103CC">
      <w:pPr>
        <w:pStyle w:val="Zkladntext"/>
        <w:spacing w:after="0"/>
        <w:ind w:left="896"/>
      </w:pPr>
    </w:p>
    <w:p w14:paraId="7BD8F954" w14:textId="77777777" w:rsidR="002103CC" w:rsidRPr="004A24AD" w:rsidRDefault="002103CC" w:rsidP="002103CC">
      <w:pPr>
        <w:pStyle w:val="Odsekzoznamu"/>
        <w:widowControl/>
        <w:numPr>
          <w:ilvl w:val="1"/>
          <w:numId w:val="1"/>
        </w:numPr>
        <w:ind w:left="851"/>
        <w:jc w:val="both"/>
        <w:rPr>
          <w:bCs/>
        </w:rPr>
      </w:pPr>
      <w:r w:rsidRPr="004A24AD">
        <w:rPr>
          <w:bCs/>
          <w:iCs/>
        </w:rPr>
        <w:t>v sekundárnom práve</w:t>
      </w:r>
    </w:p>
    <w:p w14:paraId="4DE2013A" w14:textId="77777777" w:rsidR="002103CC" w:rsidRPr="00412867" w:rsidRDefault="002103CC" w:rsidP="002103CC">
      <w:pPr>
        <w:pStyle w:val="Odsekzoznamu"/>
        <w:shd w:val="clear" w:color="auto" w:fill="FFFFFF"/>
        <w:spacing w:after="120"/>
        <w:ind w:left="900" w:right="-113"/>
        <w:jc w:val="both"/>
      </w:pPr>
    </w:p>
    <w:p w14:paraId="7255F5B2" w14:textId="77777777" w:rsidR="002103CC" w:rsidRDefault="002103CC" w:rsidP="002103CC">
      <w:pPr>
        <w:pStyle w:val="Odsekzoznamu"/>
        <w:numPr>
          <w:ilvl w:val="0"/>
          <w:numId w:val="2"/>
        </w:numPr>
        <w:shd w:val="clear" w:color="auto" w:fill="FFFFFF"/>
        <w:adjustRightInd w:val="0"/>
        <w:spacing w:after="120"/>
        <w:ind w:right="-113"/>
        <w:jc w:val="both"/>
      </w:pPr>
      <w:r w:rsidRPr="00412867">
        <w:t>smernica Rady 2006/112/ES z 28. novembra 2006 o spoločnom systéme dane z pridanej hodnoty (</w:t>
      </w:r>
      <w:r w:rsidRPr="00412867">
        <w:rPr>
          <w:rStyle w:val="Zvraznenie"/>
        </w:rPr>
        <w:t xml:space="preserve">Ú. v. EÚ L 347, 11.12.2006) v platnom znení, </w:t>
      </w:r>
      <w:r w:rsidRPr="00412867">
        <w:t xml:space="preserve">gestor: </w:t>
      </w:r>
      <w:proofErr w:type="spellStart"/>
      <w:r w:rsidRPr="00412867">
        <w:t>MF</w:t>
      </w:r>
      <w:proofErr w:type="spellEnd"/>
      <w:r w:rsidRPr="00412867">
        <w:t xml:space="preserve"> SR,</w:t>
      </w:r>
    </w:p>
    <w:p w14:paraId="66BF8F85" w14:textId="77777777" w:rsidR="002103CC" w:rsidRDefault="002103CC" w:rsidP="002103CC">
      <w:pPr>
        <w:pStyle w:val="Odsekzoznamu"/>
        <w:shd w:val="clear" w:color="auto" w:fill="FFFFFF"/>
        <w:spacing w:after="120"/>
        <w:ind w:left="900" w:right="-113"/>
        <w:jc w:val="both"/>
      </w:pPr>
    </w:p>
    <w:p w14:paraId="5DF1C3D8" w14:textId="77777777" w:rsidR="002103CC" w:rsidRPr="00CD16D1" w:rsidRDefault="002103CC" w:rsidP="002103CC">
      <w:pPr>
        <w:pStyle w:val="Zkladntext"/>
        <w:numPr>
          <w:ilvl w:val="1"/>
          <w:numId w:val="1"/>
        </w:numPr>
        <w:tabs>
          <w:tab w:val="left" w:pos="851"/>
        </w:tabs>
        <w:spacing w:after="0"/>
        <w:jc w:val="both"/>
        <w:rPr>
          <w:bCs/>
        </w:rPr>
      </w:pPr>
      <w:r w:rsidRPr="004A24AD">
        <w:rPr>
          <w:bCs/>
        </w:rPr>
        <w:t>v judikatúre</w:t>
      </w:r>
      <w:r w:rsidRPr="007E02A0">
        <w:rPr>
          <w:bCs/>
        </w:rPr>
        <w:t xml:space="preserve"> </w:t>
      </w:r>
      <w:r w:rsidRPr="00CD16D1">
        <w:rPr>
          <w:bCs/>
        </w:rPr>
        <w:t xml:space="preserve">Súdneho dvora Európskej únie: </w:t>
      </w:r>
    </w:p>
    <w:p w14:paraId="1EF33034" w14:textId="77777777" w:rsidR="002103CC" w:rsidRDefault="002103CC" w:rsidP="002103CC">
      <w:pPr>
        <w:pStyle w:val="Zkladntext"/>
        <w:tabs>
          <w:tab w:val="left" w:pos="851"/>
        </w:tabs>
        <w:spacing w:after="0"/>
        <w:jc w:val="both"/>
        <w:rPr>
          <w:b/>
        </w:rPr>
      </w:pPr>
    </w:p>
    <w:p w14:paraId="56DCECD5" w14:textId="77777777" w:rsidR="00374C21" w:rsidRDefault="002103CC" w:rsidP="00374C21">
      <w:pPr>
        <w:pStyle w:val="Normlnywebov"/>
        <w:numPr>
          <w:ilvl w:val="0"/>
          <w:numId w:val="4"/>
        </w:numPr>
        <w:spacing w:before="0" w:beforeAutospacing="0" w:after="0" w:afterAutospacing="0"/>
        <w:ind w:left="851" w:right="-113" w:hanging="284"/>
        <w:jc w:val="both"/>
        <w:rPr>
          <w:lang w:eastAsia="cs-CZ"/>
        </w:rPr>
      </w:pPr>
      <w:r w:rsidRPr="00EC3700">
        <w:rPr>
          <w:lang w:eastAsia="cs-CZ"/>
        </w:rPr>
        <w:t>rozsudok Súdneho dvora vo veci C-</w:t>
      </w:r>
      <w:r>
        <w:rPr>
          <w:lang w:eastAsia="cs-CZ"/>
        </w:rPr>
        <w:t>534</w:t>
      </w:r>
      <w:r w:rsidRPr="00EC3700">
        <w:rPr>
          <w:lang w:eastAsia="cs-CZ"/>
        </w:rPr>
        <w:t>/</w:t>
      </w:r>
      <w:r>
        <w:rPr>
          <w:lang w:eastAsia="cs-CZ"/>
        </w:rPr>
        <w:t>16</w:t>
      </w:r>
      <w:r w:rsidRPr="00EC3700">
        <w:rPr>
          <w:lang w:eastAsia="cs-CZ"/>
        </w:rPr>
        <w:t xml:space="preserve">, </w:t>
      </w:r>
      <w:r>
        <w:rPr>
          <w:bCs/>
        </w:rPr>
        <w:t>Finančné riaditeľstvo Slovenskej republiky</w:t>
      </w:r>
      <w:r w:rsidRPr="00EC3700">
        <w:rPr>
          <w:bCs/>
        </w:rPr>
        <w:t xml:space="preserve"> </w:t>
      </w:r>
      <w:r w:rsidRPr="00EC3700">
        <w:rPr>
          <w:lang w:eastAsia="cs-CZ"/>
        </w:rPr>
        <w:t xml:space="preserve">proti </w:t>
      </w:r>
      <w:proofErr w:type="spellStart"/>
      <w:r>
        <w:rPr>
          <w:lang w:eastAsia="cs-CZ"/>
        </w:rPr>
        <w:t>BB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construct</w:t>
      </w:r>
      <w:proofErr w:type="spellEnd"/>
      <w:r>
        <w:rPr>
          <w:lang w:eastAsia="cs-CZ"/>
        </w:rPr>
        <w:t xml:space="preserve"> s. r. o.</w:t>
      </w:r>
      <w:r w:rsidRPr="00EC3700">
        <w:rPr>
          <w:lang w:eastAsia="cs-CZ"/>
        </w:rPr>
        <w:t>, [20</w:t>
      </w:r>
      <w:r>
        <w:rPr>
          <w:lang w:eastAsia="cs-CZ"/>
        </w:rPr>
        <w:t>17</w:t>
      </w:r>
      <w:r w:rsidRPr="00EC3700">
        <w:rPr>
          <w:lang w:eastAsia="cs-CZ"/>
        </w:rPr>
        <w:t>]</w:t>
      </w:r>
      <w:r>
        <w:rPr>
          <w:lang w:eastAsia="cs-CZ"/>
        </w:rPr>
        <w:t>,</w:t>
      </w:r>
      <w:r w:rsidRPr="00EC3700">
        <w:rPr>
          <w:lang w:eastAsia="cs-CZ"/>
        </w:rPr>
        <w:t xml:space="preserve"> </w:t>
      </w:r>
    </w:p>
    <w:p w14:paraId="6BFB5920" w14:textId="246022F6" w:rsidR="002103CC" w:rsidRPr="00374C21" w:rsidRDefault="002103CC" w:rsidP="00374C21">
      <w:pPr>
        <w:pStyle w:val="Normlnywebov"/>
        <w:numPr>
          <w:ilvl w:val="0"/>
          <w:numId w:val="4"/>
        </w:numPr>
        <w:spacing w:before="0" w:beforeAutospacing="0" w:after="0" w:afterAutospacing="0"/>
        <w:ind w:left="851" w:right="-113" w:hanging="284"/>
        <w:jc w:val="both"/>
        <w:rPr>
          <w:lang w:eastAsia="cs-CZ"/>
        </w:rPr>
      </w:pPr>
      <w:r w:rsidRPr="00EC3700">
        <w:rPr>
          <w:lang w:eastAsia="cs-CZ"/>
        </w:rPr>
        <w:t>rozsudok Súdneho dvora vo veci C-</w:t>
      </w:r>
      <w:r>
        <w:rPr>
          <w:lang w:eastAsia="cs-CZ"/>
        </w:rPr>
        <w:t>164</w:t>
      </w:r>
      <w:r w:rsidRPr="00EC3700">
        <w:rPr>
          <w:lang w:eastAsia="cs-CZ"/>
        </w:rPr>
        <w:t>/2</w:t>
      </w:r>
      <w:r>
        <w:rPr>
          <w:lang w:eastAsia="cs-CZ"/>
        </w:rPr>
        <w:t>4</w:t>
      </w:r>
      <w:r w:rsidRPr="00EC3700">
        <w:rPr>
          <w:lang w:eastAsia="cs-CZ"/>
        </w:rPr>
        <w:t xml:space="preserve">, </w:t>
      </w:r>
      <w:r w:rsidRPr="00374C21">
        <w:rPr>
          <w:bCs/>
        </w:rPr>
        <w:t>„</w:t>
      </w:r>
      <w:proofErr w:type="spellStart"/>
      <w:r w:rsidRPr="00374C21">
        <w:rPr>
          <w:bCs/>
        </w:rPr>
        <w:t>Cityland</w:t>
      </w:r>
      <w:proofErr w:type="spellEnd"/>
      <w:r w:rsidRPr="00374C21">
        <w:rPr>
          <w:bCs/>
        </w:rPr>
        <w:t xml:space="preserve">“ </w:t>
      </w:r>
      <w:proofErr w:type="spellStart"/>
      <w:r w:rsidRPr="00374C21">
        <w:rPr>
          <w:bCs/>
        </w:rPr>
        <w:t>EOOD</w:t>
      </w:r>
      <w:proofErr w:type="spellEnd"/>
      <w:r w:rsidRPr="00374C21">
        <w:rPr>
          <w:bCs/>
        </w:rPr>
        <w:t xml:space="preserve"> </w:t>
      </w:r>
      <w:r w:rsidRPr="00EC3700">
        <w:rPr>
          <w:lang w:eastAsia="cs-CZ"/>
        </w:rPr>
        <w:t xml:space="preserve">proti </w:t>
      </w:r>
      <w:r w:rsidRPr="00374C21">
        <w:rPr>
          <w:bCs/>
        </w:rPr>
        <w:t xml:space="preserve">Direktor na </w:t>
      </w:r>
      <w:proofErr w:type="spellStart"/>
      <w:r w:rsidRPr="00374C21">
        <w:rPr>
          <w:bCs/>
        </w:rPr>
        <w:t>Direkcija</w:t>
      </w:r>
      <w:proofErr w:type="spellEnd"/>
      <w:r w:rsidRPr="00374C21">
        <w:rPr>
          <w:bCs/>
        </w:rPr>
        <w:t xml:space="preserve"> „</w:t>
      </w:r>
      <w:proofErr w:type="spellStart"/>
      <w:r w:rsidRPr="00374C21">
        <w:rPr>
          <w:bCs/>
        </w:rPr>
        <w:t>Obžalvane</w:t>
      </w:r>
      <w:proofErr w:type="spellEnd"/>
      <w:r w:rsidRPr="00374C21">
        <w:rPr>
          <w:bCs/>
        </w:rPr>
        <w:t xml:space="preserve"> i </w:t>
      </w:r>
      <w:proofErr w:type="spellStart"/>
      <w:r w:rsidRPr="00374C21">
        <w:rPr>
          <w:bCs/>
        </w:rPr>
        <w:t>danăčno</w:t>
      </w:r>
      <w:r w:rsidRPr="00374C21">
        <w:rPr>
          <w:bCs/>
        </w:rPr>
        <w:noBreakHyphen/>
        <w:t>osiguritelna</w:t>
      </w:r>
      <w:proofErr w:type="spellEnd"/>
      <w:r w:rsidRPr="00374C21">
        <w:rPr>
          <w:bCs/>
        </w:rPr>
        <w:t xml:space="preserve"> praktika“ – </w:t>
      </w:r>
      <w:proofErr w:type="spellStart"/>
      <w:r w:rsidRPr="00374C21">
        <w:rPr>
          <w:bCs/>
        </w:rPr>
        <w:t>Veliko</w:t>
      </w:r>
      <w:proofErr w:type="spellEnd"/>
      <w:r w:rsidRPr="00374C21">
        <w:rPr>
          <w:bCs/>
        </w:rPr>
        <w:t xml:space="preserve"> </w:t>
      </w:r>
      <w:proofErr w:type="spellStart"/>
      <w:r w:rsidRPr="00374C21">
        <w:rPr>
          <w:bCs/>
        </w:rPr>
        <w:t>Tărnovo</w:t>
      </w:r>
      <w:proofErr w:type="spellEnd"/>
      <w:r w:rsidRPr="00374C21">
        <w:rPr>
          <w:bCs/>
        </w:rPr>
        <w:t>, [2025],</w:t>
      </w:r>
    </w:p>
    <w:p w14:paraId="41874B16" w14:textId="77777777" w:rsidR="00374C21" w:rsidRPr="00EC3700" w:rsidRDefault="00374C21" w:rsidP="00374C21">
      <w:pPr>
        <w:pStyle w:val="Normlnywebov"/>
        <w:spacing w:before="0" w:beforeAutospacing="0" w:after="0" w:afterAutospacing="0"/>
        <w:ind w:left="851" w:right="-113"/>
        <w:jc w:val="both"/>
        <w:rPr>
          <w:lang w:eastAsia="cs-CZ"/>
        </w:rPr>
      </w:pPr>
    </w:p>
    <w:p w14:paraId="5E484501" w14:textId="5A893BBA" w:rsidR="002103CC" w:rsidRDefault="00CE5411" w:rsidP="00CE5411">
      <w:pPr>
        <w:widowControl/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 xml:space="preserve">4. </w:t>
      </w:r>
      <w:r w:rsidR="002103CC" w:rsidRPr="00181470">
        <w:rPr>
          <w:b/>
          <w:bCs/>
        </w:rPr>
        <w:t>Záväzky Slovenskej republiky vo vzťahu k Európskej únii:</w:t>
      </w:r>
    </w:p>
    <w:p w14:paraId="158C1819" w14:textId="77777777" w:rsidR="002103CC" w:rsidRPr="00181470" w:rsidRDefault="002103CC" w:rsidP="002103CC">
      <w:pPr>
        <w:tabs>
          <w:tab w:val="left" w:pos="360"/>
        </w:tabs>
        <w:ind w:left="425"/>
        <w:jc w:val="both"/>
        <w:rPr>
          <w:b/>
          <w:bCs/>
        </w:rPr>
      </w:pPr>
    </w:p>
    <w:p w14:paraId="3A853DAA" w14:textId="77777777" w:rsidR="002103CC" w:rsidRPr="009C4777" w:rsidRDefault="002103CC" w:rsidP="002103CC">
      <w:pPr>
        <w:pStyle w:val="Zkladntext"/>
        <w:numPr>
          <w:ilvl w:val="0"/>
          <w:numId w:val="3"/>
        </w:numPr>
        <w:tabs>
          <w:tab w:val="left" w:pos="360"/>
          <w:tab w:val="left" w:pos="540"/>
        </w:tabs>
        <w:spacing w:after="0"/>
        <w:jc w:val="both"/>
      </w:pPr>
      <w:r>
        <w:t>L</w:t>
      </w:r>
      <w:r w:rsidRPr="006E74BA">
        <w:t xml:space="preserve">ehota </w:t>
      </w:r>
      <w:r w:rsidRPr="00F75C2B">
        <w:t>na prebratie smernice 2006/112</w:t>
      </w:r>
      <w:r w:rsidRPr="009C4777">
        <w:t xml:space="preserve">/ES </w:t>
      </w:r>
      <w:r w:rsidRPr="009C4777">
        <w:rPr>
          <w:rStyle w:val="Zvraznenie"/>
        </w:rPr>
        <w:t>v platnom znení</w:t>
      </w:r>
      <w:r w:rsidRPr="009C4777">
        <w:t xml:space="preserve"> bola stanovená do 1.1.2008.</w:t>
      </w:r>
    </w:p>
    <w:p w14:paraId="249B80A5" w14:textId="77777777" w:rsidR="002103CC" w:rsidRDefault="002103CC" w:rsidP="002103CC">
      <w:pPr>
        <w:pStyle w:val="Zkladntext"/>
        <w:tabs>
          <w:tab w:val="left" w:pos="360"/>
          <w:tab w:val="left" w:pos="540"/>
        </w:tabs>
        <w:spacing w:after="0"/>
        <w:jc w:val="both"/>
      </w:pPr>
    </w:p>
    <w:p w14:paraId="7CA30444" w14:textId="77777777" w:rsidR="002103CC" w:rsidRDefault="002103CC" w:rsidP="002103CC">
      <w:pPr>
        <w:pStyle w:val="Zkladntext"/>
        <w:numPr>
          <w:ilvl w:val="0"/>
          <w:numId w:val="3"/>
        </w:numPr>
        <w:tabs>
          <w:tab w:val="left" w:pos="360"/>
        </w:tabs>
        <w:spacing w:after="0"/>
        <w:jc w:val="both"/>
      </w:pPr>
      <w:r w:rsidRPr="006E74BA">
        <w:t xml:space="preserve">Proti Slovenskej republike nebolo začaté konanie v rámci „EÚ Pilot“, ani nebol začatý postup </w:t>
      </w:r>
      <w:proofErr w:type="spellStart"/>
      <w:r w:rsidRPr="006E74BA">
        <w:t>EK</w:t>
      </w:r>
      <w:proofErr w:type="spellEnd"/>
      <w:r w:rsidRPr="006E74BA">
        <w:t xml:space="preserve"> ako aj nebolo začaté konanie Súdneho dvora EÚ proti SR podľa čl. 258 až 260 Zmluvy o fungovaní Európskej únie.</w:t>
      </w:r>
    </w:p>
    <w:p w14:paraId="14E7AC1A" w14:textId="77777777" w:rsidR="002103CC" w:rsidRPr="006E74BA" w:rsidRDefault="002103CC" w:rsidP="002103CC">
      <w:pPr>
        <w:pStyle w:val="Zkladntext"/>
        <w:tabs>
          <w:tab w:val="left" w:pos="360"/>
        </w:tabs>
        <w:spacing w:after="0"/>
        <w:ind w:left="785"/>
        <w:jc w:val="both"/>
      </w:pPr>
    </w:p>
    <w:p w14:paraId="16C21D9E" w14:textId="77777777" w:rsidR="002103CC" w:rsidRPr="008C22FC" w:rsidRDefault="002103CC" w:rsidP="002103CC">
      <w:pPr>
        <w:pStyle w:val="Zkladntext"/>
        <w:numPr>
          <w:ilvl w:val="0"/>
          <w:numId w:val="3"/>
        </w:numPr>
        <w:tabs>
          <w:tab w:val="left" w:pos="360"/>
        </w:tabs>
        <w:spacing w:after="0"/>
        <w:jc w:val="both"/>
      </w:pPr>
      <w:r w:rsidRPr="00EA68D3">
        <w:t>Smernica 2006/112/</w:t>
      </w:r>
      <w:r w:rsidRPr="008C22FC">
        <w:t xml:space="preserve">ES </w:t>
      </w:r>
      <w:r w:rsidRPr="008C22FC">
        <w:rPr>
          <w:rStyle w:val="Zvraznenie"/>
        </w:rPr>
        <w:t>v platnom znení</w:t>
      </w:r>
      <w:r w:rsidRPr="008C22FC">
        <w:t xml:space="preserve"> je prebratá do zákona </w:t>
      </w:r>
      <w:bookmarkStart w:id="0" w:name="_Hlk204159295"/>
      <w:r w:rsidRPr="008C22FC">
        <w:t>č. 222/2004 Z. z. o dani z pridanej hodnoty v znení neskorších predpisov</w:t>
      </w:r>
      <w:bookmarkEnd w:id="0"/>
      <w:r w:rsidRPr="008C22FC">
        <w:t xml:space="preserve"> a do zákona č. 563/2009 Z. z. o správe daní (daňový poriadok) a o zmene a doplnení niektorých zákonov v znení neskorších predpisov.</w:t>
      </w:r>
    </w:p>
    <w:p w14:paraId="2FF6E468" w14:textId="77777777" w:rsidR="002103CC" w:rsidRDefault="002103CC" w:rsidP="002103CC">
      <w:pPr>
        <w:pStyle w:val="Zkladntext"/>
        <w:tabs>
          <w:tab w:val="left" w:pos="360"/>
        </w:tabs>
        <w:spacing w:after="0"/>
        <w:ind w:left="785"/>
        <w:jc w:val="both"/>
      </w:pPr>
    </w:p>
    <w:p w14:paraId="2DA5317D" w14:textId="5B24E98D" w:rsidR="002103CC" w:rsidRPr="00CE5411" w:rsidRDefault="002103CC" w:rsidP="00CE5411">
      <w:pPr>
        <w:pStyle w:val="Odsekzoznamu"/>
        <w:numPr>
          <w:ilvl w:val="0"/>
          <w:numId w:val="5"/>
        </w:numPr>
        <w:tabs>
          <w:tab w:val="left" w:pos="360"/>
        </w:tabs>
        <w:adjustRightInd w:val="0"/>
        <w:jc w:val="both"/>
        <w:rPr>
          <w:b/>
          <w:bCs/>
        </w:rPr>
      </w:pPr>
      <w:r w:rsidRPr="00CE5411">
        <w:rPr>
          <w:b/>
          <w:bCs/>
        </w:rPr>
        <w:t>Návrh zákona je zlučiteľný s právom Európskej únie:</w:t>
      </w:r>
    </w:p>
    <w:p w14:paraId="35685BBB" w14:textId="77777777" w:rsidR="002103CC" w:rsidRPr="00181470" w:rsidRDefault="002103CC" w:rsidP="002103CC">
      <w:pPr>
        <w:pStyle w:val="Odsekzoznamu"/>
        <w:tabs>
          <w:tab w:val="left" w:pos="360"/>
        </w:tabs>
        <w:ind w:left="425"/>
        <w:jc w:val="both"/>
        <w:rPr>
          <w:b/>
          <w:bCs/>
        </w:rPr>
      </w:pPr>
    </w:p>
    <w:p w14:paraId="7F93EE2B" w14:textId="77777777" w:rsidR="002103CC" w:rsidRPr="00181470" w:rsidRDefault="002103CC" w:rsidP="002103CC">
      <w:pPr>
        <w:pStyle w:val="Odsekzoznamu"/>
        <w:tabs>
          <w:tab w:val="left" w:pos="360"/>
        </w:tabs>
        <w:ind w:left="425"/>
        <w:jc w:val="both"/>
        <w:rPr>
          <w:bCs/>
        </w:rPr>
      </w:pPr>
      <w:r w:rsidRPr="00EA68D3">
        <w:rPr>
          <w:bCs/>
        </w:rPr>
        <w:t>a)</w:t>
      </w:r>
      <w:r>
        <w:rPr>
          <w:bCs/>
        </w:rPr>
        <w:t xml:space="preserve"> ú</w:t>
      </w:r>
      <w:r w:rsidRPr="00181470">
        <w:rPr>
          <w:bCs/>
        </w:rPr>
        <w:t>plne.</w:t>
      </w:r>
    </w:p>
    <w:p w14:paraId="46F04CA6" w14:textId="0A453BF6" w:rsidR="00C4216B" w:rsidRPr="00FE6392" w:rsidRDefault="00C4216B" w:rsidP="00FE6392">
      <w:pPr>
        <w:jc w:val="both"/>
        <w:rPr>
          <w:b/>
          <w:smallCaps/>
          <w:color w:val="000000"/>
        </w:rPr>
      </w:pPr>
    </w:p>
    <w:sectPr w:rsidR="00C4216B" w:rsidRPr="00FE63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B2E63" w14:textId="77777777" w:rsidR="00A963E2" w:rsidRDefault="00A963E2">
      <w:r>
        <w:separator/>
      </w:r>
    </w:p>
  </w:endnote>
  <w:endnote w:type="continuationSeparator" w:id="0">
    <w:p w14:paraId="0D5AAD43" w14:textId="77777777" w:rsidR="00A963E2" w:rsidRDefault="00A96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4313F" w14:textId="77777777" w:rsidR="00C4216B" w:rsidRDefault="00C4216B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D54D6" w14:textId="77777777" w:rsidR="00C4216B" w:rsidRDefault="00C4216B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4B222" w14:textId="77777777" w:rsidR="00C4216B" w:rsidRDefault="00C4216B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0CE46" w14:textId="77777777" w:rsidR="00A963E2" w:rsidRDefault="00A963E2">
      <w:r>
        <w:separator/>
      </w:r>
    </w:p>
  </w:footnote>
  <w:footnote w:type="continuationSeparator" w:id="0">
    <w:p w14:paraId="447FE52C" w14:textId="77777777" w:rsidR="00A963E2" w:rsidRDefault="00A96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07D5" w14:textId="77777777" w:rsidR="00C4216B" w:rsidRDefault="00C421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BF017" w14:textId="77777777" w:rsidR="00C4216B" w:rsidRDefault="00C421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3B6EF" w14:textId="77777777" w:rsidR="00C4216B" w:rsidRDefault="00C421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46C"/>
    <w:multiLevelType w:val="hybridMultilevel"/>
    <w:tmpl w:val="44528930"/>
    <w:lvl w:ilvl="0" w:tplc="041B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" w15:restartNumberingAfterBreak="0">
    <w:nsid w:val="0BA154E7"/>
    <w:multiLevelType w:val="hybridMultilevel"/>
    <w:tmpl w:val="6E3438CA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F2D1F"/>
    <w:multiLevelType w:val="hybridMultilevel"/>
    <w:tmpl w:val="2976140A"/>
    <w:lvl w:ilvl="0" w:tplc="CCCEB20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0DA7A3A"/>
    <w:multiLevelType w:val="hybridMultilevel"/>
    <w:tmpl w:val="7BEEDF30"/>
    <w:lvl w:ilvl="0" w:tplc="CCCEB200">
      <w:start w:val="6"/>
      <w:numFmt w:val="bullet"/>
      <w:lvlText w:val="-"/>
      <w:lvlJc w:val="left"/>
      <w:pPr>
        <w:ind w:left="1622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" w15:restartNumberingAfterBreak="0">
    <w:nsid w:val="5C9B77D4"/>
    <w:multiLevelType w:val="multilevel"/>
    <w:tmpl w:val="D4E25A3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b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num w:numId="1" w16cid:durableId="1255552181">
    <w:abstractNumId w:val="4"/>
  </w:num>
  <w:num w:numId="2" w16cid:durableId="1976329211">
    <w:abstractNumId w:val="2"/>
  </w:num>
  <w:num w:numId="3" w16cid:durableId="133304252">
    <w:abstractNumId w:val="0"/>
  </w:num>
  <w:num w:numId="4" w16cid:durableId="1295988766">
    <w:abstractNumId w:val="3"/>
  </w:num>
  <w:num w:numId="5" w16cid:durableId="844325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6B"/>
    <w:rsid w:val="002103CC"/>
    <w:rsid w:val="00374C21"/>
    <w:rsid w:val="00402953"/>
    <w:rsid w:val="005A1F44"/>
    <w:rsid w:val="006656B9"/>
    <w:rsid w:val="006F40F2"/>
    <w:rsid w:val="00821B92"/>
    <w:rsid w:val="00A963E2"/>
    <w:rsid w:val="00C4216B"/>
    <w:rsid w:val="00C94B71"/>
    <w:rsid w:val="00CE5411"/>
    <w:rsid w:val="00CE5DDD"/>
    <w:rsid w:val="00E462AB"/>
    <w:rsid w:val="00F017C8"/>
    <w:rsid w:val="00F1507F"/>
    <w:rsid w:val="00FE6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9958"/>
  <w15:docId w15:val="{D871336E-FC17-4621-8F83-F157909D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widowControl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Mriekatabuky">
    <w:name w:val="Table Grid"/>
    <w:basedOn w:val="Normlnatabuka"/>
    <w:uiPriority w:val="59"/>
    <w:rsid w:val="00F6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link w:val="PtaChar"/>
    <w:uiPriority w:val="99"/>
    <w:rsid w:val="0090548E"/>
    <w:pPr>
      <w:widowControl/>
      <w:tabs>
        <w:tab w:val="center" w:pos="4536"/>
        <w:tab w:val="right" w:pos="9072"/>
      </w:tabs>
    </w:pPr>
    <w:rPr>
      <w:rFonts w:ascii="Arial" w:hAnsi="Arial" w:cs="Arial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lnywebov">
    <w:name w:val="Normal (Web)"/>
    <w:aliases w:val="webb"/>
    <w:unhideWhenUsed/>
    <w:rsid w:val="0017622F"/>
    <w:pPr>
      <w:widowControl/>
      <w:spacing w:before="100" w:beforeAutospacing="1" w:after="100" w:afterAutospacing="1"/>
    </w:pPr>
  </w:style>
  <w:style w:type="paragraph" w:styleId="Textpoznmkypodiarou">
    <w:name w:val="footnote text"/>
    <w:link w:val="TextpoznmkypodiarouChar"/>
    <w:uiPriority w:val="99"/>
    <w:unhideWhenUsed/>
    <w:rsid w:val="0017622F"/>
    <w:pPr>
      <w:widowControl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customStyle="1" w:styleId="h1a">
    <w:name w:val="h1a"/>
    <w:basedOn w:val="Predvolenpsmoodseku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szCs w:val="22"/>
      <w:lang w:val="en-US"/>
    </w:rPr>
  </w:style>
  <w:style w:type="paragraph" w:styleId="Odsekzoznamu">
    <w:name w:val="List Paragraph"/>
    <w:uiPriority w:val="99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styleId="Odkaznakomentr">
    <w:name w:val="annotation reference"/>
    <w:basedOn w:val="Predvolenpsmoodseku"/>
    <w:uiPriority w:val="99"/>
    <w:rsid w:val="0014165A"/>
    <w:rPr>
      <w:sz w:val="16"/>
      <w:szCs w:val="16"/>
    </w:rPr>
  </w:style>
  <w:style w:type="paragraph" w:styleId="Textkomentra">
    <w:name w:val="annotation text"/>
    <w:link w:val="TextkomentraChar"/>
    <w:uiPriority w:val="99"/>
    <w:rsid w:val="0014165A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4165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416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4165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Revzia">
    <w:name w:val="Revision"/>
    <w:hidden/>
    <w:uiPriority w:val="99"/>
    <w:semiHidden/>
    <w:rsid w:val="00335383"/>
    <w:rPr>
      <w:rFonts w:eastAsia="SimSun" w:cs="Mangal"/>
      <w:kern w:val="1"/>
      <w:szCs w:val="21"/>
      <w:lang w:eastAsia="hi-IN" w:bidi="hi-IN"/>
    </w:rPr>
  </w:style>
  <w:style w:type="table" w:customStyle="1" w:styleId="a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Zkladntext">
    <w:name w:val="Body Text"/>
    <w:basedOn w:val="Normlny"/>
    <w:link w:val="ZkladntextChar"/>
    <w:uiPriority w:val="99"/>
    <w:rsid w:val="002103CC"/>
    <w:pPr>
      <w:widowControl/>
      <w:spacing w:after="120"/>
    </w:pPr>
    <w:rPr>
      <w:lang w:val="sk-SK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103CC"/>
    <w:rPr>
      <w:lang w:val="sk-SK" w:eastAsia="cs-CZ"/>
    </w:rPr>
  </w:style>
  <w:style w:type="character" w:styleId="Zvraznenie">
    <w:name w:val="Emphasis"/>
    <w:uiPriority w:val="20"/>
    <w:qFormat/>
    <w:rsid w:val="002103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XCZpL2eyVtHX5LKVWFiSAMNx6g==">CgMxLjAyCGguZ2pkZ3hzOAByITE1eWs0LXJGbDFsT0lzMFlRYW16OWNlRnNCZlpwNTBlQg==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Števulová, Zuzana</dc:creator>
  <cp:lastModifiedBy>Petra Ďurišová</cp:lastModifiedBy>
  <cp:revision>5</cp:revision>
  <dcterms:created xsi:type="dcterms:W3CDTF">2026-03-27T12:27:00Z</dcterms:created>
  <dcterms:modified xsi:type="dcterms:W3CDTF">2026-03-27T12:42:00Z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2026-03-27T12:27:06Z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6fda13b9-bb8c-4f93-afa0-775a82401c03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