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90108" w14:textId="77777777" w:rsidR="00584C03" w:rsidRDefault="00584C03">
      <w:pPr>
        <w:rPr>
          <w:b/>
        </w:rPr>
      </w:pPr>
    </w:p>
    <w:p w14:paraId="6FD98D1C" w14:textId="77777777" w:rsidR="00584C03" w:rsidRDefault="00514E0D">
      <w:pPr>
        <w:jc w:val="center"/>
        <w:rPr>
          <w:b/>
        </w:rPr>
      </w:pPr>
      <w:r>
        <w:rPr>
          <w:b/>
        </w:rPr>
        <w:t>DOLOŽKA VYBRANÝCH VPLYVOV</w:t>
      </w:r>
    </w:p>
    <w:p w14:paraId="08075918" w14:textId="77777777" w:rsidR="00584C03" w:rsidRDefault="00584C03">
      <w:pPr>
        <w:jc w:val="center"/>
        <w:rPr>
          <w:b/>
        </w:rPr>
      </w:pPr>
    </w:p>
    <w:p w14:paraId="1CF1B32E" w14:textId="77777777" w:rsidR="00584C03" w:rsidRDefault="00514E0D">
      <w:pPr>
        <w:jc w:val="both"/>
      </w:pPr>
      <w:r>
        <w:t xml:space="preserve"> </w:t>
      </w:r>
    </w:p>
    <w:p w14:paraId="7F73ADCB" w14:textId="77777777" w:rsidR="00584C03" w:rsidRDefault="00514E0D">
      <w:pPr>
        <w:jc w:val="both"/>
        <w:rPr>
          <w:b/>
        </w:rPr>
      </w:pPr>
      <w:r>
        <w:rPr>
          <w:b/>
        </w:rPr>
        <w:t xml:space="preserve">A.1. Názov materiálu: </w:t>
      </w:r>
    </w:p>
    <w:p w14:paraId="13DF4CE5" w14:textId="77777777" w:rsidR="00584C03" w:rsidRDefault="00584C03">
      <w:pPr>
        <w:jc w:val="both"/>
        <w:rPr>
          <w:b/>
        </w:rPr>
      </w:pPr>
    </w:p>
    <w:p w14:paraId="7895A250" w14:textId="77777777" w:rsidR="00584C03" w:rsidRDefault="00514E0D">
      <w:pPr>
        <w:jc w:val="both"/>
      </w:pPr>
      <w:r>
        <w:t>Návrh zákona o príspevku na úhradu nákladov na bývanie.</w:t>
      </w:r>
    </w:p>
    <w:p w14:paraId="1F80CEF3" w14:textId="77777777" w:rsidR="00584C03" w:rsidRDefault="00584C03">
      <w:pPr>
        <w:jc w:val="both"/>
      </w:pPr>
    </w:p>
    <w:p w14:paraId="2B900BBB" w14:textId="77777777" w:rsidR="00584C03" w:rsidRDefault="00514E0D">
      <w:pPr>
        <w:jc w:val="both"/>
        <w:rPr>
          <w:b/>
        </w:rPr>
      </w:pPr>
      <w:r>
        <w:rPr>
          <w:b/>
        </w:rPr>
        <w:t>A.2. Vplyvy:</w:t>
      </w:r>
    </w:p>
    <w:p w14:paraId="501EDB66" w14:textId="77777777" w:rsidR="00584C03" w:rsidRDefault="00514E0D">
      <w:pPr>
        <w:jc w:val="both"/>
        <w:rPr>
          <w:b/>
        </w:rPr>
      </w:pPr>
      <w:r>
        <w:rPr>
          <w:b/>
        </w:rPr>
        <w:t xml:space="preserve"> </w:t>
      </w:r>
    </w:p>
    <w:tbl>
      <w:tblPr>
        <w:tblStyle w:val="a1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67"/>
        <w:gridCol w:w="1190"/>
        <w:gridCol w:w="1178"/>
        <w:gridCol w:w="1190"/>
      </w:tblGrid>
      <w:tr w:rsidR="00584C03" w14:paraId="2C23D785" w14:textId="77777777">
        <w:trPr>
          <w:trHeight w:val="285"/>
        </w:trPr>
        <w:tc>
          <w:tcPr>
            <w:tcW w:w="5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3C96C" w14:textId="77777777" w:rsidR="00584C03" w:rsidRDefault="00514E0D">
            <w:pPr>
              <w:jc w:val="both"/>
            </w:pPr>
            <w:r>
              <w:t xml:space="preserve"> </w:t>
            </w:r>
          </w:p>
        </w:tc>
        <w:tc>
          <w:tcPr>
            <w:tcW w:w="1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30741" w14:textId="77777777" w:rsidR="00584C03" w:rsidRDefault="00514E0D">
            <w:pPr>
              <w:jc w:val="center"/>
            </w:pPr>
            <w:r>
              <w:t>Pozitívne</w:t>
            </w:r>
          </w:p>
        </w:tc>
        <w:tc>
          <w:tcPr>
            <w:tcW w:w="11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A2C58" w14:textId="77777777" w:rsidR="00584C03" w:rsidRDefault="00514E0D">
            <w:pPr>
              <w:jc w:val="center"/>
            </w:pPr>
            <w:r>
              <w:t>Žiadne</w:t>
            </w:r>
          </w:p>
        </w:tc>
        <w:tc>
          <w:tcPr>
            <w:tcW w:w="1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3FCBF" w14:textId="77777777" w:rsidR="00584C03" w:rsidRDefault="00514E0D">
            <w:pPr>
              <w:jc w:val="center"/>
            </w:pPr>
            <w:r>
              <w:t>Negatívne</w:t>
            </w:r>
          </w:p>
        </w:tc>
      </w:tr>
      <w:tr w:rsidR="00584C03" w14:paraId="609260AA" w14:textId="77777777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FE2A1" w14:textId="77777777" w:rsidR="00584C03" w:rsidRDefault="00514E0D">
            <w:pPr>
              <w:jc w:val="both"/>
            </w:pPr>
            <w:r>
              <w:t>1. Vplyvy na rozpočet verejnej správy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6281B" w14:textId="77777777" w:rsidR="00584C03" w:rsidRDefault="00584C03">
            <w:pPr>
              <w:jc w:val="center"/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D8A20" w14:textId="77777777" w:rsidR="00584C03" w:rsidRDefault="00584C03">
            <w:pPr>
              <w:jc w:val="center"/>
              <w:rPr>
                <w:highlight w:val="yellow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899D6" w14:textId="77777777" w:rsidR="00584C03" w:rsidRDefault="00514E0D">
            <w:pPr>
              <w:jc w:val="center"/>
            </w:pPr>
            <w:r>
              <w:t>X</w:t>
            </w:r>
          </w:p>
        </w:tc>
      </w:tr>
      <w:tr w:rsidR="00584C03" w14:paraId="0E675B16" w14:textId="77777777">
        <w:trPr>
          <w:trHeight w:val="570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333E5" w14:textId="77777777" w:rsidR="00584C03" w:rsidRDefault="00514E0D">
            <w:pPr>
              <w:jc w:val="both"/>
            </w:pPr>
            <w:r>
              <w:t>2. Vplyvy na podnikateľské prostredie – dochádza k zvýšeniu regulačného zaťaženia?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AC5BD" w14:textId="77777777" w:rsidR="00584C03" w:rsidRDefault="00584C03">
            <w:pPr>
              <w:jc w:val="center"/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0AC90" w14:textId="77777777" w:rsidR="00584C03" w:rsidRDefault="00514E0D">
            <w:pPr>
              <w:jc w:val="center"/>
              <w:rPr>
                <w:highlight w:val="yellow"/>
              </w:rPr>
            </w:pPr>
            <w: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90667" w14:textId="77777777" w:rsidR="00584C03" w:rsidRDefault="00514E0D">
            <w:pPr>
              <w:jc w:val="center"/>
            </w:pPr>
            <w:r>
              <w:t xml:space="preserve"> </w:t>
            </w:r>
          </w:p>
        </w:tc>
      </w:tr>
      <w:tr w:rsidR="00584C03" w14:paraId="2963905C" w14:textId="77777777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E2147" w14:textId="77777777" w:rsidR="00584C03" w:rsidRDefault="00514E0D">
            <w:pPr>
              <w:jc w:val="both"/>
            </w:pPr>
            <w:r>
              <w:t>3. Sociálne vplyvy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F62CE" w14:textId="77777777" w:rsidR="00584C03" w:rsidRDefault="00584C03">
            <w:pPr>
              <w:jc w:val="center"/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E53A5" w14:textId="77777777" w:rsidR="00584C03" w:rsidRDefault="00584C03">
            <w:pPr>
              <w:jc w:val="center"/>
            </w:pP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BE6D8" w14:textId="77777777" w:rsidR="00584C03" w:rsidRDefault="00514E0D">
            <w:pPr>
              <w:jc w:val="center"/>
            </w:pPr>
            <w:r>
              <w:t xml:space="preserve"> </w:t>
            </w:r>
          </w:p>
        </w:tc>
      </w:tr>
      <w:tr w:rsidR="00584C03" w14:paraId="0D1E1978" w14:textId="77777777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5F37C" w14:textId="77777777" w:rsidR="00584C03" w:rsidRDefault="00514E0D">
            <w:pPr>
              <w:jc w:val="both"/>
            </w:pPr>
            <w:r>
              <w:t>– vplyvy na hospodárenie obyvateľstva,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ACE20" w14:textId="77777777" w:rsidR="00584C03" w:rsidRDefault="00584C03">
            <w:pPr>
              <w:jc w:val="center"/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27D69" w14:textId="77777777" w:rsidR="00584C03" w:rsidRDefault="00514E0D">
            <w:pPr>
              <w:jc w:val="center"/>
            </w:pPr>
            <w: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2128A" w14:textId="77777777" w:rsidR="00584C03" w:rsidRDefault="00514E0D">
            <w:pPr>
              <w:jc w:val="both"/>
            </w:pPr>
            <w:r>
              <w:t xml:space="preserve"> </w:t>
            </w:r>
          </w:p>
        </w:tc>
      </w:tr>
      <w:tr w:rsidR="00584C03" w14:paraId="4F95972B" w14:textId="77777777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3C232" w14:textId="77777777" w:rsidR="00584C03" w:rsidRDefault="00514E0D">
            <w:pPr>
              <w:jc w:val="both"/>
            </w:pPr>
            <w:r>
              <w:t>– sociálnu exklúziu,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DDB72" w14:textId="77777777" w:rsidR="00584C03" w:rsidRDefault="00514E0D">
            <w:r>
              <w:t xml:space="preserve">        X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871BD" w14:textId="77777777" w:rsidR="00584C03" w:rsidRDefault="00584C03">
            <w:pPr>
              <w:jc w:val="center"/>
            </w:pP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04AE3" w14:textId="77777777" w:rsidR="00584C03" w:rsidRDefault="00514E0D">
            <w:pPr>
              <w:jc w:val="center"/>
            </w:pPr>
            <w:r>
              <w:t xml:space="preserve"> </w:t>
            </w:r>
          </w:p>
        </w:tc>
      </w:tr>
      <w:tr w:rsidR="00584C03" w14:paraId="43EEC9BB" w14:textId="77777777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52902" w14:textId="77777777" w:rsidR="00584C03" w:rsidRDefault="00514E0D">
            <w:pPr>
              <w:jc w:val="both"/>
            </w:pPr>
            <w:r>
              <w:t>– rovnosť príležitostí a rodovú rovnosť a vplyvy na zamestnanosť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30A24" w14:textId="77777777" w:rsidR="00584C03" w:rsidRDefault="00584C03">
            <w:pPr>
              <w:jc w:val="center"/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8EDCD" w14:textId="77777777" w:rsidR="00584C03" w:rsidRDefault="00514E0D">
            <w:pPr>
              <w:jc w:val="center"/>
            </w:pPr>
            <w: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7D2CD" w14:textId="77777777" w:rsidR="00584C03" w:rsidRDefault="00514E0D">
            <w:pPr>
              <w:jc w:val="center"/>
            </w:pPr>
            <w:r>
              <w:t xml:space="preserve"> </w:t>
            </w:r>
          </w:p>
        </w:tc>
      </w:tr>
      <w:tr w:rsidR="00584C03" w14:paraId="1697DA46" w14:textId="77777777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DDACF" w14:textId="77777777" w:rsidR="00584C03" w:rsidRDefault="00514E0D">
            <w:pPr>
              <w:jc w:val="both"/>
            </w:pPr>
            <w:r>
              <w:t>4. Vplyvy na životné prostredie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002CE" w14:textId="77777777" w:rsidR="00584C03" w:rsidRDefault="00514E0D">
            <w:pPr>
              <w:jc w:val="center"/>
            </w:pPr>
            <w: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856E0" w14:textId="77777777" w:rsidR="00584C03" w:rsidRDefault="00514E0D">
            <w:pPr>
              <w:jc w:val="center"/>
              <w:rPr>
                <w:highlight w:val="yellow"/>
              </w:rPr>
            </w:pPr>
            <w: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9B87F" w14:textId="77777777" w:rsidR="00584C03" w:rsidRDefault="00514E0D">
            <w:pPr>
              <w:jc w:val="center"/>
            </w:pPr>
            <w:r>
              <w:t xml:space="preserve"> </w:t>
            </w:r>
          </w:p>
        </w:tc>
      </w:tr>
      <w:tr w:rsidR="00584C03" w14:paraId="07BF0CDE" w14:textId="77777777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D65E7" w14:textId="77777777" w:rsidR="00584C03" w:rsidRDefault="00514E0D">
            <w:pPr>
              <w:jc w:val="both"/>
            </w:pPr>
            <w:r>
              <w:t>5. Vplyvy na informatizáciu spoločnosti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B2AC7" w14:textId="77777777" w:rsidR="00584C03" w:rsidRDefault="00514E0D">
            <w:pPr>
              <w:jc w:val="center"/>
            </w:pPr>
            <w: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508A8" w14:textId="77777777" w:rsidR="00584C03" w:rsidRDefault="00514E0D">
            <w:pPr>
              <w:jc w:val="center"/>
              <w:rPr>
                <w:highlight w:val="yellow"/>
              </w:rPr>
            </w:pPr>
            <w: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9F23D" w14:textId="77777777" w:rsidR="00584C03" w:rsidRDefault="00514E0D">
            <w:pPr>
              <w:jc w:val="center"/>
            </w:pPr>
            <w:r>
              <w:t xml:space="preserve"> </w:t>
            </w:r>
          </w:p>
        </w:tc>
      </w:tr>
      <w:tr w:rsidR="00584C03" w14:paraId="16A22A58" w14:textId="77777777">
        <w:trPr>
          <w:trHeight w:val="309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D5A1E" w14:textId="77777777" w:rsidR="00584C03" w:rsidRDefault="00514E0D">
            <w:pPr>
              <w:jc w:val="both"/>
            </w:pPr>
            <w:r>
              <w:t>6. Vplyvy na manželstvo, rodičovstvo a rodinu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716F3" w14:textId="77777777" w:rsidR="00584C03" w:rsidRDefault="00514E0D">
            <w:pPr>
              <w:jc w:val="center"/>
            </w:pPr>
            <w:r>
              <w:t>X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85141" w14:textId="77777777" w:rsidR="00584C03" w:rsidRDefault="00584C03">
            <w:pPr>
              <w:jc w:val="center"/>
            </w:pP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1F073" w14:textId="77777777" w:rsidR="00584C03" w:rsidRDefault="00584C03">
            <w:pPr>
              <w:jc w:val="center"/>
            </w:pPr>
          </w:p>
        </w:tc>
      </w:tr>
      <w:tr w:rsidR="00584C03" w14:paraId="6F377C95" w14:textId="77777777">
        <w:trPr>
          <w:trHeight w:val="239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F3F25" w14:textId="77777777" w:rsidR="00584C03" w:rsidRDefault="00514E0D">
            <w:pPr>
              <w:jc w:val="both"/>
            </w:pPr>
            <w:r>
              <w:t>7. Vplyvy na služby verejnej správy pre občana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662BB" w14:textId="77777777" w:rsidR="00584C03" w:rsidRDefault="00584C03">
            <w:pPr>
              <w:jc w:val="center"/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6762D" w14:textId="77777777" w:rsidR="00584C03" w:rsidRDefault="00514E0D">
            <w:pPr>
              <w:jc w:val="center"/>
              <w:rPr>
                <w:highlight w:val="yellow"/>
              </w:rPr>
            </w:pPr>
            <w: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078D0" w14:textId="77777777" w:rsidR="00584C03" w:rsidRDefault="00584C03">
            <w:pPr>
              <w:jc w:val="center"/>
            </w:pPr>
          </w:p>
        </w:tc>
      </w:tr>
    </w:tbl>
    <w:p w14:paraId="3EB342BC" w14:textId="77777777" w:rsidR="00584C03" w:rsidRDefault="00514E0D">
      <w:pPr>
        <w:jc w:val="both"/>
      </w:pPr>
      <w:r>
        <w:t xml:space="preserve"> </w:t>
      </w:r>
    </w:p>
    <w:p w14:paraId="7E1401A2" w14:textId="77777777" w:rsidR="00584C03" w:rsidRDefault="00514E0D">
      <w:pPr>
        <w:jc w:val="both"/>
        <w:rPr>
          <w:b/>
        </w:rPr>
      </w:pPr>
      <w:r>
        <w:rPr>
          <w:b/>
        </w:rPr>
        <w:t>A.3. Poznámky</w:t>
      </w:r>
    </w:p>
    <w:p w14:paraId="608F8DCC" w14:textId="77777777" w:rsidR="00584C03" w:rsidRDefault="00584C03">
      <w:pPr>
        <w:jc w:val="both"/>
        <w:rPr>
          <w:b/>
        </w:rPr>
      </w:pPr>
    </w:p>
    <w:p w14:paraId="7E3FC550" w14:textId="77777777" w:rsidR="00584C03" w:rsidRDefault="00514E0D">
      <w:pPr>
        <w:jc w:val="both"/>
      </w:pPr>
      <w:bookmarkStart w:id="0" w:name="_heading=h.gjdgxs" w:colFirst="0" w:colLast="0"/>
      <w:bookmarkEnd w:id="0"/>
      <w:r>
        <w:rPr>
          <w:rFonts w:ascii="Times" w:eastAsia="Times" w:hAnsi="Times" w:cs="Times"/>
        </w:rPr>
        <w:t xml:space="preserve">Takto koncipovaný príspevok by poberalo odhadom okolo 546 tisíc ľudí z toho 316 tisíc ľudí žijúcich pod hranicou rizika chudoby, čo je takmer polovica (43 %) všetkých ľudí žijúcich pod hranicou rizika chudoby. Miera rizika chudoby by klesla o 0,5 p.b. z 13,7 % na 13,2 %. Miera rizika chudoby detí by klesla o 0,9 p.b. zo 17,6 % na 16,7 %. </w:t>
      </w:r>
      <w:r>
        <w:t>Navrhovaná finančná podpora a pomoc by zároveň mala pozitívny vplyv na rodiny zasiahnuté energetickou chudobou, ktorým by poskytla záchrannú sieť a ochranu ich bývania.</w:t>
      </w:r>
    </w:p>
    <w:p w14:paraId="6F819814" w14:textId="77777777" w:rsidR="00584C03" w:rsidRDefault="00584C03">
      <w:pPr>
        <w:jc w:val="both"/>
      </w:pPr>
      <w:bookmarkStart w:id="1" w:name="_heading=h.pbt1uk7l8mhh" w:colFirst="0" w:colLast="0"/>
      <w:bookmarkEnd w:id="1"/>
    </w:p>
    <w:p w14:paraId="59B42795" w14:textId="77777777" w:rsidR="00584C03" w:rsidRDefault="00514E0D">
      <w:pPr>
        <w:jc w:val="both"/>
      </w:pPr>
      <w:r>
        <w:rPr>
          <w:b/>
        </w:rPr>
        <w:t>Finančné dopady:</w:t>
      </w:r>
    </w:p>
    <w:p w14:paraId="6F5F63C1" w14:textId="77777777" w:rsidR="00584C03" w:rsidRDefault="00514E0D">
      <w:pPr>
        <w:jc w:val="both"/>
      </w:pPr>
      <w:bookmarkStart w:id="2" w:name="_heading=h.6n41yxhzckbr" w:colFirst="0" w:colLast="0"/>
      <w:bookmarkEnd w:id="2"/>
      <w:r>
        <w:t>Naše výpočty predpokladajú, že uvedený návrh dopĺňa a nenahrádza aktuálny príspevok na bývanie a vychádzajú z prieskumu EU SILC za rok 2021. Odhad nákladov na príspevok ale komplikuje skutočnosť, že nevieme vopred kvantifikovať zmeny v správaní ľudí. Mo</w:t>
      </w:r>
      <w:r>
        <w:rPr>
          <w:rFonts w:ascii="Times" w:eastAsia="Times" w:hAnsi="Times" w:cs="Times"/>
        </w:rPr>
        <w:t>ž</w:t>
      </w:r>
      <w:r>
        <w:t>no teda vychádzať z dvoch scenárov:</w:t>
      </w:r>
    </w:p>
    <w:p w14:paraId="3982E125" w14:textId="77777777" w:rsidR="00584C03" w:rsidRDefault="00514E0D">
      <w:pPr>
        <w:numPr>
          <w:ilvl w:val="0"/>
          <w:numId w:val="1"/>
        </w:numPr>
        <w:jc w:val="both"/>
      </w:pPr>
      <w:bookmarkStart w:id="3" w:name="_heading=h.pf8q88y4wghu" w:colFirst="0" w:colLast="0"/>
      <w:bookmarkEnd w:id="3"/>
      <w:r>
        <w:t>Minimalistický: Domácnosti nezvýšia svoje náklady na bývanie v reakcii na príspevok, ale uplatnia si ho len do výšky existujúcich nákladov. V takom prípade by tento návrh stál okolo 106 miliónov eur.</w:t>
      </w:r>
    </w:p>
    <w:p w14:paraId="6D040FFF" w14:textId="77777777" w:rsidR="00584C03" w:rsidRDefault="00514E0D">
      <w:pPr>
        <w:numPr>
          <w:ilvl w:val="0"/>
          <w:numId w:val="1"/>
        </w:numPr>
        <w:jc w:val="both"/>
      </w:pPr>
      <w:bookmarkStart w:id="4" w:name="_heading=h.yh6wci7u1xs8" w:colFirst="0" w:colLast="0"/>
      <w:bookmarkEnd w:id="4"/>
      <w:r>
        <w:t>Maximalistický: Domácnosti vlastníkov, ktorých náklady prevyšujú 30 % príjmu zvýšia svoje náklady o polovicu (alebo po hranicu normatívnych nákladov), keďže zvýšené náklady v novom systéme platí štát. Nájomníci zvýšia svoje náklady na maximum (napríklad sa presťahujú do lepšieho bývania). V takom prípade by tento návrh stál okolo 236 miliónov eur.</w:t>
      </w:r>
    </w:p>
    <w:p w14:paraId="4FE69562" w14:textId="77777777" w:rsidR="00584C03" w:rsidRDefault="00514E0D">
      <w:pPr>
        <w:jc w:val="both"/>
      </w:pPr>
      <w:bookmarkStart w:id="5" w:name="_heading=h.p4bynr4qq6mv" w:colFirst="0" w:colLast="0"/>
      <w:bookmarkEnd w:id="5"/>
      <w:r>
        <w:t xml:space="preserve">Priemer minimalistického a maximalistického scenára je 171 mil. eur. Zároveň ak by sa príspevok pre prijímateľov aktuálneho príspevku na bývanie poskytoval vo výške rozdielu medzi navrhovaným príspevkom a aktuálnym príspevkom, predstavovalo by to úsporu oproti </w:t>
      </w:r>
      <w:r>
        <w:lastRenderedPageBreak/>
        <w:t xml:space="preserve">uvedenému odhadu. Je tiež potrebné pripomenúť, že na rozdiel od iných prijatých opatrení za miliardy ako napr. plošné zastropovanie cien energií ide o adresnú pomoc, ktorá zohľadňuje príjem domácností a náklady na bývanie. </w:t>
      </w:r>
    </w:p>
    <w:p w14:paraId="5BFDB23B" w14:textId="77777777" w:rsidR="00584C03" w:rsidRDefault="00584C03"/>
    <w:p w14:paraId="2EAB7546" w14:textId="77777777" w:rsidR="00584C03" w:rsidRDefault="00514E0D">
      <w:pPr>
        <w:jc w:val="both"/>
        <w:rPr>
          <w:b/>
        </w:rPr>
      </w:pPr>
      <w:r>
        <w:rPr>
          <w:b/>
        </w:rPr>
        <w:t>A.4. Alternatívne riešenia</w:t>
      </w:r>
    </w:p>
    <w:p w14:paraId="02BED13B" w14:textId="77777777" w:rsidR="00584C03" w:rsidRDefault="00584C03">
      <w:pPr>
        <w:jc w:val="both"/>
        <w:rPr>
          <w:b/>
        </w:rPr>
      </w:pPr>
    </w:p>
    <w:p w14:paraId="6D6D6CE4" w14:textId="77777777" w:rsidR="00584C03" w:rsidRDefault="00514E0D">
      <w:pPr>
        <w:jc w:val="both"/>
      </w:pPr>
      <w:r>
        <w:t>Nepredkladajú sa.</w:t>
      </w:r>
    </w:p>
    <w:p w14:paraId="19F76A55" w14:textId="77777777" w:rsidR="00584C03" w:rsidRDefault="00584C03">
      <w:pPr>
        <w:jc w:val="both"/>
      </w:pPr>
    </w:p>
    <w:p w14:paraId="43B700E4" w14:textId="77777777" w:rsidR="00584C03" w:rsidRDefault="00514E0D">
      <w:pPr>
        <w:jc w:val="both"/>
        <w:rPr>
          <w:b/>
        </w:rPr>
      </w:pPr>
      <w:r>
        <w:rPr>
          <w:b/>
        </w:rPr>
        <w:t>A.5. Stanovisko gestorov</w:t>
      </w:r>
    </w:p>
    <w:p w14:paraId="5EAA05A4" w14:textId="77777777" w:rsidR="00584C03" w:rsidRDefault="00584C03">
      <w:pPr>
        <w:jc w:val="both"/>
        <w:rPr>
          <w:b/>
        </w:rPr>
      </w:pPr>
    </w:p>
    <w:p w14:paraId="3BA7441D" w14:textId="77777777" w:rsidR="00584C03" w:rsidRDefault="00514E0D">
      <w:pPr>
        <w:jc w:val="both"/>
      </w:pPr>
      <w:bookmarkStart w:id="6" w:name="_heading=h.30j0zll" w:colFirst="0" w:colLast="0"/>
      <w:bookmarkEnd w:id="6"/>
      <w:r>
        <w:t>Návrh zákona bol zaslaný na vyjadrenie Ministerstvu financií Slovenskej republiky a Ministerstvu hospodárstva Slovenskej republiky a ich stanovisko tvorí súčasť predkladaného materiálu.</w:t>
      </w:r>
    </w:p>
    <w:p w14:paraId="1AECD6B7" w14:textId="77777777" w:rsidR="00584C03" w:rsidRDefault="00584C03">
      <w:pPr>
        <w:jc w:val="both"/>
      </w:pPr>
    </w:p>
    <w:sectPr w:rsidR="00584C03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3569A"/>
    <w:multiLevelType w:val="multilevel"/>
    <w:tmpl w:val="37A420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109933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C03"/>
    <w:rsid w:val="000F3249"/>
    <w:rsid w:val="00514E0D"/>
    <w:rsid w:val="00584C03"/>
    <w:rsid w:val="00AD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D2EF3"/>
  <w15:docId w15:val="{6AC3A6EC-86FF-4E5C-B014-2F645D7C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 w:line="276" w:lineRule="auto"/>
      <w:outlineLvl w:val="0"/>
    </w:pPr>
    <w:rPr>
      <w:rFonts w:ascii="Arial" w:eastAsia="Arial" w:hAnsi="Arial" w:cs="Arial"/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 w:line="276" w:lineRule="auto"/>
      <w:outlineLvl w:val="1"/>
    </w:pPr>
    <w:rPr>
      <w:rFonts w:ascii="Arial" w:eastAsia="Arial" w:hAnsi="Arial" w:cs="Arial"/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 w:line="276" w:lineRule="auto"/>
      <w:outlineLvl w:val="2"/>
    </w:pPr>
    <w:rPr>
      <w:rFonts w:ascii="Arial" w:eastAsia="Arial" w:hAnsi="Arial" w:cs="Arial"/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 w:line="276" w:lineRule="auto"/>
      <w:outlineLvl w:val="3"/>
    </w:pPr>
    <w:rPr>
      <w:rFonts w:ascii="Arial" w:eastAsia="Arial" w:hAnsi="Arial" w:cs="Arial"/>
      <w:b/>
    </w:rPr>
  </w:style>
  <w:style w:type="paragraph" w:styleId="Nadpis5">
    <w:name w:val="heading 5"/>
    <w:basedOn w:val="Normlny"/>
    <w:next w:val="Normlny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 w:line="276" w:lineRule="auto"/>
      <w:outlineLvl w:val="5"/>
    </w:pPr>
    <w:rPr>
      <w:rFonts w:ascii="Arial" w:eastAsia="Arial" w:hAnsi="Arial" w:cs="Arial"/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 w:line="276" w:lineRule="auto"/>
    </w:pPr>
    <w:rPr>
      <w:rFonts w:ascii="Arial" w:eastAsia="Arial" w:hAnsi="Arial" w:cs="Arial"/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y"/>
    <w:next w:val="Normlny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LB+GcuucrVCEeur7UUDykI8Hvg==">CgMxLjAyCGguZ2pkZ3hzMg5oLnBidDF1azdsOG1oaDIOaC42bjQxeXhoemNrYnIyDmgucGY4cTg4eTR3Z2h1Mg5oLnloNndjaTd1MXhzODIOaC5wNGJ5bnI0cXE2bXYyCWguMzBqMHpsbDgAciExNGl5Ql9Xek9FeVNxTkt3c1hkb011dlBsRDE1MG8yQmc=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2367</Characters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2026-03-27T13:32:00Z</dcterms:created>
  <dcterms:modified xsi:type="dcterms:W3CDTF">2026-03-27T13:32:00Z</dcterms:modified>
</cp:coreProperties>
</file>