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A35E" w14:textId="7067CD16" w:rsidR="0064109E" w:rsidRPr="0026248A" w:rsidRDefault="004E677F" w:rsidP="004E677F">
      <w:pPr>
        <w:widowControl w:val="0"/>
        <w:spacing w:after="240" w:line="240" w:lineRule="auto"/>
        <w:jc w:val="center"/>
        <w:rPr>
          <w:rFonts w:ascii="Times New Roman" w:hAnsi="Times New Roman" w:cs="Times New Roman"/>
          <w:b/>
          <w:caps/>
          <w:spacing w:val="30"/>
          <w:sz w:val="24"/>
        </w:rPr>
      </w:pPr>
      <w:r>
        <w:rPr>
          <w:rFonts w:ascii="Times New Roman" w:hAnsi="Times New Roman" w:cs="Times New Roman"/>
          <w:b/>
          <w:spacing w:val="30"/>
          <w:sz w:val="24"/>
        </w:rPr>
        <w:t>D</w:t>
      </w:r>
      <w:r w:rsidRPr="0026248A">
        <w:rPr>
          <w:rFonts w:ascii="Times New Roman" w:hAnsi="Times New Roman" w:cs="Times New Roman"/>
          <w:b/>
          <w:spacing w:val="30"/>
          <w:sz w:val="24"/>
        </w:rPr>
        <w:t>ôvodová správa</w:t>
      </w:r>
    </w:p>
    <w:p w14:paraId="1C5F8EB3" w14:textId="77777777" w:rsidR="0064109E" w:rsidRPr="0026248A" w:rsidRDefault="0064109E" w:rsidP="004E677F">
      <w:pPr>
        <w:pStyle w:val="Odsekzoznamu"/>
        <w:widowControl w:val="0"/>
        <w:numPr>
          <w:ilvl w:val="0"/>
          <w:numId w:val="1"/>
        </w:numPr>
        <w:spacing w:after="240" w:line="240" w:lineRule="auto"/>
        <w:ind w:left="714" w:hanging="357"/>
        <w:contextualSpacing w:val="0"/>
        <w:jc w:val="both"/>
        <w:rPr>
          <w:rFonts w:ascii="Times New Roman" w:hAnsi="Times New Roman" w:cs="Times New Roman"/>
          <w:b/>
          <w:sz w:val="24"/>
        </w:rPr>
      </w:pPr>
      <w:r w:rsidRPr="0026248A">
        <w:rPr>
          <w:rFonts w:ascii="Times New Roman" w:hAnsi="Times New Roman" w:cs="Times New Roman"/>
          <w:b/>
          <w:sz w:val="24"/>
        </w:rPr>
        <w:t>Všeobecná časť</w:t>
      </w:r>
    </w:p>
    <w:p w14:paraId="2DC84E1E" w14:textId="7E047AD0" w:rsidR="004E677F" w:rsidRPr="004E677F" w:rsidRDefault="00D474B1" w:rsidP="00F31911">
      <w:pPr>
        <w:pStyle w:val="Bezriadkovania"/>
        <w:widowControl w:val="0"/>
        <w:spacing w:before="120" w:after="120"/>
        <w:ind w:firstLine="567"/>
        <w:jc w:val="both"/>
      </w:pPr>
      <w:r>
        <w:t>Vláda</w:t>
      </w:r>
      <w:r w:rsidR="004E677F" w:rsidRPr="004E677F">
        <w:t xml:space="preserve"> Slovenskej republiky predkladá </w:t>
      </w:r>
      <w:r>
        <w:t xml:space="preserve">vládny </w:t>
      </w:r>
      <w:r w:rsidR="004E677F" w:rsidRPr="004E677F">
        <w:t xml:space="preserve">návrh zákona, </w:t>
      </w:r>
      <w:r w:rsidR="00336DB5" w:rsidRPr="00336DB5">
        <w:t xml:space="preserve">ktorým sa mení a dopĺňa zákon č. 229/1991 Zb. o úprave vlastníckych vzťahov k pôde a inému poľnohospodárskemu majetku v znení neskorších predpisov a </w:t>
      </w:r>
      <w:r w:rsidR="00C92369" w:rsidRPr="00C92369">
        <w:t xml:space="preserve">ktorým sa mení </w:t>
      </w:r>
      <w:r w:rsidR="008D4BE8">
        <w:t xml:space="preserve">a </w:t>
      </w:r>
      <w:r w:rsidR="00C92369" w:rsidRPr="00C92369">
        <w:t>dopĺňa</w:t>
      </w:r>
      <w:r w:rsidR="00C92369" w:rsidRPr="00C92369" w:rsidDel="00C92369">
        <w:t xml:space="preserve"> </w:t>
      </w:r>
      <w:r w:rsidR="00336DB5" w:rsidRPr="00336DB5">
        <w:t>zákon č. 503/2003 Z. z. o navrátení vlastníctva k pozemkom a o zmene a doplnení zákona Národnej rady Slovenskej republiky č. 180/1995 Z. z. o niektorých opatreniach na usporiadanie vlastníctva k pozemkom v znení neskorších predpisov v znení neskorších predpisov</w:t>
      </w:r>
      <w:r w:rsidR="00336DB5" w:rsidRPr="00336DB5" w:rsidDel="00336DB5">
        <w:t xml:space="preserve"> </w:t>
      </w:r>
      <w:r w:rsidR="004E677F" w:rsidRPr="004E677F">
        <w:t xml:space="preserve">(ďalej len „návrh zákona“) na základe Programového vyhlásenia vlády na roky 2023-2027. </w:t>
      </w:r>
    </w:p>
    <w:p w14:paraId="78699B41" w14:textId="085B9D3F" w:rsidR="004E677F" w:rsidRPr="004E677F" w:rsidRDefault="004E677F" w:rsidP="00F31911">
      <w:pPr>
        <w:pStyle w:val="Bezriadkovania"/>
        <w:widowControl w:val="0"/>
        <w:spacing w:before="120" w:after="120"/>
        <w:ind w:firstLine="567"/>
        <w:jc w:val="both"/>
      </w:pPr>
      <w:r w:rsidRPr="004E677F">
        <w:t>Programové vyhlásenie vlády na roky 2023-2027 v časti Pôdohospodárstvo a rozvoj vidieka obsahuje záväzok využitia všetkých nástrojov podporujúcich racionálne usporiadanie pozemkového vlastníctva. Jednou z vážnych prekážok pre usporiadanie vlastníctva k</w:t>
      </w:r>
      <w:r w:rsidR="000C65D4">
        <w:t> </w:t>
      </w:r>
      <w:r w:rsidRPr="004E677F">
        <w:t>pozemkom</w:t>
      </w:r>
      <w:r w:rsidR="000C65D4">
        <w:t>,</w:t>
      </w:r>
      <w:r w:rsidRPr="004E677F">
        <w:t xml:space="preserve"> ako aj pre vytvorenie vhodných pozemkovoprávnych pomerov hospodárenia na pôde je zdĺhavý proces riešenia reštitučných nárokov oprávnených osôb podľa zákona č. 229/1991 Zb. o úprave vlastníckych vzťahov k pôde a inému poľnohospodárskemu majetku v znení neskorších predpisov (ďalej len „zákon č. 229/1991 Zb.“) a zákona č. 503/2003 Z. z. o navrátení vlastníctva k pozemkom a o zmene a doplnení zákona Národnej rady Slovenskej republiky č</w:t>
      </w:r>
      <w:r w:rsidR="000C65D4">
        <w:t>.</w:t>
      </w:r>
      <w:r w:rsidRPr="004E677F">
        <w:t xml:space="preserve"> 180/1995 Z. z. o niektorých opatreniach na usporiadanie vlastníctva k pozemkom v znení neskorších predpisov (ďalej len „zákon č. 503/2003 Z. z.“). Problémy v procese uspokojovania reštitučných nárokov oprávnených osôb spočívajú v zdĺhavosti rozhodovacích konaní príslušných orgánov štátnej správy, v dôsledku čoho ku koncu roka 2024 zostávalo ešte neukončených 5922 konaní, čo predstavuje 7,24 % uplatnených reštitučných nárokov. V záujme objektivity treba uviesť, že veľkú časť týchto prípadov tvoria nároky, ktoré boli, resp. sú predmetom komplikovaných súdnych konaní.</w:t>
      </w:r>
    </w:p>
    <w:p w14:paraId="0675FBF6" w14:textId="77777777" w:rsidR="004E677F" w:rsidRPr="004C0E1D" w:rsidRDefault="004E677F" w:rsidP="00F31911">
      <w:pPr>
        <w:pStyle w:val="Bezriadkovania"/>
        <w:widowControl w:val="0"/>
        <w:spacing w:before="120" w:after="120"/>
        <w:ind w:firstLine="567"/>
        <w:jc w:val="both"/>
      </w:pPr>
      <w:r w:rsidRPr="004E677F">
        <w:t xml:space="preserve">V roku 2024 nastal na úseku reštitúcií výrazne pozitívny posun pri vydávaní náhrad, ktoré v zastúpení Slovenskej republiky ako povinná osoba uspokojuje Slovenský pozemkový fond (ďalej len „fond“). Fond v roku 2024 poskytol 708 reštitučných náhrad, z čoho bolo formou zmlúv o bezodplatnom prevode náhradných pozemkov realizovaných 370 reštitučných plnení v náhradných pozemkoch a 338 poskytnutých náhrad bolo v peňažnom plnení. Týmto sa fondu </w:t>
      </w:r>
      <w:r w:rsidRPr="004C0E1D">
        <w:t>podarilo na úseku reštitúcií uvoľniť tzv. spisovú zápchu, pretože uvedený počet 708 poskytnutých náhrad v roku 2024 o 411 prevyšuje počet nových reštitučných rozhodnutí doručených pozemkovému fondu v uvedenom roku.</w:t>
      </w:r>
    </w:p>
    <w:p w14:paraId="774FBCD8" w14:textId="42808941" w:rsidR="004E677F" w:rsidRPr="004C0E1D" w:rsidRDefault="00D0109A" w:rsidP="00F31911">
      <w:pPr>
        <w:pStyle w:val="Bezriadkovania"/>
        <w:widowControl w:val="0"/>
        <w:spacing w:before="120" w:after="120"/>
        <w:ind w:firstLine="567"/>
        <w:jc w:val="both"/>
      </w:pPr>
      <w:r w:rsidRPr="004C0E1D">
        <w:t>N</w:t>
      </w:r>
      <w:r w:rsidR="004E677F" w:rsidRPr="004C0E1D">
        <w:t>ávrh zákona</w:t>
      </w:r>
      <w:r w:rsidRPr="004C0E1D">
        <w:t xml:space="preserve"> </w:t>
      </w:r>
      <w:r w:rsidR="004E677F" w:rsidRPr="004C0E1D">
        <w:t>rozš</w:t>
      </w:r>
      <w:r w:rsidRPr="004C0E1D">
        <w:t>i</w:t>
      </w:r>
      <w:r w:rsidR="004E677F" w:rsidRPr="004C0E1D">
        <w:t>r</w:t>
      </w:r>
      <w:r w:rsidRPr="004C0E1D">
        <w:t xml:space="preserve">uje </w:t>
      </w:r>
      <w:r w:rsidR="004E677F" w:rsidRPr="004C0E1D">
        <w:t>ponuku katastrálnych území, v ktorých fond môže poskytovať oprávneným osobám náhradné pozemk</w:t>
      </w:r>
      <w:r w:rsidRPr="004C0E1D">
        <w:t>y, čo prispeje k dynamickejšiemu plneniu reštitučných nárokov oprávnených osôb.</w:t>
      </w:r>
    </w:p>
    <w:p w14:paraId="490C9850" w14:textId="0DB82AA6" w:rsidR="004E677F" w:rsidRPr="004E677F" w:rsidRDefault="004E677F" w:rsidP="00F31911">
      <w:pPr>
        <w:pStyle w:val="Bezriadkovania"/>
        <w:widowControl w:val="0"/>
        <w:spacing w:before="120" w:after="120"/>
        <w:ind w:firstLine="567"/>
        <w:jc w:val="both"/>
      </w:pPr>
      <w:r w:rsidRPr="004C0E1D">
        <w:t xml:space="preserve">Veľkou prekážkou pri plnení povinnosti fondu poskytnúť náhradu je však najmä nedostatočná súčinnosť, resp. úplná </w:t>
      </w:r>
      <w:r w:rsidRPr="004E677F">
        <w:t>nečinnosť oprávnenej osoby, ktorá si síce v zákonom stanovenej trojročnej lehote svoje právo na náhradu uplatnila, avšak ďalej od určitého štádia procesu poskytnutia náhrady nekoná. Ide o prípady, keď oprávnená osoba odmietne prevziať finančnú náhradu a neustále požaduje poskytnutie náhradného pozemku napriek tomu, že zákon č.</w:t>
      </w:r>
      <w:r w:rsidR="006D37AD">
        <w:t> </w:t>
      </w:r>
      <w:r w:rsidRPr="004E677F">
        <w:t>229/1991 Zb. a zákon č. 503/2003 Z. z. to neumožňujú. Ide aj o prípady, keď oprávnená osoba nepreberá pozvánky na prerokovanie ponúkaného náhradného pozemku, resp. oprávnená osoba nevráti fondu podpísané dohody, ktoré jej fond po</w:t>
      </w:r>
      <w:r w:rsidR="00AF01E1">
        <w:t>slal na podpis po tom, čo sa na </w:t>
      </w:r>
      <w:r w:rsidRPr="004E677F">
        <w:t>prerokovaní ponuky náhradného pozemku dohodli na forme a predmete poskytnutia náhrady. Osobitnými prípadmi sú situácie, kedy oprávnená osoba, ktorej bolo vydané rozhodnutie, zomrela a napriek tomu, že právo na náhradu bolo predmetom dedičského konania, dedičia ďalej nekonajú, alebo situácie, keď právo opr</w:t>
      </w:r>
      <w:r>
        <w:t xml:space="preserve">ávnenej osoby ako poručiteľa </w:t>
      </w:r>
      <w:r>
        <w:lastRenderedPageBreak/>
        <w:t>na </w:t>
      </w:r>
      <w:r w:rsidRPr="004E677F">
        <w:t>náhradu nebolo vôbec predmetom dedičského konania.</w:t>
      </w:r>
    </w:p>
    <w:p w14:paraId="033C19FF" w14:textId="049051F2" w:rsidR="004E677F" w:rsidRPr="004E677F" w:rsidRDefault="004E677F" w:rsidP="00F31911">
      <w:pPr>
        <w:pStyle w:val="Bezriadkovania"/>
        <w:widowControl w:val="0"/>
        <w:spacing w:before="120" w:after="120"/>
        <w:ind w:firstLine="567"/>
        <w:jc w:val="both"/>
      </w:pPr>
      <w:r w:rsidRPr="004E677F">
        <w:t>Návrh zákona upravuje postupy fondu a oprávnených osôb, resp. ich dedičov a osôb, o ktorých sa možno dôvodne domnievať, že sú dedičmi oprávnenej osoby, ktoré umožnia uzavrieť poskytnutie náhrad doteraz nečinným oprávneným osobám bez ujmy na ich právach. V zásade sa ich nárok na pozemkovú náhradu v týchto prípadoch zmení na nárok na náhradu v peniazoch.</w:t>
      </w:r>
    </w:p>
    <w:p w14:paraId="33BDF273" w14:textId="08DCA5FC" w:rsidR="004E677F" w:rsidRPr="004E677F" w:rsidRDefault="007463BE" w:rsidP="00F31911">
      <w:pPr>
        <w:pStyle w:val="Bezriadkovania"/>
        <w:widowControl w:val="0"/>
        <w:spacing w:before="120" w:after="120"/>
        <w:ind w:firstLine="567"/>
        <w:jc w:val="both"/>
      </w:pPr>
      <w:r>
        <w:t>N</w:t>
      </w:r>
      <w:r w:rsidR="004E677F" w:rsidRPr="004E677F">
        <w:t>avrhované zmeny prispejú</w:t>
      </w:r>
      <w:r>
        <w:t xml:space="preserve"> aj</w:t>
      </w:r>
      <w:r w:rsidR="004E677F" w:rsidRPr="004E677F">
        <w:t xml:space="preserve"> k odstráneniu možných nejednoznačných výkladov doterajších ustanovení týkajúcich sa foriem poskytovaných náhrad, resp. oceňovania priznaných nárokov na náhradu.</w:t>
      </w:r>
    </w:p>
    <w:p w14:paraId="5FE7077F" w14:textId="52C02E02" w:rsidR="004E677F" w:rsidRDefault="004E677F" w:rsidP="00F31911">
      <w:pPr>
        <w:pStyle w:val="Bezriadkovania"/>
        <w:widowControl w:val="0"/>
        <w:spacing w:before="120" w:after="120"/>
        <w:ind w:firstLine="567"/>
        <w:jc w:val="both"/>
      </w:pPr>
      <w:r>
        <w:t>Návrh zákona nebude mať vplyv na rozpočet verejnej správy, limit verejných výdavkov, podnikateľské prostredie, sociálne vplyvy, vplyvy na životné prostredie, informatizáciu spoločnosti, služby verejnej správy ani manželstvo, rodičovstvo a rodinu.</w:t>
      </w:r>
    </w:p>
    <w:p w14:paraId="51F7F1B4" w14:textId="0C4FB72C" w:rsidR="007F66B1" w:rsidRDefault="004E677F" w:rsidP="00F31911">
      <w:pPr>
        <w:pStyle w:val="Bezriadkovania"/>
        <w:widowControl w:val="0"/>
        <w:spacing w:before="120" w:after="120"/>
        <w:ind w:firstLine="567"/>
        <w:jc w:val="both"/>
      </w:pPr>
      <w:r>
        <w:t>Návrh zákona je v súlade s Ústavou Slovenskej republiky, ústavnými zákonmi, nálezmi Ústavného súdu Slovenskej republiky, zákonmi a ostatnými všeobecne záväznými právnymi predpismi, medzinárodnými zmluvami a inými medzinárodnými dokumentmi, ktorými je Slovenská republika viazaná, ako aj s právne záväznými aktmi Európskej únie.</w:t>
      </w:r>
    </w:p>
    <w:p w14:paraId="6932DA3D" w14:textId="21EC0BD1" w:rsidR="00C02E9B" w:rsidRDefault="00C02E9B" w:rsidP="00F31911">
      <w:pPr>
        <w:pStyle w:val="Bezriadkovania"/>
        <w:widowControl w:val="0"/>
        <w:spacing w:before="120" w:after="120"/>
        <w:ind w:firstLine="567"/>
        <w:jc w:val="both"/>
      </w:pPr>
      <w:r w:rsidRPr="00C02E9B">
        <w:t xml:space="preserve">Návrh </w:t>
      </w:r>
      <w:r>
        <w:t>zákona</w:t>
      </w:r>
      <w:r w:rsidRPr="00C02E9B">
        <w:t xml:space="preserve"> nebude predmetom </w:t>
      </w:r>
      <w:proofErr w:type="spellStart"/>
      <w:r w:rsidRPr="00C02E9B">
        <w:t>vnútrokomunitárneho</w:t>
      </w:r>
      <w:proofErr w:type="spellEnd"/>
      <w:r w:rsidRPr="00C02E9B">
        <w:t xml:space="preserve"> pripomienkového konania.</w:t>
      </w:r>
    </w:p>
    <w:p w14:paraId="7C613EC8" w14:textId="77777777" w:rsidR="00933C3E" w:rsidRDefault="00933C3E" w:rsidP="00933C3E">
      <w:pPr>
        <w:pStyle w:val="Bezriadkovania"/>
        <w:widowControl w:val="0"/>
        <w:spacing w:before="120" w:after="120"/>
        <w:jc w:val="both"/>
      </w:pPr>
    </w:p>
    <w:p w14:paraId="0F7A5284" w14:textId="62BC59E2" w:rsidR="00933C3E" w:rsidRDefault="00933C3E">
      <w:pPr>
        <w:rPr>
          <w:rFonts w:ascii="Times New Roman" w:eastAsia="Times New Roman" w:hAnsi="Times New Roman" w:cs="Times New Roman"/>
          <w:sz w:val="24"/>
          <w:szCs w:val="24"/>
          <w:lang w:eastAsia="sk-SK"/>
        </w:rPr>
      </w:pPr>
      <w:r>
        <w:br w:type="page"/>
      </w:r>
    </w:p>
    <w:p w14:paraId="6838ADD0" w14:textId="77777777" w:rsidR="00933C3E" w:rsidRPr="00B37C57" w:rsidRDefault="00933C3E" w:rsidP="00933C3E">
      <w:pPr>
        <w:pStyle w:val="Nadpis5"/>
        <w:spacing w:before="0" w:after="0"/>
        <w:rPr>
          <w:rFonts w:ascii="Times New Roman" w:hAnsi="Times New Roman"/>
        </w:rPr>
      </w:pPr>
      <w:r w:rsidRPr="00B37C57">
        <w:rPr>
          <w:rFonts w:ascii="Times New Roman" w:hAnsi="Times New Roman"/>
        </w:rPr>
        <w:lastRenderedPageBreak/>
        <w:t>DOLOŽKA</w:t>
      </w:r>
      <w:r>
        <w:rPr>
          <w:rFonts w:ascii="Times New Roman" w:hAnsi="Times New Roman"/>
        </w:rPr>
        <w:t xml:space="preserve"> </w:t>
      </w:r>
      <w:r w:rsidRPr="00B37C57">
        <w:rPr>
          <w:rFonts w:ascii="Times New Roman" w:hAnsi="Times New Roman"/>
        </w:rPr>
        <w:t>ZLUČITEĽNOSTI</w:t>
      </w:r>
    </w:p>
    <w:p w14:paraId="6171031E" w14:textId="77777777" w:rsidR="00933C3E" w:rsidRPr="00B37C57" w:rsidRDefault="00933C3E" w:rsidP="00933C3E">
      <w:pPr>
        <w:pStyle w:val="Nadpis5"/>
        <w:spacing w:before="0" w:after="0"/>
        <w:rPr>
          <w:rFonts w:ascii="Times New Roman" w:hAnsi="Times New Roman"/>
        </w:rPr>
      </w:pPr>
      <w:r>
        <w:rPr>
          <w:rFonts w:ascii="Times New Roman" w:hAnsi="Times New Roman"/>
        </w:rPr>
        <w:t xml:space="preserve">návrhu zákona s právom </w:t>
      </w:r>
      <w:r w:rsidRPr="00B37C57">
        <w:rPr>
          <w:rFonts w:ascii="Times New Roman" w:hAnsi="Times New Roman"/>
        </w:rPr>
        <w:t>Európskej únie</w:t>
      </w:r>
    </w:p>
    <w:p w14:paraId="4791732F" w14:textId="77777777" w:rsidR="00933C3E" w:rsidRDefault="00933C3E" w:rsidP="00933C3E">
      <w:pPr>
        <w:pStyle w:val="odrkaa"/>
        <w:tabs>
          <w:tab w:val="left" w:pos="284"/>
        </w:tabs>
        <w:spacing w:line="240" w:lineRule="auto"/>
      </w:pPr>
    </w:p>
    <w:p w14:paraId="31FCB162" w14:textId="0CE86F62" w:rsidR="00933C3E" w:rsidRPr="00933C3E" w:rsidRDefault="00933C3E" w:rsidP="00933C3E">
      <w:pPr>
        <w:pStyle w:val="odrkaa"/>
        <w:numPr>
          <w:ilvl w:val="0"/>
          <w:numId w:val="3"/>
        </w:numPr>
        <w:tabs>
          <w:tab w:val="clear" w:pos="720"/>
        </w:tabs>
        <w:spacing w:line="240" w:lineRule="auto"/>
        <w:ind w:left="360"/>
      </w:pPr>
      <w:r w:rsidRPr="00933C3E">
        <w:rPr>
          <w:b/>
        </w:rPr>
        <w:t>Predkladateľ návrhu zákona:</w:t>
      </w:r>
      <w:r w:rsidRPr="00933C3E">
        <w:t xml:space="preserve"> </w:t>
      </w:r>
      <w:r w:rsidR="00D474B1">
        <w:t xml:space="preserve">Vláda </w:t>
      </w:r>
      <w:r w:rsidRPr="00933C3E">
        <w:t>Slovenskej republiky</w:t>
      </w:r>
    </w:p>
    <w:p w14:paraId="462DD83D" w14:textId="77777777" w:rsidR="00933C3E" w:rsidRPr="00933C3E" w:rsidRDefault="00933C3E" w:rsidP="00933C3E">
      <w:pPr>
        <w:pStyle w:val="odrkaa"/>
        <w:spacing w:line="240" w:lineRule="auto"/>
        <w:ind w:left="360"/>
      </w:pPr>
    </w:p>
    <w:p w14:paraId="67CD7B9E" w14:textId="11A874A2" w:rsidR="00933C3E" w:rsidRPr="00933C3E" w:rsidRDefault="00933C3E" w:rsidP="00933C3E">
      <w:pPr>
        <w:pStyle w:val="odrkaa"/>
        <w:numPr>
          <w:ilvl w:val="0"/>
          <w:numId w:val="3"/>
        </w:numPr>
        <w:tabs>
          <w:tab w:val="clear" w:pos="720"/>
        </w:tabs>
        <w:spacing w:line="240" w:lineRule="auto"/>
        <w:ind w:left="360"/>
        <w:rPr>
          <w:b/>
        </w:rPr>
      </w:pPr>
      <w:r w:rsidRPr="00933C3E">
        <w:rPr>
          <w:b/>
          <w:bCs/>
        </w:rPr>
        <w:t>Názov návrhu zákona:</w:t>
      </w:r>
      <w:r w:rsidRPr="00933C3E">
        <w:t xml:space="preserve"> </w:t>
      </w:r>
      <w:r w:rsidR="00D474B1">
        <w:t xml:space="preserve">Vládny </w:t>
      </w:r>
      <w:r w:rsidR="00D474B1">
        <w:rPr>
          <w:rStyle w:val="Vrazn"/>
          <w:rFonts w:eastAsia="Calibri"/>
          <w:b w:val="0"/>
          <w:bCs w:val="0"/>
        </w:rPr>
        <w:t>n</w:t>
      </w:r>
      <w:r w:rsidRPr="00933C3E">
        <w:rPr>
          <w:rStyle w:val="Vrazn"/>
          <w:rFonts w:eastAsia="Calibri"/>
          <w:b w:val="0"/>
          <w:bCs w:val="0"/>
        </w:rPr>
        <w:t>ávrh zákona</w:t>
      </w:r>
      <w:r w:rsidRPr="00933C3E">
        <w:rPr>
          <w:rStyle w:val="Vrazn"/>
          <w:b w:val="0"/>
          <w:bCs w:val="0"/>
        </w:rPr>
        <w:t>, ktorým sa mení a dopĺňa zákon č. 229/1991 Zb. o úprave vlastníckych vzťahov k pôde a inému poľnohospodárskemu majetku v znení neskorších predpisov a ktorým sa mení a dopĺňa</w:t>
      </w:r>
      <w:r w:rsidRPr="00933C3E" w:rsidDel="009B2300">
        <w:rPr>
          <w:rStyle w:val="Vrazn"/>
          <w:b w:val="0"/>
          <w:bCs w:val="0"/>
        </w:rPr>
        <w:t xml:space="preserve"> </w:t>
      </w:r>
      <w:r w:rsidRPr="00933C3E">
        <w:rPr>
          <w:rStyle w:val="Vrazn"/>
          <w:b w:val="0"/>
          <w:bCs w:val="0"/>
        </w:rPr>
        <w:t>zákon č. 503/2003 Z. z. o navrátení vlastníctva k pozemkom a o zmene a doplnení zákona Národnej rady Slovenskej republiky č. 180/1995 Z. z. o niektorých opatreniach na usporiadanie vlastníctva k pozemkom v znení neskorších predpisov v znení neskorších predpisov</w:t>
      </w:r>
      <w:r w:rsidRPr="00933C3E">
        <w:rPr>
          <w:rStyle w:val="Vrazn"/>
        </w:rPr>
        <w:t xml:space="preserve">  </w:t>
      </w:r>
    </w:p>
    <w:p w14:paraId="510C45F9" w14:textId="77777777" w:rsidR="00933C3E" w:rsidRPr="00933C3E" w:rsidRDefault="00933C3E" w:rsidP="00933C3E">
      <w:pPr>
        <w:rPr>
          <w:rFonts w:ascii="Times New Roman" w:hAnsi="Times New Roman" w:cs="Times New Roman"/>
          <w:sz w:val="24"/>
          <w:szCs w:val="24"/>
        </w:rPr>
      </w:pPr>
    </w:p>
    <w:p w14:paraId="5EE538AC" w14:textId="77777777" w:rsidR="00933C3E" w:rsidRPr="00933C3E" w:rsidRDefault="00933C3E" w:rsidP="00933C3E">
      <w:pPr>
        <w:pStyle w:val="odrkaa"/>
        <w:numPr>
          <w:ilvl w:val="0"/>
          <w:numId w:val="3"/>
        </w:numPr>
        <w:tabs>
          <w:tab w:val="clear" w:pos="720"/>
        </w:tabs>
        <w:spacing w:line="240" w:lineRule="auto"/>
        <w:ind w:left="360"/>
        <w:rPr>
          <w:b/>
        </w:rPr>
      </w:pPr>
      <w:r w:rsidRPr="00933C3E">
        <w:rPr>
          <w:b/>
        </w:rPr>
        <w:t>Problematika návrhu zákona:</w:t>
      </w:r>
    </w:p>
    <w:p w14:paraId="1ABC08CF" w14:textId="77777777" w:rsidR="00933C3E" w:rsidRPr="00933C3E" w:rsidRDefault="00933C3E" w:rsidP="00933C3E">
      <w:pPr>
        <w:keepNext/>
        <w:numPr>
          <w:ilvl w:val="1"/>
          <w:numId w:val="3"/>
        </w:numPr>
        <w:tabs>
          <w:tab w:val="clear" w:pos="1440"/>
        </w:tabs>
        <w:spacing w:before="60" w:after="60" w:line="240" w:lineRule="auto"/>
        <w:ind w:left="720"/>
        <w:jc w:val="both"/>
        <w:rPr>
          <w:rFonts w:ascii="Times New Roman" w:hAnsi="Times New Roman" w:cs="Times New Roman"/>
          <w:sz w:val="24"/>
          <w:szCs w:val="24"/>
        </w:rPr>
      </w:pPr>
      <w:r w:rsidRPr="00933C3E">
        <w:rPr>
          <w:rFonts w:ascii="Times New Roman" w:hAnsi="Times New Roman" w:cs="Times New Roman"/>
          <w:sz w:val="24"/>
          <w:szCs w:val="24"/>
        </w:rPr>
        <w:t>nie je upravená v práve Európskej únie</w:t>
      </w:r>
    </w:p>
    <w:p w14:paraId="3AAABD60" w14:textId="77777777" w:rsidR="00933C3E" w:rsidRPr="00933C3E" w:rsidRDefault="00933C3E" w:rsidP="00933C3E">
      <w:pPr>
        <w:keepNext/>
        <w:numPr>
          <w:ilvl w:val="1"/>
          <w:numId w:val="3"/>
        </w:numPr>
        <w:tabs>
          <w:tab w:val="clear" w:pos="1440"/>
        </w:tabs>
        <w:spacing w:before="60" w:after="60" w:line="240" w:lineRule="auto"/>
        <w:ind w:left="720"/>
        <w:jc w:val="both"/>
        <w:rPr>
          <w:rFonts w:ascii="Times New Roman" w:hAnsi="Times New Roman" w:cs="Times New Roman"/>
          <w:sz w:val="24"/>
          <w:szCs w:val="24"/>
        </w:rPr>
      </w:pPr>
      <w:r w:rsidRPr="00933C3E">
        <w:rPr>
          <w:rFonts w:ascii="Times New Roman" w:hAnsi="Times New Roman" w:cs="Times New Roman"/>
          <w:sz w:val="24"/>
          <w:szCs w:val="24"/>
        </w:rPr>
        <w:t>nie je obsiahnutá v judikatúre Súdneho dvora Európskej únie alebo Súdu prvého stupňa Európskej únie.</w:t>
      </w:r>
    </w:p>
    <w:p w14:paraId="432FCCFD" w14:textId="77777777" w:rsidR="00933C3E" w:rsidRPr="00933C3E" w:rsidRDefault="00933C3E" w:rsidP="00933C3E">
      <w:pPr>
        <w:pStyle w:val="odsek"/>
      </w:pPr>
    </w:p>
    <w:p w14:paraId="1BD7D9D5" w14:textId="6D2E9E43" w:rsidR="00933C3E" w:rsidRDefault="00933C3E" w:rsidP="00933C3E">
      <w:pPr>
        <w:pStyle w:val="odsek"/>
      </w:pPr>
      <w:r w:rsidRPr="00933C3E">
        <w:t>Vzhľadom na to, že problematika návrhu zákona nie je v práve Európskej únie upravená, je bezpredmetné vyjadrovať sa k bodom 4 až 6.</w:t>
      </w:r>
    </w:p>
    <w:p w14:paraId="307A5352" w14:textId="77777777" w:rsidR="00933C3E" w:rsidRDefault="00933C3E">
      <w:pPr>
        <w:rPr>
          <w:rFonts w:ascii="Times New Roman" w:eastAsia="Times New Roman" w:hAnsi="Times New Roman" w:cs="Times New Roman"/>
          <w:sz w:val="24"/>
          <w:szCs w:val="24"/>
          <w:lang w:eastAsia="sk-SK"/>
        </w:rPr>
      </w:pPr>
      <w:r>
        <w:br w:type="page"/>
      </w:r>
    </w:p>
    <w:p w14:paraId="2973B6C0" w14:textId="77777777" w:rsidR="00933C3E" w:rsidRPr="00291806" w:rsidRDefault="00933C3E" w:rsidP="00933C3E">
      <w:pPr>
        <w:widowControl w:val="0"/>
        <w:spacing w:after="0" w:line="240" w:lineRule="auto"/>
        <w:jc w:val="center"/>
        <w:rPr>
          <w:rFonts w:ascii="Times New Roman" w:eastAsia="Times New Roman" w:hAnsi="Times New Roman" w:cs="Times New Roman"/>
          <w:b/>
          <w:sz w:val="24"/>
          <w:szCs w:val="20"/>
          <w:lang w:eastAsia="sk-SK"/>
        </w:rPr>
      </w:pPr>
      <w:r w:rsidRPr="00291806">
        <w:rPr>
          <w:rFonts w:ascii="Times New Roman" w:eastAsia="Times New Roman" w:hAnsi="Times New Roman" w:cs="Times New Roman"/>
          <w:b/>
          <w:sz w:val="24"/>
          <w:szCs w:val="20"/>
          <w:lang w:eastAsia="sk-SK"/>
        </w:rPr>
        <w:lastRenderedPageBreak/>
        <w:t>Doložka vybraných vplyvov</w:t>
      </w:r>
    </w:p>
    <w:p w14:paraId="5736BD4A" w14:textId="77777777" w:rsidR="00933C3E" w:rsidRPr="00291806" w:rsidRDefault="00933C3E" w:rsidP="00933C3E">
      <w:pPr>
        <w:widowControl w:val="0"/>
        <w:spacing w:after="0" w:line="240" w:lineRule="auto"/>
        <w:jc w:val="center"/>
        <w:rPr>
          <w:rFonts w:ascii="Times New Roman" w:eastAsia="Times New Roman" w:hAnsi="Times New Roman" w:cs="Times New Roman"/>
          <w:b/>
          <w:sz w:val="20"/>
          <w:szCs w:val="20"/>
          <w:lang w:eastAsia="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933C3E" w:rsidRPr="00291806" w14:paraId="67573BDE" w14:textId="77777777" w:rsidTr="000C24D6">
        <w:tc>
          <w:tcPr>
            <w:tcW w:w="9180" w:type="dxa"/>
            <w:gridSpan w:val="11"/>
            <w:tcBorders>
              <w:bottom w:val="single" w:sz="4" w:space="0" w:color="FFFFFF"/>
            </w:tcBorders>
            <w:shd w:val="clear" w:color="auto" w:fill="E2E2E2"/>
          </w:tcPr>
          <w:p w14:paraId="6A089C0B"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Základné údaje</w:t>
            </w:r>
          </w:p>
        </w:tc>
      </w:tr>
      <w:tr w:rsidR="00933C3E" w:rsidRPr="00291806" w14:paraId="66297A7F" w14:textId="77777777" w:rsidTr="000C24D6">
        <w:tc>
          <w:tcPr>
            <w:tcW w:w="9180" w:type="dxa"/>
            <w:gridSpan w:val="11"/>
            <w:tcBorders>
              <w:bottom w:val="single" w:sz="4" w:space="0" w:color="FFFFFF"/>
            </w:tcBorders>
            <w:shd w:val="clear" w:color="auto" w:fill="E2E2E2"/>
          </w:tcPr>
          <w:p w14:paraId="18A0A6BE" w14:textId="77777777" w:rsidR="00933C3E" w:rsidRPr="00291806" w:rsidRDefault="00933C3E" w:rsidP="000C24D6">
            <w:pPr>
              <w:widowControl w:val="0"/>
              <w:ind w:left="142"/>
              <w:rPr>
                <w:rFonts w:ascii="Times New Roman" w:eastAsia="Calibri" w:hAnsi="Times New Roman" w:cs="Times New Roman"/>
                <w:b/>
                <w:sz w:val="20"/>
                <w:szCs w:val="20"/>
              </w:rPr>
            </w:pPr>
            <w:r w:rsidRPr="00291806">
              <w:rPr>
                <w:rFonts w:ascii="Times New Roman" w:eastAsia="Calibri" w:hAnsi="Times New Roman" w:cs="Times New Roman"/>
                <w:b/>
                <w:sz w:val="20"/>
                <w:szCs w:val="20"/>
              </w:rPr>
              <w:t>Názov materiálu</w:t>
            </w:r>
          </w:p>
        </w:tc>
      </w:tr>
      <w:tr w:rsidR="00933C3E" w:rsidRPr="00291806" w14:paraId="11563B61" w14:textId="77777777" w:rsidTr="000C24D6">
        <w:tc>
          <w:tcPr>
            <w:tcW w:w="9180" w:type="dxa"/>
            <w:gridSpan w:val="11"/>
            <w:tcBorders>
              <w:top w:val="single" w:sz="4" w:space="0" w:color="FFFFFF"/>
              <w:bottom w:val="single" w:sz="4" w:space="0" w:color="auto"/>
            </w:tcBorders>
          </w:tcPr>
          <w:p w14:paraId="604D522C" w14:textId="068F1364" w:rsidR="00933C3E" w:rsidRPr="00291806" w:rsidRDefault="00D474B1" w:rsidP="000C24D6">
            <w:pPr>
              <w:widowControl w:val="0"/>
              <w:shd w:val="clear" w:color="auto" w:fill="FFFFFF"/>
              <w:jc w:val="both"/>
              <w:rPr>
                <w:rFonts w:ascii="Times New Roman" w:hAnsi="Times New Roman" w:cs="Times New Roman"/>
                <w:bCs/>
                <w:color w:val="222222"/>
                <w:sz w:val="20"/>
                <w:szCs w:val="20"/>
              </w:rPr>
            </w:pPr>
            <w:r>
              <w:rPr>
                <w:rFonts w:ascii="Times New Roman" w:hAnsi="Times New Roman" w:cs="Times New Roman"/>
                <w:sz w:val="20"/>
                <w:szCs w:val="20"/>
              </w:rPr>
              <w:t>Vládny n</w:t>
            </w:r>
            <w:r w:rsidR="00933C3E" w:rsidRPr="00291806">
              <w:rPr>
                <w:rFonts w:ascii="Times New Roman" w:hAnsi="Times New Roman" w:cs="Times New Roman"/>
                <w:sz w:val="20"/>
                <w:szCs w:val="20"/>
              </w:rPr>
              <w:t xml:space="preserve">ávrh zákona, </w:t>
            </w:r>
            <w:r w:rsidR="00933C3E" w:rsidRPr="00250D21">
              <w:rPr>
                <w:rFonts w:ascii="Times New Roman" w:hAnsi="Times New Roman" w:cs="Times New Roman"/>
                <w:sz w:val="20"/>
                <w:szCs w:val="20"/>
              </w:rPr>
              <w:t xml:space="preserve">ktorým sa mení a dopĺňa zákon č. 229/1991 Zb. o úprave vlastníckych vzťahov k pôde a inému poľnohospodárskemu majetku v znení neskorších predpisov a </w:t>
            </w:r>
            <w:r w:rsidR="00933C3E" w:rsidRPr="005913B6">
              <w:rPr>
                <w:rFonts w:ascii="Times New Roman" w:hAnsi="Times New Roman" w:cs="Times New Roman"/>
                <w:sz w:val="20"/>
                <w:szCs w:val="20"/>
              </w:rPr>
              <w:t xml:space="preserve">ktorým sa mení </w:t>
            </w:r>
            <w:r w:rsidR="00933C3E">
              <w:rPr>
                <w:rFonts w:ascii="Times New Roman" w:hAnsi="Times New Roman" w:cs="Times New Roman"/>
                <w:sz w:val="20"/>
                <w:szCs w:val="20"/>
              </w:rPr>
              <w:t xml:space="preserve">a </w:t>
            </w:r>
            <w:r w:rsidR="00933C3E" w:rsidRPr="005913B6">
              <w:rPr>
                <w:rFonts w:ascii="Times New Roman" w:hAnsi="Times New Roman" w:cs="Times New Roman"/>
                <w:sz w:val="20"/>
                <w:szCs w:val="20"/>
              </w:rPr>
              <w:t>dopĺňa</w:t>
            </w:r>
            <w:r w:rsidR="00933C3E" w:rsidRPr="005913B6" w:rsidDel="005913B6">
              <w:rPr>
                <w:rFonts w:ascii="Times New Roman" w:hAnsi="Times New Roman" w:cs="Times New Roman"/>
                <w:sz w:val="20"/>
                <w:szCs w:val="20"/>
              </w:rPr>
              <w:t xml:space="preserve"> </w:t>
            </w:r>
            <w:r w:rsidR="00933C3E" w:rsidRPr="00250D21">
              <w:rPr>
                <w:rFonts w:ascii="Times New Roman" w:hAnsi="Times New Roman" w:cs="Times New Roman"/>
                <w:sz w:val="20"/>
                <w:szCs w:val="20"/>
              </w:rPr>
              <w:t>zákon č. 503/2003 Z. z. o navrátení vlastníctva k pozemkom a o zmene a doplnení zákona Národnej rady Slovenskej republiky č.</w:t>
            </w:r>
            <w:r w:rsidR="00933C3E">
              <w:rPr>
                <w:rFonts w:ascii="Times New Roman" w:hAnsi="Times New Roman" w:cs="Times New Roman"/>
                <w:sz w:val="20"/>
                <w:szCs w:val="20"/>
              </w:rPr>
              <w:t> </w:t>
            </w:r>
            <w:r w:rsidR="00933C3E" w:rsidRPr="00250D21">
              <w:rPr>
                <w:rFonts w:ascii="Times New Roman" w:hAnsi="Times New Roman" w:cs="Times New Roman"/>
                <w:sz w:val="20"/>
                <w:szCs w:val="20"/>
              </w:rPr>
              <w:t>180/1995 Z. z. o niektorých opatreniach na usporiadanie vlastníctva k pozemkom v znení neskorších predpisov v znení neskorších predpisov</w:t>
            </w:r>
          </w:p>
        </w:tc>
      </w:tr>
      <w:tr w:rsidR="00933C3E" w:rsidRPr="00291806" w14:paraId="487AD133" w14:textId="77777777" w:rsidTr="000C24D6">
        <w:tc>
          <w:tcPr>
            <w:tcW w:w="9180" w:type="dxa"/>
            <w:gridSpan w:val="11"/>
            <w:tcBorders>
              <w:top w:val="single" w:sz="4" w:space="0" w:color="auto"/>
              <w:left w:val="single" w:sz="4" w:space="0" w:color="auto"/>
              <w:bottom w:val="single" w:sz="4" w:space="0" w:color="FFFFFF"/>
            </w:tcBorders>
            <w:shd w:val="clear" w:color="auto" w:fill="E2E2E2"/>
          </w:tcPr>
          <w:p w14:paraId="3430A01A" w14:textId="77777777" w:rsidR="00933C3E" w:rsidRPr="00291806" w:rsidRDefault="00933C3E" w:rsidP="000C24D6">
            <w:pPr>
              <w:widowControl w:val="0"/>
              <w:ind w:left="142"/>
              <w:rPr>
                <w:rFonts w:ascii="Times New Roman" w:eastAsia="Calibri" w:hAnsi="Times New Roman" w:cs="Times New Roman"/>
                <w:b/>
                <w:sz w:val="20"/>
                <w:szCs w:val="20"/>
              </w:rPr>
            </w:pPr>
            <w:r w:rsidRPr="00291806">
              <w:rPr>
                <w:rFonts w:ascii="Times New Roman" w:eastAsia="Calibri" w:hAnsi="Times New Roman" w:cs="Times New Roman"/>
                <w:b/>
                <w:sz w:val="20"/>
                <w:szCs w:val="20"/>
              </w:rPr>
              <w:t>Predkladateľ (a spolupredkladateľ)</w:t>
            </w:r>
          </w:p>
        </w:tc>
      </w:tr>
      <w:tr w:rsidR="00933C3E" w:rsidRPr="00291806" w14:paraId="7DE7FEBE" w14:textId="77777777" w:rsidTr="000C24D6">
        <w:tc>
          <w:tcPr>
            <w:tcW w:w="9180" w:type="dxa"/>
            <w:gridSpan w:val="11"/>
            <w:tcBorders>
              <w:top w:val="single" w:sz="4" w:space="0" w:color="FFFFFF"/>
              <w:left w:val="single" w:sz="4" w:space="0" w:color="auto"/>
              <w:bottom w:val="single" w:sz="4" w:space="0" w:color="auto"/>
            </w:tcBorders>
            <w:shd w:val="clear" w:color="auto" w:fill="FFFFFF"/>
          </w:tcPr>
          <w:p w14:paraId="2AB85D82" w14:textId="39E7A112" w:rsidR="00933C3E" w:rsidRPr="00291806" w:rsidRDefault="00D474B1" w:rsidP="000C24D6">
            <w:pPr>
              <w:widowControl w:val="0"/>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Vláda </w:t>
            </w:r>
            <w:r w:rsidR="00933C3E" w:rsidRPr="00291806">
              <w:rPr>
                <w:rFonts w:ascii="Times New Roman" w:eastAsia="Times New Roman" w:hAnsi="Times New Roman" w:cs="Times New Roman"/>
                <w:sz w:val="20"/>
                <w:szCs w:val="20"/>
                <w:lang w:eastAsia="sk-SK"/>
              </w:rPr>
              <w:t>Slovenskej republiky</w:t>
            </w:r>
          </w:p>
        </w:tc>
      </w:tr>
      <w:tr w:rsidR="00933C3E" w:rsidRPr="00291806" w14:paraId="5EEE0956" w14:textId="77777777" w:rsidTr="000C24D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824B9E8" w14:textId="77777777" w:rsidR="00933C3E" w:rsidRPr="00291806" w:rsidRDefault="00933C3E" w:rsidP="000C24D6">
            <w:pPr>
              <w:widowControl w:val="0"/>
              <w:ind w:left="142"/>
              <w:rPr>
                <w:rFonts w:ascii="Times New Roman" w:eastAsia="Calibri" w:hAnsi="Times New Roman" w:cs="Times New Roman"/>
                <w:b/>
                <w:sz w:val="20"/>
                <w:szCs w:val="20"/>
              </w:rPr>
            </w:pPr>
            <w:r w:rsidRPr="00291806">
              <w:rPr>
                <w:rFonts w:ascii="Times New Roman" w:eastAsia="Calibri" w:hAnsi="Times New Roman" w:cs="Times New Roman"/>
                <w:b/>
                <w:sz w:val="20"/>
                <w:szCs w:val="20"/>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3FCCEED"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49B252D"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Materiál nelegislatívnej povahy</w:t>
            </w:r>
          </w:p>
        </w:tc>
      </w:tr>
      <w:tr w:rsidR="00933C3E" w:rsidRPr="00291806" w14:paraId="31A0AD7F" w14:textId="77777777" w:rsidTr="000C24D6">
        <w:tc>
          <w:tcPr>
            <w:tcW w:w="4212" w:type="dxa"/>
            <w:gridSpan w:val="2"/>
            <w:vMerge/>
            <w:tcBorders>
              <w:top w:val="nil"/>
              <w:left w:val="single" w:sz="4" w:space="0" w:color="auto"/>
              <w:bottom w:val="single" w:sz="4" w:space="0" w:color="FFFFFF"/>
            </w:tcBorders>
            <w:shd w:val="clear" w:color="auto" w:fill="E2E2E2"/>
          </w:tcPr>
          <w:p w14:paraId="6CE907D9" w14:textId="77777777" w:rsidR="00933C3E" w:rsidRPr="00291806" w:rsidRDefault="00933C3E" w:rsidP="000C24D6">
            <w:pPr>
              <w:widowControl w:val="0"/>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2DF0758"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1298A06" w14:textId="77777777" w:rsidR="00933C3E" w:rsidRPr="00291806" w:rsidRDefault="00933C3E" w:rsidP="000C24D6">
            <w:pPr>
              <w:widowControl w:val="0"/>
              <w:ind w:left="175" w:hanging="175"/>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Materiál legislatívnej povahy</w:t>
            </w:r>
          </w:p>
        </w:tc>
      </w:tr>
      <w:tr w:rsidR="00933C3E" w:rsidRPr="00291806" w14:paraId="13890845" w14:textId="77777777" w:rsidTr="000C24D6">
        <w:tc>
          <w:tcPr>
            <w:tcW w:w="4212" w:type="dxa"/>
            <w:gridSpan w:val="2"/>
            <w:vMerge/>
            <w:tcBorders>
              <w:top w:val="nil"/>
              <w:left w:val="single" w:sz="4" w:space="0" w:color="auto"/>
              <w:bottom w:val="single" w:sz="4" w:space="0" w:color="auto"/>
            </w:tcBorders>
            <w:shd w:val="clear" w:color="auto" w:fill="E2E2E2"/>
          </w:tcPr>
          <w:p w14:paraId="7C2CA625" w14:textId="77777777" w:rsidR="00933C3E" w:rsidRPr="00291806" w:rsidRDefault="00933C3E" w:rsidP="000C24D6">
            <w:pPr>
              <w:widowControl w:val="0"/>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7EEC9F2"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7EC62BBE"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Transpozícia práva EÚ</w:t>
            </w:r>
          </w:p>
        </w:tc>
      </w:tr>
      <w:tr w:rsidR="00933C3E" w:rsidRPr="00291806" w14:paraId="58110971" w14:textId="77777777" w:rsidTr="000C24D6">
        <w:tc>
          <w:tcPr>
            <w:tcW w:w="9180" w:type="dxa"/>
            <w:gridSpan w:val="11"/>
            <w:tcBorders>
              <w:top w:val="single" w:sz="4" w:space="0" w:color="auto"/>
              <w:left w:val="single" w:sz="4" w:space="0" w:color="auto"/>
              <w:bottom w:val="single" w:sz="4" w:space="0" w:color="FFFFFF"/>
            </w:tcBorders>
            <w:shd w:val="clear" w:color="auto" w:fill="FFFFFF"/>
          </w:tcPr>
          <w:p w14:paraId="0B0EF671"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i/>
                <w:sz w:val="20"/>
                <w:szCs w:val="20"/>
                <w:lang w:eastAsia="sk-SK"/>
              </w:rPr>
              <w:t>V prípade transpozície uveďte zoznam transponovaných predpisov:</w:t>
            </w:r>
          </w:p>
        </w:tc>
      </w:tr>
      <w:tr w:rsidR="00933C3E" w:rsidRPr="00291806" w14:paraId="22A9FE5E" w14:textId="77777777" w:rsidTr="000C24D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0A41D54" w14:textId="77777777" w:rsidR="00933C3E" w:rsidRPr="00291806" w:rsidRDefault="00933C3E" w:rsidP="000C24D6">
            <w:pPr>
              <w:widowControl w:val="0"/>
              <w:ind w:left="142"/>
              <w:rPr>
                <w:rFonts w:ascii="Times New Roman" w:eastAsia="Calibri" w:hAnsi="Times New Roman" w:cs="Times New Roman"/>
                <w:b/>
                <w:sz w:val="20"/>
                <w:szCs w:val="20"/>
              </w:rPr>
            </w:pPr>
            <w:r w:rsidRPr="00291806">
              <w:rPr>
                <w:rFonts w:ascii="Times New Roman" w:eastAsia="Calibri" w:hAnsi="Times New Roman" w:cs="Times New Roman"/>
                <w:b/>
                <w:sz w:val="20"/>
                <w:szCs w:val="20"/>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305DADC" w14:textId="77777777" w:rsidR="00933C3E" w:rsidRPr="00291806" w:rsidRDefault="00933C3E" w:rsidP="000C24D6">
            <w:pPr>
              <w:widowControl w:val="0"/>
              <w:rPr>
                <w:rFonts w:ascii="Times New Roman" w:eastAsia="Times New Roman" w:hAnsi="Times New Roman" w:cs="Times New Roman"/>
                <w:i/>
                <w:sz w:val="20"/>
                <w:szCs w:val="20"/>
                <w:lang w:eastAsia="sk-SK"/>
              </w:rPr>
            </w:pPr>
            <w:r w:rsidRPr="00291806">
              <w:rPr>
                <w:rFonts w:ascii="Times New Roman" w:eastAsia="Times New Roman" w:hAnsi="Times New Roman" w:cs="Times New Roman"/>
                <w:i/>
                <w:sz w:val="20"/>
                <w:szCs w:val="20"/>
                <w:lang w:eastAsia="sk-SK"/>
              </w:rPr>
              <w:t>- - -</w:t>
            </w:r>
          </w:p>
        </w:tc>
      </w:tr>
      <w:tr w:rsidR="00933C3E" w:rsidRPr="00291806" w14:paraId="26B217E3" w14:textId="77777777" w:rsidTr="000C24D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E902AD2" w14:textId="77777777" w:rsidR="00933C3E" w:rsidRPr="00291806" w:rsidRDefault="00933C3E" w:rsidP="000C24D6">
            <w:pPr>
              <w:widowControl w:val="0"/>
              <w:ind w:left="142"/>
              <w:rPr>
                <w:rFonts w:ascii="Times New Roman" w:eastAsia="Calibri" w:hAnsi="Times New Roman" w:cs="Times New Roman"/>
                <w:b/>
                <w:sz w:val="20"/>
                <w:szCs w:val="20"/>
              </w:rPr>
            </w:pPr>
            <w:r w:rsidRPr="00291806">
              <w:rPr>
                <w:rFonts w:ascii="Times New Roman" w:eastAsia="Calibri" w:hAnsi="Times New Roman" w:cs="Times New Roman"/>
                <w:b/>
                <w:sz w:val="20"/>
                <w:szCs w:val="20"/>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BC7AFDA" w14:textId="77777777" w:rsidR="00933C3E" w:rsidRPr="00291806" w:rsidRDefault="00933C3E" w:rsidP="000C24D6">
            <w:pPr>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w:t>
            </w:r>
            <w:r w:rsidRPr="00291806">
              <w:rPr>
                <w:rFonts w:ascii="Times New Roman" w:eastAsia="Times New Roman" w:hAnsi="Times New Roman" w:cs="Times New Roman"/>
                <w:i/>
                <w:sz w:val="20"/>
                <w:szCs w:val="20"/>
                <w:lang w:eastAsia="sk-SK"/>
              </w:rPr>
              <w:t xml:space="preserve"> 202</w:t>
            </w:r>
            <w:r>
              <w:rPr>
                <w:rFonts w:ascii="Times New Roman" w:eastAsia="Times New Roman" w:hAnsi="Times New Roman" w:cs="Times New Roman"/>
                <w:i/>
                <w:sz w:val="20"/>
                <w:szCs w:val="20"/>
                <w:lang w:eastAsia="sk-SK"/>
              </w:rPr>
              <w:t>6</w:t>
            </w:r>
          </w:p>
        </w:tc>
      </w:tr>
      <w:tr w:rsidR="00933C3E" w:rsidRPr="00291806" w14:paraId="6F411B5E" w14:textId="77777777" w:rsidTr="000C24D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94B2334" w14:textId="77777777" w:rsidR="00933C3E" w:rsidRPr="00291806" w:rsidRDefault="00933C3E" w:rsidP="000C24D6">
            <w:pPr>
              <w:widowControl w:val="0"/>
              <w:ind w:left="142"/>
              <w:rPr>
                <w:rFonts w:ascii="Times New Roman" w:eastAsia="Calibri" w:hAnsi="Times New Roman" w:cs="Times New Roman"/>
                <w:b/>
                <w:sz w:val="20"/>
                <w:szCs w:val="20"/>
              </w:rPr>
            </w:pPr>
            <w:r w:rsidRPr="00291806">
              <w:rPr>
                <w:rFonts w:ascii="Times New Roman" w:eastAsia="Calibri" w:hAnsi="Times New Roman" w:cs="Times New Roman"/>
                <w:b/>
                <w:sz w:val="20"/>
                <w:szCs w:val="20"/>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72923D28" w14:textId="77777777" w:rsidR="00933C3E" w:rsidRPr="00291806" w:rsidRDefault="00933C3E" w:rsidP="000C24D6">
            <w:pPr>
              <w:widowControl w:val="0"/>
              <w:rPr>
                <w:rFonts w:ascii="Times New Roman" w:eastAsia="Times New Roman" w:hAnsi="Times New Roman" w:cs="Times New Roman"/>
                <w:i/>
                <w:sz w:val="20"/>
                <w:szCs w:val="20"/>
                <w:lang w:eastAsia="sk-SK"/>
              </w:rPr>
            </w:pPr>
            <w:r w:rsidRPr="00291806">
              <w:rPr>
                <w:rFonts w:ascii="Times New Roman" w:eastAsia="Times New Roman" w:hAnsi="Times New Roman" w:cs="Times New Roman"/>
                <w:i/>
                <w:sz w:val="20"/>
                <w:szCs w:val="20"/>
                <w:lang w:eastAsia="sk-SK"/>
              </w:rPr>
              <w:t>- - -</w:t>
            </w:r>
          </w:p>
        </w:tc>
      </w:tr>
      <w:tr w:rsidR="00933C3E" w:rsidRPr="00291806" w14:paraId="35D1E478" w14:textId="77777777" w:rsidTr="000C24D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FC3DE75" w14:textId="77777777" w:rsidR="00933C3E" w:rsidRPr="00291806" w:rsidRDefault="00933C3E" w:rsidP="000C24D6">
            <w:pPr>
              <w:widowControl w:val="0"/>
              <w:ind w:left="142"/>
              <w:jc w:val="both"/>
              <w:rPr>
                <w:rFonts w:ascii="Times New Roman" w:eastAsia="Calibri" w:hAnsi="Times New Roman" w:cs="Times New Roman"/>
                <w:b/>
                <w:sz w:val="20"/>
                <w:szCs w:val="20"/>
              </w:rPr>
            </w:pPr>
            <w:r w:rsidRPr="00291806">
              <w:rPr>
                <w:rFonts w:ascii="Times New Roman" w:eastAsia="Calibri" w:hAnsi="Times New Roman" w:cs="Times New Roman"/>
                <w:b/>
                <w:sz w:val="20"/>
                <w:szCs w:val="20"/>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083A0B58" w14:textId="77777777" w:rsidR="00933C3E" w:rsidRPr="00291806" w:rsidRDefault="00933C3E" w:rsidP="000C24D6">
            <w:pPr>
              <w:widowControl w:val="0"/>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marec</w:t>
            </w:r>
            <w:r w:rsidRPr="00291806">
              <w:rPr>
                <w:rFonts w:ascii="Times New Roman" w:eastAsia="Times New Roman" w:hAnsi="Times New Roman" w:cs="Times New Roman"/>
                <w:i/>
                <w:sz w:val="20"/>
                <w:szCs w:val="20"/>
                <w:lang w:eastAsia="sk-SK"/>
              </w:rPr>
              <w:t xml:space="preserve"> 202</w:t>
            </w:r>
            <w:r>
              <w:rPr>
                <w:rFonts w:ascii="Times New Roman" w:eastAsia="Times New Roman" w:hAnsi="Times New Roman" w:cs="Times New Roman"/>
                <w:i/>
                <w:sz w:val="20"/>
                <w:szCs w:val="20"/>
                <w:lang w:eastAsia="sk-SK"/>
              </w:rPr>
              <w:t>6</w:t>
            </w:r>
          </w:p>
        </w:tc>
      </w:tr>
      <w:tr w:rsidR="00933C3E" w:rsidRPr="00291806" w14:paraId="5A48AD6E" w14:textId="77777777" w:rsidTr="000C24D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0369D98"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Definovanie problému</w:t>
            </w:r>
          </w:p>
        </w:tc>
      </w:tr>
      <w:tr w:rsidR="00933C3E" w:rsidRPr="00291806" w14:paraId="6EB30B8D" w14:textId="77777777" w:rsidTr="000C24D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1322D4D" w14:textId="77777777" w:rsidR="00933C3E" w:rsidRDefault="00933C3E" w:rsidP="000C24D6">
            <w:pPr>
              <w:widowControl w:val="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w:t>
            </w:r>
            <w:r w:rsidRPr="00291806">
              <w:rPr>
                <w:rFonts w:ascii="Times New Roman" w:eastAsia="Times New Roman" w:hAnsi="Times New Roman" w:cs="Times New Roman"/>
                <w:sz w:val="20"/>
                <w:szCs w:val="20"/>
                <w:lang w:eastAsia="sk-SK"/>
              </w:rPr>
              <w:t>rekážk</w:t>
            </w:r>
            <w:r>
              <w:rPr>
                <w:rFonts w:ascii="Times New Roman" w:eastAsia="Times New Roman" w:hAnsi="Times New Roman" w:cs="Times New Roman"/>
                <w:sz w:val="20"/>
                <w:szCs w:val="20"/>
                <w:lang w:eastAsia="sk-SK"/>
              </w:rPr>
              <w:t>y</w:t>
            </w:r>
            <w:r w:rsidRPr="00291806">
              <w:rPr>
                <w:rFonts w:ascii="Times New Roman" w:eastAsia="Times New Roman" w:hAnsi="Times New Roman" w:cs="Times New Roman"/>
                <w:sz w:val="20"/>
                <w:szCs w:val="20"/>
                <w:lang w:eastAsia="sk-SK"/>
              </w:rPr>
              <w:t xml:space="preserve"> pre usporiadanie vlastníctva k pozemkom a pre vytvorenie vhodných pozemkovoprávnych pomerov hospodárenia na pôde </w:t>
            </w:r>
            <w:r>
              <w:rPr>
                <w:rFonts w:ascii="Times New Roman" w:eastAsia="Times New Roman" w:hAnsi="Times New Roman" w:cs="Times New Roman"/>
                <w:sz w:val="20"/>
                <w:szCs w:val="20"/>
                <w:lang w:eastAsia="sk-SK"/>
              </w:rPr>
              <w:t>sú:</w:t>
            </w:r>
            <w:r w:rsidRPr="00291806">
              <w:rPr>
                <w:rFonts w:ascii="Times New Roman" w:eastAsia="Times New Roman" w:hAnsi="Times New Roman" w:cs="Times New Roman"/>
                <w:sz w:val="20"/>
                <w:szCs w:val="20"/>
                <w:lang w:eastAsia="sk-SK"/>
              </w:rPr>
              <w:t xml:space="preserve"> </w:t>
            </w:r>
          </w:p>
          <w:p w14:paraId="6D00C2BB" w14:textId="77777777" w:rsidR="00933C3E" w:rsidRDefault="00933C3E" w:rsidP="000C24D6">
            <w:pPr>
              <w:widowControl w:val="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291806">
              <w:rPr>
                <w:rFonts w:ascii="Times New Roman" w:eastAsia="Times New Roman" w:hAnsi="Times New Roman" w:cs="Times New Roman"/>
                <w:sz w:val="20"/>
                <w:szCs w:val="20"/>
                <w:lang w:eastAsia="sk-SK"/>
              </w:rPr>
              <w:t>zdĺhavý proces riešenia reštitučných nárokov oprávnených osôb podľa zákona č. 229/1991 Zb. a zákona č.</w:t>
            </w:r>
            <w:r>
              <w:rPr>
                <w:rFonts w:ascii="Times New Roman" w:eastAsia="Times New Roman" w:hAnsi="Times New Roman" w:cs="Times New Roman"/>
                <w:sz w:val="20"/>
                <w:szCs w:val="20"/>
                <w:lang w:eastAsia="sk-SK"/>
              </w:rPr>
              <w:t> </w:t>
            </w:r>
            <w:r w:rsidRPr="00291806">
              <w:rPr>
                <w:rFonts w:ascii="Times New Roman" w:eastAsia="Times New Roman" w:hAnsi="Times New Roman" w:cs="Times New Roman"/>
                <w:sz w:val="20"/>
                <w:szCs w:val="20"/>
                <w:lang w:eastAsia="sk-SK"/>
              </w:rPr>
              <w:t>503/2003 Z. z. spočívajú</w:t>
            </w:r>
            <w:r>
              <w:rPr>
                <w:rFonts w:ascii="Times New Roman" w:eastAsia="Times New Roman" w:hAnsi="Times New Roman" w:cs="Times New Roman"/>
                <w:sz w:val="20"/>
                <w:szCs w:val="20"/>
                <w:lang w:eastAsia="sk-SK"/>
              </w:rPr>
              <w:t>ci</w:t>
            </w:r>
            <w:r w:rsidRPr="00291806">
              <w:rPr>
                <w:rFonts w:ascii="Times New Roman" w:eastAsia="Times New Roman" w:hAnsi="Times New Roman" w:cs="Times New Roman"/>
                <w:sz w:val="20"/>
                <w:szCs w:val="20"/>
                <w:lang w:eastAsia="sk-SK"/>
              </w:rPr>
              <w:t xml:space="preserve"> v zdĺhavosti rozhodovacích konaní príslušných orgánov štátnej správy, v dôsledku čoho ku koncu roka 2024 zostávalo ešte neukončených 5922 konaní, čo predstavuje 7,24 % uplatnených reštitučných nárokov</w:t>
            </w:r>
            <w:r>
              <w:rPr>
                <w:rFonts w:ascii="Times New Roman" w:eastAsia="Times New Roman" w:hAnsi="Times New Roman" w:cs="Times New Roman"/>
                <w:sz w:val="20"/>
                <w:szCs w:val="20"/>
                <w:lang w:eastAsia="sk-SK"/>
              </w:rPr>
              <w:t>;</w:t>
            </w:r>
            <w:r w:rsidRPr="00291806">
              <w:rPr>
                <w:rFonts w:ascii="Times New Roman" w:eastAsia="Times New Roman" w:hAnsi="Times New Roman" w:cs="Times New Roman"/>
                <w:sz w:val="20"/>
                <w:szCs w:val="20"/>
                <w:lang w:eastAsia="sk-SK"/>
              </w:rPr>
              <w:t xml:space="preserve"> veľkú časť týchto prípadov </w:t>
            </w:r>
            <w:r>
              <w:rPr>
                <w:rFonts w:ascii="Times New Roman" w:eastAsia="Times New Roman" w:hAnsi="Times New Roman" w:cs="Times New Roman"/>
                <w:sz w:val="20"/>
                <w:szCs w:val="20"/>
                <w:lang w:eastAsia="sk-SK"/>
              </w:rPr>
              <w:t xml:space="preserve">však </w:t>
            </w:r>
            <w:r w:rsidRPr="00291806">
              <w:rPr>
                <w:rFonts w:ascii="Times New Roman" w:eastAsia="Times New Roman" w:hAnsi="Times New Roman" w:cs="Times New Roman"/>
                <w:sz w:val="20"/>
                <w:szCs w:val="20"/>
                <w:lang w:eastAsia="sk-SK"/>
              </w:rPr>
              <w:t xml:space="preserve">tvoria nároky, ktoré sú predmetom </w:t>
            </w:r>
            <w:r>
              <w:rPr>
                <w:rFonts w:ascii="Times New Roman" w:eastAsia="Times New Roman" w:hAnsi="Times New Roman" w:cs="Times New Roman"/>
                <w:sz w:val="20"/>
                <w:szCs w:val="20"/>
                <w:lang w:eastAsia="sk-SK"/>
              </w:rPr>
              <w:t>komplikovaných súdnych konaní,</w:t>
            </w:r>
          </w:p>
          <w:p w14:paraId="513B5F04" w14:textId="77777777" w:rsidR="00933C3E" w:rsidRDefault="00933C3E" w:rsidP="000C24D6">
            <w:pPr>
              <w:widowControl w:val="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291806">
              <w:rPr>
                <w:rFonts w:ascii="Times New Roman" w:eastAsia="Times New Roman" w:hAnsi="Times New Roman" w:cs="Times New Roman"/>
                <w:sz w:val="20"/>
                <w:szCs w:val="20"/>
                <w:lang w:eastAsia="sk-SK"/>
              </w:rPr>
              <w:t>nedostatočná súčinnosť, resp. úplná nečinnosť oprávnenej osoby, ktorá si síce v zákonom stanovenej trojročnej lehote svoje právo na náhradu uplatnila, avšak ďalej od určitého štádia procesu poskytnutia náhrady nekoná</w:t>
            </w:r>
            <w:r>
              <w:rPr>
                <w:rFonts w:ascii="Times New Roman" w:eastAsia="Times New Roman" w:hAnsi="Times New Roman" w:cs="Times New Roman"/>
                <w:sz w:val="20"/>
                <w:szCs w:val="20"/>
                <w:lang w:eastAsia="sk-SK"/>
              </w:rPr>
              <w:t>,</w:t>
            </w:r>
            <w:r w:rsidRPr="00291806">
              <w:rPr>
                <w:rFonts w:ascii="Times New Roman" w:eastAsia="Times New Roman" w:hAnsi="Times New Roman" w:cs="Times New Roman"/>
                <w:sz w:val="20"/>
                <w:szCs w:val="20"/>
                <w:lang w:eastAsia="sk-SK"/>
              </w:rPr>
              <w:t xml:space="preserve"> odmietne prevziať finančnú náhradu</w:t>
            </w:r>
            <w:r>
              <w:rPr>
                <w:rFonts w:ascii="Times New Roman" w:eastAsia="Times New Roman" w:hAnsi="Times New Roman" w:cs="Times New Roman"/>
                <w:sz w:val="20"/>
                <w:szCs w:val="20"/>
                <w:lang w:eastAsia="sk-SK"/>
              </w:rPr>
              <w:t>,</w:t>
            </w:r>
            <w:r w:rsidRPr="00291806">
              <w:rPr>
                <w:rFonts w:ascii="Times New Roman" w:eastAsia="Times New Roman" w:hAnsi="Times New Roman" w:cs="Times New Roman"/>
                <w:sz w:val="20"/>
                <w:szCs w:val="20"/>
                <w:lang w:eastAsia="sk-SK"/>
              </w:rPr>
              <w:t xml:space="preserve"> neustále požaduje poskytnutie náhradného pozemku napriek tomu, že zákon č. 229/1991 Zb. a zákon č. 503/2003 Z. z. to neumožňujú</w:t>
            </w:r>
            <w:r>
              <w:rPr>
                <w:rFonts w:ascii="Times New Roman" w:eastAsia="Times New Roman" w:hAnsi="Times New Roman" w:cs="Times New Roman"/>
                <w:sz w:val="20"/>
                <w:szCs w:val="20"/>
                <w:lang w:eastAsia="sk-SK"/>
              </w:rPr>
              <w:t>,</w:t>
            </w:r>
            <w:r w:rsidRPr="00291806">
              <w:rPr>
                <w:rFonts w:ascii="Times New Roman" w:eastAsia="Times New Roman" w:hAnsi="Times New Roman" w:cs="Times New Roman"/>
                <w:sz w:val="20"/>
                <w:szCs w:val="20"/>
                <w:lang w:eastAsia="sk-SK"/>
              </w:rPr>
              <w:t xml:space="preserve"> nepreberá pozvánky na prerokovanie ponúkaného náhradného pozemku, nevráti </w:t>
            </w:r>
            <w:r>
              <w:rPr>
                <w:rFonts w:ascii="Times New Roman" w:eastAsia="Times New Roman" w:hAnsi="Times New Roman" w:cs="Times New Roman"/>
                <w:sz w:val="20"/>
                <w:szCs w:val="20"/>
                <w:lang w:eastAsia="sk-SK"/>
              </w:rPr>
              <w:t>Slovenskému pozemkovému fondu (ďalej len „</w:t>
            </w:r>
            <w:r w:rsidRPr="00291806">
              <w:rPr>
                <w:rFonts w:ascii="Times New Roman" w:eastAsia="Times New Roman" w:hAnsi="Times New Roman" w:cs="Times New Roman"/>
                <w:sz w:val="20"/>
                <w:szCs w:val="20"/>
                <w:lang w:eastAsia="sk-SK"/>
              </w:rPr>
              <w:t>fond</w:t>
            </w:r>
            <w:r>
              <w:rPr>
                <w:rFonts w:ascii="Times New Roman" w:eastAsia="Times New Roman" w:hAnsi="Times New Roman" w:cs="Times New Roman"/>
                <w:sz w:val="20"/>
                <w:szCs w:val="20"/>
                <w:lang w:eastAsia="sk-SK"/>
              </w:rPr>
              <w:t>“)</w:t>
            </w:r>
            <w:r w:rsidRPr="00291806">
              <w:rPr>
                <w:rFonts w:ascii="Times New Roman" w:eastAsia="Times New Roman" w:hAnsi="Times New Roman" w:cs="Times New Roman"/>
                <w:sz w:val="20"/>
                <w:szCs w:val="20"/>
                <w:lang w:eastAsia="sk-SK"/>
              </w:rPr>
              <w:t xml:space="preserve"> podpísané dohody, ktoré jej fond poslal na podpis po tom, čo sa na prerokovaní ponuky náhradného pozemku dohodli na forme a predmete poskytnutia náhrady</w:t>
            </w:r>
            <w:r>
              <w:rPr>
                <w:rFonts w:ascii="Times New Roman" w:eastAsia="Times New Roman" w:hAnsi="Times New Roman" w:cs="Times New Roman"/>
                <w:sz w:val="20"/>
                <w:szCs w:val="20"/>
                <w:lang w:eastAsia="sk-SK"/>
              </w:rPr>
              <w:t>,</w:t>
            </w:r>
          </w:p>
          <w:p w14:paraId="6DB9099F"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291806">
              <w:rPr>
                <w:rFonts w:ascii="Times New Roman" w:eastAsia="Times New Roman" w:hAnsi="Times New Roman" w:cs="Times New Roman"/>
                <w:sz w:val="20"/>
                <w:szCs w:val="20"/>
                <w:lang w:eastAsia="sk-SK"/>
              </w:rPr>
              <w:t>situácie, kedy oprávnená osoba, ktorej bolo vydané rozhodnutie, zomrela a napriek tomu, že právo na náhradu bolo predmetom dedičského konania, dedičia ďalej nekonajú, alebo situácie, keď právo oprávnenej osoby ako poručiteľa na náhradu nebolo vôbec predmetom dedičského konania</w:t>
            </w:r>
            <w:r>
              <w:rPr>
                <w:rFonts w:ascii="Times New Roman" w:eastAsia="Times New Roman" w:hAnsi="Times New Roman" w:cs="Times New Roman"/>
                <w:sz w:val="20"/>
                <w:szCs w:val="20"/>
                <w:lang w:eastAsia="sk-SK"/>
              </w:rPr>
              <w:t>.</w:t>
            </w:r>
          </w:p>
        </w:tc>
      </w:tr>
      <w:tr w:rsidR="00933C3E" w:rsidRPr="00291806" w14:paraId="51EE7774" w14:textId="77777777" w:rsidTr="000C24D6">
        <w:tc>
          <w:tcPr>
            <w:tcW w:w="9180" w:type="dxa"/>
            <w:gridSpan w:val="11"/>
            <w:tcBorders>
              <w:top w:val="single" w:sz="4" w:space="0" w:color="auto"/>
              <w:left w:val="single" w:sz="4" w:space="0" w:color="auto"/>
              <w:bottom w:val="nil"/>
              <w:right w:val="single" w:sz="4" w:space="0" w:color="auto"/>
            </w:tcBorders>
            <w:shd w:val="clear" w:color="auto" w:fill="E2E2E2"/>
          </w:tcPr>
          <w:p w14:paraId="65CF048D"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Ciele a výsledný stav</w:t>
            </w:r>
          </w:p>
        </w:tc>
      </w:tr>
      <w:tr w:rsidR="00933C3E" w:rsidRPr="00E412C6" w14:paraId="32BFD1FB" w14:textId="77777777" w:rsidTr="000C24D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4697C00"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xml:space="preserve">Cieľom návrhu zákona je </w:t>
            </w:r>
            <w:r>
              <w:rPr>
                <w:rFonts w:ascii="Times New Roman" w:eastAsia="Times New Roman" w:hAnsi="Times New Roman" w:cs="Times New Roman"/>
                <w:sz w:val="20"/>
                <w:szCs w:val="20"/>
                <w:lang w:eastAsia="sk-SK"/>
              </w:rPr>
              <w:t>upraviť</w:t>
            </w:r>
          </w:p>
          <w:p w14:paraId="1DC6E431"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r w:rsidRPr="00291806">
              <w:rPr>
                <w:rFonts w:ascii="Times New Roman" w:eastAsia="Times New Roman" w:hAnsi="Times New Roman" w:cs="Times New Roman"/>
                <w:sz w:val="20"/>
                <w:szCs w:val="20"/>
                <w:lang w:eastAsia="sk-SK"/>
              </w:rPr>
              <w:t xml:space="preserve"> rozšíreni</w:t>
            </w:r>
            <w:r>
              <w:rPr>
                <w:rFonts w:ascii="Times New Roman" w:eastAsia="Times New Roman" w:hAnsi="Times New Roman" w:cs="Times New Roman"/>
                <w:sz w:val="20"/>
                <w:szCs w:val="20"/>
                <w:lang w:eastAsia="sk-SK"/>
              </w:rPr>
              <w:t>e</w:t>
            </w:r>
            <w:r w:rsidRPr="00291806">
              <w:rPr>
                <w:rFonts w:ascii="Times New Roman" w:eastAsia="Times New Roman" w:hAnsi="Times New Roman" w:cs="Times New Roman"/>
                <w:sz w:val="20"/>
                <w:szCs w:val="20"/>
                <w:lang w:eastAsia="sk-SK"/>
              </w:rPr>
              <w:t xml:space="preserve"> katastrálnych území, v ktorých by fond poskytova</w:t>
            </w:r>
            <w:r>
              <w:rPr>
                <w:rFonts w:ascii="Times New Roman" w:eastAsia="Times New Roman" w:hAnsi="Times New Roman" w:cs="Times New Roman"/>
                <w:sz w:val="20"/>
                <w:szCs w:val="20"/>
                <w:lang w:eastAsia="sk-SK"/>
              </w:rPr>
              <w:t>l</w:t>
            </w:r>
            <w:r w:rsidRPr="00291806">
              <w:rPr>
                <w:rFonts w:ascii="Times New Roman" w:eastAsia="Times New Roman" w:hAnsi="Times New Roman" w:cs="Times New Roman"/>
                <w:sz w:val="20"/>
                <w:szCs w:val="20"/>
                <w:lang w:eastAsia="sk-SK"/>
              </w:rPr>
              <w:t xml:space="preserve"> náhrady za pozemky,</w:t>
            </w:r>
          </w:p>
          <w:p w14:paraId="722CFD9F" w14:textId="77777777" w:rsidR="00933C3E" w:rsidRDefault="00933C3E" w:rsidP="000C24D6">
            <w:pPr>
              <w:widowControl w:val="0"/>
              <w:jc w:val="both"/>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w:t>
            </w:r>
            <w:r w:rsidRPr="00291806">
              <w:rPr>
                <w:rFonts w:ascii="Times New Roman" w:eastAsia="Times New Roman" w:hAnsi="Times New Roman" w:cs="Times New Roman"/>
                <w:sz w:val="20"/>
                <w:szCs w:val="20"/>
                <w:lang w:eastAsia="sk-SK"/>
              </w:rPr>
              <w:t xml:space="preserve"> postup pre </w:t>
            </w:r>
            <w:r>
              <w:rPr>
                <w:rFonts w:ascii="Times New Roman" w:eastAsia="Times New Roman" w:hAnsi="Times New Roman" w:cs="Times New Roman"/>
                <w:sz w:val="20"/>
                <w:szCs w:val="20"/>
                <w:lang w:eastAsia="sk-SK"/>
              </w:rPr>
              <w:t xml:space="preserve">fond a </w:t>
            </w:r>
            <w:r w:rsidRPr="00291806">
              <w:rPr>
                <w:rFonts w:ascii="Times New Roman" w:eastAsia="Times New Roman" w:hAnsi="Times New Roman" w:cs="Times New Roman"/>
                <w:sz w:val="20"/>
                <w:szCs w:val="20"/>
                <w:lang w:eastAsia="sk-SK"/>
              </w:rPr>
              <w:t>oprávnené osoby, ktoré si uplatnili reštitučný nárok</w:t>
            </w:r>
            <w:r>
              <w:rPr>
                <w:rFonts w:ascii="Times New Roman" w:eastAsia="Times New Roman" w:hAnsi="Times New Roman" w:cs="Times New Roman"/>
                <w:sz w:val="20"/>
                <w:szCs w:val="20"/>
                <w:lang w:eastAsia="sk-SK"/>
              </w:rPr>
              <w:t>,</w:t>
            </w:r>
            <w:r w:rsidRPr="00291806">
              <w:rPr>
                <w:rFonts w:ascii="Times New Roman" w:eastAsia="Times New Roman" w:hAnsi="Times New Roman" w:cs="Times New Roman"/>
                <w:sz w:val="20"/>
                <w:szCs w:val="20"/>
                <w:lang w:eastAsia="sk-SK"/>
              </w:rPr>
              <w:t xml:space="preserve"> ale neurobili </w:t>
            </w:r>
            <w:r>
              <w:rPr>
                <w:rFonts w:ascii="Times New Roman" w:eastAsia="Times New Roman" w:hAnsi="Times New Roman" w:cs="Times New Roman"/>
                <w:sz w:val="20"/>
                <w:szCs w:val="20"/>
                <w:lang w:eastAsia="sk-SK"/>
              </w:rPr>
              <w:t>v niektorom štádiu postupu uspokojovania nároku potrebný právny</w:t>
            </w:r>
            <w:r w:rsidRPr="00291806">
              <w:rPr>
                <w:rFonts w:ascii="Times New Roman" w:eastAsia="Times New Roman" w:hAnsi="Times New Roman" w:cs="Times New Roman"/>
                <w:sz w:val="20"/>
                <w:szCs w:val="20"/>
                <w:lang w:eastAsia="sk-SK"/>
              </w:rPr>
              <w:t xml:space="preserve"> úkon smerujúci k uspokojeniu svojho nároku napriek skutočnosti, že boli na to</w:t>
            </w:r>
            <w:r>
              <w:rPr>
                <w:rFonts w:ascii="Times New Roman" w:eastAsia="Times New Roman" w:hAnsi="Times New Roman" w:cs="Times New Roman"/>
                <w:sz w:val="20"/>
                <w:szCs w:val="20"/>
                <w:lang w:eastAsia="sk-SK"/>
              </w:rPr>
              <w:t xml:space="preserve"> fondom vyzvaní,</w:t>
            </w:r>
          </w:p>
          <w:p w14:paraId="430AA417" w14:textId="77777777" w:rsidR="00933C3E" w:rsidRDefault="00933C3E" w:rsidP="000C24D6">
            <w:pPr>
              <w:widowControl w:val="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291806">
              <w:rPr>
                <w:rFonts w:ascii="Times New Roman" w:eastAsia="Times New Roman" w:hAnsi="Times New Roman" w:cs="Times New Roman"/>
                <w:sz w:val="20"/>
                <w:szCs w:val="20"/>
                <w:lang w:eastAsia="sk-SK"/>
              </w:rPr>
              <w:t>postupu v prípade dedičov oprávnenej osoby</w:t>
            </w:r>
            <w:r>
              <w:rPr>
                <w:rFonts w:ascii="Times New Roman" w:eastAsia="Times New Roman" w:hAnsi="Times New Roman" w:cs="Times New Roman"/>
                <w:sz w:val="20"/>
                <w:szCs w:val="20"/>
                <w:lang w:eastAsia="sk-SK"/>
              </w:rPr>
              <w:t>,</w:t>
            </w:r>
            <w:r w:rsidRPr="00291806">
              <w:rPr>
                <w:rFonts w:ascii="Times New Roman" w:eastAsia="Times New Roman" w:hAnsi="Times New Roman" w:cs="Times New Roman"/>
                <w:sz w:val="20"/>
                <w:szCs w:val="20"/>
                <w:lang w:eastAsia="sk-SK"/>
              </w:rPr>
              <w:t xml:space="preserve"> resp. osôb</w:t>
            </w:r>
            <w:r>
              <w:rPr>
                <w:rFonts w:ascii="Times New Roman" w:eastAsia="Times New Roman" w:hAnsi="Times New Roman" w:cs="Times New Roman"/>
                <w:sz w:val="20"/>
                <w:szCs w:val="20"/>
                <w:lang w:eastAsia="sk-SK"/>
              </w:rPr>
              <w:t>,</w:t>
            </w:r>
            <w:r w:rsidRPr="00291806">
              <w:rPr>
                <w:rFonts w:ascii="Times New Roman" w:eastAsia="Times New Roman" w:hAnsi="Times New Roman" w:cs="Times New Roman"/>
                <w:sz w:val="20"/>
                <w:szCs w:val="20"/>
                <w:lang w:eastAsia="sk-SK"/>
              </w:rPr>
              <w:t xml:space="preserve"> o ktorých sa možno dôvodne domnievať, že sú dedičmi oprávnenej osoby</w:t>
            </w:r>
            <w:r>
              <w:rPr>
                <w:rFonts w:ascii="Times New Roman" w:eastAsia="Times New Roman" w:hAnsi="Times New Roman" w:cs="Times New Roman"/>
                <w:sz w:val="20"/>
                <w:szCs w:val="20"/>
                <w:lang w:eastAsia="sk-SK"/>
              </w:rPr>
              <w:t>,</w:t>
            </w:r>
          </w:p>
          <w:p w14:paraId="0A45CC6B"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w:t>
            </w:r>
            <w:r w:rsidRPr="00291806">
              <w:rPr>
                <w:rFonts w:ascii="Times New Roman" w:eastAsia="Times New Roman" w:hAnsi="Times New Roman" w:cs="Times New Roman"/>
                <w:sz w:val="20"/>
                <w:szCs w:val="20"/>
                <w:lang w:eastAsia="sk-SK"/>
              </w:rPr>
              <w:t xml:space="preserve"> uspokojenia nároku </w:t>
            </w:r>
            <w:r>
              <w:rPr>
                <w:rFonts w:ascii="Times New Roman" w:eastAsia="Times New Roman" w:hAnsi="Times New Roman" w:cs="Times New Roman"/>
                <w:sz w:val="20"/>
                <w:szCs w:val="20"/>
                <w:lang w:eastAsia="sk-SK"/>
              </w:rPr>
              <w:t xml:space="preserve">uvedených nečinných oprávnených osôb </w:t>
            </w:r>
            <w:r w:rsidRPr="00291806">
              <w:rPr>
                <w:rFonts w:ascii="Times New Roman" w:eastAsia="Times New Roman" w:hAnsi="Times New Roman" w:cs="Times New Roman"/>
                <w:sz w:val="20"/>
                <w:szCs w:val="20"/>
                <w:lang w:eastAsia="sk-SK"/>
              </w:rPr>
              <w:t xml:space="preserve">vo finančnom plnení </w:t>
            </w:r>
            <w:r>
              <w:rPr>
                <w:rFonts w:ascii="Times New Roman" w:eastAsia="Times New Roman" w:hAnsi="Times New Roman" w:cs="Times New Roman"/>
                <w:sz w:val="20"/>
                <w:szCs w:val="20"/>
                <w:lang w:eastAsia="sk-SK"/>
              </w:rPr>
              <w:t>namiesto</w:t>
            </w:r>
            <w:r w:rsidRPr="00291806">
              <w:rPr>
                <w:rFonts w:ascii="Times New Roman" w:eastAsia="Times New Roman" w:hAnsi="Times New Roman" w:cs="Times New Roman"/>
                <w:sz w:val="20"/>
                <w:szCs w:val="20"/>
                <w:lang w:eastAsia="sk-SK"/>
              </w:rPr>
              <w:t> plnen</w:t>
            </w:r>
            <w:r>
              <w:rPr>
                <w:rFonts w:ascii="Times New Roman" w:eastAsia="Times New Roman" w:hAnsi="Times New Roman" w:cs="Times New Roman"/>
                <w:sz w:val="20"/>
                <w:szCs w:val="20"/>
                <w:lang w:eastAsia="sk-SK"/>
              </w:rPr>
              <w:t>ia vo forme náhradného pozemku.</w:t>
            </w:r>
          </w:p>
        </w:tc>
      </w:tr>
      <w:tr w:rsidR="00933C3E" w:rsidRPr="00291806" w14:paraId="5B34F70C" w14:textId="77777777" w:rsidTr="000C24D6">
        <w:tc>
          <w:tcPr>
            <w:tcW w:w="9180" w:type="dxa"/>
            <w:gridSpan w:val="11"/>
            <w:tcBorders>
              <w:top w:val="single" w:sz="4" w:space="0" w:color="auto"/>
              <w:left w:val="single" w:sz="4" w:space="0" w:color="auto"/>
              <w:bottom w:val="nil"/>
              <w:right w:val="single" w:sz="4" w:space="0" w:color="auto"/>
            </w:tcBorders>
            <w:shd w:val="clear" w:color="auto" w:fill="E2E2E2"/>
          </w:tcPr>
          <w:p w14:paraId="03E74B00"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Dotknuté subjekty</w:t>
            </w:r>
          </w:p>
        </w:tc>
      </w:tr>
      <w:tr w:rsidR="00933C3E" w:rsidRPr="00291806" w14:paraId="1B383BFF" w14:textId="77777777" w:rsidTr="000C24D6">
        <w:tc>
          <w:tcPr>
            <w:tcW w:w="9180" w:type="dxa"/>
            <w:gridSpan w:val="11"/>
            <w:tcBorders>
              <w:top w:val="nil"/>
              <w:left w:val="single" w:sz="4" w:space="0" w:color="auto"/>
              <w:bottom w:val="single" w:sz="4" w:space="0" w:color="auto"/>
              <w:right w:val="single" w:sz="4" w:space="0" w:color="auto"/>
            </w:tcBorders>
            <w:shd w:val="clear" w:color="auto" w:fill="FFFFFF"/>
          </w:tcPr>
          <w:p w14:paraId="19F65C1B"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xml:space="preserve">SPF, </w:t>
            </w:r>
            <w:r>
              <w:rPr>
                <w:rFonts w:ascii="Times New Roman" w:eastAsia="Times New Roman" w:hAnsi="Times New Roman" w:cs="Times New Roman"/>
                <w:sz w:val="20"/>
                <w:szCs w:val="20"/>
                <w:lang w:eastAsia="sk-SK"/>
              </w:rPr>
              <w:t>oprávnené osoby, dedičia oprávnených osôb</w:t>
            </w:r>
          </w:p>
        </w:tc>
      </w:tr>
      <w:tr w:rsidR="00933C3E" w:rsidRPr="00291806" w14:paraId="74B0ABCE" w14:textId="77777777" w:rsidTr="000C24D6">
        <w:tc>
          <w:tcPr>
            <w:tcW w:w="9180" w:type="dxa"/>
            <w:gridSpan w:val="11"/>
            <w:tcBorders>
              <w:top w:val="single" w:sz="4" w:space="0" w:color="auto"/>
              <w:left w:val="single" w:sz="4" w:space="0" w:color="auto"/>
              <w:bottom w:val="nil"/>
              <w:right w:val="single" w:sz="4" w:space="0" w:color="auto"/>
            </w:tcBorders>
            <w:shd w:val="clear" w:color="auto" w:fill="E2E2E2"/>
          </w:tcPr>
          <w:p w14:paraId="5762645A"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Alternatívne riešenia</w:t>
            </w:r>
          </w:p>
        </w:tc>
      </w:tr>
      <w:tr w:rsidR="00933C3E" w:rsidRPr="00291806" w14:paraId="55DACB98" w14:textId="77777777" w:rsidTr="000C24D6">
        <w:trPr>
          <w:trHeight w:val="151"/>
        </w:trPr>
        <w:tc>
          <w:tcPr>
            <w:tcW w:w="9180" w:type="dxa"/>
            <w:gridSpan w:val="11"/>
            <w:tcBorders>
              <w:top w:val="nil"/>
              <w:left w:val="single" w:sz="4" w:space="0" w:color="auto"/>
              <w:bottom w:val="single" w:sz="4" w:space="0" w:color="auto"/>
              <w:right w:val="single" w:sz="4" w:space="0" w:color="auto"/>
            </w:tcBorders>
            <w:shd w:val="clear" w:color="auto" w:fill="FFFFFF"/>
          </w:tcPr>
          <w:p w14:paraId="38BBF93E" w14:textId="77777777" w:rsidR="00933C3E" w:rsidRDefault="00933C3E" w:rsidP="000C24D6">
            <w:pPr>
              <w:widowControl w:val="0"/>
              <w:jc w:val="both"/>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Alternatíva 0 (zachovanie súčasného stavu): Udržiavanie súčasného stavu – vytváranie spisovej zápchy</w:t>
            </w:r>
            <w:r>
              <w:rPr>
                <w:rFonts w:ascii="Times New Roman" w:eastAsia="Times New Roman" w:hAnsi="Times New Roman" w:cs="Times New Roman"/>
                <w:sz w:val="20"/>
                <w:szCs w:val="20"/>
                <w:lang w:eastAsia="sk-SK"/>
              </w:rPr>
              <w:t xml:space="preserve"> a neuspokojovanie nárokov oprávnených osôb</w:t>
            </w:r>
            <w:r w:rsidRPr="00291806">
              <w:rPr>
                <w:rFonts w:ascii="Times New Roman" w:eastAsia="Times New Roman" w:hAnsi="Times New Roman" w:cs="Times New Roman"/>
                <w:sz w:val="20"/>
                <w:szCs w:val="20"/>
                <w:lang w:eastAsia="sk-SK"/>
              </w:rPr>
              <w:t xml:space="preserve">. </w:t>
            </w:r>
          </w:p>
          <w:p w14:paraId="1E559FA9"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Alternatíva 1 v zmysle návrhu zákona – umožní značnú mieru odstránenia definovaného problému a dosiahnutie uvedených cieľov.</w:t>
            </w:r>
          </w:p>
        </w:tc>
      </w:tr>
      <w:tr w:rsidR="00933C3E" w:rsidRPr="00291806" w14:paraId="265B3373" w14:textId="77777777" w:rsidTr="000C24D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5C15EB6"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Vykonávacie predpisy</w:t>
            </w:r>
          </w:p>
        </w:tc>
      </w:tr>
      <w:tr w:rsidR="00933C3E" w:rsidRPr="00291806" w14:paraId="75EE32A6" w14:textId="77777777" w:rsidTr="000C24D6">
        <w:tc>
          <w:tcPr>
            <w:tcW w:w="6203" w:type="dxa"/>
            <w:gridSpan w:val="7"/>
            <w:tcBorders>
              <w:top w:val="single" w:sz="4" w:space="0" w:color="FFFFFF"/>
              <w:left w:val="single" w:sz="4" w:space="0" w:color="auto"/>
              <w:bottom w:val="nil"/>
              <w:right w:val="nil"/>
            </w:tcBorders>
            <w:shd w:val="clear" w:color="auto" w:fill="FFFFFF"/>
          </w:tcPr>
          <w:p w14:paraId="13D1999F"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AFF303E" w14:textId="77777777" w:rsidR="00933C3E" w:rsidRPr="00291806" w:rsidRDefault="00D06A6D" w:rsidP="000C24D6">
            <w:pPr>
              <w:widowControl w:val="0"/>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933C3E">
                  <w:rPr>
                    <w:rFonts w:ascii="MS Gothic" w:eastAsia="MS Gothic" w:hAnsi="MS Gothic" w:cs="Times New Roman" w:hint="eastAsia"/>
                    <w:b/>
                    <w:sz w:val="20"/>
                    <w:szCs w:val="20"/>
                    <w:lang w:eastAsia="sk-SK"/>
                  </w:rPr>
                  <w:t>☒</w:t>
                </w:r>
              </w:sdtContent>
            </w:sdt>
            <w:r w:rsidR="00933C3E" w:rsidRPr="00291806">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AEA9F4D" w14:textId="77777777" w:rsidR="00933C3E" w:rsidRPr="00291806" w:rsidRDefault="00D06A6D" w:rsidP="000C24D6">
            <w:pPr>
              <w:widowControl w:val="0"/>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933C3E">
                  <w:rPr>
                    <w:rFonts w:ascii="MS Gothic" w:eastAsia="MS Gothic" w:hAnsi="MS Gothic" w:cs="Times New Roman" w:hint="eastAsia"/>
                    <w:b/>
                    <w:sz w:val="20"/>
                    <w:szCs w:val="20"/>
                    <w:lang w:eastAsia="sk-SK"/>
                  </w:rPr>
                  <w:t>☐</w:t>
                </w:r>
              </w:sdtContent>
            </w:sdt>
            <w:r w:rsidR="00933C3E" w:rsidRPr="00291806">
              <w:rPr>
                <w:rFonts w:ascii="Times New Roman" w:eastAsia="Times New Roman" w:hAnsi="Times New Roman" w:cs="Times New Roman"/>
                <w:b/>
                <w:sz w:val="20"/>
                <w:szCs w:val="20"/>
                <w:lang w:eastAsia="sk-SK"/>
              </w:rPr>
              <w:t xml:space="preserve"> Nie</w:t>
            </w:r>
          </w:p>
        </w:tc>
      </w:tr>
      <w:tr w:rsidR="00933C3E" w:rsidRPr="00291806" w14:paraId="551DF0E9" w14:textId="77777777" w:rsidTr="000C24D6">
        <w:tc>
          <w:tcPr>
            <w:tcW w:w="9180" w:type="dxa"/>
            <w:gridSpan w:val="11"/>
            <w:tcBorders>
              <w:top w:val="nil"/>
              <w:left w:val="single" w:sz="4" w:space="0" w:color="auto"/>
              <w:bottom w:val="single" w:sz="4" w:space="0" w:color="auto"/>
              <w:right w:val="single" w:sz="4" w:space="0" w:color="auto"/>
            </w:tcBorders>
            <w:shd w:val="clear" w:color="auto" w:fill="FFFFFF"/>
          </w:tcPr>
          <w:p w14:paraId="4E19F6CD"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Ak áno, uveďte ktoré oblasti budú nimi upravené, resp. ktorých vykonávacích predpisov sa zmena dotkne:</w:t>
            </w:r>
          </w:p>
        </w:tc>
      </w:tr>
      <w:tr w:rsidR="00933C3E" w:rsidRPr="00291806" w14:paraId="12A49AD1" w14:textId="77777777" w:rsidTr="000C24D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8AFFDB2"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Transpozícia práva EÚ</w:t>
            </w:r>
          </w:p>
        </w:tc>
      </w:tr>
      <w:tr w:rsidR="00933C3E" w:rsidRPr="00291806" w14:paraId="5A5C237A" w14:textId="77777777" w:rsidTr="000C24D6">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933C3E" w:rsidRPr="00291806" w14:paraId="107F4AD6" w14:textId="77777777" w:rsidTr="000C24D6">
              <w:trPr>
                <w:trHeight w:val="90"/>
              </w:trPr>
              <w:tc>
                <w:tcPr>
                  <w:tcW w:w="8643" w:type="dxa"/>
                </w:tcPr>
                <w:p w14:paraId="4FD3EEDC" w14:textId="77777777" w:rsidR="00933C3E" w:rsidRPr="00291806" w:rsidRDefault="00933C3E" w:rsidP="000C24D6">
                  <w:pPr>
                    <w:pStyle w:val="Default"/>
                    <w:widowControl w:val="0"/>
                    <w:rPr>
                      <w:color w:val="auto"/>
                      <w:sz w:val="20"/>
                      <w:szCs w:val="20"/>
                    </w:rPr>
                  </w:pPr>
                  <w:r w:rsidRPr="00291806">
                    <w:rPr>
                      <w:iCs/>
                      <w:color w:val="auto"/>
                      <w:sz w:val="20"/>
                      <w:szCs w:val="20"/>
                    </w:rPr>
                    <w:lastRenderedPageBreak/>
                    <w:t xml:space="preserve">Uveďte, či v predkladanom návrhu právneho predpisu dochádza ku </w:t>
                  </w:r>
                  <w:proofErr w:type="spellStart"/>
                  <w:r w:rsidRPr="00291806">
                    <w:rPr>
                      <w:iCs/>
                      <w:color w:val="auto"/>
                      <w:sz w:val="20"/>
                      <w:szCs w:val="20"/>
                    </w:rPr>
                    <w:t>goldplatingu</w:t>
                  </w:r>
                  <w:proofErr w:type="spellEnd"/>
                  <w:r w:rsidRPr="00291806">
                    <w:rPr>
                      <w:iCs/>
                      <w:color w:val="auto"/>
                      <w:sz w:val="20"/>
                      <w:szCs w:val="20"/>
                    </w:rPr>
                    <w:t xml:space="preserve"> podľa tabuľky zhody. </w:t>
                  </w:r>
                </w:p>
              </w:tc>
            </w:tr>
            <w:tr w:rsidR="00933C3E" w:rsidRPr="00291806" w14:paraId="69ABD2DF" w14:textId="77777777" w:rsidTr="000C24D6">
              <w:trPr>
                <w:trHeight w:val="296"/>
              </w:trPr>
              <w:tc>
                <w:tcPr>
                  <w:tcW w:w="8643" w:type="dxa"/>
                </w:tcPr>
                <w:p w14:paraId="7E66B035" w14:textId="77777777" w:rsidR="00933C3E" w:rsidRPr="00291806" w:rsidRDefault="00933C3E" w:rsidP="000C24D6">
                  <w:pPr>
                    <w:pStyle w:val="Default"/>
                    <w:widowControl w:val="0"/>
                    <w:rPr>
                      <w:b/>
                      <w:iCs/>
                      <w:color w:val="auto"/>
                      <w:sz w:val="20"/>
                      <w:szCs w:val="20"/>
                    </w:rPr>
                  </w:pPr>
                  <w:r w:rsidRPr="00291806">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291806">
                        <w:rPr>
                          <w:rFonts w:ascii="MS Gothic" w:eastAsia="MS Gothic" w:hAnsi="MS Gothic" w:hint="eastAsia"/>
                          <w:b/>
                          <w:iCs/>
                          <w:color w:val="auto"/>
                          <w:sz w:val="20"/>
                          <w:szCs w:val="20"/>
                        </w:rPr>
                        <w:t>☐</w:t>
                      </w:r>
                    </w:sdtContent>
                  </w:sdt>
                  <w:r w:rsidRPr="00291806">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291806">
                        <w:rPr>
                          <w:rFonts w:ascii="MS Gothic" w:eastAsia="MS Gothic" w:hAnsi="MS Gothic" w:hint="eastAsia"/>
                          <w:b/>
                          <w:iCs/>
                          <w:color w:val="auto"/>
                          <w:sz w:val="20"/>
                          <w:szCs w:val="20"/>
                        </w:rPr>
                        <w:t>☒</w:t>
                      </w:r>
                    </w:sdtContent>
                  </w:sdt>
                  <w:r w:rsidRPr="00291806">
                    <w:rPr>
                      <w:b/>
                      <w:iCs/>
                      <w:color w:val="auto"/>
                      <w:sz w:val="20"/>
                      <w:szCs w:val="20"/>
                    </w:rPr>
                    <w:t xml:space="preserve"> Nie</w:t>
                  </w:r>
                </w:p>
                <w:p w14:paraId="4482D17F" w14:textId="77777777" w:rsidR="00933C3E" w:rsidRPr="00291806" w:rsidRDefault="00933C3E" w:rsidP="000C24D6">
                  <w:pPr>
                    <w:pStyle w:val="Default"/>
                    <w:widowControl w:val="0"/>
                    <w:rPr>
                      <w:iCs/>
                      <w:color w:val="auto"/>
                      <w:sz w:val="20"/>
                      <w:szCs w:val="20"/>
                    </w:rPr>
                  </w:pPr>
                  <w:r w:rsidRPr="00291806">
                    <w:rPr>
                      <w:iCs/>
                      <w:color w:val="auto"/>
                      <w:sz w:val="20"/>
                      <w:szCs w:val="20"/>
                    </w:rPr>
                    <w:t xml:space="preserve">Ak áno, uveďte, ktorých vplyvov podľa bodu 9 sa </w:t>
                  </w:r>
                  <w:proofErr w:type="spellStart"/>
                  <w:r w:rsidRPr="00291806">
                    <w:rPr>
                      <w:iCs/>
                      <w:color w:val="auto"/>
                      <w:sz w:val="20"/>
                      <w:szCs w:val="20"/>
                    </w:rPr>
                    <w:t>goldplating</w:t>
                  </w:r>
                  <w:proofErr w:type="spellEnd"/>
                  <w:r w:rsidRPr="00291806">
                    <w:rPr>
                      <w:iCs/>
                      <w:color w:val="auto"/>
                      <w:sz w:val="20"/>
                      <w:szCs w:val="20"/>
                    </w:rPr>
                    <w:t xml:space="preserve"> týka:</w:t>
                  </w:r>
                </w:p>
              </w:tc>
            </w:tr>
          </w:tbl>
          <w:p w14:paraId="7FC597C3"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p>
        </w:tc>
      </w:tr>
      <w:tr w:rsidR="00933C3E" w:rsidRPr="00291806" w14:paraId="2ACD7DDC" w14:textId="77777777" w:rsidTr="000C24D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BC9E11B"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Preskúmanie účelnosti</w:t>
            </w:r>
          </w:p>
        </w:tc>
      </w:tr>
      <w:tr w:rsidR="00933C3E" w:rsidRPr="00291806" w14:paraId="592AB6E5" w14:textId="77777777" w:rsidTr="000C24D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28622B7A"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xml:space="preserve">Za vykonanie preskúmania účelnosti bude zodpovedné Ministerstvo pôdohospodárstva a rozvoja vidieka Slovenskej republiky </w:t>
            </w:r>
            <w:r>
              <w:rPr>
                <w:rFonts w:ascii="Times New Roman" w:eastAsia="Times New Roman" w:hAnsi="Times New Roman" w:cs="Times New Roman"/>
                <w:sz w:val="20"/>
                <w:szCs w:val="20"/>
                <w:lang w:eastAsia="sk-SK"/>
              </w:rPr>
              <w:t>a SPF v procese uspokojovania nárokov</w:t>
            </w:r>
            <w:r w:rsidRPr="00291806">
              <w:rPr>
                <w:rFonts w:ascii="Times New Roman" w:eastAsia="Times New Roman" w:hAnsi="Times New Roman" w:cs="Times New Roman"/>
                <w:sz w:val="20"/>
                <w:szCs w:val="20"/>
                <w:lang w:eastAsia="sk-SK"/>
              </w:rPr>
              <w:t xml:space="preserve">. Výsledky preskúmania </w:t>
            </w:r>
            <w:r>
              <w:rPr>
                <w:rFonts w:ascii="Times New Roman" w:eastAsia="Times New Roman" w:hAnsi="Times New Roman" w:cs="Times New Roman"/>
                <w:sz w:val="20"/>
                <w:szCs w:val="20"/>
                <w:lang w:eastAsia="sk-SK"/>
              </w:rPr>
              <w:t xml:space="preserve">sa budú súhrnne prezentovať v každoročnej správe SPF a </w:t>
            </w:r>
            <w:r w:rsidRPr="00291806">
              <w:rPr>
                <w:rFonts w:ascii="Times New Roman" w:eastAsia="Times New Roman" w:hAnsi="Times New Roman" w:cs="Times New Roman"/>
                <w:sz w:val="20"/>
                <w:szCs w:val="20"/>
                <w:lang w:eastAsia="sk-SK"/>
              </w:rPr>
              <w:t>môžu byť podkladom pre prípadnú novelizáciu právnej úpravy, ak sa preukáže potreba úprav z hľadiska proporcionality, efektívnosti alebo administratívnej záťaže.</w:t>
            </w:r>
          </w:p>
        </w:tc>
      </w:tr>
      <w:tr w:rsidR="00933C3E" w:rsidRPr="00291806" w14:paraId="25803E9F" w14:textId="77777777" w:rsidTr="000C24D6">
        <w:tc>
          <w:tcPr>
            <w:tcW w:w="9180" w:type="dxa"/>
            <w:gridSpan w:val="11"/>
            <w:tcBorders>
              <w:top w:val="nil"/>
              <w:left w:val="nil"/>
              <w:bottom w:val="single" w:sz="4" w:space="0" w:color="auto"/>
              <w:right w:val="nil"/>
            </w:tcBorders>
            <w:shd w:val="clear" w:color="auto" w:fill="FFFFFF"/>
          </w:tcPr>
          <w:p w14:paraId="56B74548" w14:textId="77777777" w:rsidR="00933C3E" w:rsidRPr="00291806" w:rsidRDefault="00933C3E" w:rsidP="000C24D6">
            <w:pPr>
              <w:widowControl w:val="0"/>
              <w:ind w:left="142" w:hanging="142"/>
              <w:jc w:val="both"/>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vyplniť iba v prípade, ak materiál nie je zahrnutý do Plánu práce vlády Slovenskej republiky alebo Plánu legislatívnych úloh vlády Slovenskej republiky.</w:t>
            </w:r>
          </w:p>
          <w:p w14:paraId="4FE9D00B"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7DF1D9F"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tc>
      </w:tr>
      <w:tr w:rsidR="00933C3E" w:rsidRPr="00291806" w14:paraId="46236017" w14:textId="77777777" w:rsidTr="000C24D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3EF15C8"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Vybrané vplyvy materiálu</w:t>
            </w:r>
          </w:p>
        </w:tc>
      </w:tr>
      <w:tr w:rsidR="00933C3E" w:rsidRPr="00291806" w14:paraId="55F411A9" w14:textId="77777777" w:rsidTr="000C24D6">
        <w:tc>
          <w:tcPr>
            <w:tcW w:w="3812" w:type="dxa"/>
            <w:tcBorders>
              <w:top w:val="single" w:sz="4" w:space="0" w:color="auto"/>
              <w:left w:val="single" w:sz="4" w:space="0" w:color="auto"/>
              <w:bottom w:val="nil"/>
              <w:right w:val="single" w:sz="4" w:space="0" w:color="auto"/>
            </w:tcBorders>
            <w:shd w:val="clear" w:color="auto" w:fill="E2E2E2"/>
          </w:tcPr>
          <w:p w14:paraId="562A224E"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972DCE9"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6919091"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963CDD1"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54DB74CF"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21D17A6" w14:textId="77777777" w:rsidR="00933C3E" w:rsidRPr="00291806" w:rsidRDefault="00933C3E" w:rsidP="000C24D6">
                <w:pPr>
                  <w:widowControl w:val="0"/>
                  <w:ind w:left="-107" w:right="-108"/>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3120E4BE" w14:textId="77777777" w:rsidR="00933C3E" w:rsidRPr="00291806" w:rsidRDefault="00933C3E" w:rsidP="000C24D6">
            <w:pPr>
              <w:widowControl w:val="0"/>
              <w:ind w:left="3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Negatívne</w:t>
            </w:r>
          </w:p>
        </w:tc>
      </w:tr>
      <w:tr w:rsidR="00933C3E" w:rsidRPr="00291806" w14:paraId="17B5D3B2" w14:textId="77777777" w:rsidTr="000C24D6">
        <w:tc>
          <w:tcPr>
            <w:tcW w:w="3812" w:type="dxa"/>
            <w:tcBorders>
              <w:top w:val="nil"/>
              <w:left w:val="single" w:sz="4" w:space="0" w:color="auto"/>
              <w:bottom w:val="nil"/>
              <w:right w:val="single" w:sz="4" w:space="0" w:color="auto"/>
            </w:tcBorders>
            <w:shd w:val="clear" w:color="auto" w:fill="E2E2E2"/>
          </w:tcPr>
          <w:p w14:paraId="0F565990"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xml:space="preserve"> z toho rozpočtovo zabezpečené vplyvy, </w:t>
            </w:r>
          </w:p>
          <w:p w14:paraId="7EB6A2A1"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xml:space="preserve"> v prípade identifikovaného negatívneho </w:t>
            </w:r>
          </w:p>
          <w:p w14:paraId="3F89F8F8"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B210CF3"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DFA8B5D"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7FC13464"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203D6B7"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58510405" w14:textId="77777777" w:rsidR="00933C3E" w:rsidRPr="00291806" w:rsidRDefault="00933C3E" w:rsidP="000C24D6">
                <w:pPr>
                  <w:widowControl w:val="0"/>
                  <w:ind w:left="-107" w:right="-108"/>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37140FFB" w14:textId="77777777" w:rsidR="00933C3E" w:rsidRPr="00291806" w:rsidRDefault="00933C3E" w:rsidP="000C24D6">
            <w:pPr>
              <w:widowControl w:val="0"/>
              <w:ind w:left="34"/>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Čiastočne</w:t>
            </w:r>
          </w:p>
        </w:tc>
      </w:tr>
      <w:tr w:rsidR="00933C3E" w:rsidRPr="00291806" w14:paraId="0EDA8273" w14:textId="77777777" w:rsidTr="000C24D6">
        <w:tc>
          <w:tcPr>
            <w:tcW w:w="3812" w:type="dxa"/>
            <w:tcBorders>
              <w:top w:val="nil"/>
              <w:left w:val="single" w:sz="4" w:space="0" w:color="auto"/>
              <w:bottom w:val="nil"/>
              <w:right w:val="single" w:sz="4" w:space="0" w:color="auto"/>
            </w:tcBorders>
            <w:shd w:val="clear" w:color="auto" w:fill="E2E2E2"/>
          </w:tcPr>
          <w:p w14:paraId="35872064"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1BF2762B"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3FAC214B"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498613A3"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37AC2271"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61B214CD" w14:textId="77777777" w:rsidR="00933C3E" w:rsidRPr="00291806" w:rsidRDefault="00933C3E" w:rsidP="000C24D6">
                <w:pPr>
                  <w:widowControl w:val="0"/>
                  <w:ind w:left="-107" w:right="-108"/>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07D4EED1" w14:textId="77777777" w:rsidR="00933C3E" w:rsidRPr="00291806" w:rsidRDefault="00933C3E" w:rsidP="000C24D6">
            <w:pPr>
              <w:widowControl w:val="0"/>
              <w:ind w:left="3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Negatívne</w:t>
            </w:r>
          </w:p>
        </w:tc>
      </w:tr>
      <w:tr w:rsidR="00933C3E" w:rsidRPr="00291806" w14:paraId="178892D1" w14:textId="77777777" w:rsidTr="000C24D6">
        <w:tc>
          <w:tcPr>
            <w:tcW w:w="3812" w:type="dxa"/>
            <w:tcBorders>
              <w:top w:val="nil"/>
              <w:left w:val="single" w:sz="4" w:space="0" w:color="auto"/>
              <w:bottom w:val="single" w:sz="4" w:space="0" w:color="auto"/>
              <w:right w:val="single" w:sz="4" w:space="0" w:color="auto"/>
            </w:tcBorders>
            <w:shd w:val="clear" w:color="auto" w:fill="E2E2E2"/>
          </w:tcPr>
          <w:p w14:paraId="6FCB23EE" w14:textId="77777777" w:rsidR="00933C3E" w:rsidRPr="00291806" w:rsidRDefault="00933C3E" w:rsidP="000C24D6">
            <w:pPr>
              <w:widowControl w:val="0"/>
              <w:ind w:left="171"/>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z toho rozpočtovo zabezpečené vplyvy,</w:t>
            </w:r>
          </w:p>
          <w:p w14:paraId="5F2E5D77" w14:textId="77777777" w:rsidR="00933C3E" w:rsidRPr="00291806" w:rsidRDefault="00933C3E" w:rsidP="000C24D6">
            <w:pPr>
              <w:widowControl w:val="0"/>
              <w:ind w:left="171"/>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0C48FC0"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FCB7358"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1B14D275"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08DAA408"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6D36BFF" w14:textId="77777777" w:rsidR="00933C3E" w:rsidRPr="00291806" w:rsidRDefault="00933C3E" w:rsidP="000C24D6">
                <w:pPr>
                  <w:widowControl w:val="0"/>
                  <w:ind w:left="-107" w:right="-108"/>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7E2EC1B" w14:textId="77777777" w:rsidR="00933C3E" w:rsidRPr="00291806" w:rsidRDefault="00933C3E" w:rsidP="000C24D6">
            <w:pPr>
              <w:widowControl w:val="0"/>
              <w:ind w:left="34"/>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Čiastočne</w:t>
            </w:r>
          </w:p>
        </w:tc>
      </w:tr>
      <w:tr w:rsidR="00933C3E" w:rsidRPr="00291806" w14:paraId="28B72DE7" w14:textId="77777777" w:rsidTr="000C24D6">
        <w:tc>
          <w:tcPr>
            <w:tcW w:w="3812" w:type="dxa"/>
            <w:tcBorders>
              <w:top w:val="single" w:sz="4" w:space="0" w:color="auto"/>
              <w:left w:val="single" w:sz="4" w:space="0" w:color="auto"/>
              <w:bottom w:val="single" w:sz="4" w:space="0" w:color="auto"/>
              <w:right w:val="single" w:sz="4" w:space="0" w:color="auto"/>
            </w:tcBorders>
            <w:shd w:val="clear" w:color="auto" w:fill="E2E2E2"/>
          </w:tcPr>
          <w:p w14:paraId="6D750895" w14:textId="77777777" w:rsidR="00933C3E" w:rsidRPr="00291806" w:rsidRDefault="00933C3E" w:rsidP="000C24D6">
            <w:pPr>
              <w:widowControl w:val="0"/>
              <w:ind w:left="171"/>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DD71FDC"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0EE0BC6"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7465E08"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71922E19" w14:textId="77777777" w:rsidR="00933C3E" w:rsidRPr="00291806" w:rsidRDefault="00933C3E" w:rsidP="000C24D6">
            <w:pPr>
              <w:widowControl w:val="0"/>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FFF6E8B" w14:textId="77777777" w:rsidR="00933C3E" w:rsidRPr="00291806" w:rsidRDefault="00933C3E" w:rsidP="000C24D6">
                <w:pPr>
                  <w:widowControl w:val="0"/>
                  <w:ind w:left="-107" w:right="-108"/>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5408EE8" w14:textId="77777777" w:rsidR="00933C3E" w:rsidRPr="00291806" w:rsidRDefault="00933C3E" w:rsidP="000C24D6">
            <w:pPr>
              <w:widowControl w:val="0"/>
              <w:ind w:left="34"/>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Nie</w:t>
            </w:r>
          </w:p>
        </w:tc>
      </w:tr>
      <w:tr w:rsidR="00933C3E" w:rsidRPr="00291806" w14:paraId="16EAF272" w14:textId="77777777" w:rsidTr="000C24D6">
        <w:tc>
          <w:tcPr>
            <w:tcW w:w="3812" w:type="dxa"/>
            <w:tcBorders>
              <w:top w:val="single" w:sz="4" w:space="0" w:color="auto"/>
              <w:left w:val="single" w:sz="4" w:space="0" w:color="auto"/>
              <w:bottom w:val="single" w:sz="4" w:space="0" w:color="auto"/>
              <w:right w:val="single" w:sz="4" w:space="0" w:color="auto"/>
            </w:tcBorders>
            <w:shd w:val="clear" w:color="auto" w:fill="E2E2E2"/>
          </w:tcPr>
          <w:p w14:paraId="1668C5AC" w14:textId="77777777" w:rsidR="00933C3E" w:rsidRPr="00291806" w:rsidRDefault="00933C3E" w:rsidP="000C24D6">
            <w:pPr>
              <w:widowControl w:val="0"/>
              <w:ind w:left="32"/>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158004785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C74074A"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A487761"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60484466"/>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9188161"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sidRPr="00291806">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C284878"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2017121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0710274" w14:textId="77777777" w:rsidR="00933C3E" w:rsidRPr="00291806" w:rsidRDefault="00933C3E" w:rsidP="000C24D6">
                <w:pPr>
                  <w:widowControl w:val="0"/>
                  <w:ind w:left="-107" w:right="-108"/>
                  <w:jc w:val="center"/>
                  <w:rPr>
                    <w:rFonts w:ascii="Times New Roman" w:eastAsia="Times New Roman" w:hAnsi="Times New Roman" w:cs="Times New Roman"/>
                    <w:sz w:val="20"/>
                    <w:szCs w:val="20"/>
                    <w:lang w:eastAsia="sk-SK"/>
                  </w:rPr>
                </w:pPr>
                <w:r w:rsidRPr="0029180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A77F47B" w14:textId="77777777" w:rsidR="00933C3E" w:rsidRPr="00291806" w:rsidRDefault="00933C3E" w:rsidP="000C24D6">
            <w:pPr>
              <w:widowControl w:val="0"/>
              <w:ind w:left="34"/>
              <w:rPr>
                <w:rFonts w:ascii="Times New Roman" w:eastAsia="Times New Roman" w:hAnsi="Times New Roman" w:cs="Times New Roman"/>
                <w:sz w:val="20"/>
                <w:szCs w:val="20"/>
                <w:lang w:eastAsia="sk-SK"/>
              </w:rPr>
            </w:pPr>
            <w:r w:rsidRPr="00291806">
              <w:rPr>
                <w:rFonts w:ascii="Times New Roman" w:eastAsia="Times New Roman" w:hAnsi="Times New Roman" w:cs="Times New Roman"/>
                <w:b/>
                <w:sz w:val="20"/>
                <w:szCs w:val="20"/>
                <w:lang w:eastAsia="sk-SK"/>
              </w:rPr>
              <w:t>Negatívne</w:t>
            </w:r>
          </w:p>
        </w:tc>
      </w:tr>
      <w:tr w:rsidR="00933C3E" w:rsidRPr="00291806" w14:paraId="089B7ECE" w14:textId="77777777" w:rsidTr="000C24D6">
        <w:tc>
          <w:tcPr>
            <w:tcW w:w="3812" w:type="dxa"/>
            <w:tcBorders>
              <w:top w:val="single" w:sz="4" w:space="0" w:color="auto"/>
              <w:left w:val="single" w:sz="4" w:space="0" w:color="auto"/>
              <w:bottom w:val="nil"/>
              <w:right w:val="single" w:sz="4" w:space="0" w:color="auto"/>
            </w:tcBorders>
            <w:shd w:val="clear" w:color="auto" w:fill="E2E2E2"/>
          </w:tcPr>
          <w:p w14:paraId="4E63B822"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629BDD72"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08B4A3D" w14:textId="77777777" w:rsidR="00933C3E" w:rsidRPr="00291806" w:rsidRDefault="00933C3E" w:rsidP="000C24D6">
            <w:pPr>
              <w:widowControl w:val="0"/>
              <w:ind w:right="-108"/>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AABC83F"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3B2DFAAB"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DF64D88"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D094B53" w14:textId="77777777" w:rsidR="00933C3E" w:rsidRPr="00291806" w:rsidRDefault="00933C3E" w:rsidP="000C24D6">
            <w:pPr>
              <w:widowControl w:val="0"/>
              <w:ind w:left="5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Negatívne</w:t>
            </w:r>
          </w:p>
        </w:tc>
      </w:tr>
      <w:tr w:rsidR="00933C3E" w:rsidRPr="00291806" w14:paraId="50EEAE53" w14:textId="77777777" w:rsidTr="000C24D6">
        <w:tc>
          <w:tcPr>
            <w:tcW w:w="3812" w:type="dxa"/>
            <w:tcBorders>
              <w:top w:val="nil"/>
              <w:left w:val="single" w:sz="4" w:space="0" w:color="000000"/>
              <w:bottom w:val="nil"/>
              <w:right w:val="single" w:sz="4" w:space="0" w:color="000000"/>
            </w:tcBorders>
            <w:shd w:val="clear" w:color="auto" w:fill="E2E2E2"/>
          </w:tcPr>
          <w:p w14:paraId="505C5B88"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xml:space="preserve"> z toho vplyvy na MSP</w:t>
            </w:r>
          </w:p>
          <w:p w14:paraId="0230612D" w14:textId="77777777" w:rsidR="00933C3E" w:rsidRPr="00291806" w:rsidRDefault="00933C3E" w:rsidP="000C24D6">
            <w:pPr>
              <w:widowControl w:val="0"/>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150CBCFD"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sidRPr="00291806">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4BAEDE3" w14:textId="77777777" w:rsidR="00933C3E" w:rsidRPr="00291806" w:rsidRDefault="00933C3E" w:rsidP="000C24D6">
            <w:pPr>
              <w:widowControl w:val="0"/>
              <w:ind w:right="-108"/>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244DBE2"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Pr>
                    <w:rFonts w:ascii="MS Gothic" w:eastAsia="MS Gothic" w:hAnsi="MS Gothic" w:cs="Segoe UI Symbol"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6B42C58"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915EB23" w14:textId="77777777" w:rsidR="00933C3E" w:rsidRPr="00291806" w:rsidRDefault="00933C3E" w:rsidP="000C24D6">
                <w:pPr>
                  <w:widowControl w:val="0"/>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8EA55E8" w14:textId="77777777" w:rsidR="00933C3E" w:rsidRPr="00291806" w:rsidRDefault="00933C3E" w:rsidP="000C24D6">
            <w:pPr>
              <w:widowControl w:val="0"/>
              <w:ind w:left="54"/>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Negatívne</w:t>
            </w:r>
          </w:p>
        </w:tc>
      </w:tr>
      <w:tr w:rsidR="00933C3E" w:rsidRPr="00291806" w14:paraId="59E7E81E" w14:textId="77777777" w:rsidTr="000C24D6">
        <w:tc>
          <w:tcPr>
            <w:tcW w:w="3812" w:type="dxa"/>
            <w:tcBorders>
              <w:top w:val="nil"/>
              <w:left w:val="single" w:sz="4" w:space="0" w:color="auto"/>
              <w:bottom w:val="single" w:sz="4" w:space="0" w:color="auto"/>
              <w:right w:val="single" w:sz="4" w:space="0" w:color="auto"/>
            </w:tcBorders>
            <w:shd w:val="clear" w:color="auto" w:fill="E2E2E2"/>
          </w:tcPr>
          <w:p w14:paraId="6FA28888" w14:textId="77777777" w:rsidR="00933C3E" w:rsidRPr="00291806" w:rsidRDefault="00933C3E" w:rsidP="000C24D6">
            <w:pPr>
              <w:widowControl w:val="0"/>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xml:space="preserve"> Mechanizmus znižovania byrokracie </w:t>
            </w:r>
          </w:p>
          <w:p w14:paraId="495CB634"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4C6B8D8"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6ADE2AD" w14:textId="77777777" w:rsidR="00933C3E" w:rsidRPr="00291806" w:rsidRDefault="00933C3E" w:rsidP="000C24D6">
            <w:pPr>
              <w:widowControl w:val="0"/>
              <w:ind w:right="-108"/>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67DDE721"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46F8C67D"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0E379A8"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1BF107A" w14:textId="77777777" w:rsidR="00933C3E" w:rsidRPr="00291806" w:rsidRDefault="00933C3E" w:rsidP="000C24D6">
            <w:pPr>
              <w:widowControl w:val="0"/>
              <w:ind w:left="5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sz w:val="20"/>
                <w:szCs w:val="20"/>
                <w:lang w:eastAsia="sk-SK"/>
              </w:rPr>
              <w:t>Nie</w:t>
            </w:r>
          </w:p>
        </w:tc>
      </w:tr>
      <w:tr w:rsidR="00933C3E" w:rsidRPr="00291806" w14:paraId="211F0E0A" w14:textId="77777777" w:rsidTr="000C24D6">
        <w:tc>
          <w:tcPr>
            <w:tcW w:w="3812" w:type="dxa"/>
            <w:tcBorders>
              <w:top w:val="single" w:sz="4" w:space="0" w:color="000000"/>
              <w:left w:val="single" w:sz="4" w:space="0" w:color="auto"/>
              <w:bottom w:val="single" w:sz="4" w:space="0" w:color="auto"/>
              <w:right w:val="single" w:sz="4" w:space="0" w:color="auto"/>
            </w:tcBorders>
            <w:shd w:val="clear" w:color="auto" w:fill="E2E2E2"/>
          </w:tcPr>
          <w:p w14:paraId="30C0B1E6"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B7586B7"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6BE033C" w14:textId="77777777" w:rsidR="00933C3E" w:rsidRPr="00291806" w:rsidRDefault="00933C3E" w:rsidP="000C24D6">
            <w:pPr>
              <w:widowControl w:val="0"/>
              <w:ind w:right="-108"/>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28EC5E1"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14:paraId="0A49FB3E"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53383D55"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F95CE7B" w14:textId="77777777" w:rsidR="00933C3E" w:rsidRPr="00291806" w:rsidRDefault="00933C3E" w:rsidP="000C24D6">
            <w:pPr>
              <w:widowControl w:val="0"/>
              <w:ind w:left="5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Negatívne</w:t>
            </w:r>
          </w:p>
        </w:tc>
      </w:tr>
      <w:tr w:rsidR="00933C3E" w:rsidRPr="00291806" w14:paraId="7C147D67" w14:textId="77777777" w:rsidTr="000C24D6">
        <w:trPr>
          <w:trHeight w:val="364"/>
        </w:trPr>
        <w:tc>
          <w:tcPr>
            <w:tcW w:w="3812" w:type="dxa"/>
            <w:vMerge w:val="restart"/>
            <w:tcBorders>
              <w:top w:val="single" w:sz="4" w:space="0" w:color="auto"/>
              <w:left w:val="single" w:sz="4" w:space="0" w:color="auto"/>
              <w:right w:val="single" w:sz="4" w:space="0" w:color="auto"/>
            </w:tcBorders>
            <w:shd w:val="clear" w:color="auto" w:fill="E2E2E2"/>
          </w:tcPr>
          <w:p w14:paraId="3F6A68CE"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Vplyvy na životné prostredie</w:t>
            </w:r>
          </w:p>
          <w:p w14:paraId="70437223"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right w:val="nil"/>
                </w:tcBorders>
              </w:tcPr>
              <w:p w14:paraId="667E979B"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right w:val="nil"/>
            </w:tcBorders>
          </w:tcPr>
          <w:p w14:paraId="218B0EEB" w14:textId="77777777" w:rsidR="00933C3E" w:rsidRPr="00291806" w:rsidRDefault="00933C3E" w:rsidP="000C24D6">
            <w:pPr>
              <w:widowControl w:val="0"/>
              <w:ind w:right="-108"/>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right w:val="nil"/>
                </w:tcBorders>
              </w:tcPr>
              <w:p w14:paraId="6EC81FA4"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133" w:type="dxa"/>
            <w:tcBorders>
              <w:top w:val="single" w:sz="4" w:space="0" w:color="auto"/>
              <w:left w:val="nil"/>
              <w:right w:val="nil"/>
            </w:tcBorders>
          </w:tcPr>
          <w:p w14:paraId="0E72C15B"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right w:val="nil"/>
                </w:tcBorders>
              </w:tcPr>
              <w:p w14:paraId="63706D63"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B216B0B" w14:textId="77777777" w:rsidR="00933C3E" w:rsidRPr="00291806" w:rsidRDefault="00933C3E" w:rsidP="000C24D6">
            <w:pPr>
              <w:widowControl w:val="0"/>
              <w:ind w:left="5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Negatívne</w:t>
            </w:r>
          </w:p>
        </w:tc>
      </w:tr>
      <w:tr w:rsidR="00933C3E" w:rsidRPr="00291806" w14:paraId="0D462646" w14:textId="77777777" w:rsidTr="000C24D6">
        <w:trPr>
          <w:trHeight w:val="805"/>
        </w:trPr>
        <w:tc>
          <w:tcPr>
            <w:tcW w:w="3812" w:type="dxa"/>
            <w:vMerge/>
            <w:tcBorders>
              <w:left w:val="single" w:sz="4" w:space="0" w:color="auto"/>
              <w:bottom w:val="single" w:sz="4" w:space="0" w:color="auto"/>
              <w:right w:val="single" w:sz="4" w:space="0" w:color="auto"/>
            </w:tcBorders>
            <w:shd w:val="clear" w:color="auto" w:fill="E2E2E2"/>
          </w:tcPr>
          <w:p w14:paraId="391BD4BA" w14:textId="77777777" w:rsidR="00933C3E" w:rsidRPr="00291806" w:rsidRDefault="00933C3E" w:rsidP="000C24D6">
            <w:pPr>
              <w:widowControl w:val="0"/>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465244043"/>
            <w14:checkbox>
              <w14:checked w14:val="0"/>
              <w14:checkedState w14:val="2612" w14:font="MS Gothic"/>
              <w14:uncheckedState w14:val="2610" w14:font="MS Gothic"/>
            </w14:checkbox>
          </w:sdtPr>
          <w:sdtEndPr/>
          <w:sdtContent>
            <w:tc>
              <w:tcPr>
                <w:tcW w:w="541" w:type="dxa"/>
                <w:gridSpan w:val="2"/>
                <w:tcBorders>
                  <w:left w:val="single" w:sz="4" w:space="0" w:color="auto"/>
                  <w:bottom w:val="single" w:sz="4" w:space="0" w:color="auto"/>
                  <w:right w:val="nil"/>
                </w:tcBorders>
                <w:vAlign w:val="center"/>
              </w:tcPr>
              <w:p w14:paraId="7BBCA43B"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312" w:type="dxa"/>
            <w:gridSpan w:val="2"/>
            <w:tcBorders>
              <w:left w:val="nil"/>
              <w:bottom w:val="single" w:sz="4" w:space="0" w:color="auto"/>
              <w:right w:val="nil"/>
            </w:tcBorders>
            <w:vAlign w:val="center"/>
          </w:tcPr>
          <w:p w14:paraId="0EF56246" w14:textId="77777777" w:rsidR="00933C3E" w:rsidRPr="00291806" w:rsidRDefault="00933C3E" w:rsidP="000C24D6">
            <w:pPr>
              <w:widowControl w:val="0"/>
              <w:ind w:right="-108"/>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sz w:val="20"/>
                <w:szCs w:val="20"/>
                <w:lang w:eastAsia="sk-SK"/>
              </w:rPr>
              <w:t>Áno</w:t>
            </w:r>
          </w:p>
        </w:tc>
        <w:tc>
          <w:tcPr>
            <w:tcW w:w="538" w:type="dxa"/>
            <w:gridSpan w:val="2"/>
            <w:tcBorders>
              <w:left w:val="nil"/>
              <w:bottom w:val="single" w:sz="4" w:space="0" w:color="auto"/>
              <w:right w:val="nil"/>
            </w:tcBorders>
            <w:vAlign w:val="center"/>
          </w:tcPr>
          <w:p w14:paraId="76C7CE33"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p>
        </w:tc>
        <w:tc>
          <w:tcPr>
            <w:tcW w:w="1133" w:type="dxa"/>
            <w:tcBorders>
              <w:left w:val="nil"/>
              <w:bottom w:val="single" w:sz="4" w:space="0" w:color="auto"/>
              <w:right w:val="nil"/>
            </w:tcBorders>
            <w:vAlign w:val="center"/>
          </w:tcPr>
          <w:p w14:paraId="6A3E7243" w14:textId="77777777" w:rsidR="00933C3E" w:rsidRPr="00291806" w:rsidRDefault="00933C3E" w:rsidP="000C24D6">
            <w:pPr>
              <w:widowControl w:val="0"/>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548687257"/>
            <w14:checkbox>
              <w14:checked w14:val="0"/>
              <w14:checkedState w14:val="2612" w14:font="MS Gothic"/>
              <w14:uncheckedState w14:val="2610" w14:font="MS Gothic"/>
            </w14:checkbox>
          </w:sdtPr>
          <w:sdtEndPr/>
          <w:sdtContent>
            <w:tc>
              <w:tcPr>
                <w:tcW w:w="547" w:type="dxa"/>
                <w:gridSpan w:val="2"/>
                <w:tcBorders>
                  <w:left w:val="nil"/>
                  <w:bottom w:val="single" w:sz="4" w:space="0" w:color="auto"/>
                  <w:right w:val="nil"/>
                </w:tcBorders>
                <w:vAlign w:val="center"/>
              </w:tcPr>
              <w:p w14:paraId="78B2585E"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CF4FACB" w14:textId="77777777" w:rsidR="00933C3E" w:rsidRPr="00291806" w:rsidRDefault="00933C3E" w:rsidP="000C24D6">
            <w:pPr>
              <w:widowControl w:val="0"/>
              <w:ind w:left="5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sz w:val="20"/>
                <w:szCs w:val="20"/>
                <w:lang w:eastAsia="sk-SK"/>
              </w:rPr>
              <w:t>Nie</w:t>
            </w:r>
          </w:p>
        </w:tc>
      </w:tr>
      <w:tr w:rsidR="00933C3E" w:rsidRPr="00291806" w14:paraId="40FC9E6D" w14:textId="77777777" w:rsidTr="000C24D6">
        <w:tc>
          <w:tcPr>
            <w:tcW w:w="3812" w:type="dxa"/>
            <w:tcBorders>
              <w:top w:val="single" w:sz="4" w:space="0" w:color="auto"/>
              <w:left w:val="single" w:sz="4" w:space="0" w:color="auto"/>
              <w:bottom w:val="single" w:sz="4" w:space="0" w:color="auto"/>
              <w:right w:val="single" w:sz="4" w:space="0" w:color="auto"/>
            </w:tcBorders>
            <w:shd w:val="clear" w:color="auto" w:fill="E2E2E2"/>
          </w:tcPr>
          <w:p w14:paraId="57370DE4"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61CC216"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84EB32A" w14:textId="77777777" w:rsidR="00933C3E" w:rsidRPr="00291806" w:rsidRDefault="00933C3E" w:rsidP="000C24D6">
            <w:pPr>
              <w:widowControl w:val="0"/>
              <w:ind w:right="-108"/>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E3C1EC3"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374E3C6"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65300F7"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958DBFF" w14:textId="77777777" w:rsidR="00933C3E" w:rsidRPr="00291806" w:rsidRDefault="00933C3E" w:rsidP="000C24D6">
            <w:pPr>
              <w:widowControl w:val="0"/>
              <w:ind w:left="5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933C3E" w:rsidRPr="00291806" w14:paraId="591BBF2F" w14:textId="77777777" w:rsidTr="000C24D6">
        <w:tc>
          <w:tcPr>
            <w:tcW w:w="3812" w:type="dxa"/>
            <w:tcBorders>
              <w:top w:val="single" w:sz="4" w:space="0" w:color="auto"/>
              <w:left w:val="single" w:sz="4" w:space="0" w:color="auto"/>
              <w:bottom w:val="nil"/>
              <w:right w:val="single" w:sz="4" w:space="0" w:color="auto"/>
            </w:tcBorders>
            <w:shd w:val="clear" w:color="auto" w:fill="E2E2E2"/>
          </w:tcPr>
          <w:p w14:paraId="36569ECE" w14:textId="77777777" w:rsidR="00933C3E" w:rsidRPr="00291806" w:rsidRDefault="00933C3E" w:rsidP="000C24D6">
            <w:pPr>
              <w:widowControl w:val="0"/>
              <w:spacing w:after="0" w:line="240" w:lineRule="auto"/>
              <w:rPr>
                <w:rFonts w:ascii="Times New Roman" w:eastAsia="Times New Roman" w:hAnsi="Times New Roman" w:cs="Times New Roman"/>
                <w:b/>
                <w:sz w:val="20"/>
                <w:szCs w:val="20"/>
                <w:lang w:eastAsia="sk-SK"/>
              </w:rPr>
            </w:pPr>
            <w:r w:rsidRPr="00291806">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cPr>
          <w:p w14:paraId="34170B32" w14:textId="77777777" w:rsidR="00933C3E" w:rsidRPr="00291806" w:rsidRDefault="00933C3E" w:rsidP="000C24D6">
            <w:pPr>
              <w:widowControl w:val="0"/>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73154624" w14:textId="77777777" w:rsidR="00933C3E" w:rsidRPr="00291806" w:rsidRDefault="00933C3E" w:rsidP="000C24D6">
            <w:pPr>
              <w:widowControl w:val="0"/>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1230D023" w14:textId="77777777" w:rsidR="00933C3E" w:rsidRPr="00291806" w:rsidRDefault="00933C3E" w:rsidP="000C24D6">
            <w:pPr>
              <w:widowControl w:val="0"/>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75AD8855" w14:textId="77777777" w:rsidR="00933C3E" w:rsidRPr="00291806" w:rsidRDefault="00933C3E" w:rsidP="000C24D6">
            <w:pPr>
              <w:widowControl w:val="0"/>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1D5418DF" w14:textId="77777777" w:rsidR="00933C3E" w:rsidRPr="00291806" w:rsidRDefault="00933C3E" w:rsidP="000C24D6">
            <w:pPr>
              <w:widowControl w:val="0"/>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3E4ADD62" w14:textId="77777777" w:rsidR="00933C3E" w:rsidRPr="00291806" w:rsidRDefault="00933C3E" w:rsidP="000C24D6">
            <w:pPr>
              <w:widowControl w:val="0"/>
              <w:spacing w:after="0" w:line="240" w:lineRule="auto"/>
              <w:ind w:left="54"/>
              <w:rPr>
                <w:rFonts w:ascii="Times New Roman" w:eastAsia="Times New Roman" w:hAnsi="Times New Roman" w:cs="Times New Roman"/>
                <w:b/>
                <w:sz w:val="20"/>
                <w:szCs w:val="20"/>
                <w:lang w:eastAsia="sk-SK"/>
              </w:rPr>
            </w:pPr>
          </w:p>
        </w:tc>
      </w:tr>
      <w:tr w:rsidR="00933C3E" w:rsidRPr="00291806" w14:paraId="551FC373" w14:textId="77777777" w:rsidTr="000C24D6">
        <w:tc>
          <w:tcPr>
            <w:tcW w:w="3812" w:type="dxa"/>
            <w:tcBorders>
              <w:top w:val="nil"/>
              <w:left w:val="single" w:sz="4" w:space="0" w:color="auto"/>
              <w:bottom w:val="nil"/>
              <w:right w:val="single" w:sz="4" w:space="0" w:color="auto"/>
            </w:tcBorders>
            <w:shd w:val="clear" w:color="auto" w:fill="E2E2E2"/>
          </w:tcPr>
          <w:p w14:paraId="18824BF6" w14:textId="77777777" w:rsidR="00933C3E" w:rsidRPr="00291806" w:rsidRDefault="00933C3E" w:rsidP="000C24D6">
            <w:pPr>
              <w:widowControl w:val="0"/>
              <w:spacing w:after="0" w:line="240" w:lineRule="auto"/>
              <w:ind w:left="196" w:hanging="196"/>
              <w:rPr>
                <w:rFonts w:ascii="Times New Roman" w:eastAsia="Calibri" w:hAnsi="Times New Roman" w:cs="Times New Roman"/>
                <w:b/>
                <w:sz w:val="20"/>
                <w:szCs w:val="20"/>
              </w:rPr>
            </w:pPr>
            <w:r w:rsidRPr="00291806">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14:paraId="59A8E6B2" w14:textId="77777777" w:rsidR="00933C3E" w:rsidRPr="00291806" w:rsidRDefault="00933C3E" w:rsidP="000C24D6">
                <w:pPr>
                  <w:widowControl w:val="0"/>
                  <w:spacing w:after="0" w:line="240" w:lineRule="auto"/>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tcPr>
          <w:p w14:paraId="3FA71BB2" w14:textId="77777777" w:rsidR="00933C3E" w:rsidRPr="00291806" w:rsidRDefault="00933C3E" w:rsidP="000C24D6">
            <w:pPr>
              <w:widowControl w:val="0"/>
              <w:spacing w:after="0" w:line="240" w:lineRule="auto"/>
              <w:ind w:right="-108"/>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tcPr>
              <w:p w14:paraId="08DE5E20" w14:textId="77777777" w:rsidR="00933C3E" w:rsidRPr="00291806" w:rsidRDefault="00933C3E" w:rsidP="000C24D6">
                <w:pPr>
                  <w:widowControl w:val="0"/>
                  <w:spacing w:after="0" w:line="240" w:lineRule="auto"/>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tcPr>
          <w:p w14:paraId="55CD98A9" w14:textId="77777777" w:rsidR="00933C3E" w:rsidRPr="00291806" w:rsidRDefault="00933C3E" w:rsidP="000C24D6">
            <w:pPr>
              <w:widowControl w:val="0"/>
              <w:spacing w:after="0" w:line="240" w:lineRule="auto"/>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tcPr>
              <w:p w14:paraId="4B667D96" w14:textId="77777777" w:rsidR="00933C3E" w:rsidRPr="00291806" w:rsidRDefault="00933C3E" w:rsidP="000C24D6">
                <w:pPr>
                  <w:widowControl w:val="0"/>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tcPr>
          <w:p w14:paraId="35ECB670" w14:textId="77777777" w:rsidR="00933C3E" w:rsidRPr="00291806" w:rsidRDefault="00933C3E" w:rsidP="000C24D6">
            <w:pPr>
              <w:widowControl w:val="0"/>
              <w:spacing w:after="0" w:line="240" w:lineRule="auto"/>
              <w:ind w:left="5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Negatívne</w:t>
            </w:r>
          </w:p>
        </w:tc>
      </w:tr>
      <w:tr w:rsidR="00933C3E" w:rsidRPr="00291806" w14:paraId="3F8AC371" w14:textId="77777777" w:rsidTr="000C24D6">
        <w:tc>
          <w:tcPr>
            <w:tcW w:w="3812" w:type="dxa"/>
            <w:tcBorders>
              <w:top w:val="nil"/>
              <w:left w:val="single" w:sz="4" w:space="0" w:color="auto"/>
              <w:bottom w:val="nil"/>
              <w:right w:val="single" w:sz="4" w:space="0" w:color="auto"/>
            </w:tcBorders>
            <w:shd w:val="clear" w:color="auto" w:fill="E2E2E2"/>
          </w:tcPr>
          <w:p w14:paraId="3E99E7AC" w14:textId="77777777" w:rsidR="00933C3E" w:rsidRPr="00291806" w:rsidRDefault="00933C3E" w:rsidP="000C24D6">
            <w:pPr>
              <w:widowControl w:val="0"/>
              <w:spacing w:after="0" w:line="240" w:lineRule="auto"/>
              <w:ind w:left="168" w:hanging="168"/>
              <w:rPr>
                <w:rFonts w:ascii="Times New Roman" w:eastAsia="Calibri" w:hAnsi="Times New Roman" w:cs="Times New Roman"/>
                <w:b/>
                <w:sz w:val="20"/>
                <w:szCs w:val="20"/>
              </w:rPr>
            </w:pPr>
            <w:r w:rsidRPr="00291806">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3159839B" w14:textId="77777777" w:rsidR="00933C3E" w:rsidRPr="00291806" w:rsidRDefault="00933C3E" w:rsidP="000C24D6">
                <w:pPr>
                  <w:widowControl w:val="0"/>
                  <w:spacing w:after="0" w:line="240" w:lineRule="auto"/>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21AAE25" w14:textId="77777777" w:rsidR="00933C3E" w:rsidRPr="00291806" w:rsidRDefault="00933C3E" w:rsidP="000C24D6">
            <w:pPr>
              <w:widowControl w:val="0"/>
              <w:spacing w:after="0" w:line="240" w:lineRule="auto"/>
              <w:ind w:right="-108"/>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vAlign w:val="center"/>
              </w:tcPr>
              <w:p w14:paraId="64979D4D" w14:textId="77777777" w:rsidR="00933C3E" w:rsidRPr="00291806" w:rsidRDefault="00933C3E" w:rsidP="000C24D6">
                <w:pPr>
                  <w:widowControl w:val="0"/>
                  <w:spacing w:after="0" w:line="240" w:lineRule="auto"/>
                  <w:jc w:val="center"/>
                  <w:rPr>
                    <w:rFonts w:ascii="Times New Roman" w:eastAsia="Times New Roman" w:hAnsi="Times New Roman" w:cs="Times New Roman"/>
                    <w:b/>
                    <w:sz w:val="20"/>
                    <w:szCs w:val="20"/>
                    <w:lang w:eastAsia="sk-SK"/>
                  </w:rPr>
                </w:pPr>
                <w:r w:rsidRPr="00291806">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77A8757" w14:textId="77777777" w:rsidR="00933C3E" w:rsidRPr="00291806" w:rsidRDefault="00933C3E" w:rsidP="000C24D6">
            <w:pPr>
              <w:widowControl w:val="0"/>
              <w:spacing w:after="0" w:line="240" w:lineRule="auto"/>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22A6CB75" w14:textId="77777777" w:rsidR="00933C3E" w:rsidRPr="00291806" w:rsidRDefault="00933C3E" w:rsidP="000C24D6">
                <w:pPr>
                  <w:widowControl w:val="0"/>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3D7F97A" w14:textId="77777777" w:rsidR="00933C3E" w:rsidRPr="00291806" w:rsidRDefault="00933C3E" w:rsidP="000C24D6">
            <w:pPr>
              <w:widowControl w:val="0"/>
              <w:spacing w:after="0" w:line="240" w:lineRule="auto"/>
              <w:ind w:left="5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933C3E" w:rsidRPr="00291806" w14:paraId="2C954993" w14:textId="77777777" w:rsidTr="000C24D6">
        <w:tc>
          <w:tcPr>
            <w:tcW w:w="3812" w:type="dxa"/>
            <w:tcBorders>
              <w:top w:val="single" w:sz="4" w:space="0" w:color="000000"/>
              <w:left w:val="single" w:sz="4" w:space="0" w:color="auto"/>
              <w:bottom w:val="single" w:sz="4" w:space="0" w:color="auto"/>
              <w:right w:val="single" w:sz="4" w:space="0" w:color="auto"/>
            </w:tcBorders>
            <w:shd w:val="clear" w:color="auto" w:fill="E2E2E2"/>
          </w:tcPr>
          <w:p w14:paraId="4978A549" w14:textId="77777777" w:rsidR="00933C3E" w:rsidRPr="00291806" w:rsidRDefault="00933C3E" w:rsidP="000C24D6">
            <w:pPr>
              <w:widowControl w:val="0"/>
              <w:rPr>
                <w:rFonts w:ascii="Times New Roman" w:eastAsia="Times New Roman" w:hAnsi="Times New Roman" w:cs="Times New Roman"/>
                <w:b/>
                <w:sz w:val="20"/>
                <w:szCs w:val="20"/>
              </w:rPr>
            </w:pPr>
            <w:r w:rsidRPr="00291806">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3469B631"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67F3304" w14:textId="77777777" w:rsidR="00933C3E" w:rsidRPr="00291806" w:rsidRDefault="00933C3E" w:rsidP="000C24D6">
            <w:pPr>
              <w:widowControl w:val="0"/>
              <w:ind w:right="-108"/>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68D509A6"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4FE02668"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52E3C58" w14:textId="77777777" w:rsidR="00933C3E" w:rsidRPr="00291806" w:rsidRDefault="00933C3E" w:rsidP="000C24D6">
                <w:pPr>
                  <w:widowControl w:val="0"/>
                  <w:jc w:val="center"/>
                  <w:rPr>
                    <w:rFonts w:ascii="Times New Roman" w:eastAsia="Times New Roman" w:hAnsi="Times New Roman" w:cs="Times New Roman"/>
                    <w:b/>
                    <w:sz w:val="20"/>
                    <w:szCs w:val="20"/>
                    <w:lang w:eastAsia="sk-SK"/>
                  </w:rPr>
                </w:pPr>
                <w:r w:rsidRPr="00291806">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9CDF0A2" w14:textId="77777777" w:rsidR="00933C3E" w:rsidRPr="00291806" w:rsidRDefault="00933C3E" w:rsidP="000C24D6">
            <w:pPr>
              <w:widowControl w:val="0"/>
              <w:ind w:left="54"/>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Negatívne</w:t>
            </w:r>
          </w:p>
        </w:tc>
      </w:tr>
      <w:tr w:rsidR="00933C3E" w:rsidRPr="00291806" w14:paraId="5091493C" w14:textId="77777777" w:rsidTr="000C24D6">
        <w:tc>
          <w:tcPr>
            <w:tcW w:w="9176" w:type="dxa"/>
            <w:gridSpan w:val="7"/>
            <w:tcBorders>
              <w:top w:val="single" w:sz="4" w:space="0" w:color="auto"/>
              <w:left w:val="single" w:sz="4" w:space="0" w:color="auto"/>
              <w:bottom w:val="nil"/>
              <w:right w:val="single" w:sz="4" w:space="0" w:color="auto"/>
            </w:tcBorders>
            <w:shd w:val="clear" w:color="auto" w:fill="E2E2E2"/>
          </w:tcPr>
          <w:p w14:paraId="76345441"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Poznámky</w:t>
            </w:r>
          </w:p>
        </w:tc>
      </w:tr>
      <w:tr w:rsidR="00933C3E" w:rsidRPr="00291806" w14:paraId="29D7CB01" w14:textId="77777777" w:rsidTr="000C24D6">
        <w:trPr>
          <w:trHeight w:val="264"/>
        </w:trPr>
        <w:tc>
          <w:tcPr>
            <w:tcW w:w="9176" w:type="dxa"/>
            <w:gridSpan w:val="7"/>
            <w:tcBorders>
              <w:top w:val="nil"/>
              <w:left w:val="single" w:sz="4" w:space="0" w:color="auto"/>
              <w:bottom w:val="single" w:sz="4" w:space="0" w:color="FFFFFF"/>
              <w:right w:val="single" w:sz="4" w:space="0" w:color="auto"/>
            </w:tcBorders>
          </w:tcPr>
          <w:p w14:paraId="70B353F1" w14:textId="77777777" w:rsidR="00933C3E" w:rsidRPr="000B0F81" w:rsidRDefault="00933C3E" w:rsidP="000C24D6">
            <w:pPr>
              <w:jc w:val="both"/>
              <w:rPr>
                <w:rFonts w:ascii="Times New Roman" w:eastAsia="Times New Roman" w:hAnsi="Times New Roman" w:cs="Times New Roman"/>
                <w:color w:val="000000"/>
                <w:sz w:val="20"/>
                <w:szCs w:val="20"/>
              </w:rPr>
            </w:pPr>
            <w:r w:rsidRPr="000B0F81">
              <w:rPr>
                <w:rFonts w:ascii="Times New Roman" w:eastAsia="Times New Roman" w:hAnsi="Times New Roman" w:cs="Times New Roman"/>
                <w:color w:val="000000"/>
                <w:sz w:val="20"/>
                <w:szCs w:val="20"/>
              </w:rPr>
              <w:t>Treba zdôraz</w:t>
            </w:r>
            <w:r w:rsidRPr="004E7EE6">
              <w:rPr>
                <w:rFonts w:ascii="Times New Roman" w:eastAsia="Times New Roman" w:hAnsi="Times New Roman" w:cs="Times New Roman"/>
                <w:color w:val="000000"/>
                <w:sz w:val="20"/>
                <w:szCs w:val="20"/>
              </w:rPr>
              <w:t>n</w:t>
            </w:r>
            <w:r w:rsidRPr="000B0F81">
              <w:rPr>
                <w:rFonts w:ascii="Times New Roman" w:eastAsia="Times New Roman" w:hAnsi="Times New Roman" w:cs="Times New Roman"/>
                <w:color w:val="000000"/>
                <w:sz w:val="20"/>
                <w:szCs w:val="20"/>
              </w:rPr>
              <w:t>iť, že konanie týkajúce sa náhrady za pôvodný pozemok je veľmi zdĺhavý proces. V aplikačnej praxi dochádza k situáciám, že oprávnená osoba nezašle S</w:t>
            </w:r>
            <w:r w:rsidRPr="004E7EE6">
              <w:rPr>
                <w:rFonts w:ascii="Times New Roman" w:eastAsia="Times New Roman" w:hAnsi="Times New Roman" w:cs="Times New Roman"/>
                <w:color w:val="000000"/>
                <w:sz w:val="20"/>
                <w:szCs w:val="20"/>
              </w:rPr>
              <w:t>love</w:t>
            </w:r>
            <w:r w:rsidRPr="000B0F81">
              <w:rPr>
                <w:rFonts w:ascii="Times New Roman" w:eastAsia="Times New Roman" w:hAnsi="Times New Roman" w:cs="Times New Roman"/>
                <w:color w:val="000000"/>
                <w:sz w:val="20"/>
                <w:szCs w:val="20"/>
              </w:rPr>
              <w:t>n</w:t>
            </w:r>
            <w:r>
              <w:rPr>
                <w:rFonts w:ascii="Times New Roman" w:eastAsia="Times New Roman" w:hAnsi="Times New Roman" w:cs="Times New Roman"/>
                <w:color w:val="000000"/>
                <w:sz w:val="20"/>
                <w:szCs w:val="20"/>
              </w:rPr>
              <w:t>s</w:t>
            </w:r>
            <w:r w:rsidRPr="000B0F81">
              <w:rPr>
                <w:rFonts w:ascii="Times New Roman" w:eastAsia="Times New Roman" w:hAnsi="Times New Roman" w:cs="Times New Roman"/>
                <w:color w:val="000000"/>
                <w:sz w:val="20"/>
                <w:szCs w:val="20"/>
              </w:rPr>
              <w:t xml:space="preserve">kému pozemkovému fondu (ďalej len „pozemkový fond“) podpísaný návrh dohody o spôsobe náhrady resp. nezašle podpísaný návrh zmluvy </w:t>
            </w:r>
            <w:r w:rsidRPr="004E7EE6">
              <w:rPr>
                <w:rFonts w:ascii="Times New Roman" w:eastAsia="Times New Roman" w:hAnsi="Times New Roman" w:cs="Times New Roman"/>
                <w:color w:val="000000"/>
                <w:sz w:val="20"/>
                <w:szCs w:val="20"/>
              </w:rPr>
              <w:t>o bezodplatno</w:t>
            </w:r>
            <w:r w:rsidRPr="000B0F81">
              <w:rPr>
                <w:rFonts w:ascii="Times New Roman" w:eastAsia="Times New Roman" w:hAnsi="Times New Roman" w:cs="Times New Roman"/>
                <w:color w:val="000000"/>
                <w:sz w:val="20"/>
                <w:szCs w:val="20"/>
              </w:rPr>
              <w:t>m prevode. Pozemkový fond aj napriek snahe nevie situáciu s takto „neaktívnou“ oprávnenou osobou riešiť. V snahe ukončiť niekoľko ročné reštitučné konanie je práve poskytnúť takejto „neaktívnej“ oprávnenej osobe peňažnú náhradu. S poukazom, na skutočnosť, že reštitučné konanie je zdĺhavý proces nie je možné v súčasnosti kvantifikovať sumu, ktorá by predstavovala objem finančných prostriedkov pripadajúci na poskytnutie náhrady v peniazoch. Objem peňažných prostriedkov pripadajúcich na náhradu v peniazoch sa bude odvíjať od počtu „neaktívnych“ oprávnených osôb, čo v </w:t>
            </w:r>
            <w:r w:rsidRPr="004E7EE6">
              <w:rPr>
                <w:rFonts w:ascii="Times New Roman" w:eastAsia="Times New Roman" w:hAnsi="Times New Roman" w:cs="Times New Roman"/>
                <w:color w:val="000000"/>
                <w:sz w:val="20"/>
                <w:szCs w:val="20"/>
              </w:rPr>
              <w:t>súčasn</w:t>
            </w:r>
            <w:r w:rsidRPr="000B0F81">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rPr>
              <w:t>s</w:t>
            </w:r>
            <w:r w:rsidRPr="000B0F81">
              <w:rPr>
                <w:rFonts w:ascii="Times New Roman" w:eastAsia="Times New Roman" w:hAnsi="Times New Roman" w:cs="Times New Roman"/>
                <w:color w:val="000000"/>
                <w:sz w:val="20"/>
                <w:szCs w:val="20"/>
              </w:rPr>
              <w:t xml:space="preserve">ti nevieme určiť. </w:t>
            </w:r>
          </w:p>
          <w:p w14:paraId="2AA839E4" w14:textId="77777777" w:rsidR="00933C3E" w:rsidRPr="000B0F81" w:rsidRDefault="00933C3E" w:rsidP="000C24D6">
            <w:pPr>
              <w:jc w:val="both"/>
              <w:rPr>
                <w:rFonts w:ascii="Times New Roman" w:eastAsia="Times New Roman" w:hAnsi="Times New Roman" w:cs="Times New Roman"/>
                <w:color w:val="000000"/>
                <w:sz w:val="20"/>
                <w:szCs w:val="20"/>
              </w:rPr>
            </w:pPr>
          </w:p>
          <w:p w14:paraId="12C1A4B1" w14:textId="77777777" w:rsidR="00933C3E" w:rsidRPr="00291806" w:rsidRDefault="00933C3E" w:rsidP="000C24D6">
            <w:pPr>
              <w:widowControl w:val="0"/>
              <w:jc w:val="both"/>
              <w:rPr>
                <w:rFonts w:ascii="Times New Roman" w:eastAsia="Calibri" w:hAnsi="Times New Roman" w:cs="Times New Roman"/>
                <w:sz w:val="20"/>
                <w:szCs w:val="20"/>
              </w:rPr>
            </w:pPr>
            <w:r w:rsidRPr="000B0F81">
              <w:rPr>
                <w:rFonts w:ascii="Times New Roman" w:eastAsia="Times New Roman" w:hAnsi="Times New Roman" w:cs="Times New Roman"/>
                <w:color w:val="000000"/>
                <w:sz w:val="20"/>
                <w:szCs w:val="20"/>
              </w:rPr>
              <w:t>V súčasnosti preto nie je možné ani odhadom kvantifikovať finančnú sumu, ktorá by mala pokryť náhradu v peniazoch. Z uvedeného nie je jasné, či pôjde o mierny, resp. zanedbateľný vplyv. Samozrejme, pokiaľ dôjde k náhrade v peniazoch, náhrada bude zabezpečená z finančných prostriedkov pozemkového fondu, tak ako tomu bolo aj doteraz</w:t>
            </w:r>
            <w:r>
              <w:t xml:space="preserve"> </w:t>
            </w:r>
            <w:r w:rsidRPr="00C07050">
              <w:rPr>
                <w:rFonts w:ascii="Times New Roman" w:eastAsia="Times New Roman" w:hAnsi="Times New Roman" w:cs="Times New Roman"/>
                <w:color w:val="000000"/>
                <w:sz w:val="20"/>
                <w:szCs w:val="20"/>
              </w:rPr>
              <w:t>bez dodatočných požiadaviek na rozpočet verejnej správy a za podmienky dodržania limitu verejných výdavkov pozemkového fondu.</w:t>
            </w:r>
          </w:p>
        </w:tc>
      </w:tr>
      <w:tr w:rsidR="00933C3E" w:rsidRPr="00291806" w14:paraId="7D7CBB29" w14:textId="77777777" w:rsidTr="000C24D6">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5693C1C0"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lastRenderedPageBreak/>
              <w:t>Kontakt na spracovateľa</w:t>
            </w:r>
          </w:p>
        </w:tc>
      </w:tr>
      <w:tr w:rsidR="00933C3E" w:rsidRPr="00291806" w14:paraId="02C0CE92" w14:textId="77777777" w:rsidTr="000C24D6">
        <w:trPr>
          <w:trHeight w:val="265"/>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14:paraId="352520FC" w14:textId="77777777" w:rsidR="00933C3E" w:rsidRDefault="00933C3E" w:rsidP="000C24D6">
            <w:pPr>
              <w:widowControl w:val="0"/>
              <w:jc w:val="both"/>
              <w:rPr>
                <w:rFonts w:ascii="Times New Roman" w:eastAsia="Times New Roman" w:hAnsi="Times New Roman" w:cs="Times New Roman"/>
                <w:sz w:val="20"/>
                <w:szCs w:val="20"/>
                <w:lang w:eastAsia="sk-SK"/>
              </w:rPr>
            </w:pPr>
            <w:r w:rsidRPr="00291806">
              <w:rPr>
                <w:rFonts w:ascii="Times New Roman" w:eastAsia="Times New Roman" w:hAnsi="Times New Roman" w:cs="Times New Roman"/>
                <w:sz w:val="20"/>
                <w:szCs w:val="20"/>
                <w:lang w:eastAsia="sk-SK"/>
              </w:rPr>
              <w:t xml:space="preserve">JUDr. Lenka Hrnčiarová, hl. št. radca, </w:t>
            </w:r>
            <w:hyperlink r:id="rId8" w:history="1">
              <w:r w:rsidRPr="00291806">
                <w:rPr>
                  <w:rFonts w:ascii="Times New Roman" w:eastAsia="Times New Roman" w:hAnsi="Times New Roman" w:cs="Times New Roman"/>
                  <w:sz w:val="20"/>
                  <w:szCs w:val="20"/>
                  <w:lang w:eastAsia="sk-SK"/>
                </w:rPr>
                <w:t>lenka.hrnciarova@land.gov.sk</w:t>
              </w:r>
            </w:hyperlink>
            <w:r w:rsidRPr="00291806">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02/</w:t>
            </w:r>
            <w:r w:rsidRPr="00291806">
              <w:rPr>
                <w:rFonts w:ascii="Times New Roman" w:eastAsia="Times New Roman" w:hAnsi="Times New Roman" w:cs="Times New Roman"/>
                <w:sz w:val="20"/>
                <w:szCs w:val="20"/>
                <w:lang w:eastAsia="sk-SK"/>
              </w:rPr>
              <w:t>59 266</w:t>
            </w:r>
            <w:r>
              <w:rPr>
                <w:rFonts w:ascii="Times New Roman" w:eastAsia="Times New Roman" w:hAnsi="Times New Roman" w:cs="Times New Roman"/>
                <w:sz w:val="20"/>
                <w:szCs w:val="20"/>
                <w:lang w:eastAsia="sk-SK"/>
              </w:rPr>
              <w:t> </w:t>
            </w:r>
            <w:r w:rsidRPr="00291806">
              <w:rPr>
                <w:rFonts w:ascii="Times New Roman" w:eastAsia="Times New Roman" w:hAnsi="Times New Roman" w:cs="Times New Roman"/>
                <w:sz w:val="20"/>
                <w:szCs w:val="20"/>
                <w:lang w:eastAsia="sk-SK"/>
              </w:rPr>
              <w:t>410</w:t>
            </w:r>
          </w:p>
          <w:p w14:paraId="6C6F3E95" w14:textId="77777777" w:rsidR="00933C3E" w:rsidRPr="00291806" w:rsidRDefault="00933C3E" w:rsidP="000C24D6">
            <w:pPr>
              <w:widowControl w:val="0"/>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Mgr. Martin Illáš, hl. št. radca, martin.illas@land.gov.sk; 02/59 266 404</w:t>
            </w:r>
          </w:p>
        </w:tc>
      </w:tr>
      <w:tr w:rsidR="00933C3E" w:rsidRPr="00291806" w14:paraId="4DB28985" w14:textId="77777777" w:rsidTr="000C24D6">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39C17501" w14:textId="77777777" w:rsidR="00933C3E" w:rsidRPr="00291806" w:rsidRDefault="00933C3E" w:rsidP="00933C3E">
            <w:pPr>
              <w:widowControl w:val="0"/>
              <w:numPr>
                <w:ilvl w:val="0"/>
                <w:numId w:val="4"/>
              </w:numPr>
              <w:ind w:left="426"/>
              <w:rPr>
                <w:rFonts w:ascii="Times New Roman" w:eastAsia="Calibri" w:hAnsi="Times New Roman" w:cs="Times New Roman"/>
                <w:b/>
                <w:sz w:val="20"/>
                <w:szCs w:val="20"/>
              </w:rPr>
            </w:pPr>
            <w:r w:rsidRPr="00291806">
              <w:rPr>
                <w:rFonts w:ascii="Times New Roman" w:eastAsia="Calibri" w:hAnsi="Times New Roman" w:cs="Times New Roman"/>
                <w:b/>
                <w:sz w:val="20"/>
                <w:szCs w:val="20"/>
              </w:rPr>
              <w:t>Zdroje</w:t>
            </w:r>
          </w:p>
        </w:tc>
      </w:tr>
      <w:tr w:rsidR="00933C3E" w:rsidRPr="00291806" w14:paraId="5E25C4DC" w14:textId="77777777" w:rsidTr="000C24D6">
        <w:trPr>
          <w:trHeight w:val="287"/>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14:paraId="5552A236" w14:textId="77777777" w:rsidR="00933C3E" w:rsidRPr="00291806" w:rsidRDefault="00933C3E" w:rsidP="000C24D6">
            <w:pPr>
              <w:widowControl w:val="0"/>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sz w:val="20"/>
                <w:szCs w:val="20"/>
                <w:lang w:eastAsia="sk-SK"/>
              </w:rPr>
              <w:t xml:space="preserve">MPRV SR, </w:t>
            </w:r>
            <w:r>
              <w:rPr>
                <w:rFonts w:ascii="Times New Roman" w:eastAsia="Times New Roman" w:hAnsi="Times New Roman" w:cs="Times New Roman"/>
                <w:sz w:val="20"/>
                <w:szCs w:val="20"/>
                <w:lang w:eastAsia="sk-SK"/>
              </w:rPr>
              <w:t>SPF</w:t>
            </w:r>
          </w:p>
        </w:tc>
      </w:tr>
      <w:tr w:rsidR="00933C3E" w:rsidRPr="00291806" w14:paraId="3F110B0B" w14:textId="77777777" w:rsidTr="000C24D6">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14:paraId="69FE248E" w14:textId="77777777" w:rsidR="00933C3E" w:rsidRPr="00291806" w:rsidRDefault="00933C3E" w:rsidP="00933C3E">
            <w:pPr>
              <w:widowControl w:val="0"/>
              <w:numPr>
                <w:ilvl w:val="0"/>
                <w:numId w:val="4"/>
              </w:numPr>
              <w:ind w:left="447" w:hanging="425"/>
              <w:rPr>
                <w:rFonts w:ascii="Times New Roman" w:eastAsia="Calibri" w:hAnsi="Times New Roman" w:cs="Times New Roman"/>
                <w:b/>
                <w:sz w:val="20"/>
                <w:szCs w:val="20"/>
              </w:rPr>
            </w:pPr>
            <w:r w:rsidRPr="00291806">
              <w:rPr>
                <w:rFonts w:ascii="Times New Roman" w:eastAsia="Calibri" w:hAnsi="Times New Roman" w:cs="Times New Roman"/>
                <w:b/>
                <w:sz w:val="20"/>
                <w:szCs w:val="20"/>
              </w:rPr>
              <w:t xml:space="preserve">Stanovisko Komisie na posudzovanie vybraných vplyvov z PPK </w:t>
            </w:r>
          </w:p>
          <w:p w14:paraId="55CD465C" w14:textId="77777777" w:rsidR="00933C3E" w:rsidRPr="00291806" w:rsidRDefault="00933C3E" w:rsidP="000C24D6">
            <w:pPr>
              <w:widowControl w:val="0"/>
              <w:ind w:left="502"/>
              <w:rPr>
                <w:rFonts w:ascii="Times New Roman" w:eastAsia="Times New Roman" w:hAnsi="Times New Roman" w:cs="Times New Roman"/>
                <w:b/>
                <w:sz w:val="20"/>
                <w:szCs w:val="20"/>
                <w:lang w:eastAsia="sk-SK"/>
              </w:rPr>
            </w:pPr>
            <w:r w:rsidRPr="00291806">
              <w:rPr>
                <w:rFonts w:ascii="Times New Roman" w:eastAsia="Calibri" w:hAnsi="Times New Roman" w:cs="Times New Roman"/>
                <w:sz w:val="20"/>
                <w:szCs w:val="20"/>
              </w:rPr>
              <w:t>(v prípade, ak sa uskutočnilo v zmysle bodu 8.1 Jednotnej metodiky)</w:t>
            </w:r>
          </w:p>
        </w:tc>
      </w:tr>
      <w:tr w:rsidR="00933C3E" w:rsidRPr="00291806" w14:paraId="2698DAF8" w14:textId="77777777" w:rsidTr="000C24D6">
        <w:trPr>
          <w:trHeight w:val="70"/>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33C3E" w:rsidRPr="00291806" w14:paraId="66EF87C5" w14:textId="77777777" w:rsidTr="000C24D6">
              <w:trPr>
                <w:trHeight w:val="396"/>
              </w:trPr>
              <w:tc>
                <w:tcPr>
                  <w:tcW w:w="2552" w:type="dxa"/>
                </w:tcPr>
                <w:p w14:paraId="0BE173C0" w14:textId="77777777" w:rsidR="00933C3E" w:rsidRPr="00291806" w:rsidRDefault="00D06A6D" w:rsidP="000C24D6">
                  <w:pPr>
                    <w:widowControl w:val="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933C3E" w:rsidRPr="00291806">
                        <w:rPr>
                          <w:rFonts w:ascii="Segoe UI Symbol" w:eastAsia="MS Gothic" w:hAnsi="Segoe UI Symbol" w:cs="Segoe UI Symbol"/>
                          <w:b/>
                          <w:sz w:val="20"/>
                          <w:szCs w:val="20"/>
                          <w:lang w:eastAsia="sk-SK"/>
                        </w:rPr>
                        <w:t>☐</w:t>
                      </w:r>
                    </w:sdtContent>
                  </w:sdt>
                  <w:r w:rsidR="00933C3E" w:rsidRPr="00291806">
                    <w:rPr>
                      <w:rFonts w:ascii="Times New Roman" w:eastAsia="Times New Roman" w:hAnsi="Times New Roman" w:cs="Times New Roman"/>
                      <w:b/>
                      <w:sz w:val="20"/>
                      <w:szCs w:val="20"/>
                      <w:lang w:eastAsia="sk-SK"/>
                    </w:rPr>
                    <w:t xml:space="preserve"> Súhlasné </w:t>
                  </w:r>
                </w:p>
              </w:tc>
              <w:tc>
                <w:tcPr>
                  <w:tcW w:w="3827" w:type="dxa"/>
                </w:tcPr>
                <w:p w14:paraId="63223C8D" w14:textId="77777777" w:rsidR="00933C3E" w:rsidRPr="00291806" w:rsidRDefault="00D06A6D" w:rsidP="000C24D6">
                  <w:pPr>
                    <w:widowControl w:val="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933C3E" w:rsidRPr="00291806">
                        <w:rPr>
                          <w:rFonts w:ascii="Segoe UI Symbol" w:eastAsia="MS Gothic" w:hAnsi="Segoe UI Symbol" w:cs="Segoe UI Symbol"/>
                          <w:b/>
                          <w:sz w:val="20"/>
                          <w:szCs w:val="20"/>
                          <w:lang w:eastAsia="sk-SK"/>
                        </w:rPr>
                        <w:t>☐</w:t>
                      </w:r>
                    </w:sdtContent>
                  </w:sdt>
                  <w:r w:rsidR="00933C3E" w:rsidRPr="00291806">
                    <w:rPr>
                      <w:rFonts w:ascii="Times New Roman" w:eastAsia="Times New Roman" w:hAnsi="Times New Roman" w:cs="Times New Roman"/>
                      <w:b/>
                      <w:sz w:val="20"/>
                      <w:szCs w:val="20"/>
                      <w:lang w:eastAsia="sk-SK"/>
                    </w:rPr>
                    <w:t xml:space="preserve"> Súhlasné s návrhom na dopracovanie</w:t>
                  </w:r>
                </w:p>
              </w:tc>
              <w:tc>
                <w:tcPr>
                  <w:tcW w:w="2534" w:type="dxa"/>
                </w:tcPr>
                <w:p w14:paraId="3379E915" w14:textId="77777777" w:rsidR="00933C3E" w:rsidRPr="00291806" w:rsidRDefault="00D06A6D" w:rsidP="000C24D6">
                  <w:pPr>
                    <w:widowControl w:val="0"/>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933C3E" w:rsidRPr="00291806">
                        <w:rPr>
                          <w:rFonts w:ascii="Segoe UI Symbol" w:eastAsia="MS Gothic" w:hAnsi="Segoe UI Symbol" w:cs="Segoe UI Symbol"/>
                          <w:b/>
                          <w:sz w:val="20"/>
                          <w:szCs w:val="20"/>
                          <w:lang w:eastAsia="sk-SK"/>
                        </w:rPr>
                        <w:t>☐</w:t>
                      </w:r>
                    </w:sdtContent>
                  </w:sdt>
                  <w:r w:rsidR="00933C3E" w:rsidRPr="00291806">
                    <w:rPr>
                      <w:rFonts w:ascii="Times New Roman" w:eastAsia="Times New Roman" w:hAnsi="Times New Roman" w:cs="Times New Roman"/>
                      <w:b/>
                      <w:sz w:val="20"/>
                      <w:szCs w:val="20"/>
                      <w:lang w:eastAsia="sk-SK"/>
                    </w:rPr>
                    <w:t xml:space="preserve"> Nesúhlasné</w:t>
                  </w:r>
                </w:p>
              </w:tc>
            </w:tr>
          </w:tbl>
          <w:p w14:paraId="0E3872CD" w14:textId="77777777" w:rsidR="00933C3E" w:rsidRPr="00291806" w:rsidRDefault="00933C3E" w:rsidP="000C24D6">
            <w:pPr>
              <w:widowControl w:val="0"/>
              <w:jc w:val="both"/>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Uveďte pripomienky zo stanoviska Komisie z časti II. spolu s Vaším vyhodnotením:</w:t>
            </w:r>
          </w:p>
        </w:tc>
      </w:tr>
      <w:tr w:rsidR="00933C3E" w:rsidRPr="00291806" w14:paraId="3583A658" w14:textId="77777777" w:rsidTr="000C24D6">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14:paraId="51153449" w14:textId="77777777" w:rsidR="00933C3E" w:rsidRPr="00291806" w:rsidRDefault="00933C3E" w:rsidP="00933C3E">
            <w:pPr>
              <w:widowControl w:val="0"/>
              <w:numPr>
                <w:ilvl w:val="0"/>
                <w:numId w:val="4"/>
              </w:numPr>
              <w:ind w:left="450" w:hanging="425"/>
              <w:jc w:val="both"/>
              <w:rPr>
                <w:rFonts w:ascii="Times New Roman" w:eastAsia="Calibri" w:hAnsi="Times New Roman" w:cs="Times New Roman"/>
                <w:b/>
                <w:sz w:val="20"/>
                <w:szCs w:val="20"/>
              </w:rPr>
            </w:pPr>
            <w:r w:rsidRPr="00291806">
              <w:rPr>
                <w:rFonts w:ascii="Times New Roman" w:eastAsia="Calibri" w:hAnsi="Times New Roman" w:cs="Times New Roman"/>
                <w:b/>
                <w:sz w:val="20"/>
                <w:szCs w:val="20"/>
              </w:rPr>
              <w:t>Stanovisko Komisie na posudzovanie vybraných vplyvov zo záverečného posúdenia č. .....</w:t>
            </w:r>
            <w:r w:rsidRPr="00291806">
              <w:rPr>
                <w:rFonts w:ascii="Times New Roman" w:eastAsia="Calibri" w:hAnsi="Times New Roman" w:cs="Times New Roman"/>
                <w:sz w:val="20"/>
                <w:szCs w:val="20"/>
              </w:rPr>
              <w:t xml:space="preserve"> (v prípade, ak sa uskutočnilo v zmysle bodu 9.1. Jednotnej metodiky) </w:t>
            </w:r>
          </w:p>
        </w:tc>
      </w:tr>
      <w:tr w:rsidR="00933C3E" w:rsidRPr="00291806" w14:paraId="57797EB4" w14:textId="77777777" w:rsidTr="000C24D6">
        <w:tblPrEx>
          <w:tblBorders>
            <w:insideH w:val="single" w:sz="4" w:space="0" w:color="FFFFFF"/>
            <w:insideV w:val="single" w:sz="4" w:space="0" w:color="FFFFFF"/>
          </w:tblBorders>
        </w:tblPrEx>
        <w:tc>
          <w:tcPr>
            <w:tcW w:w="9176" w:type="dxa"/>
            <w:gridSpan w:val="7"/>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933C3E" w:rsidRPr="00291806" w14:paraId="2042A754" w14:textId="77777777" w:rsidTr="000C24D6">
              <w:trPr>
                <w:trHeight w:val="396"/>
              </w:trPr>
              <w:tc>
                <w:tcPr>
                  <w:tcW w:w="2552" w:type="dxa"/>
                </w:tcPr>
                <w:p w14:paraId="16913EEF" w14:textId="77777777" w:rsidR="00933C3E" w:rsidRPr="00291806" w:rsidRDefault="00D06A6D" w:rsidP="000C24D6">
                  <w:pPr>
                    <w:widowControl w:val="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933C3E" w:rsidRPr="00291806">
                        <w:rPr>
                          <w:rFonts w:ascii="Segoe UI Symbol" w:eastAsia="MS Gothic" w:hAnsi="Segoe UI Symbol" w:cs="Segoe UI Symbol"/>
                          <w:b/>
                          <w:sz w:val="20"/>
                          <w:szCs w:val="20"/>
                          <w:lang w:eastAsia="sk-SK"/>
                        </w:rPr>
                        <w:t>☐</w:t>
                      </w:r>
                    </w:sdtContent>
                  </w:sdt>
                  <w:r w:rsidR="00933C3E" w:rsidRPr="00291806">
                    <w:rPr>
                      <w:rFonts w:ascii="Times New Roman" w:eastAsia="Times New Roman" w:hAnsi="Times New Roman" w:cs="Times New Roman"/>
                      <w:b/>
                      <w:sz w:val="20"/>
                      <w:szCs w:val="20"/>
                      <w:lang w:eastAsia="sk-SK"/>
                    </w:rPr>
                    <w:t xml:space="preserve"> Súhlasné </w:t>
                  </w:r>
                </w:p>
              </w:tc>
              <w:tc>
                <w:tcPr>
                  <w:tcW w:w="3827" w:type="dxa"/>
                </w:tcPr>
                <w:p w14:paraId="5D281CCE" w14:textId="77777777" w:rsidR="00933C3E" w:rsidRPr="00291806" w:rsidRDefault="00D06A6D" w:rsidP="000C24D6">
                  <w:pPr>
                    <w:widowControl w:val="0"/>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933C3E" w:rsidRPr="00291806">
                        <w:rPr>
                          <w:rFonts w:ascii="Segoe UI Symbol" w:eastAsia="MS Gothic" w:hAnsi="Segoe UI Symbol" w:cs="Segoe UI Symbol"/>
                          <w:b/>
                          <w:sz w:val="20"/>
                          <w:szCs w:val="20"/>
                          <w:lang w:eastAsia="sk-SK"/>
                        </w:rPr>
                        <w:t>☐</w:t>
                      </w:r>
                    </w:sdtContent>
                  </w:sdt>
                  <w:r w:rsidR="00933C3E" w:rsidRPr="00291806">
                    <w:rPr>
                      <w:rFonts w:ascii="Times New Roman" w:eastAsia="Times New Roman" w:hAnsi="Times New Roman" w:cs="Times New Roman"/>
                      <w:b/>
                      <w:sz w:val="20"/>
                      <w:szCs w:val="20"/>
                      <w:lang w:eastAsia="sk-SK"/>
                    </w:rPr>
                    <w:t xml:space="preserve"> Súhlasné s návrhom na dopracovanie</w:t>
                  </w:r>
                </w:p>
              </w:tc>
              <w:tc>
                <w:tcPr>
                  <w:tcW w:w="2534" w:type="dxa"/>
                </w:tcPr>
                <w:p w14:paraId="66E5FDB3" w14:textId="77777777" w:rsidR="00933C3E" w:rsidRPr="00291806" w:rsidRDefault="00D06A6D" w:rsidP="000C24D6">
                  <w:pPr>
                    <w:widowControl w:val="0"/>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933C3E" w:rsidRPr="00291806">
                        <w:rPr>
                          <w:rFonts w:ascii="MS Gothic" w:eastAsia="MS Gothic" w:hAnsi="MS Gothic" w:cs="Times New Roman" w:hint="eastAsia"/>
                          <w:b/>
                          <w:sz w:val="20"/>
                          <w:szCs w:val="20"/>
                          <w:lang w:eastAsia="sk-SK"/>
                        </w:rPr>
                        <w:t>☐</w:t>
                      </w:r>
                    </w:sdtContent>
                  </w:sdt>
                  <w:r w:rsidR="00933C3E" w:rsidRPr="00291806">
                    <w:rPr>
                      <w:rFonts w:ascii="Times New Roman" w:eastAsia="Times New Roman" w:hAnsi="Times New Roman" w:cs="Times New Roman"/>
                      <w:b/>
                      <w:sz w:val="20"/>
                      <w:szCs w:val="20"/>
                      <w:lang w:eastAsia="sk-SK"/>
                    </w:rPr>
                    <w:t xml:space="preserve"> Nesúhlasné</w:t>
                  </w:r>
                </w:p>
              </w:tc>
            </w:tr>
          </w:tbl>
          <w:p w14:paraId="3819F930" w14:textId="77777777" w:rsidR="00933C3E" w:rsidRPr="00686D78" w:rsidRDefault="00933C3E" w:rsidP="000C24D6">
            <w:pPr>
              <w:widowControl w:val="0"/>
              <w:jc w:val="both"/>
              <w:rPr>
                <w:rFonts w:ascii="Times New Roman" w:eastAsia="Times New Roman" w:hAnsi="Times New Roman" w:cs="Times New Roman"/>
                <w:b/>
                <w:sz w:val="20"/>
                <w:szCs w:val="20"/>
                <w:lang w:eastAsia="sk-SK"/>
              </w:rPr>
            </w:pPr>
            <w:r w:rsidRPr="00291806">
              <w:rPr>
                <w:rFonts w:ascii="Times New Roman" w:eastAsia="Times New Roman" w:hAnsi="Times New Roman" w:cs="Times New Roman"/>
                <w:b/>
                <w:sz w:val="20"/>
                <w:szCs w:val="20"/>
                <w:lang w:eastAsia="sk-SK"/>
              </w:rPr>
              <w:t>Uveďte pripomienky zo stanoviska Komisie z časti II. spolu s Vaším vyhodnotením:</w:t>
            </w:r>
          </w:p>
        </w:tc>
      </w:tr>
    </w:tbl>
    <w:p w14:paraId="6AFE982E" w14:textId="77777777" w:rsidR="00933C3E" w:rsidRPr="00291806" w:rsidRDefault="00933C3E" w:rsidP="00933C3E">
      <w:pPr>
        <w:widowControl w:val="0"/>
        <w:spacing w:after="0" w:line="240" w:lineRule="auto"/>
        <w:rPr>
          <w:rFonts w:ascii="Times New Roman" w:hAnsi="Times New Roman" w:cs="Times New Roman"/>
          <w:sz w:val="20"/>
          <w:szCs w:val="20"/>
        </w:rPr>
      </w:pPr>
    </w:p>
    <w:p w14:paraId="22A69F01" w14:textId="08F6AF77" w:rsidR="00933C3E" w:rsidRDefault="00933C3E">
      <w:pPr>
        <w:rPr>
          <w:rFonts w:ascii="Times New Roman" w:eastAsia="Times New Roman" w:hAnsi="Times New Roman" w:cs="Times New Roman"/>
          <w:sz w:val="24"/>
          <w:szCs w:val="24"/>
          <w:lang w:eastAsia="sk-SK"/>
        </w:rPr>
      </w:pPr>
      <w:r>
        <w:br w:type="page"/>
      </w:r>
    </w:p>
    <w:p w14:paraId="0F372D21" w14:textId="77777777" w:rsidR="00933C3E" w:rsidRPr="00DB7F02" w:rsidRDefault="00933C3E" w:rsidP="00933C3E">
      <w:pPr>
        <w:widowControl w:val="0"/>
        <w:spacing w:after="0" w:line="240" w:lineRule="auto"/>
        <w:rPr>
          <w:rFonts w:ascii="Times New Roman" w:hAnsi="Times New Roman" w:cs="Times New Roman"/>
          <w:b/>
          <w:caps/>
          <w:spacing w:val="30"/>
          <w:sz w:val="24"/>
          <w:szCs w:val="24"/>
        </w:rPr>
      </w:pPr>
      <w:r w:rsidRPr="00DB7F02">
        <w:rPr>
          <w:rFonts w:ascii="Times New Roman" w:hAnsi="Times New Roman" w:cs="Times New Roman"/>
          <w:b/>
          <w:sz w:val="24"/>
          <w:szCs w:val="24"/>
        </w:rPr>
        <w:lastRenderedPageBreak/>
        <w:t>B. Osobitná časť</w:t>
      </w:r>
    </w:p>
    <w:p w14:paraId="52CAFADE" w14:textId="77777777" w:rsidR="00933C3E" w:rsidRPr="00DB7F02" w:rsidRDefault="00933C3E" w:rsidP="00933C3E">
      <w:pPr>
        <w:widowControl w:val="0"/>
        <w:spacing w:before="240" w:after="120" w:line="240" w:lineRule="auto"/>
        <w:jc w:val="both"/>
        <w:rPr>
          <w:rFonts w:ascii="Times New Roman" w:hAnsi="Times New Roman" w:cs="Times New Roman"/>
          <w:b/>
          <w:sz w:val="24"/>
          <w:szCs w:val="24"/>
        </w:rPr>
      </w:pPr>
      <w:r w:rsidRPr="00DB7F02">
        <w:rPr>
          <w:rFonts w:ascii="Times New Roman" w:hAnsi="Times New Roman" w:cs="Times New Roman"/>
          <w:b/>
          <w:sz w:val="24"/>
          <w:szCs w:val="24"/>
        </w:rPr>
        <w:t>K čl. I [zákon č. 229/1991 Zb.]</w:t>
      </w:r>
    </w:p>
    <w:p w14:paraId="5006F31C"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1 [§ 11 ods. 2 úvodná veta a písmená a) až c)]</w:t>
      </w:r>
    </w:p>
    <w:p w14:paraId="35A9588E"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Cieľom navrhovanej zmeny je umožniť fondu ponúknuť oprávnenej osobe v každej z troch na seba nadväzujúcich ponúk náhradné pozemky, ktorých územný rámec sa postupne rozširuje, vždy aj náhradný pozemok v tom katastrálnom území, v ktorom sa náhradný pozemok ponúkal v predchádzajúcej ponuke, a to aj po tom, čo takýto pozemok oprávnená osoba v rámci prerokovania predchádzajúcej ponuky odmietla, avšak pri prerokúvaní ponuky v nasledujúcom rade prejavila o takýto pozemok záujem. Predovšetkým sa to týka katastrálneho územia, v ktorom sa pôvodný pozemok nachádzal, a iného katastrálneho územia obce, v ktorej sa pôvodný pozemok nachádzal. V tretej ponuke bude možné oprávnenej osobe ponúknuť pozemky v katastrálnych územiach, ktoré sú uvedené v prílohe k nariadeniu vlády č. 237/2010 Z. z. Tým sa pre fond vytvoria podmienky pre dynamickejšie plnenie reštitučných nárokov oprávnených osôb, nakoľko bude môcť oprávneným osobám ponúknuť ako náhradu viac pozemkov.</w:t>
      </w:r>
    </w:p>
    <w:p w14:paraId="3CB72231"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2 [§ 11 ods. 2 štvrtá veta]</w:t>
      </w:r>
    </w:p>
    <w:p w14:paraId="58A78D23"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V záujme prehľadnosti a v nadväznosti na úpravu v nových § 11a až 11c sa komplexne ustanovuje, podľa ktorých ustanovení sa oprávnenej osobe neposkytne náhrada v pozemkoch, ale finančná náhrada.</w:t>
      </w:r>
    </w:p>
    <w:p w14:paraId="2EDE61AA"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3 [§ 11 ods. 8 prvá veta]</w:t>
      </w:r>
    </w:p>
    <w:p w14:paraId="24558A74"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Doteraz bola právna úprava ponukového konania fondu upravená nariadením vlády č. 237/2010 Z. z. Táto právna úprava sa z dôvodu jej povahy presunie do § 11a zákona. Preto sa upravuje ustanovenie, ktorým sa fondu ukladá vykonať prerokovanie ponúk.</w:t>
      </w:r>
    </w:p>
    <w:p w14:paraId="00AD59DD"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4 [§ 11 ods. 8 písmená a) až c)]</w:t>
      </w:r>
    </w:p>
    <w:p w14:paraId="155D1EF9"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Analogicky ako v § 11 ods. 2 písm. a) až c) sa upravujú územné rámce pre oprávnenú osobu, ktorá by využila právo navrhnúť fondu sama náhradný pozemok.</w:t>
      </w:r>
    </w:p>
    <w:p w14:paraId="3079E5F7"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5 [§ 11a až 11c]</w:t>
      </w:r>
    </w:p>
    <w:p w14:paraId="4F77F9DA"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V § 11a sa upravuje postup fondu a oprávnenej osoby pri ponuke náhradného pozemku zo strany fondu, resp. pri návrhu oprávnenej osoby na náhradný pozemok a prerokovaní tejto ponuky, resp. tohto návrhu. Právna úprava je prevzatá z § 1 a 3 nariadenia vlády č. 237/2010 Z. z. Tento postup sa v odseku 6 dopĺňa úpravou právneho následku nečinnosti oprávnenej osoby, ktorá napriek dosiahnutej dohode o náhradnom pozemku neuzatvorí s fondom dohodu o spôsobe náhrady a zmluvu o bezodplatnom prevode vlastníctva náhradného pozemku v ustanovenej lehote, ktorá je dostatočne dlhá na to, aby oprávnená osoba v nadväznosti na absolvované prerokovanie náhradného pozemku tieto návrhy zaslané fondom podpísala a zaslala späť fondu. Právnym následkom nečinnosti oprávnenej osoby je zmena formy náhrady z náhradného pozemku na náhradu v peniazoch. Voči oprávnenej osobe sa následne použijú ustanovenia upravujúce poskytovanie finančnej náhrady. Právny následok ustanovený v odseku 6 sa bude vzťahovať len na tie oprávnené osoby, ktorým fond zašle návrhy, výzvu a poučenie podľa odseku 5; pôjde teda o zaslanie, ktoré fond urobí po nadobudnutí účinnosti tejto právnej úpravy.</w:t>
      </w:r>
    </w:p>
    <w:p w14:paraId="48B8FC78"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 xml:space="preserve">V odseku 7 sa ustanovuje doteraz neupravené právo oprávnenej osoby písomne sa vzdať priznaného reštitučného nároku. Je to jeden z nástrojov, ktorý umožní oprávnenej osobe jedným </w:t>
      </w:r>
      <w:r w:rsidRPr="00DB7F02">
        <w:rPr>
          <w:rFonts w:ascii="Times New Roman" w:hAnsi="Times New Roman" w:cs="Times New Roman"/>
          <w:sz w:val="24"/>
          <w:szCs w:val="24"/>
        </w:rPr>
        <w:lastRenderedPageBreak/>
        <w:t>právnym úkonom ukončiť nákladný a zložitý proces uspokojovania jej nároku na strane fondu. Písomné vzdanie sa nároku nie je viazané na žiadne konkrétne štádium tohto postupu a je možné tento právny úkon urobiť kedykoľvek až do uspokojenia nároku.</w:t>
      </w:r>
    </w:p>
    <w:p w14:paraId="7BBA68B3"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V § 11b sa upravuje postup fondu v prípade tých oprávnených osôb, ktoré si (a) uplatnili svoj nárok voči fondu pred viac ako tromi rokmi, a (b) ktorých nárok nebol fondom uspokojený len preto, že počas tejto doby oprávnená osoba neurobila voči fondu úkon potrebný na uspokojenie nároku (t. j. najmä nepredložila fondu potrebné údaje o svojej totožnosti, adrese, čísle účtu, nepodpísala a nezaslala fondu návrhy dohody a zmluvy o poskytnutí náhradného pozemku a pod.). Ustanovenie sa týka oboch foriem uspokojenia nároku, to zn. náhradného pozemku i náhrady v peniazoch.</w:t>
      </w:r>
    </w:p>
    <w:p w14:paraId="394F8474"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 xml:space="preserve">Ak teda uplynú tri roky od uplatnenia nároku voči fondu a je splnená podmienka absencie právneho úkonu oprávnenej osoby potrebné na uspokojenie nároku (odsek 1), fond uplatní jeden z dvoch nadväzujúcich postupov, ktoré sa týkajú buď oprávnenej osoby, ktorej trvalý pobyt je fondu známy, alebo oprávnenej osoby, ktorej trvalý pobyt nie je fondu známy. </w:t>
      </w:r>
    </w:p>
    <w:p w14:paraId="3A991F7F"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Ak ide o oprávnenú osobu, ktorej trvalý pobyt je fondu známy (odsek 1), fond vyzve oprávnenú osobu na urobenie potrebného právneho úkonu s tým, že ju poučí o právnom následku neurobenia takého úkonu v 60-dňovej lehote.</w:t>
      </w:r>
    </w:p>
    <w:p w14:paraId="1F5A1E4F"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 xml:space="preserve">Ak ide o oprávnenú osobu, ktorej trvalý pobyt nie je fondu známy (odsek 2), fond zverejní túto výzvu na svojom webovom sídle na dobu </w:t>
      </w:r>
      <w:r>
        <w:rPr>
          <w:rFonts w:ascii="Times New Roman" w:hAnsi="Times New Roman" w:cs="Times New Roman"/>
          <w:sz w:val="24"/>
          <w:szCs w:val="24"/>
        </w:rPr>
        <w:t>šiestich mesiacov</w:t>
      </w:r>
      <w:r w:rsidRPr="00DB7F02">
        <w:rPr>
          <w:rFonts w:ascii="Times New Roman" w:hAnsi="Times New Roman" w:cs="Times New Roman"/>
          <w:sz w:val="24"/>
          <w:szCs w:val="24"/>
        </w:rPr>
        <w:t xml:space="preserve"> spolu s identifikáciou adresáta a s poučením o právnom následku neurobenia potrebného úkonu v 60-dňovej lehote od ukončenia zverejnenia tejto výzvy. Ustanovuje sa fikcia doručenia po uplynutí</w:t>
      </w:r>
      <w:r>
        <w:rPr>
          <w:rFonts w:ascii="Times New Roman" w:hAnsi="Times New Roman" w:cs="Times New Roman"/>
          <w:sz w:val="24"/>
          <w:szCs w:val="24"/>
        </w:rPr>
        <w:t xml:space="preserve"> šiestich mesiacov</w:t>
      </w:r>
      <w:r w:rsidRPr="00DB7F02">
        <w:rPr>
          <w:rFonts w:ascii="Times New Roman" w:hAnsi="Times New Roman" w:cs="Times New Roman"/>
          <w:sz w:val="24"/>
          <w:szCs w:val="24"/>
        </w:rPr>
        <w:t>, počas ktorého bola výzva zverejnená.</w:t>
      </w:r>
    </w:p>
    <w:p w14:paraId="5F498800"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Kedykoľvek počas zverejnenia výzvy, plynutia týchto lehôt alebo ich uplynutí sa oprávnená osoba môže písomne vzdať nároku.</w:t>
      </w:r>
    </w:p>
    <w:p w14:paraId="22F356E5"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Ak oprávnená osoba urobí potrebný právny úkon, pokračuje sa v postupe uspokojovania nároku podľa toho, o ktoré jeho štádium ide. Ak výsledkom tohto právneho úkonu bude prejavenie záujmu o náhradný pozemok alebo pokračovanie v jeho prerokovaní a pozemková náhrada bude možná, uplatnia sa ustanovenia týkajúce sa poskytnutia náhradného pozemku vrátane § 11a. Ak výsledkom právneho úkonu bude prejavenie záujmu o náhradu v peniazoch alebo bude záujem o náhradu v peniazoch jedinou možnou náhradou alebo bude dôsledkom uplatnenia fikcie vyplývajúcej z § 11a, uplatnia sa ustanovenia týkajúce sa poskytnutia náhrady v peniazoch.</w:t>
      </w:r>
    </w:p>
    <w:p w14:paraId="6C59626F"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Odsek 3 upravuje právny následok márneho uplynutia lehôt na urobenie potrebného právneho úkonu oprávnenej osoby vtedy, ak má alebo jej vznikne nárok na poskytnutie náhrady v peniazoch. Fond zašle finančnú náhradu oprávnenej osobe, ak sú mu známe údaje potrebné na tento úkon. Ak fondu tieto údaje známe nie sú alebo ak sa finančná náhrada vráti fondu (buď preto, že ju nebolo možné doručiť, alebo preto, že ju oprávnená osoba vrátila), fond ju uloží do tzv. depozitu, ktorého je správcom.</w:t>
      </w:r>
    </w:p>
    <w:p w14:paraId="3C2234F6"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 xml:space="preserve">V § 11c sa upravuje postup uspokojovania nároku oprávnenej osoby, ktorá zomrela alebo bola vyhlásená za mŕtvu a ktorej nárok práve pre tento dôvod nemohol byť uspokojený. Podľa odseku 1 v prípadoch, kedy dosiaľ nie je skončené konanie o dedičstve a nie je známe, ktorý z dedičov je nadobúdateľom nároku oprávnenej osoby, alebo v situácii, kedy nárok oprávnenej osoby vôbec nebol predmetom konania o dedičstve, ustanovuje sa právo dediča, resp. toho, o kom je možné predpokladať, že je dedičom, oznámiť a preukázať fondu, že dedičské konanie o nároku oprávnenej osoby stále prebieha, resp. že je podaný návrh na dodatočné dedičské konanie, ktorého predmetom je nárok oprávnenej osoby. Toto oznámenie voči fondu má pre fond dôležitý význam, pretože fond tým získava informáciu o potenciálnom právnom nástupcovi oprávnenej osoby, voči ktorému bude po zdedení nároku postupovať pri jeho </w:t>
      </w:r>
      <w:r w:rsidRPr="00DB7F02">
        <w:rPr>
          <w:rFonts w:ascii="Times New Roman" w:hAnsi="Times New Roman" w:cs="Times New Roman"/>
          <w:sz w:val="24"/>
          <w:szCs w:val="24"/>
        </w:rPr>
        <w:lastRenderedPageBreak/>
        <w:t xml:space="preserve">uspokojení. Dedič po nadobudnutí nároku po oprávnenej osobe na základe právoplatného uznesenia súdu o dedičstve má </w:t>
      </w:r>
      <w:r>
        <w:rPr>
          <w:rFonts w:ascii="Times New Roman" w:hAnsi="Times New Roman" w:cs="Times New Roman"/>
          <w:sz w:val="24"/>
          <w:szCs w:val="24"/>
        </w:rPr>
        <w:t>právo</w:t>
      </w:r>
      <w:r w:rsidRPr="00DB7F02">
        <w:rPr>
          <w:rFonts w:ascii="Times New Roman" w:hAnsi="Times New Roman" w:cs="Times New Roman"/>
          <w:sz w:val="24"/>
          <w:szCs w:val="24"/>
        </w:rPr>
        <w:t xml:space="preserve"> oznámiť fondu do </w:t>
      </w:r>
      <w:r>
        <w:rPr>
          <w:rFonts w:ascii="Times New Roman" w:hAnsi="Times New Roman" w:cs="Times New Roman"/>
          <w:sz w:val="24"/>
          <w:szCs w:val="24"/>
        </w:rPr>
        <w:t>pol</w:t>
      </w:r>
      <w:r w:rsidRPr="00DB7F02">
        <w:rPr>
          <w:rFonts w:ascii="Times New Roman" w:hAnsi="Times New Roman" w:cs="Times New Roman"/>
          <w:sz w:val="24"/>
          <w:szCs w:val="24"/>
        </w:rPr>
        <w:t>roka, že sa stal oprávneným z tohto nároku. Dedič vstupuje do postavenia oprávnenej osoby a jej úkony, ktoré urobila do toho času voči fondu, sú pre dediča záväzné. Fond na základe tohto oznámenia o právnom nástupcovi zomrelej oprávnenej osoby zašle dedičovi informáciu o tom, aké právne úkony sú potrebné na to, aby nárok po oprávnenej osobe bol dedičovi uspokojený. Táto</w:t>
      </w:r>
      <w:r>
        <w:rPr>
          <w:rFonts w:ascii="Times New Roman" w:hAnsi="Times New Roman" w:cs="Times New Roman"/>
          <w:sz w:val="24"/>
          <w:szCs w:val="24"/>
        </w:rPr>
        <w:t> </w:t>
      </w:r>
      <w:r w:rsidRPr="00DB7F02">
        <w:rPr>
          <w:rFonts w:ascii="Times New Roman" w:hAnsi="Times New Roman" w:cs="Times New Roman"/>
          <w:sz w:val="24"/>
          <w:szCs w:val="24"/>
        </w:rPr>
        <w:t>komunikácia medzi dedičom a fondom je dôležitá tak pre fond, ktorý do tejto chvíle nemal právnu možnosť účinne postupovať pri uspokojení nároku, ako aj pre dediča, ktorý sa dozvie o štádiu, v ktorom sa postup uspokojovania nároku nachádza, aby sa v ňom mohlo postupovať ďalej. Fond bude ďalej postupovať voči dedičovi ako voči oprávnenej osobe.</w:t>
      </w:r>
    </w:p>
    <w:p w14:paraId="075685EE"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 xml:space="preserve">V odseku 2 sa ustanovuje následok nevyužitia práva oznámiť fondu, že dedičské konanie o nároku stále prebieha, alebo že je podaný návrh na dodatočné dedičské konanie o nároku, a následok márneho uplynutia </w:t>
      </w:r>
      <w:r>
        <w:rPr>
          <w:rFonts w:ascii="Times New Roman" w:hAnsi="Times New Roman" w:cs="Times New Roman"/>
          <w:sz w:val="24"/>
          <w:szCs w:val="24"/>
        </w:rPr>
        <w:t>p</w:t>
      </w:r>
      <w:r w:rsidRPr="00DB7F02">
        <w:rPr>
          <w:rFonts w:ascii="Times New Roman" w:hAnsi="Times New Roman" w:cs="Times New Roman"/>
          <w:sz w:val="24"/>
          <w:szCs w:val="24"/>
        </w:rPr>
        <w:t>o</w:t>
      </w:r>
      <w:r>
        <w:rPr>
          <w:rFonts w:ascii="Times New Roman" w:hAnsi="Times New Roman" w:cs="Times New Roman"/>
          <w:sz w:val="24"/>
          <w:szCs w:val="24"/>
        </w:rPr>
        <w:t>l</w:t>
      </w:r>
      <w:r w:rsidRPr="00DB7F02">
        <w:rPr>
          <w:rFonts w:ascii="Times New Roman" w:hAnsi="Times New Roman" w:cs="Times New Roman"/>
          <w:sz w:val="24"/>
          <w:szCs w:val="24"/>
        </w:rPr>
        <w:t>ročnej lehoty, v ktorej m</w:t>
      </w:r>
      <w:r>
        <w:rPr>
          <w:rFonts w:ascii="Times New Roman" w:hAnsi="Times New Roman" w:cs="Times New Roman"/>
          <w:sz w:val="24"/>
          <w:szCs w:val="24"/>
        </w:rPr>
        <w:t>oho</w:t>
      </w:r>
      <w:r w:rsidRPr="00DB7F02">
        <w:rPr>
          <w:rFonts w:ascii="Times New Roman" w:hAnsi="Times New Roman" w:cs="Times New Roman"/>
          <w:sz w:val="24"/>
          <w:szCs w:val="24"/>
        </w:rPr>
        <w:t>l dedič fondu oznámiť, že je právnym nástupcom oprávnenej osoby. Týmto následkom je zmena formy náhrady z náhradného pozemku na náhradu v peniazoch. Voči oprávnenej osobe sa následne použijú ustanovenia upravujúce poskytovanie finančnej náhrady. Fond ju uloží do tzv. depozitu, ktorého je správcom.</w:t>
      </w:r>
    </w:p>
    <w:p w14:paraId="1D5CB6A8"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bodom 6 a 7 [§ 14 ods. 1, § 15 ods. 1]</w:t>
      </w:r>
    </w:p>
    <w:p w14:paraId="08D8118B"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Náhrada sa špecifikuje len ako náhrada v peniazoch. Podľa platného znenia oboch dotknutých ustanovení fond v minulosti poskytoval náhrady za budovy a nimi zastavané pozemky, resp. za zlikvidované trvalé porasty v budovách vyňatých z privatizácie, v peniazoch a do roku 2002 aj v akciách Reštitučného investičného fondu a. s., ktorý však následne v dôsledku legislatívnych zmien týkajúcich sa kolektívneho investovania ako akciová spoločnosť zanikol a zmenil sa na otvorený podielový fond, ktorého podiely nebolo možné nadobúdať formou reštitučných náhrad. Keďže znenie oboch dotknutých ustanovení uvádza, že oprávnenej osobe patrí náhrada bez toho, aby bola špecifikovaná forma tejto náhrady, niektoré oprávnené osoby sa domáhajú, aby im táto náhrada bola poskytnutá vo forme náhradného pozemku. Poskytnutie náhradného pozemku za stavbu alebo trvalý porast však nie je možné, nakoľko celá právna úprava reštitučných náhrad vychádza z premisy, že náhradný pozemok musí svojou kvalitou a výmerou zodpovedať pôvodnému, odňatému pozemku. Z uvedeného vyplýva, že náhradu vo forme pozemku možno poskytnúť len za pozemok, ktorý nemožno vydať. Navrhovaná zmena po jej prijatí odstráni aplikačné problémy spojené s poskytovaním náhrad za stavby, nimi zastavané pozemky a trvalé porasty.</w:t>
      </w:r>
    </w:p>
    <w:p w14:paraId="6425B20C"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8</w:t>
      </w:r>
    </w:p>
    <w:p w14:paraId="152C6B2D"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V nadväznosti na prevzatie právnej úpravy ponukového postupu z nariadenia vlády č. 237/2010 Z. z. sa upravuje splnomocňovacie ustanovenie na vydanie nariadenia vlády len v rozsahu určenia územných celkov fondu</w:t>
      </w:r>
      <w:r>
        <w:rPr>
          <w:rFonts w:ascii="Times New Roman" w:hAnsi="Times New Roman" w:cs="Times New Roman"/>
          <w:sz w:val="24"/>
          <w:szCs w:val="24"/>
        </w:rPr>
        <w:t>, čo je potrebné na zabezpečenie mechanizmu poskytovania náhradných pozemkov podľa právnej úpravy účinnej do 28. februára 2011</w:t>
      </w:r>
      <w:r w:rsidRPr="00DB7F02">
        <w:rPr>
          <w:rFonts w:ascii="Times New Roman" w:hAnsi="Times New Roman" w:cs="Times New Roman"/>
          <w:sz w:val="24"/>
          <w:szCs w:val="24"/>
        </w:rPr>
        <w:t>.</w:t>
      </w:r>
    </w:p>
    <w:p w14:paraId="641857A4"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9</w:t>
      </w:r>
    </w:p>
    <w:p w14:paraId="14E7148F"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Uvádzajú sa prechodné ustanovenia k úpravám v návrhu novely zákona.</w:t>
      </w:r>
    </w:p>
    <w:p w14:paraId="000C6D99"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 xml:space="preserve">Odsek 1 reaguje na zmenu rozsahu ponuky náhradného pozemku v treťom rade podľa § 11a. Upravuje sa pôsobnosť novej právnej úpravy ponukového postupu a prerokovania ponuky náhradného pozemku na tie začaté prerokovania ponúk náhradných pozemkov, v ktorých do účinnosti novely fond ešte neponúkol oprávnenej osobe pozemok v treťom rade. Ak však fond pred nadobudnutím účinnosti už stihol ponúknuť oprávnenej osobe pozemok v treťom rade, postup sa dokončí podľa doterajšej úpravy a nebude potrebné opakovať ponuku </w:t>
      </w:r>
      <w:r w:rsidRPr="00DB7F02">
        <w:rPr>
          <w:rFonts w:ascii="Times New Roman" w:hAnsi="Times New Roman" w:cs="Times New Roman"/>
          <w:sz w:val="24"/>
          <w:szCs w:val="24"/>
        </w:rPr>
        <w:lastRenderedPageBreak/>
        <w:t>v treťom rade v znení podľa novely zákona.</w:t>
      </w:r>
    </w:p>
    <w:p w14:paraId="77D52A2B"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Odseky 2 a 3 upravujú postup v nadväznosti na prevzatie tejto právnej úpravy z nariadenia vlády č. 237/2010 Z. z. Je teda potrebné ustanoviť, že postupy dosiaľ začaté a realizované podľa nariadenia vlády č. 237/2010 Z. z. sa dokončia podľa postupov ustanovených už v zákone odo dňa nadobudnutia účinnosti novely zákona.</w:t>
      </w:r>
    </w:p>
    <w:p w14:paraId="47BFBE8A"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Odsek 2 reaguje na situáciu, kedy oprávnená osoba pred nadobudnutím účinnosti prejavila záujem o náhradný pozemok. Na ďalší postup fondu voči tejto oprávnenej osobe sa bude aplikovať postup fondu vrátane nových ustanovení týkajúcich sa oprávnenej osoby, ktorá neposkytuje fondu potrebnú súčinnosť, nekomunikuje a nerobí právne úkony potrebné na uspokojenie jej nároku.</w:t>
      </w:r>
    </w:p>
    <w:p w14:paraId="21FD929F" w14:textId="77777777" w:rsidR="00933C3E" w:rsidRPr="00DB7F02" w:rsidRDefault="00933C3E" w:rsidP="00D474B1">
      <w:pPr>
        <w:widowControl w:val="0"/>
        <w:spacing w:after="6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Odsek 3 reaguje na situáciu, kedy oprávnená osoba pred nadobudnutím účinnosti sama navrhla fondu náhradný pozemok alebo fond s ňou prerokoval ním ponúknutý pozemok, no do nadobudnutia účinnosti novely nedošlo k podpísaniu dohody o náhrade. Na ďalší postup fondu voči tejto oprávnenej osobe sa bude aplikovať postup fondu podľa novej právnej úpravy vrátane ustanovení týkajúcich sa oprávnenej osoby, ktorá nevrátila fondu podpísaný návrh dohody (zmluvy).</w:t>
      </w:r>
    </w:p>
    <w:p w14:paraId="17EE931D"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Odsek 4 ustanovuje postup v najbližšom období po nadobudnutí účinnosti zákona, ktorým sa upravuje situácia, kedy sa oprávnenej osobe, ktorej fond zaslal návrh dohody a zmluvy o poskytnutí náhradného pozemku, poskytuje dodatočná lehota troch mesiacov od nadobudnutia účinnosti novely zákona na zaslanie podpísaných návrhov fondu. Po márnom uplynutí tejto lehoty sa nárok zmení na nárok na náhradu v peniazoch. Oprávnená osoba sa však môže písomne vzdať nároku, čím sa postup uspokojovania nároku skončí.</w:t>
      </w:r>
    </w:p>
    <w:p w14:paraId="368E7F9A" w14:textId="77777777" w:rsidR="00933C3E" w:rsidRPr="00DB7F02" w:rsidRDefault="00933C3E" w:rsidP="00933C3E">
      <w:pPr>
        <w:widowControl w:val="0"/>
        <w:spacing w:before="240" w:after="120" w:line="240" w:lineRule="auto"/>
        <w:jc w:val="both"/>
        <w:rPr>
          <w:rFonts w:ascii="Times New Roman" w:hAnsi="Times New Roman" w:cs="Times New Roman"/>
          <w:b/>
          <w:sz w:val="24"/>
          <w:szCs w:val="24"/>
        </w:rPr>
      </w:pPr>
      <w:r w:rsidRPr="00DB7F02">
        <w:rPr>
          <w:rFonts w:ascii="Times New Roman" w:hAnsi="Times New Roman" w:cs="Times New Roman"/>
          <w:b/>
          <w:sz w:val="24"/>
          <w:szCs w:val="24"/>
        </w:rPr>
        <w:t>K </w:t>
      </w:r>
      <w:r w:rsidRPr="00DB7F02">
        <w:rPr>
          <w:rFonts w:ascii="Times New Roman" w:hAnsi="Times New Roman" w:cs="Times New Roman"/>
          <w:b/>
          <w:bCs/>
          <w:sz w:val="24"/>
          <w:szCs w:val="24"/>
        </w:rPr>
        <w:t>čl</w:t>
      </w:r>
      <w:r w:rsidRPr="00DB7F02">
        <w:rPr>
          <w:rFonts w:ascii="Times New Roman" w:hAnsi="Times New Roman" w:cs="Times New Roman"/>
          <w:b/>
          <w:sz w:val="24"/>
          <w:szCs w:val="24"/>
        </w:rPr>
        <w:t>. II [zákon č. 503/2003 Z. z.]</w:t>
      </w:r>
    </w:p>
    <w:p w14:paraId="13C1F60A"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1</w:t>
      </w:r>
    </w:p>
    <w:p w14:paraId="13088EDD"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Odôvodnenie je analogické ako čl. I bodu 1.</w:t>
      </w:r>
    </w:p>
    <w:p w14:paraId="4A5D74B9"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2</w:t>
      </w:r>
    </w:p>
    <w:p w14:paraId="7E53BF23"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Odôvodnenie je analogické ako čl. I bodu 2.</w:t>
      </w:r>
    </w:p>
    <w:p w14:paraId="6DD88B10"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3</w:t>
      </w:r>
    </w:p>
    <w:p w14:paraId="275BCDA4"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Odôvodnenie je analogické ako čl. I bodu 3.</w:t>
      </w:r>
    </w:p>
    <w:p w14:paraId="07ECC48E"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4</w:t>
      </w:r>
    </w:p>
    <w:p w14:paraId="213D2300"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Odôvodnenie je analogické ako čl. I bodu 4.</w:t>
      </w:r>
    </w:p>
    <w:p w14:paraId="41747F4E"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5</w:t>
      </w:r>
    </w:p>
    <w:p w14:paraId="2D44B80B"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Odôvodnenie je analogické ako čl. I bodu 8.</w:t>
      </w:r>
    </w:p>
    <w:p w14:paraId="40553644"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6</w:t>
      </w:r>
    </w:p>
    <w:p w14:paraId="200FB85B"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Odôvodnenie je analogické ako čl. I bodu 5.</w:t>
      </w:r>
    </w:p>
    <w:p w14:paraId="162032E2"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7</w:t>
      </w:r>
    </w:p>
    <w:p w14:paraId="6C4CC7F0"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 xml:space="preserve">Ustanovením sa spresňuje, že podľa cenového predpisu platného k 24. júnu 1991, t. j. ku dňu nadobudnutia účinnosti zákona č. 229/1991 Zb., sa oceňujú všetky nároky na náhradu. Okrem toho, že sa tým odstránia akékoľvek aplikačné nejasnosti vo vzťahu </w:t>
      </w:r>
      <w:r w:rsidRPr="00DB7F02">
        <w:rPr>
          <w:rFonts w:ascii="Times New Roman" w:hAnsi="Times New Roman" w:cs="Times New Roman"/>
          <w:sz w:val="24"/>
          <w:szCs w:val="24"/>
        </w:rPr>
        <w:lastRenderedPageBreak/>
        <w:t>k doterajšiemu zneniu tohto ustanovenia, ustanoví sa tiež jednoznačná rovnosť práv všetkých oprávnených osôb, ktorým sa reštitučným procesom zmierňujú krivdy spáchané v rozhodnom období.</w:t>
      </w:r>
    </w:p>
    <w:p w14:paraId="589F3919"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sidRPr="00DB7F02">
        <w:rPr>
          <w:rFonts w:ascii="Times New Roman" w:hAnsi="Times New Roman" w:cs="Times New Roman"/>
          <w:b/>
          <w:bCs/>
          <w:sz w:val="24"/>
          <w:szCs w:val="24"/>
        </w:rPr>
        <w:t>K bodu 8</w:t>
      </w:r>
    </w:p>
    <w:p w14:paraId="6F5E581C" w14:textId="77777777" w:rsidR="00933C3E" w:rsidRDefault="00933C3E" w:rsidP="00933C3E">
      <w:pPr>
        <w:widowControl w:val="0"/>
        <w:spacing w:after="0" w:line="240" w:lineRule="auto"/>
        <w:ind w:firstLine="567"/>
        <w:jc w:val="both"/>
        <w:rPr>
          <w:rFonts w:ascii="Times New Roman" w:hAnsi="Times New Roman" w:cs="Times New Roman"/>
          <w:sz w:val="24"/>
          <w:szCs w:val="24"/>
        </w:rPr>
      </w:pPr>
      <w:r w:rsidRPr="00DB7F02">
        <w:rPr>
          <w:rFonts w:ascii="Times New Roman" w:hAnsi="Times New Roman" w:cs="Times New Roman"/>
          <w:sz w:val="24"/>
          <w:szCs w:val="24"/>
        </w:rPr>
        <w:t>Odôvodnenie je analogické ako čl. I bodu 9.</w:t>
      </w:r>
    </w:p>
    <w:p w14:paraId="116716D2" w14:textId="77777777" w:rsidR="00933C3E" w:rsidRPr="00DB7F02" w:rsidRDefault="00933C3E" w:rsidP="00D474B1">
      <w:pPr>
        <w:widowControl w:val="0"/>
        <w:spacing w:before="24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K bodu 9</w:t>
      </w:r>
    </w:p>
    <w:p w14:paraId="3AE33874" w14:textId="77777777" w:rsidR="00933C3E" w:rsidRPr="00DB7F02" w:rsidRDefault="00933C3E" w:rsidP="00933C3E">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Legislatívno-technická úprava.</w:t>
      </w:r>
    </w:p>
    <w:p w14:paraId="39F97C87" w14:textId="77777777" w:rsidR="00933C3E" w:rsidRPr="00DB7F02" w:rsidRDefault="00933C3E" w:rsidP="00933C3E">
      <w:pPr>
        <w:widowControl w:val="0"/>
        <w:spacing w:before="240" w:after="120" w:line="240" w:lineRule="auto"/>
        <w:jc w:val="both"/>
        <w:rPr>
          <w:rFonts w:ascii="Times New Roman" w:hAnsi="Times New Roman" w:cs="Times New Roman"/>
          <w:b/>
          <w:sz w:val="24"/>
          <w:szCs w:val="24"/>
        </w:rPr>
      </w:pPr>
      <w:r w:rsidRPr="00DB7F02">
        <w:rPr>
          <w:rFonts w:ascii="Times New Roman" w:hAnsi="Times New Roman" w:cs="Times New Roman"/>
          <w:b/>
          <w:sz w:val="24"/>
          <w:szCs w:val="24"/>
        </w:rPr>
        <w:t>K </w:t>
      </w:r>
      <w:r w:rsidRPr="00DB7F02">
        <w:rPr>
          <w:rFonts w:ascii="Times New Roman" w:hAnsi="Times New Roman" w:cs="Times New Roman"/>
          <w:b/>
          <w:bCs/>
          <w:sz w:val="24"/>
          <w:szCs w:val="24"/>
        </w:rPr>
        <w:t>čl</w:t>
      </w:r>
      <w:r w:rsidRPr="00DB7F02">
        <w:rPr>
          <w:rFonts w:ascii="Times New Roman" w:hAnsi="Times New Roman" w:cs="Times New Roman"/>
          <w:b/>
          <w:sz w:val="24"/>
          <w:szCs w:val="24"/>
        </w:rPr>
        <w:t>. III</w:t>
      </w:r>
    </w:p>
    <w:p w14:paraId="332B1E56" w14:textId="77777777" w:rsidR="00933C3E" w:rsidRDefault="00933C3E" w:rsidP="00933C3E">
      <w:pPr>
        <w:widowControl w:val="0"/>
        <w:spacing w:after="0" w:line="240" w:lineRule="auto"/>
        <w:ind w:firstLine="567"/>
        <w:jc w:val="both"/>
        <w:rPr>
          <w:rFonts w:ascii="Times New Roman" w:hAnsi="Times New Roman" w:cs="Times New Roman"/>
          <w:bCs/>
          <w:sz w:val="24"/>
          <w:szCs w:val="24"/>
        </w:rPr>
      </w:pPr>
      <w:r w:rsidRPr="00DB7F02">
        <w:rPr>
          <w:rFonts w:ascii="Times New Roman" w:hAnsi="Times New Roman" w:cs="Times New Roman"/>
          <w:bCs/>
          <w:sz w:val="24"/>
          <w:szCs w:val="24"/>
        </w:rPr>
        <w:t xml:space="preserve">Navrhuje sa účinnosť zákona na 1. júla 2026, čo poskytne adresátom právnej úpravy dostatok času na </w:t>
      </w:r>
      <w:r w:rsidRPr="00DB7F02">
        <w:rPr>
          <w:rFonts w:ascii="Times New Roman" w:hAnsi="Times New Roman" w:cs="Times New Roman"/>
          <w:sz w:val="24"/>
          <w:szCs w:val="24"/>
        </w:rPr>
        <w:t>oboznámenie</w:t>
      </w:r>
      <w:r w:rsidRPr="00DB7F02">
        <w:rPr>
          <w:rFonts w:ascii="Times New Roman" w:hAnsi="Times New Roman" w:cs="Times New Roman"/>
          <w:bCs/>
          <w:sz w:val="24"/>
          <w:szCs w:val="24"/>
        </w:rPr>
        <w:t xml:space="preserve"> sa s novou právnou úpravou.</w:t>
      </w:r>
    </w:p>
    <w:p w14:paraId="458D7F05" w14:textId="77777777" w:rsidR="00D474B1" w:rsidRDefault="00D474B1" w:rsidP="00D474B1">
      <w:pPr>
        <w:widowControl w:val="0"/>
        <w:spacing w:after="0" w:line="240" w:lineRule="auto"/>
        <w:jc w:val="both"/>
        <w:rPr>
          <w:rFonts w:ascii="Times New Roman" w:hAnsi="Times New Roman" w:cs="Times New Roman"/>
          <w:bCs/>
          <w:sz w:val="24"/>
          <w:szCs w:val="24"/>
        </w:rPr>
      </w:pPr>
    </w:p>
    <w:p w14:paraId="47496EF9" w14:textId="77777777" w:rsidR="00D474B1" w:rsidRDefault="00D474B1" w:rsidP="00D474B1">
      <w:pPr>
        <w:widowControl w:val="0"/>
        <w:spacing w:after="0" w:line="240" w:lineRule="auto"/>
        <w:jc w:val="both"/>
        <w:rPr>
          <w:rFonts w:ascii="Times New Roman" w:hAnsi="Times New Roman" w:cs="Times New Roman"/>
          <w:bCs/>
          <w:sz w:val="24"/>
          <w:szCs w:val="24"/>
        </w:rPr>
      </w:pPr>
    </w:p>
    <w:p w14:paraId="4C8FE693" w14:textId="163C5308" w:rsidR="00D474B1" w:rsidRPr="005755A4" w:rsidRDefault="00D474B1" w:rsidP="00D474B1">
      <w:pPr>
        <w:widowControl w:val="0"/>
        <w:adjustRightInd w:val="0"/>
        <w:spacing w:before="120" w:after="0" w:line="240" w:lineRule="auto"/>
        <w:ind w:left="2835" w:hanging="2835"/>
        <w:jc w:val="both"/>
        <w:rPr>
          <w:rFonts w:ascii="Times New Roman" w:eastAsia="Calibri" w:hAnsi="Times New Roman" w:cs="Times New Roman"/>
          <w:sz w:val="24"/>
          <w:szCs w:val="24"/>
          <w:lang w:eastAsia="sk-SK"/>
        </w:rPr>
      </w:pPr>
      <w:r w:rsidRPr="005755A4">
        <w:rPr>
          <w:rFonts w:ascii="Times New Roman" w:eastAsia="Calibri" w:hAnsi="Times New Roman" w:cs="Times New Roman"/>
          <w:sz w:val="24"/>
          <w:szCs w:val="24"/>
          <w:lang w:eastAsia="sk-SK"/>
        </w:rPr>
        <w:t>V</w:t>
      </w:r>
      <w:r>
        <w:rPr>
          <w:rFonts w:ascii="Times New Roman" w:eastAsia="Calibri" w:hAnsi="Times New Roman" w:cs="Times New Roman"/>
          <w:sz w:val="24"/>
          <w:szCs w:val="24"/>
          <w:lang w:eastAsia="sk-SK"/>
        </w:rPr>
        <w:t>o</w:t>
      </w:r>
      <w:r w:rsidRPr="005755A4">
        <w:rPr>
          <w:rFonts w:ascii="Times New Roman" w:eastAsia="Calibri" w:hAnsi="Times New Roman" w:cs="Times New Roman"/>
          <w:sz w:val="24"/>
          <w:szCs w:val="24"/>
          <w:lang w:eastAsia="sk-SK"/>
        </w:rPr>
        <w:t> </w:t>
      </w:r>
      <w:r w:rsidRPr="00D474B1">
        <w:rPr>
          <w:rFonts w:ascii="Times New Roman" w:eastAsia="Calibri" w:hAnsi="Times New Roman" w:cs="Times New Roman"/>
          <w:sz w:val="24"/>
          <w:szCs w:val="24"/>
          <w:lang w:eastAsia="sk-SK"/>
        </w:rPr>
        <w:t>Veľk</w:t>
      </w:r>
      <w:r>
        <w:rPr>
          <w:rFonts w:ascii="Times New Roman" w:eastAsia="Calibri" w:hAnsi="Times New Roman" w:cs="Times New Roman"/>
          <w:sz w:val="24"/>
          <w:szCs w:val="24"/>
          <w:lang w:eastAsia="sk-SK"/>
        </w:rPr>
        <w:t>om</w:t>
      </w:r>
      <w:r w:rsidRPr="00D474B1">
        <w:rPr>
          <w:rFonts w:ascii="Times New Roman" w:eastAsia="Calibri" w:hAnsi="Times New Roman" w:cs="Times New Roman"/>
          <w:sz w:val="24"/>
          <w:szCs w:val="24"/>
          <w:lang w:eastAsia="sk-SK"/>
        </w:rPr>
        <w:t xml:space="preserve"> Záluž</w:t>
      </w:r>
      <w:r>
        <w:rPr>
          <w:rFonts w:ascii="Times New Roman" w:eastAsia="Calibri" w:hAnsi="Times New Roman" w:cs="Times New Roman"/>
          <w:sz w:val="24"/>
          <w:szCs w:val="24"/>
          <w:lang w:eastAsia="sk-SK"/>
        </w:rPr>
        <w:t>í</w:t>
      </w:r>
      <w:r w:rsidRPr="005755A4">
        <w:rPr>
          <w:rFonts w:ascii="Times New Roman" w:eastAsia="Calibri" w:hAnsi="Times New Roman" w:cs="Times New Roman"/>
          <w:sz w:val="24"/>
          <w:szCs w:val="24"/>
          <w:lang w:eastAsia="sk-SK"/>
        </w:rPr>
        <w:t xml:space="preserve"> dňa 2</w:t>
      </w:r>
      <w:r>
        <w:rPr>
          <w:rFonts w:ascii="Times New Roman" w:eastAsia="Calibri" w:hAnsi="Times New Roman" w:cs="Times New Roman"/>
          <w:sz w:val="24"/>
          <w:szCs w:val="24"/>
          <w:lang w:eastAsia="sk-SK"/>
        </w:rPr>
        <w:t>5</w:t>
      </w:r>
      <w:r w:rsidRPr="005755A4">
        <w:rPr>
          <w:rFonts w:ascii="Times New Roman" w:eastAsia="Calibri" w:hAnsi="Times New Roman" w:cs="Times New Roman"/>
          <w:sz w:val="24"/>
          <w:szCs w:val="24"/>
          <w:lang w:eastAsia="sk-SK"/>
        </w:rPr>
        <w:t xml:space="preserve">. </w:t>
      </w:r>
      <w:r>
        <w:rPr>
          <w:rFonts w:ascii="Times New Roman" w:eastAsia="Calibri" w:hAnsi="Times New Roman" w:cs="Times New Roman"/>
          <w:sz w:val="24"/>
          <w:szCs w:val="24"/>
          <w:lang w:eastAsia="sk-SK"/>
        </w:rPr>
        <w:t xml:space="preserve">marca </w:t>
      </w:r>
      <w:r w:rsidRPr="005755A4">
        <w:rPr>
          <w:rFonts w:ascii="Times New Roman" w:eastAsia="Calibri" w:hAnsi="Times New Roman" w:cs="Times New Roman"/>
          <w:sz w:val="24"/>
          <w:szCs w:val="24"/>
          <w:lang w:eastAsia="sk-SK"/>
        </w:rPr>
        <w:t>202</w:t>
      </w:r>
      <w:r w:rsidR="00F234D1">
        <w:rPr>
          <w:rFonts w:ascii="Times New Roman" w:eastAsia="Calibri" w:hAnsi="Times New Roman" w:cs="Times New Roman"/>
          <w:sz w:val="24"/>
          <w:szCs w:val="24"/>
          <w:lang w:eastAsia="sk-SK"/>
        </w:rPr>
        <w:t>6</w:t>
      </w:r>
    </w:p>
    <w:p w14:paraId="478D668D" w14:textId="77777777" w:rsidR="00D474B1" w:rsidRPr="005755A4" w:rsidRDefault="00D474B1" w:rsidP="00D474B1">
      <w:pPr>
        <w:widowControl w:val="0"/>
        <w:adjustRightInd w:val="0"/>
        <w:spacing w:after="0" w:line="240" w:lineRule="auto"/>
        <w:ind w:firstLine="709"/>
        <w:rPr>
          <w:rFonts w:ascii="Times New Roman" w:hAnsi="Times New Roman" w:cs="Times New Roman"/>
          <w:sz w:val="24"/>
          <w:szCs w:val="24"/>
          <w:lang w:eastAsia="sk-SK"/>
        </w:rPr>
      </w:pPr>
    </w:p>
    <w:p w14:paraId="16A3FE33" w14:textId="77777777" w:rsidR="00D474B1" w:rsidRDefault="00D474B1" w:rsidP="00D474B1">
      <w:pPr>
        <w:widowControl w:val="0"/>
        <w:adjustRightInd w:val="0"/>
        <w:spacing w:after="0" w:line="240" w:lineRule="auto"/>
        <w:ind w:firstLine="709"/>
        <w:rPr>
          <w:rFonts w:ascii="Times New Roman" w:hAnsi="Times New Roman" w:cs="Times New Roman"/>
          <w:sz w:val="24"/>
          <w:szCs w:val="24"/>
          <w:lang w:eastAsia="sk-SK"/>
        </w:rPr>
      </w:pPr>
    </w:p>
    <w:p w14:paraId="2CA39623" w14:textId="77777777" w:rsidR="00F234D1" w:rsidRDefault="00F234D1" w:rsidP="00D474B1">
      <w:pPr>
        <w:widowControl w:val="0"/>
        <w:adjustRightInd w:val="0"/>
        <w:spacing w:after="0" w:line="240" w:lineRule="auto"/>
        <w:ind w:firstLine="709"/>
        <w:rPr>
          <w:rFonts w:ascii="Times New Roman" w:hAnsi="Times New Roman" w:cs="Times New Roman"/>
          <w:sz w:val="24"/>
          <w:szCs w:val="24"/>
          <w:lang w:eastAsia="sk-SK"/>
        </w:rPr>
      </w:pPr>
    </w:p>
    <w:p w14:paraId="58D32107" w14:textId="77777777" w:rsidR="00F234D1" w:rsidRPr="005755A4" w:rsidRDefault="00F234D1" w:rsidP="00D474B1">
      <w:pPr>
        <w:widowControl w:val="0"/>
        <w:adjustRightInd w:val="0"/>
        <w:spacing w:after="0" w:line="240" w:lineRule="auto"/>
        <w:ind w:firstLine="709"/>
        <w:rPr>
          <w:rFonts w:ascii="Times New Roman" w:hAnsi="Times New Roman" w:cs="Times New Roman"/>
          <w:sz w:val="24"/>
          <w:szCs w:val="24"/>
          <w:lang w:eastAsia="sk-SK"/>
        </w:rPr>
      </w:pPr>
    </w:p>
    <w:p w14:paraId="2C5BAF3D" w14:textId="77777777" w:rsidR="00D474B1" w:rsidRPr="005755A4" w:rsidRDefault="00D474B1" w:rsidP="00D474B1">
      <w:pPr>
        <w:widowControl w:val="0"/>
        <w:adjustRightInd w:val="0"/>
        <w:spacing w:after="0" w:line="240" w:lineRule="auto"/>
        <w:ind w:firstLine="709"/>
        <w:rPr>
          <w:rFonts w:ascii="Times New Roman" w:hAnsi="Times New Roman" w:cs="Times New Roman"/>
          <w:sz w:val="24"/>
          <w:szCs w:val="24"/>
          <w:lang w:eastAsia="sk-SK"/>
        </w:rPr>
      </w:pPr>
    </w:p>
    <w:p w14:paraId="545E804A" w14:textId="77777777" w:rsidR="00D474B1" w:rsidRPr="005755A4" w:rsidRDefault="00D474B1" w:rsidP="00D474B1">
      <w:pPr>
        <w:widowControl w:val="0"/>
        <w:adjustRightInd w:val="0"/>
        <w:spacing w:after="0" w:line="240" w:lineRule="auto"/>
        <w:ind w:firstLine="709"/>
        <w:rPr>
          <w:rFonts w:ascii="Times New Roman" w:hAnsi="Times New Roman" w:cs="Times New Roman"/>
          <w:sz w:val="24"/>
          <w:szCs w:val="24"/>
          <w:lang w:eastAsia="sk-SK"/>
        </w:rPr>
      </w:pPr>
    </w:p>
    <w:p w14:paraId="486C7B83" w14:textId="6C5002BB" w:rsidR="00D474B1" w:rsidRPr="005755A4" w:rsidRDefault="00D474B1" w:rsidP="00D474B1">
      <w:pPr>
        <w:widowControl w:val="0"/>
        <w:adjustRightInd w:val="0"/>
        <w:spacing w:after="0" w:line="240" w:lineRule="auto"/>
        <w:jc w:val="center"/>
        <w:rPr>
          <w:rFonts w:ascii="Times New Roman" w:hAnsi="Times New Roman" w:cs="Times New Roman"/>
          <w:b/>
          <w:bCs/>
          <w:sz w:val="24"/>
          <w:szCs w:val="24"/>
          <w:lang w:eastAsia="sk-SK"/>
        </w:rPr>
      </w:pPr>
      <w:r w:rsidRPr="005755A4">
        <w:rPr>
          <w:rFonts w:ascii="Times New Roman" w:hAnsi="Times New Roman" w:cs="Times New Roman"/>
          <w:b/>
          <w:bCs/>
          <w:sz w:val="24"/>
          <w:szCs w:val="24"/>
          <w:lang w:eastAsia="sk-SK"/>
        </w:rPr>
        <w:t>Robert Fico</w:t>
      </w:r>
      <w:r>
        <w:rPr>
          <w:rFonts w:ascii="Times New Roman" w:hAnsi="Times New Roman" w:cs="Times New Roman"/>
          <w:b/>
          <w:bCs/>
          <w:sz w:val="24"/>
          <w:szCs w:val="24"/>
          <w:lang w:eastAsia="sk-SK"/>
        </w:rPr>
        <w:t xml:space="preserve"> </w:t>
      </w:r>
      <w:r w:rsidR="00D06A6D">
        <w:rPr>
          <w:rFonts w:ascii="Times New Roman" w:hAnsi="Times New Roman" w:cs="Times New Roman"/>
          <w:b/>
          <w:bCs/>
          <w:sz w:val="24"/>
          <w:szCs w:val="24"/>
          <w:lang w:eastAsia="sk-SK"/>
        </w:rPr>
        <w:t xml:space="preserve">v. r. </w:t>
      </w:r>
    </w:p>
    <w:p w14:paraId="04CB2843" w14:textId="77777777" w:rsidR="00D474B1" w:rsidRPr="005755A4" w:rsidRDefault="00D474B1" w:rsidP="00D474B1">
      <w:pPr>
        <w:widowControl w:val="0"/>
        <w:adjustRightInd w:val="0"/>
        <w:spacing w:after="0" w:line="240" w:lineRule="auto"/>
        <w:jc w:val="center"/>
        <w:rPr>
          <w:rFonts w:ascii="Times New Roman" w:hAnsi="Times New Roman" w:cs="Times New Roman"/>
          <w:sz w:val="24"/>
          <w:szCs w:val="24"/>
          <w:lang w:eastAsia="sk-SK"/>
        </w:rPr>
      </w:pPr>
      <w:r w:rsidRPr="005755A4">
        <w:rPr>
          <w:rFonts w:ascii="Times New Roman" w:hAnsi="Times New Roman" w:cs="Times New Roman"/>
          <w:sz w:val="24"/>
          <w:szCs w:val="24"/>
          <w:lang w:eastAsia="sk-SK"/>
        </w:rPr>
        <w:t>predseda vlády Slovenskej republiky</w:t>
      </w:r>
    </w:p>
    <w:p w14:paraId="00D43363" w14:textId="77777777" w:rsidR="00D474B1" w:rsidRPr="005755A4" w:rsidRDefault="00D474B1" w:rsidP="00D474B1">
      <w:pPr>
        <w:widowControl w:val="0"/>
        <w:adjustRightInd w:val="0"/>
        <w:spacing w:after="0" w:line="240" w:lineRule="auto"/>
        <w:rPr>
          <w:rFonts w:ascii="Times New Roman" w:hAnsi="Times New Roman" w:cs="Times New Roman"/>
          <w:sz w:val="24"/>
          <w:szCs w:val="24"/>
          <w:lang w:eastAsia="sk-SK"/>
        </w:rPr>
      </w:pPr>
    </w:p>
    <w:p w14:paraId="67C41469" w14:textId="77777777" w:rsidR="00D474B1" w:rsidRDefault="00D474B1" w:rsidP="00D474B1">
      <w:pPr>
        <w:widowControl w:val="0"/>
        <w:adjustRightInd w:val="0"/>
        <w:spacing w:after="0" w:line="240" w:lineRule="auto"/>
        <w:rPr>
          <w:rFonts w:ascii="Times New Roman" w:hAnsi="Times New Roman" w:cs="Times New Roman"/>
          <w:sz w:val="24"/>
          <w:szCs w:val="24"/>
          <w:lang w:eastAsia="sk-SK"/>
        </w:rPr>
      </w:pPr>
    </w:p>
    <w:p w14:paraId="3F5EEAE1" w14:textId="77777777" w:rsidR="00F234D1" w:rsidRDefault="00F234D1" w:rsidP="00D474B1">
      <w:pPr>
        <w:widowControl w:val="0"/>
        <w:adjustRightInd w:val="0"/>
        <w:spacing w:after="0" w:line="240" w:lineRule="auto"/>
        <w:rPr>
          <w:rFonts w:ascii="Times New Roman" w:hAnsi="Times New Roman" w:cs="Times New Roman"/>
          <w:sz w:val="24"/>
          <w:szCs w:val="24"/>
          <w:lang w:eastAsia="sk-SK"/>
        </w:rPr>
      </w:pPr>
    </w:p>
    <w:p w14:paraId="507C33AF" w14:textId="77777777" w:rsidR="00F234D1" w:rsidRPr="005755A4" w:rsidRDefault="00F234D1" w:rsidP="00D474B1">
      <w:pPr>
        <w:widowControl w:val="0"/>
        <w:adjustRightInd w:val="0"/>
        <w:spacing w:after="0" w:line="240" w:lineRule="auto"/>
        <w:rPr>
          <w:rFonts w:ascii="Times New Roman" w:hAnsi="Times New Roman" w:cs="Times New Roman"/>
          <w:sz w:val="24"/>
          <w:szCs w:val="24"/>
          <w:lang w:eastAsia="sk-SK"/>
        </w:rPr>
      </w:pPr>
    </w:p>
    <w:p w14:paraId="684FE9DE" w14:textId="77777777" w:rsidR="00D474B1" w:rsidRPr="005755A4" w:rsidRDefault="00D474B1" w:rsidP="00D474B1">
      <w:pPr>
        <w:widowControl w:val="0"/>
        <w:adjustRightInd w:val="0"/>
        <w:spacing w:after="0" w:line="240" w:lineRule="auto"/>
        <w:rPr>
          <w:rFonts w:ascii="Times New Roman" w:hAnsi="Times New Roman" w:cs="Times New Roman"/>
          <w:sz w:val="24"/>
          <w:szCs w:val="24"/>
          <w:lang w:eastAsia="sk-SK"/>
        </w:rPr>
      </w:pPr>
    </w:p>
    <w:p w14:paraId="5CCBDA44" w14:textId="77777777" w:rsidR="00D474B1" w:rsidRPr="005755A4" w:rsidRDefault="00D474B1" w:rsidP="00D474B1">
      <w:pPr>
        <w:widowControl w:val="0"/>
        <w:adjustRightInd w:val="0"/>
        <w:spacing w:after="0" w:line="240" w:lineRule="auto"/>
        <w:rPr>
          <w:rFonts w:ascii="Times New Roman" w:hAnsi="Times New Roman" w:cs="Times New Roman"/>
          <w:sz w:val="24"/>
          <w:szCs w:val="24"/>
          <w:lang w:eastAsia="sk-SK"/>
        </w:rPr>
      </w:pPr>
    </w:p>
    <w:p w14:paraId="13813CC5" w14:textId="4E3349FE" w:rsidR="00D474B1" w:rsidRPr="005755A4" w:rsidRDefault="00D474B1" w:rsidP="00D474B1">
      <w:pPr>
        <w:widowControl w:val="0"/>
        <w:adjustRightInd w:val="0"/>
        <w:spacing w:after="0" w:line="240" w:lineRule="auto"/>
        <w:jc w:val="center"/>
        <w:rPr>
          <w:rFonts w:ascii="Times New Roman" w:hAnsi="Times New Roman" w:cs="Times New Roman"/>
          <w:b/>
          <w:bCs/>
          <w:sz w:val="24"/>
          <w:szCs w:val="24"/>
          <w:lang w:eastAsia="sk-SK"/>
        </w:rPr>
      </w:pPr>
      <w:r w:rsidRPr="005755A4">
        <w:rPr>
          <w:rFonts w:ascii="Times New Roman" w:hAnsi="Times New Roman" w:cs="Times New Roman"/>
          <w:b/>
          <w:bCs/>
          <w:sz w:val="24"/>
          <w:szCs w:val="24"/>
          <w:lang w:eastAsia="sk-SK"/>
        </w:rPr>
        <w:t>Richard Takáč</w:t>
      </w:r>
      <w:r>
        <w:rPr>
          <w:rFonts w:ascii="Times New Roman" w:hAnsi="Times New Roman" w:cs="Times New Roman"/>
          <w:b/>
          <w:bCs/>
          <w:sz w:val="24"/>
          <w:szCs w:val="24"/>
          <w:lang w:eastAsia="sk-SK"/>
        </w:rPr>
        <w:t xml:space="preserve"> </w:t>
      </w:r>
      <w:r w:rsidR="00D06A6D">
        <w:rPr>
          <w:rFonts w:ascii="Times New Roman" w:hAnsi="Times New Roman" w:cs="Times New Roman"/>
          <w:b/>
          <w:bCs/>
          <w:sz w:val="24"/>
          <w:szCs w:val="24"/>
          <w:lang w:eastAsia="sk-SK"/>
        </w:rPr>
        <w:t xml:space="preserve">v. r. </w:t>
      </w:r>
    </w:p>
    <w:p w14:paraId="600511C7" w14:textId="77777777" w:rsidR="00D474B1" w:rsidRPr="005755A4" w:rsidRDefault="00D474B1" w:rsidP="00D474B1">
      <w:pPr>
        <w:widowControl w:val="0"/>
        <w:adjustRightInd w:val="0"/>
        <w:spacing w:after="0" w:line="240" w:lineRule="auto"/>
        <w:jc w:val="center"/>
        <w:rPr>
          <w:rFonts w:ascii="Times New Roman" w:hAnsi="Times New Roman" w:cs="Times New Roman"/>
          <w:sz w:val="24"/>
          <w:szCs w:val="24"/>
          <w:lang w:eastAsia="sk-SK"/>
        </w:rPr>
      </w:pPr>
      <w:r w:rsidRPr="005755A4">
        <w:rPr>
          <w:rFonts w:ascii="Times New Roman" w:hAnsi="Times New Roman" w:cs="Times New Roman"/>
          <w:sz w:val="24"/>
          <w:szCs w:val="24"/>
          <w:lang w:eastAsia="sk-SK"/>
        </w:rPr>
        <w:t xml:space="preserve">minister pôdohospodárstva a rozvoja vidieka </w:t>
      </w:r>
    </w:p>
    <w:p w14:paraId="3D87F2AF" w14:textId="77777777" w:rsidR="00D474B1" w:rsidRPr="005755A4" w:rsidRDefault="00D474B1" w:rsidP="00D474B1">
      <w:pPr>
        <w:widowControl w:val="0"/>
        <w:adjustRightInd w:val="0"/>
        <w:spacing w:after="0" w:line="240" w:lineRule="auto"/>
        <w:jc w:val="center"/>
        <w:rPr>
          <w:rFonts w:ascii="Times New Roman" w:hAnsi="Times New Roman" w:cs="Times New Roman"/>
          <w:color w:val="000000"/>
          <w:sz w:val="24"/>
          <w:szCs w:val="24"/>
          <w:lang w:eastAsia="sk-SK"/>
        </w:rPr>
      </w:pPr>
      <w:r w:rsidRPr="005755A4">
        <w:rPr>
          <w:rFonts w:ascii="Times New Roman" w:hAnsi="Times New Roman" w:cs="Times New Roman"/>
          <w:sz w:val="24"/>
          <w:szCs w:val="24"/>
          <w:lang w:eastAsia="sk-SK"/>
        </w:rPr>
        <w:t>Slovenskej republiky</w:t>
      </w:r>
    </w:p>
    <w:p w14:paraId="2CBBD431" w14:textId="77777777" w:rsidR="00D474B1" w:rsidRPr="00DB7F02" w:rsidRDefault="00D474B1" w:rsidP="00D474B1">
      <w:pPr>
        <w:widowControl w:val="0"/>
        <w:spacing w:after="0" w:line="240" w:lineRule="auto"/>
        <w:jc w:val="both"/>
        <w:rPr>
          <w:rFonts w:ascii="Times New Roman" w:hAnsi="Times New Roman" w:cs="Times New Roman"/>
          <w:bCs/>
          <w:sz w:val="24"/>
          <w:szCs w:val="24"/>
        </w:rPr>
      </w:pPr>
    </w:p>
    <w:p w14:paraId="7AB6121D" w14:textId="77777777" w:rsidR="00933C3E" w:rsidRPr="00933C3E" w:rsidRDefault="00933C3E" w:rsidP="00933C3E">
      <w:pPr>
        <w:pStyle w:val="odsek"/>
        <w:ind w:firstLine="0"/>
      </w:pPr>
    </w:p>
    <w:p w14:paraId="6ED11B53" w14:textId="77777777" w:rsidR="00933C3E" w:rsidRPr="004E677F" w:rsidRDefault="00933C3E" w:rsidP="00933C3E">
      <w:pPr>
        <w:pStyle w:val="Bezriadkovania"/>
        <w:widowControl w:val="0"/>
        <w:spacing w:before="120" w:after="120"/>
        <w:jc w:val="both"/>
      </w:pPr>
    </w:p>
    <w:sectPr w:rsidR="00933C3E" w:rsidRPr="004E677F" w:rsidSect="006D37AD">
      <w:footerReference w:type="default" r:id="rId9"/>
      <w:footerReference w:type="firs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92AC" w14:textId="77777777" w:rsidR="00312A7C" w:rsidRDefault="00312A7C">
      <w:pPr>
        <w:spacing w:after="0" w:line="240" w:lineRule="auto"/>
      </w:pPr>
      <w:r>
        <w:separator/>
      </w:r>
    </w:p>
  </w:endnote>
  <w:endnote w:type="continuationSeparator" w:id="0">
    <w:p w14:paraId="0774D308" w14:textId="77777777" w:rsidR="00312A7C" w:rsidRDefault="0031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441177138"/>
      <w:docPartObj>
        <w:docPartGallery w:val="Page Numbers (Bottom of Page)"/>
        <w:docPartUnique/>
      </w:docPartObj>
    </w:sdtPr>
    <w:sdtEndPr/>
    <w:sdtContent>
      <w:p w14:paraId="130746EF" w14:textId="0A4D2308" w:rsidR="00C77DD6" w:rsidRPr="00AA6D19" w:rsidRDefault="0064109E" w:rsidP="00C77DD6">
        <w:pPr>
          <w:pStyle w:val="Pta"/>
          <w:jc w:val="center"/>
          <w:rPr>
            <w:rFonts w:ascii="Times New Roman" w:hAnsi="Times New Roman" w:cs="Times New Roman"/>
            <w:sz w:val="24"/>
          </w:rPr>
        </w:pPr>
        <w:r w:rsidRPr="00AA6D19">
          <w:rPr>
            <w:rFonts w:ascii="Times New Roman" w:hAnsi="Times New Roman" w:cs="Times New Roman"/>
            <w:sz w:val="24"/>
          </w:rPr>
          <w:fldChar w:fldCharType="begin"/>
        </w:r>
        <w:r w:rsidRPr="00AA6D19">
          <w:rPr>
            <w:rFonts w:ascii="Times New Roman" w:hAnsi="Times New Roman" w:cs="Times New Roman"/>
            <w:sz w:val="24"/>
          </w:rPr>
          <w:instrText>PAGE   \* MERGEFORMAT</w:instrText>
        </w:r>
        <w:r w:rsidRPr="00AA6D19">
          <w:rPr>
            <w:rFonts w:ascii="Times New Roman" w:hAnsi="Times New Roman" w:cs="Times New Roman"/>
            <w:sz w:val="24"/>
          </w:rPr>
          <w:fldChar w:fldCharType="separate"/>
        </w:r>
        <w:r w:rsidR="00336DB5">
          <w:rPr>
            <w:rFonts w:ascii="Times New Roman" w:hAnsi="Times New Roman" w:cs="Times New Roman"/>
            <w:noProof/>
            <w:sz w:val="24"/>
          </w:rPr>
          <w:t>2</w:t>
        </w:r>
        <w:r w:rsidRPr="00AA6D19">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26806176"/>
      <w:docPartObj>
        <w:docPartGallery w:val="Page Numbers (Bottom of Page)"/>
        <w:docPartUnique/>
      </w:docPartObj>
    </w:sdtPr>
    <w:sdtEndPr/>
    <w:sdtContent>
      <w:p w14:paraId="476DED83" w14:textId="775AB1D5" w:rsidR="006D37AD" w:rsidRPr="006D37AD" w:rsidRDefault="006D37AD" w:rsidP="006D37AD">
        <w:pPr>
          <w:pStyle w:val="Pta"/>
          <w:jc w:val="center"/>
          <w:rPr>
            <w:rFonts w:ascii="Times New Roman" w:hAnsi="Times New Roman" w:cs="Times New Roman"/>
            <w:sz w:val="24"/>
            <w:szCs w:val="24"/>
          </w:rPr>
        </w:pPr>
        <w:r w:rsidRPr="006D37AD">
          <w:rPr>
            <w:rFonts w:ascii="Times New Roman" w:hAnsi="Times New Roman" w:cs="Times New Roman"/>
            <w:sz w:val="24"/>
            <w:szCs w:val="24"/>
          </w:rPr>
          <w:fldChar w:fldCharType="begin"/>
        </w:r>
        <w:r w:rsidRPr="006D37AD">
          <w:rPr>
            <w:rFonts w:ascii="Times New Roman" w:hAnsi="Times New Roman" w:cs="Times New Roman"/>
            <w:sz w:val="24"/>
            <w:szCs w:val="24"/>
          </w:rPr>
          <w:instrText>PAGE   \* MERGEFORMAT</w:instrText>
        </w:r>
        <w:r w:rsidRPr="006D37AD">
          <w:rPr>
            <w:rFonts w:ascii="Times New Roman" w:hAnsi="Times New Roman" w:cs="Times New Roman"/>
            <w:sz w:val="24"/>
            <w:szCs w:val="24"/>
          </w:rPr>
          <w:fldChar w:fldCharType="separate"/>
        </w:r>
        <w:r>
          <w:rPr>
            <w:rFonts w:ascii="Times New Roman" w:hAnsi="Times New Roman" w:cs="Times New Roman"/>
            <w:noProof/>
            <w:sz w:val="24"/>
            <w:szCs w:val="24"/>
          </w:rPr>
          <w:t>1</w:t>
        </w:r>
        <w:r w:rsidRPr="006D37A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803C" w14:textId="77777777" w:rsidR="00312A7C" w:rsidRDefault="00312A7C">
      <w:pPr>
        <w:spacing w:after="0" w:line="240" w:lineRule="auto"/>
      </w:pPr>
      <w:r>
        <w:separator/>
      </w:r>
    </w:p>
  </w:footnote>
  <w:footnote w:type="continuationSeparator" w:id="0">
    <w:p w14:paraId="7C7AD17E" w14:textId="77777777" w:rsidR="00312A7C" w:rsidRDefault="00312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F49"/>
    <w:multiLevelType w:val="hybridMultilevel"/>
    <w:tmpl w:val="9BB878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EFF2DD7"/>
    <w:multiLevelType w:val="hybridMultilevel"/>
    <w:tmpl w:val="8236E298"/>
    <w:lvl w:ilvl="0" w:tplc="147A074E">
      <w:start w:val="1"/>
      <w:numFmt w:val="decimal"/>
      <w:lvlText w:val="%1."/>
      <w:lvlJc w:val="left"/>
      <w:pPr>
        <w:tabs>
          <w:tab w:val="num" w:pos="720"/>
        </w:tabs>
        <w:ind w:left="720" w:hanging="360"/>
      </w:pPr>
      <w:rPr>
        <w:rFonts w:hint="default"/>
        <w:b/>
      </w:rPr>
    </w:lvl>
    <w:lvl w:ilvl="1" w:tplc="813070F0">
      <w:start w:val="1"/>
      <w:numFmt w:val="lowerLetter"/>
      <w:lvlText w:val="%2)"/>
      <w:lvlJc w:val="left"/>
      <w:pPr>
        <w:tabs>
          <w:tab w:val="num" w:pos="1440"/>
        </w:tabs>
        <w:ind w:left="1440" w:hanging="360"/>
      </w:pPr>
      <w:rPr>
        <w:rFonts w:hint="default"/>
        <w:b w:val="0"/>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60C832A5"/>
    <w:multiLevelType w:val="hybridMultilevel"/>
    <w:tmpl w:val="EF2E548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769664321">
    <w:abstractNumId w:val="2"/>
  </w:num>
  <w:num w:numId="2" w16cid:durableId="1769352804">
    <w:abstractNumId w:val="0"/>
  </w:num>
  <w:num w:numId="3" w16cid:durableId="2067794883">
    <w:abstractNumId w:val="1"/>
  </w:num>
  <w:num w:numId="4" w16cid:durableId="699167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9E"/>
    <w:rsid w:val="00000D89"/>
    <w:rsid w:val="0007709C"/>
    <w:rsid w:val="000C65D4"/>
    <w:rsid w:val="000D64EA"/>
    <w:rsid w:val="001068C4"/>
    <w:rsid w:val="0012255D"/>
    <w:rsid w:val="00184881"/>
    <w:rsid w:val="00246CA4"/>
    <w:rsid w:val="002B19D7"/>
    <w:rsid w:val="002D0785"/>
    <w:rsid w:val="00312A7C"/>
    <w:rsid w:val="00336DB5"/>
    <w:rsid w:val="003802D8"/>
    <w:rsid w:val="00403993"/>
    <w:rsid w:val="00406252"/>
    <w:rsid w:val="00417E43"/>
    <w:rsid w:val="00436F81"/>
    <w:rsid w:val="00487214"/>
    <w:rsid w:val="004C0E1D"/>
    <w:rsid w:val="004E5711"/>
    <w:rsid w:val="004E677F"/>
    <w:rsid w:val="005115E9"/>
    <w:rsid w:val="00540F2B"/>
    <w:rsid w:val="00557F6A"/>
    <w:rsid w:val="00574AF0"/>
    <w:rsid w:val="00590E68"/>
    <w:rsid w:val="005F0310"/>
    <w:rsid w:val="00602A69"/>
    <w:rsid w:val="00612CDD"/>
    <w:rsid w:val="0064109E"/>
    <w:rsid w:val="006D37AD"/>
    <w:rsid w:val="007463BE"/>
    <w:rsid w:val="00790AB9"/>
    <w:rsid w:val="007A5F0E"/>
    <w:rsid w:val="007E748C"/>
    <w:rsid w:val="007F66B1"/>
    <w:rsid w:val="008807BA"/>
    <w:rsid w:val="008A5BB6"/>
    <w:rsid w:val="008B7939"/>
    <w:rsid w:val="008D4BE8"/>
    <w:rsid w:val="008F7238"/>
    <w:rsid w:val="00915633"/>
    <w:rsid w:val="00933C3E"/>
    <w:rsid w:val="009C5CAE"/>
    <w:rsid w:val="009E1CC0"/>
    <w:rsid w:val="009E5752"/>
    <w:rsid w:val="00A37AA9"/>
    <w:rsid w:val="00A609ED"/>
    <w:rsid w:val="00A81A82"/>
    <w:rsid w:val="00A9183A"/>
    <w:rsid w:val="00AE3790"/>
    <w:rsid w:val="00AF01E1"/>
    <w:rsid w:val="00B006A5"/>
    <w:rsid w:val="00B7270B"/>
    <w:rsid w:val="00B80052"/>
    <w:rsid w:val="00B87D04"/>
    <w:rsid w:val="00BB1179"/>
    <w:rsid w:val="00BD51D5"/>
    <w:rsid w:val="00BF673B"/>
    <w:rsid w:val="00C02E9B"/>
    <w:rsid w:val="00C44BB7"/>
    <w:rsid w:val="00C458EE"/>
    <w:rsid w:val="00C61264"/>
    <w:rsid w:val="00C77DD6"/>
    <w:rsid w:val="00C92369"/>
    <w:rsid w:val="00CA69D8"/>
    <w:rsid w:val="00D0109A"/>
    <w:rsid w:val="00D06A6D"/>
    <w:rsid w:val="00D25DBE"/>
    <w:rsid w:val="00D474B1"/>
    <w:rsid w:val="00DC50C6"/>
    <w:rsid w:val="00DE0C10"/>
    <w:rsid w:val="00E14FC7"/>
    <w:rsid w:val="00E17739"/>
    <w:rsid w:val="00E26D4C"/>
    <w:rsid w:val="00F234D1"/>
    <w:rsid w:val="00F31911"/>
    <w:rsid w:val="00F476DC"/>
    <w:rsid w:val="00FA6E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67FE"/>
  <w15:chartTrackingRefBased/>
  <w15:docId w15:val="{EA88F1BB-5C65-4BB5-B687-0497BDD9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109E"/>
  </w:style>
  <w:style w:type="paragraph" w:styleId="Nadpis5">
    <w:name w:val="heading 5"/>
    <w:basedOn w:val="Normlny"/>
    <w:next w:val="Normlny"/>
    <w:link w:val="Nadpis5Char"/>
    <w:qFormat/>
    <w:rsid w:val="00933C3E"/>
    <w:pPr>
      <w:keepNext/>
      <w:spacing w:before="60" w:after="60" w:line="240" w:lineRule="auto"/>
      <w:jc w:val="center"/>
      <w:outlineLvl w:val="4"/>
    </w:pPr>
    <w:rPr>
      <w:rFonts w:ascii="Arial Narrow" w:eastAsia="Times New Roman" w:hAnsi="Arial Narrow" w:cs="Times New Roman"/>
      <w:b/>
      <w:bCs/>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4109E"/>
    <w:pPr>
      <w:ind w:left="720"/>
      <w:contextualSpacing/>
    </w:pPr>
  </w:style>
  <w:style w:type="paragraph" w:styleId="Hlavika">
    <w:name w:val="header"/>
    <w:basedOn w:val="Normlny"/>
    <w:link w:val="HlavikaChar"/>
    <w:uiPriority w:val="99"/>
    <w:unhideWhenUsed/>
    <w:rsid w:val="0064109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4109E"/>
  </w:style>
  <w:style w:type="paragraph" w:styleId="Pta">
    <w:name w:val="footer"/>
    <w:basedOn w:val="Normlny"/>
    <w:link w:val="PtaChar"/>
    <w:uiPriority w:val="99"/>
    <w:unhideWhenUsed/>
    <w:rsid w:val="0064109E"/>
    <w:pPr>
      <w:tabs>
        <w:tab w:val="center" w:pos="4536"/>
        <w:tab w:val="right" w:pos="9072"/>
      </w:tabs>
      <w:spacing w:after="0" w:line="240" w:lineRule="auto"/>
    </w:pPr>
  </w:style>
  <w:style w:type="character" w:customStyle="1" w:styleId="PtaChar">
    <w:name w:val="Päta Char"/>
    <w:basedOn w:val="Predvolenpsmoodseku"/>
    <w:link w:val="Pta"/>
    <w:uiPriority w:val="99"/>
    <w:rsid w:val="0064109E"/>
  </w:style>
  <w:style w:type="paragraph" w:styleId="Bezriadkovania">
    <w:name w:val="No Spacing"/>
    <w:uiPriority w:val="1"/>
    <w:qFormat/>
    <w:rsid w:val="004E677F"/>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0C65D4"/>
    <w:rPr>
      <w:sz w:val="16"/>
      <w:szCs w:val="16"/>
    </w:rPr>
  </w:style>
  <w:style w:type="paragraph" w:styleId="Textkomentra">
    <w:name w:val="annotation text"/>
    <w:basedOn w:val="Normlny"/>
    <w:link w:val="TextkomentraChar"/>
    <w:uiPriority w:val="99"/>
    <w:semiHidden/>
    <w:unhideWhenUsed/>
    <w:rsid w:val="000C65D4"/>
    <w:pPr>
      <w:spacing w:line="240" w:lineRule="auto"/>
    </w:pPr>
    <w:rPr>
      <w:sz w:val="20"/>
      <w:szCs w:val="20"/>
    </w:rPr>
  </w:style>
  <w:style w:type="character" w:customStyle="1" w:styleId="TextkomentraChar">
    <w:name w:val="Text komentára Char"/>
    <w:basedOn w:val="Predvolenpsmoodseku"/>
    <w:link w:val="Textkomentra"/>
    <w:uiPriority w:val="99"/>
    <w:semiHidden/>
    <w:rsid w:val="000C65D4"/>
    <w:rPr>
      <w:sz w:val="20"/>
      <w:szCs w:val="20"/>
    </w:rPr>
  </w:style>
  <w:style w:type="paragraph" w:styleId="Predmetkomentra">
    <w:name w:val="annotation subject"/>
    <w:basedOn w:val="Textkomentra"/>
    <w:next w:val="Textkomentra"/>
    <w:link w:val="PredmetkomentraChar"/>
    <w:uiPriority w:val="99"/>
    <w:semiHidden/>
    <w:unhideWhenUsed/>
    <w:rsid w:val="000C65D4"/>
    <w:rPr>
      <w:b/>
      <w:bCs/>
    </w:rPr>
  </w:style>
  <w:style w:type="character" w:customStyle="1" w:styleId="PredmetkomentraChar">
    <w:name w:val="Predmet komentára Char"/>
    <w:basedOn w:val="TextkomentraChar"/>
    <w:link w:val="Predmetkomentra"/>
    <w:uiPriority w:val="99"/>
    <w:semiHidden/>
    <w:rsid w:val="000C65D4"/>
    <w:rPr>
      <w:b/>
      <w:bCs/>
      <w:sz w:val="20"/>
      <w:szCs w:val="20"/>
    </w:rPr>
  </w:style>
  <w:style w:type="paragraph" w:styleId="Textbubliny">
    <w:name w:val="Balloon Text"/>
    <w:basedOn w:val="Normlny"/>
    <w:link w:val="TextbublinyChar"/>
    <w:uiPriority w:val="99"/>
    <w:semiHidden/>
    <w:unhideWhenUsed/>
    <w:rsid w:val="000C65D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65D4"/>
    <w:rPr>
      <w:rFonts w:ascii="Segoe UI" w:hAnsi="Segoe UI" w:cs="Segoe UI"/>
      <w:sz w:val="18"/>
      <w:szCs w:val="18"/>
    </w:rPr>
  </w:style>
  <w:style w:type="paragraph" w:styleId="Revzia">
    <w:name w:val="Revision"/>
    <w:hidden/>
    <w:uiPriority w:val="99"/>
    <w:semiHidden/>
    <w:rsid w:val="00336DB5"/>
    <w:pPr>
      <w:spacing w:after="0" w:line="240" w:lineRule="auto"/>
    </w:pPr>
  </w:style>
  <w:style w:type="character" w:customStyle="1" w:styleId="Nadpis5Char">
    <w:name w:val="Nadpis 5 Char"/>
    <w:basedOn w:val="Predvolenpsmoodseku"/>
    <w:link w:val="Nadpis5"/>
    <w:rsid w:val="00933C3E"/>
    <w:rPr>
      <w:rFonts w:ascii="Arial Narrow" w:eastAsia="Times New Roman" w:hAnsi="Arial Narrow" w:cs="Times New Roman"/>
      <w:b/>
      <w:bCs/>
      <w:sz w:val="24"/>
      <w:szCs w:val="24"/>
      <w:lang w:eastAsia="cs-CZ"/>
    </w:rPr>
  </w:style>
  <w:style w:type="paragraph" w:customStyle="1" w:styleId="odsek">
    <w:name w:val="odsek"/>
    <w:basedOn w:val="Normlny"/>
    <w:rsid w:val="00933C3E"/>
    <w:pPr>
      <w:keepNext/>
      <w:spacing w:before="120" w:after="120" w:line="240" w:lineRule="auto"/>
      <w:ind w:firstLine="709"/>
      <w:jc w:val="both"/>
    </w:pPr>
    <w:rPr>
      <w:rFonts w:ascii="Times New Roman" w:eastAsia="Times New Roman" w:hAnsi="Times New Roman" w:cs="Times New Roman"/>
      <w:sz w:val="24"/>
      <w:szCs w:val="24"/>
      <w:lang w:eastAsia="sk-SK"/>
    </w:rPr>
  </w:style>
  <w:style w:type="paragraph" w:customStyle="1" w:styleId="odrkaa">
    <w:name w:val="odrážka a"/>
    <w:basedOn w:val="Normlny"/>
    <w:rsid w:val="00933C3E"/>
    <w:pPr>
      <w:keepNext/>
      <w:spacing w:before="60" w:after="60" w:line="360" w:lineRule="atLeast"/>
      <w:jc w:val="both"/>
    </w:pPr>
    <w:rPr>
      <w:rFonts w:ascii="Times New Roman" w:eastAsia="Times New Roman" w:hAnsi="Times New Roman" w:cs="Times New Roman"/>
      <w:sz w:val="24"/>
      <w:szCs w:val="24"/>
      <w:lang w:eastAsia="sk-SK"/>
    </w:rPr>
  </w:style>
  <w:style w:type="character" w:styleId="Vrazn">
    <w:name w:val="Strong"/>
    <w:basedOn w:val="Predvolenpsmoodseku"/>
    <w:qFormat/>
    <w:rsid w:val="00933C3E"/>
    <w:rPr>
      <w:b/>
      <w:bCs/>
    </w:rPr>
  </w:style>
  <w:style w:type="table" w:customStyle="1" w:styleId="Mriekatabuky1">
    <w:name w:val="Mriežka tabuľky1"/>
    <w:basedOn w:val="Normlnatabuka"/>
    <w:next w:val="Mriekatabuky"/>
    <w:uiPriority w:val="59"/>
    <w:rsid w:val="0093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C3E"/>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93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hrnciarova@land.go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18B9C-3952-47EB-8081-DBE9DBDF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4193</Words>
  <Characters>23901</Characters>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2026-03-25T11:13:00Z</cp:lastPrinted>
  <dcterms:created xsi:type="dcterms:W3CDTF">2026-01-30T08:52:00Z</dcterms:created>
  <dcterms:modified xsi:type="dcterms:W3CDTF">2026-03-25T11:13:00Z</dcterms:modified>
</cp:coreProperties>
</file>