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DÔVODOVÁ SPRÁVA</w: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Všeobecná časť</w:t>
      </w:r>
    </w:p>
    <w:p w:rsidR="00000000" w:rsidDel="00000000" w:rsidP="00000000" w:rsidRDefault="00000000" w:rsidRPr="00000000" w14:paraId="00000004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Poslankyňa Lucia Plaváková a poslanec Ondrej Prostredník predkladajú na rokovanie Národnej rady Slovenskej republiky návrh zákona, ktorým sa mení a dopĺňa zákon č. 161/2015 Z. z. Civilný mimosporový poriadok v znení neskorších predpisov (ďalej len „návrh zákona“).</w:t>
      </w:r>
    </w:p>
    <w:p w:rsidR="00000000" w:rsidDel="00000000" w:rsidP="00000000" w:rsidRDefault="00000000" w:rsidRPr="00000000" w14:paraId="00000006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Cieľom návrhu zákona je zvýšenie ochrany detí v porozchodových konaniach ako sekundárnych obetí pri násilí páchanom v partnerskom vzťahu a rodinnom prostredí. Z praxe vyplýva, že násilie páchané v rodine, obzvlášť v rámci partnerského vzťahu, nie je zohľadňované pri rozhodovaní v civilných konaniach o starostlivosti o dieťa. Takýto stav, ktorý je v rozpore s najlepším záujmom detí, ich vystavuje nielen ohrozeniu vo vzťahu k ich duševnému zdraviu, ale aj fyzickej integrite a bezpečiu.</w:t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Deti sú častými sekundárnymi obeťami, a to obzvlášť v prípadoch rodovo-podmieneného násilia. Ochrana týchto detí je však často zanedbávaná a ani naša právna úprava neposkytuje týmto deťom dostatočnú ochranu. Z odborného konsenzu jednoznačne vyplýva, že cyklus násilia v partnerskom vzťahu a rodinnom prostredí nekončí rozchodom partnerov (rodičov), ale pokračuje ďalej. Deti sa navyše stávajú nástrojom násilníka, ktorý ich využíva na pokračujúce násilie voči druhému rodičovi (zvyčajne bývalej partnerke). 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zriedka sú deti nútené tráviť čas s rodičom, z ktorého majú strach a u ktorého videli páchať násilie na ich druhom rodičovi. </w:t>
      </w:r>
    </w:p>
    <w:p w:rsidR="00000000" w:rsidDel="00000000" w:rsidP="00000000" w:rsidRDefault="00000000" w:rsidRPr="00000000" w14:paraId="0000000A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Ako sa uvádza v správe Akú ochranu a podporu garantuje súčasný systém ženám zažívajúcim násilie a ich deťom?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„Zo skúseností žien vieme, že násilní muži často využívajú tieto konania, na to, aby získali opäť kontrolu nad životom žien a detí a mohli tak pokračovať v násilnom správaní sa k nim. Súdy, prokuratúra a aj úrady práce sociálnych vecí a rodiny môžu zohľadnením násilia v tomto type konaní predísť jeho pokračovaniu a ženám a deťom zabezpečiť pred ním účinnú ochranu.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0C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Deti, ktoré sú svedkami násilia zažívajú strach, úzkosť, paniku, nočné mory, poruchy spánku, pocity viny z toho, že násiliu mohli nejako zabrániť, bezmocnosť a nedôveru voči dospelým, či až posttraumatickú stresovú poruchu (PTSD). Deti, ktoré sú vystavené násiliu strácajú pocit, že svet je bezpečným, majú zvýšený strach o seba alebo blízkych a majú problém dôverovať iným ľuďom. Ak ide o opakované prejavy násilia v domácnosti, dopad býva ešte vážnejší a dlhodobejší. Odborníci sa zhodujú tiež na tom, že vystavenie dieťaťa násiliu má často trvalé následky na duševné zdravie. Napríklad: vyššie riziko depresie a úzkostných porúch v dospelosti, problémy so sebaúctou, rizikové správanie v dospievaní, ťažkosti s riešením konfliktov a zvládaním stresu, väčšiu pravdepodobnosť, že sa násilie stane „normalizovaným“ a opakovanie vzorcov násilia pri riešení konfliktov v dospelosti. Je našou povinnosťou týmto škodlivým následkom zabrániť najviac, ako dokážeme. Náš návrh je jedným z nástrojov ako k tomu prispieť.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Predložený návrh zákona je v  súlade s  Ústavou Slovenskej republiky, ústavnými zákonmi a ostatnými všeobecne záväznými právnymi predpismi Slovenskej republiky, medzinárodnými zmluvami a inými medzinárodnými dokumentami, ktorými je Slovenská republika viazaná, ako aj s právom Európskej únie.</w:t>
      </w:r>
    </w:p>
    <w:p w:rsidR="00000000" w:rsidDel="00000000" w:rsidP="00000000" w:rsidRDefault="00000000" w:rsidRPr="00000000" w14:paraId="00000010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Osobitná časť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 Čl. I 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 bodu 1 [§ 118a Civilného mimosporového poriadku]</w:t>
      </w:r>
    </w:p>
    <w:p w:rsidR="00000000" w:rsidDel="00000000" w:rsidP="00000000" w:rsidRDefault="00000000" w:rsidRPr="00000000" w14:paraId="0000001D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Navrhuje sa doplnenie ustanovenia, ktoré zadefinuje povinnosť súdu pri rozhodovaní o veciach starostlivosti súdu o maloletých prihliadať aj na existenciu násilia v partnerskom vzťahu a rodine. Návrh vychádza z praxe a skúsenosti ľudí a organizácií venujúcich sa prevažne ženám zažívajúcim násilie v partnerských vzťahoch. Vo väčšine partnerských vzťahov, v ktorých je násilie, sú prítomné aj deti. V najlepšom záujme dieťaťa je, aby súd existenciu násilia zohľadnil pri rozhodovaní o výkone rodičovských práv a povinností, najmä pri úprave styku. Aj v prípadoch, ke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násilie nesmeruje priamo voči dieťaťu, ale “len” voči jeho rodičovi (zvyčajne matke), sa dieťa stáva sekundárnou obeťou s ďalekosiahlymi následkami pre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duševný vývin. Cieľom návrhu je ochrániť deti pred škodlivými následkami, ktorým často čelia.</w:t>
      </w:r>
    </w:p>
    <w:p w:rsidR="00000000" w:rsidDel="00000000" w:rsidP="00000000" w:rsidRDefault="00000000" w:rsidRPr="00000000" w14:paraId="0000001F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 bodu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2 [§ 396da Civilného mimosporového poriadku]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Upravujú sa prechodné ustanovenia, podľa ktorých sa už prebiehajúce konania dokončia v súlade s ustanovením, ktoré vyžaduje brať ohľad na existenciu násilia v partnerskom vzťahu a rodine.</w:t>
      </w:r>
    </w:p>
    <w:p w:rsidR="00000000" w:rsidDel="00000000" w:rsidP="00000000" w:rsidRDefault="00000000" w:rsidRPr="00000000" w14:paraId="00000023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 Čl. II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ohľadom na predpokladaný priebeh legislatívneho procesu sa navrhuje nadobudnutie účinnosti od 1. júla 2026.</w:t>
      </w:r>
    </w:p>
    <w:p w:rsidR="00000000" w:rsidDel="00000000" w:rsidP="00000000" w:rsidRDefault="00000000" w:rsidRPr="00000000" w14:paraId="00000028">
      <w:pPr>
        <w:spacing w:after="0" w:line="276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ind w:firstLine="70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8" w:top="1418" w:left="1418" w:right="1418" w:header="510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Dostupné na https://www.fenestra.sk/wp-content/uploads/2023/06/Sprava-stav-systemu-hlavne-zistenia-odporucania.pdf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Hlavika">
    <w:name w:val="header"/>
    <w:basedOn w:val="Normlny"/>
    <w:link w:val="HlavikaChar"/>
    <w:uiPriority w:val="99"/>
    <w:unhideWhenUsed w:val="1"/>
    <w:rsid w:val="00C53414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C53414"/>
  </w:style>
  <w:style w:type="paragraph" w:styleId="Pta">
    <w:name w:val="footer"/>
    <w:basedOn w:val="Normlny"/>
    <w:link w:val="PtaChar"/>
    <w:uiPriority w:val="99"/>
    <w:unhideWhenUsed w:val="1"/>
    <w:rsid w:val="00C53414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C53414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 w:val="1"/>
    <w:rsid w:val="00C53414"/>
    <w:pPr>
      <w:ind w:left="720"/>
      <w:contextualSpacing w:val="1"/>
    </w:pPr>
    <w:rPr>
      <w:rFonts w:cs="Times New Roman" w:eastAsia="Times New Roman"/>
    </w:rPr>
  </w:style>
  <w:style w:type="character" w:styleId="OdsekzoznamuChar" w:customStyle="1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 w:val="1"/>
    <w:locked w:val="1"/>
    <w:rsid w:val="00C53414"/>
    <w:rPr>
      <w:rFonts w:cs="Times New Roman" w:eastAsia="Times New Roman"/>
    </w:rPr>
  </w:style>
  <w:style w:type="paragraph" w:styleId="Default" w:customStyle="1">
    <w:name w:val="Default"/>
    <w:rsid w:val="00CE6E5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7CE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 w:val="1"/>
    <w:unhideWhenUsed w:val="1"/>
    <w:rsid w:val="00347CE5"/>
    <w:pPr>
      <w:spacing w:after="120" w:line="240" w:lineRule="auto"/>
    </w:pPr>
    <w:rPr>
      <w:rFonts w:ascii="Calibri" w:cs="Calibri" w:eastAsia="Calibri" w:hAnsi="Calibri"/>
      <w:sz w:val="24"/>
      <w:szCs w:val="24"/>
      <w:lang w:eastAsia="sk-SK"/>
    </w:rPr>
  </w:style>
  <w:style w:type="character" w:styleId="ZkladntextChar" w:customStyle="1">
    <w:name w:val="Základný text Char"/>
    <w:basedOn w:val="Predvolenpsmoodseku"/>
    <w:link w:val="Zkladntext"/>
    <w:uiPriority w:val="99"/>
    <w:semiHidden w:val="1"/>
    <w:rsid w:val="00347CE5"/>
    <w:rPr>
      <w:rFonts w:ascii="Calibri" w:cs="Calibri" w:eastAsia="Calibri" w:hAnsi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 w:val="1"/>
    <w:unhideWhenUsed w:val="1"/>
    <w:rsid w:val="00347CE5"/>
    <w:pPr>
      <w:spacing w:after="120" w:line="480" w:lineRule="auto"/>
    </w:pPr>
    <w:rPr>
      <w:rFonts w:ascii="Times New Roman" w:cs="Times New Roman" w:eastAsia="Calibri" w:hAnsi="Times New Roman"/>
      <w:sz w:val="24"/>
      <w:szCs w:val="24"/>
      <w:lang w:eastAsia="sk-SK" w:val="en-US"/>
    </w:rPr>
  </w:style>
  <w:style w:type="character" w:styleId="Zkladntext2Char" w:customStyle="1">
    <w:name w:val="Základný text 2 Char"/>
    <w:basedOn w:val="Predvolenpsmoodseku"/>
    <w:link w:val="Zkladntext2"/>
    <w:uiPriority w:val="99"/>
    <w:semiHidden w:val="1"/>
    <w:rsid w:val="00347CE5"/>
    <w:rPr>
      <w:rFonts w:ascii="Times New Roman" w:cs="Times New Roman" w:eastAsia="Calibri" w:hAnsi="Times New Roman"/>
      <w:sz w:val="24"/>
      <w:szCs w:val="24"/>
      <w:lang w:eastAsia="sk-SK" w:val="en-US"/>
    </w:rPr>
  </w:style>
  <w:style w:type="paragraph" w:styleId="Standard" w:customStyle="1">
    <w:name w:val="Standard"/>
    <w:rsid w:val="00347CE5"/>
    <w:pPr>
      <w:suppressAutoHyphens w:val="1"/>
      <w:autoSpaceDN w:val="0"/>
      <w:spacing w:after="0" w:before="255" w:line="264" w:lineRule="auto"/>
      <w:textAlignment w:val="baseline"/>
    </w:pPr>
    <w:rPr>
      <w:rFonts w:ascii="Alegreya" w:cs="Alegreya" w:eastAsia="Alegreya" w:hAnsi="Alegreya"/>
      <w:kern w:val="3"/>
      <w:szCs w:val="24"/>
      <w:lang w:eastAsia="zh-CN"/>
    </w:rPr>
  </w:style>
  <w:style w:type="paragraph" w:styleId="Textpoznmkypodiarou">
    <w:name w:val="footnote text"/>
    <w:basedOn w:val="Normlny"/>
    <w:link w:val="TextpoznmkypodiarouChar"/>
    <w:uiPriority w:val="99"/>
    <w:semiHidden w:val="1"/>
    <w:unhideWhenUsed w:val="1"/>
    <w:rsid w:val="00570C1D"/>
    <w:pPr>
      <w:spacing w:after="0" w:line="240" w:lineRule="auto"/>
    </w:pPr>
    <w:rPr>
      <w:sz w:val="20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semiHidden w:val="1"/>
    <w:rsid w:val="00570C1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 w:val="1"/>
    <w:unhideWhenUsed w:val="1"/>
    <w:rsid w:val="00570C1D"/>
    <w:rPr>
      <w:vertAlign w:val="superscript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0F4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0F43D6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0F43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0F43D6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0F43D6"/>
    <w:rPr>
      <w:b w:val="1"/>
      <w:bCs w:val="1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0F43D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0F43D6"/>
    <w:rPr>
      <w:rFonts w:ascii="Segoe UI" w:cs="Segoe UI" w:hAnsi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 w:val="1"/>
    <w:rsid w:val="00A765EA"/>
    <w:rPr>
      <w:color w:val="0000ff"/>
      <w:u w:val="single"/>
    </w:rPr>
  </w:style>
  <w:style w:type="character" w:styleId="UnresolvedMention" w:customStyle="1">
    <w:name w:val="Unresolved Mention"/>
    <w:basedOn w:val="Predvolenpsmoodseku"/>
    <w:uiPriority w:val="99"/>
    <w:semiHidden w:val="1"/>
    <w:unhideWhenUsed w:val="1"/>
    <w:rsid w:val="00297A53"/>
    <w:rPr>
      <w:color w:val="605e5c"/>
      <w:shd w:color="auto" w:fill="e1dfdd" w:val="clear"/>
    </w:rPr>
  </w:style>
  <w:style w:type="character" w:styleId="cf01" w:customStyle="1">
    <w:name w:val="cf01"/>
    <w:basedOn w:val="Predvolenpsmoodseku"/>
    <w:rsid w:val="004F33DF"/>
    <w:rPr>
      <w:rFonts w:ascii="Segoe UI" w:cs="Segoe UI" w:hAnsi="Segoe UI" w:hint="default"/>
      <w:sz w:val="18"/>
      <w:szCs w:val="18"/>
    </w:rPr>
  </w:style>
  <w:style w:type="paragraph" w:styleId="Revzia">
    <w:name w:val="Revision"/>
    <w:hidden w:val="1"/>
    <w:uiPriority w:val="99"/>
    <w:semiHidden w:val="1"/>
    <w:rsid w:val="000C2B66"/>
    <w:pPr>
      <w:spacing w:after="0" w:line="240" w:lineRule="auto"/>
    </w:pPr>
  </w:style>
  <w:style w:type="character" w:styleId="Zstupntext">
    <w:name w:val="Placeholder Text"/>
    <w:uiPriority w:val="99"/>
    <w:semiHidden w:val="1"/>
    <w:rsid w:val="00355649"/>
    <w:rPr>
      <w:rFonts w:ascii="Times New Roman" w:hAnsi="Times New Roman"/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TrYHt6i+0Rn1WhM30+Syw2Njcg==">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2023-12-06T14:03:00Z</dcterms:created>
</cp:coreProperties>
</file>