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F15" w:rsidRDefault="005D2F15" w:rsidP="005D2F15">
      <w:pPr>
        <w:tabs>
          <w:tab w:val="left" w:pos="709"/>
          <w:tab w:val="left" w:pos="1077"/>
        </w:tabs>
        <w:spacing w:after="0" w:line="240" w:lineRule="auto"/>
        <w:rPr>
          <w:b/>
          <w:bCs/>
          <w:sz w:val="28"/>
          <w:szCs w:val="28"/>
          <w:lang w:eastAsia="sk-SK"/>
        </w:rPr>
      </w:pPr>
      <w:r>
        <w:rPr>
          <w:b/>
          <w:bCs/>
          <w:sz w:val="28"/>
          <w:szCs w:val="28"/>
          <w:lang w:eastAsia="sk-SK"/>
        </w:rPr>
        <w:tab/>
      </w:r>
      <w:r>
        <w:rPr>
          <w:b/>
          <w:bCs/>
          <w:sz w:val="28"/>
          <w:szCs w:val="28"/>
          <w:lang w:eastAsia="sk-SK"/>
        </w:rPr>
        <w:tab/>
      </w:r>
      <w:r>
        <w:rPr>
          <w:b/>
          <w:bCs/>
          <w:sz w:val="28"/>
          <w:szCs w:val="28"/>
          <w:lang w:eastAsia="sk-SK"/>
        </w:rPr>
        <w:tab/>
      </w:r>
      <w:r>
        <w:rPr>
          <w:b/>
          <w:bCs/>
          <w:szCs w:val="24"/>
          <w:lang w:eastAsia="sk-SK"/>
        </w:rPr>
        <w:tab/>
      </w:r>
      <w:r>
        <w:rPr>
          <w:b/>
          <w:bCs/>
          <w:sz w:val="28"/>
          <w:szCs w:val="28"/>
          <w:lang w:eastAsia="sk-SK"/>
        </w:rPr>
        <w:t>NÁRODNÁ RADA SLOVENSKEJ REPUBLIKY</w:t>
      </w:r>
    </w:p>
    <w:p w:rsidR="005D2F15" w:rsidRDefault="005D2F15" w:rsidP="005D2F15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 w:val="28"/>
          <w:szCs w:val="28"/>
          <w:lang w:eastAsia="sk-SK"/>
        </w:rPr>
      </w:pPr>
      <w:r>
        <w:rPr>
          <w:b/>
          <w:bCs/>
          <w:sz w:val="28"/>
          <w:szCs w:val="28"/>
          <w:lang w:eastAsia="sk-SK"/>
        </w:rPr>
        <w:t>IX.  volebné obdobie</w:t>
      </w:r>
    </w:p>
    <w:p w:rsidR="005D2F15" w:rsidRDefault="005D2F15" w:rsidP="005D2F15">
      <w:pPr>
        <w:tabs>
          <w:tab w:val="left" w:pos="709"/>
          <w:tab w:val="left" w:pos="1077"/>
        </w:tabs>
        <w:spacing w:after="0" w:line="240" w:lineRule="auto"/>
        <w:rPr>
          <w:bCs/>
          <w:szCs w:val="24"/>
          <w:lang w:eastAsia="sk-SK"/>
        </w:rPr>
      </w:pPr>
      <w:r>
        <w:rPr>
          <w:b/>
          <w:bCs/>
          <w:sz w:val="28"/>
          <w:szCs w:val="28"/>
          <w:lang w:eastAsia="sk-SK"/>
        </w:rPr>
        <w:t>________________________________________________________________</w:t>
      </w:r>
      <w:r>
        <w:rPr>
          <w:b/>
          <w:bCs/>
          <w:sz w:val="28"/>
          <w:szCs w:val="28"/>
          <w:lang w:eastAsia="sk-SK"/>
        </w:rPr>
        <w:br/>
      </w:r>
      <w:r>
        <w:rPr>
          <w:szCs w:val="24"/>
          <w:lang w:eastAsia="sk-SK"/>
        </w:rPr>
        <w:t>K číslu: KNR-VFR-6045/2025-18</w:t>
      </w:r>
    </w:p>
    <w:p w:rsidR="005D2F15" w:rsidRDefault="005D2F15" w:rsidP="005D2F15">
      <w:pPr>
        <w:tabs>
          <w:tab w:val="left" w:pos="709"/>
          <w:tab w:val="left" w:pos="1077"/>
        </w:tabs>
        <w:spacing w:after="0" w:line="240" w:lineRule="auto"/>
        <w:rPr>
          <w:szCs w:val="24"/>
          <w:lang w:val="cs-CZ" w:eastAsia="sk-SK"/>
        </w:rPr>
      </w:pPr>
    </w:p>
    <w:p w:rsidR="005D2F15" w:rsidRDefault="005D2F15" w:rsidP="005D2F15">
      <w:pPr>
        <w:tabs>
          <w:tab w:val="left" w:pos="709"/>
          <w:tab w:val="left" w:pos="1077"/>
        </w:tabs>
        <w:spacing w:after="0" w:line="240" w:lineRule="auto"/>
        <w:rPr>
          <w:szCs w:val="24"/>
          <w:lang w:val="cs-CZ" w:eastAsia="sk-SK"/>
        </w:rPr>
      </w:pPr>
      <w:r>
        <w:rPr>
          <w:szCs w:val="24"/>
          <w:lang w:val="cs-CZ" w:eastAsia="sk-SK"/>
        </w:rPr>
        <w:t xml:space="preserve"> </w:t>
      </w:r>
    </w:p>
    <w:p w:rsidR="005D2F15" w:rsidRDefault="005D2F15" w:rsidP="005D2F15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 w:val="28"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>1093a</w:t>
      </w:r>
    </w:p>
    <w:p w:rsidR="005D2F15" w:rsidRDefault="005D2F15" w:rsidP="005D2F15">
      <w:pPr>
        <w:keepNext/>
        <w:tabs>
          <w:tab w:val="left" w:pos="709"/>
          <w:tab w:val="left" w:pos="1077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T*Toronto" w:hAnsi="AT*Toronto"/>
          <w:b/>
          <w:bCs/>
          <w:sz w:val="28"/>
          <w:szCs w:val="28"/>
          <w:lang w:val="cs-CZ" w:eastAsia="sk-SK"/>
        </w:rPr>
      </w:pPr>
      <w:r>
        <w:rPr>
          <w:rFonts w:ascii="AT*Toronto" w:hAnsi="AT*Toronto"/>
          <w:b/>
          <w:bCs/>
          <w:sz w:val="28"/>
          <w:szCs w:val="28"/>
          <w:lang w:val="cs-CZ" w:eastAsia="sk-SK"/>
        </w:rPr>
        <w:t>I n f o r m á c i a</w:t>
      </w:r>
    </w:p>
    <w:p w:rsidR="005D2F15" w:rsidRDefault="005D2F15" w:rsidP="005D2F15">
      <w:pPr>
        <w:keepNext/>
        <w:tabs>
          <w:tab w:val="left" w:pos="709"/>
          <w:tab w:val="left" w:pos="1077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T*Toronto" w:hAnsi="AT*Toronto"/>
          <w:b/>
          <w:bCs/>
          <w:sz w:val="28"/>
          <w:szCs w:val="28"/>
          <w:lang w:val="cs-CZ" w:eastAsia="sk-SK"/>
        </w:rPr>
      </w:pPr>
    </w:p>
    <w:p w:rsidR="005D2F15" w:rsidRPr="005D2F15" w:rsidRDefault="005D2F15" w:rsidP="005D2F15">
      <w:pPr>
        <w:spacing w:after="0" w:line="240" w:lineRule="auto"/>
        <w:ind w:firstLine="709"/>
        <w:jc w:val="both"/>
        <w:rPr>
          <w:b/>
          <w:color w:val="000000"/>
        </w:rPr>
      </w:pPr>
      <w:r>
        <w:rPr>
          <w:b/>
          <w:szCs w:val="24"/>
          <w:lang w:eastAsia="sk-SK"/>
        </w:rPr>
        <w:t xml:space="preserve">Výboru Národnej rady Slovenskej republiky pre financie a rozpočet </w:t>
      </w:r>
      <w:r>
        <w:rPr>
          <w:szCs w:val="24"/>
          <w:lang w:eastAsia="sk-SK"/>
        </w:rPr>
        <w:t>o výsledku prerokovania</w:t>
      </w:r>
      <w:r>
        <w:rPr>
          <w:b/>
          <w:szCs w:val="24"/>
          <w:lang w:eastAsia="sk-SK"/>
        </w:rPr>
        <w:t xml:space="preserve"> </w:t>
      </w:r>
      <w:r w:rsidRPr="00161AE8">
        <w:rPr>
          <w:b/>
          <w:bCs/>
          <w:szCs w:val="24"/>
          <w:lang w:eastAsia="sk-SK"/>
        </w:rPr>
        <w:t xml:space="preserve">návrhu </w:t>
      </w:r>
      <w:r w:rsidRPr="005D2F15">
        <w:rPr>
          <w:b/>
          <w:bCs/>
        </w:rPr>
        <w:t>poslancov Národnej rady Slovenskej republiky Jozefa HAJKA a Jána HORECKÉHO na prijatie uznesenia Národnej rady Slovenskej republiky k prijatiu potrebných opatrení na ochranu občanov Slovenskej republiky pred negatívnymi dôsledkami smernice Európskeho parlamentu a Rady (EÚ) 2023/959 z 10. mája 2023, ktorou sa mení smernica 2003/87/ES o vytvorení systému obchodovania s emisnými kvótami skleníkových plynov v Únii a rozhodnutie (EÚ) 2015/1814 o zriadení a fungovaní rezervy trhovej stability systému obchodovania s emisnými kvótami, a ktorou sa vytvára samostatný systém obchodovania s emisnými kvótami pre palivá používané v sektoroch budov a cestnej dopravy (tzv. ETS2) (</w:t>
      </w:r>
      <w:r w:rsidRPr="005D2F15">
        <w:rPr>
          <w:b/>
        </w:rPr>
        <w:t>tlač 1093)</w:t>
      </w:r>
    </w:p>
    <w:p w:rsidR="005D2F15" w:rsidRDefault="005D2F15" w:rsidP="005D2F15">
      <w:pPr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>___________________________________________________________________________</w:t>
      </w:r>
    </w:p>
    <w:p w:rsidR="005D2F15" w:rsidRDefault="005D2F15" w:rsidP="005D2F15">
      <w:pPr>
        <w:spacing w:after="0" w:line="240" w:lineRule="auto"/>
        <w:jc w:val="both"/>
        <w:rPr>
          <w:szCs w:val="24"/>
          <w:lang w:eastAsia="sk-SK"/>
        </w:rPr>
      </w:pPr>
    </w:p>
    <w:p w:rsidR="005D2F15" w:rsidRDefault="005D2F15" w:rsidP="005D2F15">
      <w:pPr>
        <w:spacing w:after="0" w:line="240" w:lineRule="auto"/>
        <w:ind w:firstLine="709"/>
        <w:jc w:val="both"/>
        <w:rPr>
          <w:b/>
          <w:color w:val="000000"/>
        </w:rPr>
      </w:pPr>
      <w:r>
        <w:rPr>
          <w:szCs w:val="24"/>
          <w:lang w:eastAsia="sk-SK"/>
        </w:rPr>
        <w:t>Výbor Národnej rady Slovenskej republiky pre financie a rozpočet ako gestorský výbor k</w:t>
      </w:r>
      <w:r>
        <w:rPr>
          <w:color w:val="333333"/>
          <w:szCs w:val="24"/>
        </w:rPr>
        <w:t xml:space="preserve"> </w:t>
      </w:r>
      <w:r w:rsidRPr="00161AE8">
        <w:rPr>
          <w:b/>
          <w:bCs/>
          <w:szCs w:val="24"/>
          <w:lang w:eastAsia="sk-SK"/>
        </w:rPr>
        <w:t xml:space="preserve">návrhu </w:t>
      </w:r>
      <w:r w:rsidRPr="005D2F15">
        <w:rPr>
          <w:b/>
          <w:bCs/>
        </w:rPr>
        <w:t>poslancov Národnej rady Slovenskej republiky Jozefa HAJKA a Jána HORECKÉHO na prijatie uznesenia Národnej rady Slovenskej republiky k prijatiu potrebných opatrení na ochranu občanov Slovenskej republiky pred negatívnymi dôsledkami smernice Európskeho parlamentu a Rady (EÚ) 2023/959 z 10. mája 2023, ktorou sa mení smernica 2003/87/ES o vytvorení systému obchodovania s emisnými kvótami skleníkových plynov v Únii a rozhodnutie (EÚ) 2015/1814 o zriadení a fungovaní rezervy trhovej stability systému obchodovania s emisnými kvótami, a ktorou sa vytvára samostatný systém obchodovania s emisnými kvótami pre palivá používané v sektoroch budov a cestnej dopravy (tzv. ETS2) (</w:t>
      </w:r>
      <w:r w:rsidRPr="005D2F15">
        <w:rPr>
          <w:b/>
        </w:rPr>
        <w:t>tlač 1093)</w:t>
      </w:r>
      <w:r>
        <w:rPr>
          <w:b/>
          <w:color w:val="000000"/>
        </w:rPr>
        <w:t xml:space="preserve"> </w:t>
      </w:r>
      <w:r>
        <w:rPr>
          <w:szCs w:val="24"/>
          <w:lang w:eastAsia="sk-SK"/>
        </w:rPr>
        <w:t xml:space="preserve">podáva Národnej rade Slovenskej republiky túto </w:t>
      </w:r>
      <w:r>
        <w:rPr>
          <w:b/>
          <w:szCs w:val="24"/>
          <w:lang w:eastAsia="sk-SK"/>
        </w:rPr>
        <w:t>informáciu.</w:t>
      </w:r>
      <w:r>
        <w:rPr>
          <w:szCs w:val="24"/>
          <w:lang w:eastAsia="sk-SK"/>
        </w:rPr>
        <w:t xml:space="preserve"> </w:t>
      </w:r>
    </w:p>
    <w:p w:rsidR="005D2F15" w:rsidRDefault="005D2F15" w:rsidP="005D2F15">
      <w:pPr>
        <w:spacing w:after="0" w:line="240" w:lineRule="auto"/>
        <w:jc w:val="both"/>
        <w:rPr>
          <w:color w:val="333333"/>
          <w:szCs w:val="24"/>
          <w:lang w:val="cs-CZ"/>
        </w:rPr>
      </w:pPr>
    </w:p>
    <w:p w:rsidR="005D2F15" w:rsidRDefault="005D2F15" w:rsidP="005D2F15">
      <w:pPr>
        <w:spacing w:after="0" w:line="240" w:lineRule="auto"/>
        <w:ind w:firstLine="709"/>
        <w:jc w:val="both"/>
        <w:rPr>
          <w:b/>
          <w:color w:val="000000"/>
        </w:rPr>
      </w:pPr>
      <w:r>
        <w:rPr>
          <w:szCs w:val="24"/>
          <w:lang w:val="cs-CZ" w:eastAsia="sk-SK"/>
        </w:rPr>
        <w:t xml:space="preserve"> </w:t>
      </w:r>
      <w:r>
        <w:rPr>
          <w:szCs w:val="24"/>
          <w:lang w:eastAsia="sk-SK"/>
        </w:rPr>
        <w:t xml:space="preserve">   Predseda Národnej rady Slovenskej republiky svojím rozhodnutím č</w:t>
      </w:r>
      <w:r>
        <w:rPr>
          <w:color w:val="000000" w:themeColor="text1"/>
          <w:szCs w:val="24"/>
          <w:lang w:eastAsia="sk-SK"/>
        </w:rPr>
        <w:t>.</w:t>
      </w:r>
      <w:r>
        <w:rPr>
          <w:b/>
          <w:szCs w:val="24"/>
          <w:lang w:eastAsia="sk-SK"/>
        </w:rPr>
        <w:t xml:space="preserve"> 1146 </w:t>
      </w:r>
      <w:r>
        <w:rPr>
          <w:szCs w:val="24"/>
          <w:lang w:eastAsia="sk-SK"/>
        </w:rPr>
        <w:t>z 10. novembra 2025</w:t>
      </w:r>
      <w:r>
        <w:rPr>
          <w:color w:val="FF0000"/>
          <w:szCs w:val="24"/>
          <w:lang w:eastAsia="sk-SK"/>
        </w:rPr>
        <w:t xml:space="preserve"> </w:t>
      </w:r>
      <w:r>
        <w:rPr>
          <w:szCs w:val="24"/>
          <w:lang w:eastAsia="sk-SK"/>
        </w:rPr>
        <w:t>pridelil</w:t>
      </w:r>
      <w:r>
        <w:rPr>
          <w:color w:val="000000"/>
          <w:szCs w:val="24"/>
        </w:rPr>
        <w:t xml:space="preserve"> </w:t>
      </w:r>
      <w:r w:rsidRPr="00161AE8">
        <w:rPr>
          <w:b/>
          <w:bCs/>
          <w:szCs w:val="24"/>
          <w:lang w:eastAsia="sk-SK"/>
        </w:rPr>
        <w:t xml:space="preserve">návrh </w:t>
      </w:r>
      <w:r w:rsidRPr="005D2F15">
        <w:rPr>
          <w:b/>
          <w:bCs/>
        </w:rPr>
        <w:t>poslancov Národnej rady Slovenskej republiky Jozefa HAJKA a Jána HORECKÉHO na prijatie uznesenia Národnej rady Slovenskej republiky k prijatiu potrebných opatrení na ochranu občanov Slovenskej republiky pred negatívnymi dôsledkami smernice Európskeho parlamentu a Rady (EÚ) 2023/959 z 10. mája 2023, ktorou sa mení smernica 2003/87/ES o vytvorení systému obchodovania s emisnými kvótami skleníkových plynov v Únii a rozhodnutie (EÚ) 2015/1814 o zriadení a fungovaní rezervy trhovej stability systému obchodovania s emisnými kvótami, a ktorou sa vytvára samostatný systém obchodovania s emisnými kvótami pre palivá používané v sektoroch budov a cestnej dopravy (tzv. ETS2) (</w:t>
      </w:r>
      <w:r w:rsidRPr="005D2F15">
        <w:rPr>
          <w:b/>
        </w:rPr>
        <w:t>tlač 1093)</w:t>
      </w:r>
      <w:r>
        <w:rPr>
          <w:b/>
          <w:color w:val="000000"/>
        </w:rPr>
        <w:t xml:space="preserve"> </w:t>
      </w:r>
      <w:r>
        <w:rPr>
          <w:szCs w:val="24"/>
          <w:lang w:eastAsia="sk-SK"/>
        </w:rPr>
        <w:t xml:space="preserve">na prerokovanie Výboru Národnej rady Slovenskej republiky pre financie a rozpočet aj ako gestorskému výboru. </w:t>
      </w:r>
    </w:p>
    <w:p w:rsidR="005D2F15" w:rsidRDefault="005D2F15" w:rsidP="005D2F15">
      <w:pPr>
        <w:tabs>
          <w:tab w:val="left" w:pos="720"/>
        </w:tabs>
        <w:spacing w:after="0" w:line="240" w:lineRule="auto"/>
        <w:jc w:val="both"/>
        <w:rPr>
          <w:szCs w:val="24"/>
        </w:rPr>
      </w:pPr>
    </w:p>
    <w:p w:rsidR="005D2F15" w:rsidRDefault="005D2F15" w:rsidP="005D2F15">
      <w:pPr>
        <w:tabs>
          <w:tab w:val="left" w:pos="720"/>
        </w:tabs>
        <w:spacing w:after="0" w:line="240" w:lineRule="auto"/>
        <w:jc w:val="both"/>
        <w:rPr>
          <w:b/>
          <w:bCs/>
          <w:szCs w:val="24"/>
        </w:rPr>
      </w:pPr>
      <w:r>
        <w:rPr>
          <w:szCs w:val="24"/>
        </w:rPr>
        <w:tab/>
        <w:t xml:space="preserve">Výbor Národnej rady Slovenskej republiky pre financie a rozpočet </w:t>
      </w:r>
      <w:r>
        <w:rPr>
          <w:b/>
          <w:bCs/>
          <w:szCs w:val="24"/>
        </w:rPr>
        <w:t>neprijal uznesenie</w:t>
      </w:r>
      <w:r>
        <w:rPr>
          <w:bCs/>
          <w:szCs w:val="24"/>
        </w:rPr>
        <w:t xml:space="preserve">, nakoľko návrh uznesenia </w:t>
      </w:r>
      <w:r>
        <w:rPr>
          <w:b/>
          <w:bCs/>
          <w:szCs w:val="24"/>
        </w:rPr>
        <w:t xml:space="preserve">nezískal súhlas nadpolovičnej väčšiny prítomných poslancov </w:t>
      </w:r>
      <w:r>
        <w:rPr>
          <w:bCs/>
          <w:szCs w:val="24"/>
        </w:rPr>
        <w:t xml:space="preserve">podľa čl. 84 ods. 2 Ústavy Slovenskej republiky a  </w:t>
      </w:r>
      <w:r>
        <w:rPr>
          <w:szCs w:val="24"/>
        </w:rPr>
        <w:t xml:space="preserve">§ 52 ods. 4  zákona NR SR č. 350/1996 Z.  z.   o rokovacom poriadku Národnej rady Slovenskej republiky v znení neskorších predpisov.  </w:t>
      </w:r>
    </w:p>
    <w:p w:rsidR="005D2F15" w:rsidRDefault="005D2F15" w:rsidP="005D2F15">
      <w:pPr>
        <w:tabs>
          <w:tab w:val="left" w:pos="720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lastRenderedPageBreak/>
        <w:tab/>
      </w:r>
      <w:r w:rsidRPr="00A16876">
        <w:rPr>
          <w:szCs w:val="24"/>
        </w:rPr>
        <w:t>Z  celkového počtu 12 poslancov Výboru Národnej rady Slovenskej republiky pre financie</w:t>
      </w:r>
      <w:r w:rsidRPr="00856046">
        <w:rPr>
          <w:szCs w:val="24"/>
        </w:rPr>
        <w:t xml:space="preserve"> a rozpočet bolo prítomných </w:t>
      </w:r>
      <w:r>
        <w:rPr>
          <w:szCs w:val="24"/>
        </w:rPr>
        <w:t>8</w:t>
      </w:r>
      <w:r w:rsidRPr="00856046">
        <w:rPr>
          <w:szCs w:val="24"/>
        </w:rPr>
        <w:t xml:space="preserve"> poslancov. Za návrh predneseného uznesenia hlasovali </w:t>
      </w:r>
      <w:r>
        <w:rPr>
          <w:szCs w:val="24"/>
        </w:rPr>
        <w:t xml:space="preserve">4 poslanci </w:t>
      </w:r>
      <w:r w:rsidRPr="00856046">
        <w:rPr>
          <w:szCs w:val="24"/>
        </w:rPr>
        <w:t>a</w:t>
      </w:r>
      <w:r>
        <w:rPr>
          <w:szCs w:val="24"/>
        </w:rPr>
        <w:t xml:space="preserve"> 4 poslanci sa </w:t>
      </w:r>
      <w:r w:rsidRPr="00856046">
        <w:rPr>
          <w:szCs w:val="24"/>
        </w:rPr>
        <w:t>hlasovania zdržal</w:t>
      </w:r>
      <w:r>
        <w:rPr>
          <w:szCs w:val="24"/>
        </w:rPr>
        <w:t>i</w:t>
      </w:r>
      <w:r w:rsidRPr="00856046">
        <w:rPr>
          <w:szCs w:val="24"/>
        </w:rPr>
        <w:t xml:space="preserve">. </w:t>
      </w:r>
    </w:p>
    <w:p w:rsidR="005D2F15" w:rsidRDefault="005D2F15" w:rsidP="005D2F15">
      <w:pPr>
        <w:spacing w:after="0" w:line="240" w:lineRule="auto"/>
        <w:jc w:val="both"/>
        <w:rPr>
          <w:szCs w:val="24"/>
        </w:rPr>
      </w:pPr>
    </w:p>
    <w:p w:rsidR="005D2F15" w:rsidRDefault="005D2F15" w:rsidP="005D2F15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  <w:t>Prílohou tejto informácie je návrh na uznesenie Národnej rady Slovenskej republiky v znení predloženého návrhu poslancov.</w:t>
      </w:r>
    </w:p>
    <w:p w:rsidR="005D2F15" w:rsidRDefault="005D2F15" w:rsidP="005D2F15">
      <w:pPr>
        <w:pStyle w:val="Zkladntext2"/>
        <w:spacing w:after="0" w:line="240" w:lineRule="auto"/>
        <w:jc w:val="center"/>
      </w:pPr>
    </w:p>
    <w:p w:rsidR="005D2F15" w:rsidRDefault="005D2F15" w:rsidP="005D2F15">
      <w:pPr>
        <w:pStyle w:val="Zkladntext2"/>
        <w:spacing w:after="0" w:line="240" w:lineRule="auto"/>
        <w:jc w:val="center"/>
      </w:pPr>
    </w:p>
    <w:p w:rsidR="005D2F15" w:rsidRDefault="005D2F15" w:rsidP="005D2F15">
      <w:pPr>
        <w:pStyle w:val="Zkladntext2"/>
        <w:spacing w:after="0" w:line="240" w:lineRule="auto"/>
        <w:jc w:val="center"/>
      </w:pPr>
    </w:p>
    <w:p w:rsidR="005D2F15" w:rsidRDefault="005D2F15" w:rsidP="005D2F15">
      <w:pPr>
        <w:pStyle w:val="Zkladntext2"/>
        <w:spacing w:after="0" w:line="240" w:lineRule="auto"/>
        <w:jc w:val="center"/>
      </w:pPr>
    </w:p>
    <w:p w:rsidR="005D2F15" w:rsidRDefault="005D2F15" w:rsidP="005D2F15">
      <w:pPr>
        <w:pStyle w:val="Zkladntext2"/>
        <w:spacing w:after="0" w:line="240" w:lineRule="auto"/>
        <w:jc w:val="center"/>
      </w:pPr>
    </w:p>
    <w:p w:rsidR="005D2F15" w:rsidRDefault="00447976" w:rsidP="005D2F15">
      <w:pPr>
        <w:pStyle w:val="Zkladntext2"/>
        <w:spacing w:after="0" w:line="240" w:lineRule="auto"/>
        <w:jc w:val="center"/>
      </w:pPr>
      <w:r>
        <w:t>Bratislava, 19. novembra</w:t>
      </w:r>
      <w:r w:rsidR="005D2F15">
        <w:t xml:space="preserve"> 2025</w:t>
      </w:r>
    </w:p>
    <w:p w:rsidR="005D2F15" w:rsidRDefault="005D2F15" w:rsidP="005D2F15">
      <w:pPr>
        <w:pStyle w:val="Zkladntext2"/>
        <w:spacing w:after="0" w:line="240" w:lineRule="auto"/>
        <w:jc w:val="center"/>
      </w:pPr>
    </w:p>
    <w:p w:rsidR="005D2F15" w:rsidRDefault="005D2F15" w:rsidP="005D2F15">
      <w:pPr>
        <w:pStyle w:val="Zkladntext2"/>
        <w:spacing w:after="0" w:line="240" w:lineRule="auto"/>
        <w:jc w:val="center"/>
      </w:pPr>
    </w:p>
    <w:p w:rsidR="005D2F15" w:rsidRDefault="005D2F15" w:rsidP="005D2F15">
      <w:pPr>
        <w:pStyle w:val="Zkladntext2"/>
        <w:spacing w:after="0" w:line="240" w:lineRule="auto"/>
        <w:jc w:val="center"/>
      </w:pPr>
    </w:p>
    <w:p w:rsidR="005D2F15" w:rsidRDefault="005D2F15" w:rsidP="005D2F15">
      <w:pPr>
        <w:pStyle w:val="Zkladntext2"/>
        <w:spacing w:after="0" w:line="240" w:lineRule="auto"/>
        <w:jc w:val="center"/>
      </w:pPr>
    </w:p>
    <w:p w:rsidR="005D2F15" w:rsidRDefault="005D2F15" w:rsidP="005D2F15">
      <w:pPr>
        <w:pStyle w:val="Zkladntext2"/>
        <w:spacing w:after="0" w:line="240" w:lineRule="auto"/>
        <w:jc w:val="center"/>
      </w:pPr>
    </w:p>
    <w:p w:rsidR="005D2F15" w:rsidRDefault="00447976" w:rsidP="005D2F15">
      <w:pPr>
        <w:pStyle w:val="Zkladntext2"/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Ján Blcháč, v. r. </w:t>
      </w:r>
      <w:bookmarkStart w:id="0" w:name="_GoBack"/>
      <w:bookmarkEnd w:id="0"/>
      <w:r w:rsidR="005D2F15"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</w:t>
      </w:r>
    </w:p>
    <w:p w:rsidR="005D2F15" w:rsidRDefault="005D2F15" w:rsidP="005D2F15">
      <w:pPr>
        <w:pStyle w:val="Zkladntext2"/>
        <w:spacing w:after="0" w:line="240" w:lineRule="auto"/>
        <w:ind w:left="3540"/>
        <w:rPr>
          <w:b/>
          <w:bCs/>
        </w:rPr>
      </w:pPr>
      <w:r>
        <w:rPr>
          <w:b/>
          <w:bCs/>
        </w:rPr>
        <w:t xml:space="preserve">         predseda </w:t>
      </w:r>
    </w:p>
    <w:p w:rsidR="005D2F15" w:rsidRDefault="005D2F15" w:rsidP="005D2F15">
      <w:pPr>
        <w:pStyle w:val="Zkladntext2"/>
        <w:spacing w:after="0" w:line="240" w:lineRule="auto"/>
        <w:jc w:val="center"/>
        <w:rPr>
          <w:b/>
          <w:bCs/>
        </w:rPr>
      </w:pPr>
      <w:r>
        <w:rPr>
          <w:b/>
          <w:bCs/>
        </w:rPr>
        <w:t>Výbor NR SR pre financie a rozpočet</w:t>
      </w:r>
    </w:p>
    <w:p w:rsidR="005D2F15" w:rsidRDefault="005D2F15" w:rsidP="005D2F15">
      <w:pPr>
        <w:pStyle w:val="Zkladntext2"/>
        <w:spacing w:after="0" w:line="240" w:lineRule="auto"/>
        <w:jc w:val="center"/>
        <w:rPr>
          <w:b/>
          <w:bCs/>
        </w:rPr>
      </w:pPr>
    </w:p>
    <w:p w:rsidR="005D2F15" w:rsidRDefault="005D2F15" w:rsidP="005D2F15">
      <w:pPr>
        <w:pStyle w:val="Zkladntext2"/>
        <w:spacing w:after="0" w:line="240" w:lineRule="auto"/>
        <w:jc w:val="center"/>
        <w:rPr>
          <w:b/>
          <w:bCs/>
        </w:rPr>
      </w:pPr>
    </w:p>
    <w:p w:rsidR="005D2F15" w:rsidRDefault="005D2F15" w:rsidP="005D2F15">
      <w:pPr>
        <w:pStyle w:val="Zkladntext2"/>
        <w:spacing w:after="0" w:line="240" w:lineRule="auto"/>
        <w:jc w:val="center"/>
        <w:rPr>
          <w:b/>
          <w:bCs/>
        </w:rPr>
      </w:pPr>
    </w:p>
    <w:p w:rsidR="005D2F15" w:rsidRDefault="005D2F15" w:rsidP="005D2F15">
      <w:pPr>
        <w:pStyle w:val="Zkladntext2"/>
        <w:spacing w:after="0" w:line="240" w:lineRule="auto"/>
        <w:jc w:val="center"/>
        <w:rPr>
          <w:b/>
          <w:bCs/>
        </w:rPr>
      </w:pPr>
    </w:p>
    <w:p w:rsidR="005D2F15" w:rsidRDefault="005D2F15" w:rsidP="005D2F15">
      <w:pPr>
        <w:pStyle w:val="Zkladntext2"/>
        <w:spacing w:after="0" w:line="240" w:lineRule="auto"/>
        <w:jc w:val="center"/>
        <w:rPr>
          <w:b/>
          <w:bCs/>
        </w:rPr>
      </w:pPr>
    </w:p>
    <w:p w:rsidR="005D2F15" w:rsidRDefault="005D2F15" w:rsidP="005D2F15">
      <w:pPr>
        <w:pStyle w:val="Zkladntext2"/>
        <w:spacing w:after="0" w:line="240" w:lineRule="auto"/>
        <w:jc w:val="center"/>
        <w:rPr>
          <w:b/>
          <w:bCs/>
        </w:rPr>
      </w:pPr>
    </w:p>
    <w:p w:rsidR="005D2F15" w:rsidRDefault="005D2F15" w:rsidP="005D2F15">
      <w:pPr>
        <w:pStyle w:val="Zkladntext2"/>
        <w:spacing w:after="0" w:line="240" w:lineRule="auto"/>
        <w:jc w:val="center"/>
        <w:rPr>
          <w:b/>
          <w:bCs/>
        </w:rPr>
      </w:pPr>
    </w:p>
    <w:p w:rsidR="005D2F15" w:rsidRDefault="005D2F15" w:rsidP="005D2F15">
      <w:pPr>
        <w:pStyle w:val="Zkladntext2"/>
        <w:spacing w:after="0" w:line="240" w:lineRule="auto"/>
        <w:jc w:val="center"/>
        <w:rPr>
          <w:b/>
          <w:bCs/>
        </w:rPr>
      </w:pPr>
    </w:p>
    <w:p w:rsidR="005D2F15" w:rsidRDefault="005D2F15" w:rsidP="005D2F15">
      <w:pPr>
        <w:pStyle w:val="Zkladntext2"/>
        <w:spacing w:after="0" w:line="240" w:lineRule="auto"/>
        <w:jc w:val="center"/>
        <w:rPr>
          <w:b/>
          <w:bCs/>
        </w:rPr>
      </w:pPr>
    </w:p>
    <w:p w:rsidR="005D2F15" w:rsidRDefault="005D2F15" w:rsidP="005D2F15">
      <w:pPr>
        <w:pStyle w:val="Zkladntext2"/>
        <w:spacing w:after="0" w:line="240" w:lineRule="auto"/>
        <w:jc w:val="center"/>
        <w:rPr>
          <w:b/>
          <w:bCs/>
        </w:rPr>
      </w:pPr>
    </w:p>
    <w:p w:rsidR="005D2F15" w:rsidRDefault="005D2F15" w:rsidP="005D2F15">
      <w:pPr>
        <w:pStyle w:val="Zkladntext2"/>
        <w:spacing w:after="0" w:line="240" w:lineRule="auto"/>
        <w:jc w:val="center"/>
        <w:rPr>
          <w:b/>
          <w:bCs/>
        </w:rPr>
      </w:pPr>
    </w:p>
    <w:p w:rsidR="005D2F15" w:rsidRDefault="005D2F15" w:rsidP="005D2F15">
      <w:pPr>
        <w:pStyle w:val="Zkladntext2"/>
        <w:spacing w:after="0" w:line="240" w:lineRule="auto"/>
        <w:jc w:val="center"/>
        <w:rPr>
          <w:b/>
          <w:bCs/>
        </w:rPr>
      </w:pPr>
    </w:p>
    <w:p w:rsidR="005D2F15" w:rsidRDefault="005D2F15" w:rsidP="005D2F15">
      <w:pPr>
        <w:pStyle w:val="Zkladntext2"/>
        <w:spacing w:after="0" w:line="240" w:lineRule="auto"/>
        <w:jc w:val="center"/>
        <w:rPr>
          <w:b/>
          <w:bCs/>
        </w:rPr>
      </w:pPr>
    </w:p>
    <w:p w:rsidR="005D2F15" w:rsidRDefault="005D2F15" w:rsidP="005D2F15">
      <w:pPr>
        <w:pStyle w:val="Zkladntext2"/>
        <w:spacing w:after="0" w:line="240" w:lineRule="auto"/>
        <w:jc w:val="center"/>
        <w:rPr>
          <w:b/>
          <w:bCs/>
        </w:rPr>
      </w:pPr>
    </w:p>
    <w:p w:rsidR="005D2F15" w:rsidRDefault="005D2F15" w:rsidP="005D2F15">
      <w:pPr>
        <w:pStyle w:val="Zkladntext2"/>
        <w:spacing w:after="0" w:line="240" w:lineRule="auto"/>
        <w:jc w:val="center"/>
        <w:rPr>
          <w:b/>
          <w:bCs/>
        </w:rPr>
      </w:pPr>
    </w:p>
    <w:p w:rsidR="005D2F15" w:rsidRDefault="005D2F15" w:rsidP="005D2F15">
      <w:pPr>
        <w:pStyle w:val="Zkladntext2"/>
        <w:spacing w:after="0" w:line="240" w:lineRule="auto"/>
        <w:jc w:val="center"/>
        <w:rPr>
          <w:b/>
          <w:bCs/>
        </w:rPr>
      </w:pPr>
    </w:p>
    <w:p w:rsidR="005D2F15" w:rsidRDefault="005D2F15" w:rsidP="005D2F15">
      <w:pPr>
        <w:pStyle w:val="Zkladntext2"/>
        <w:spacing w:after="0" w:line="240" w:lineRule="auto"/>
        <w:jc w:val="center"/>
        <w:rPr>
          <w:b/>
          <w:bCs/>
        </w:rPr>
      </w:pPr>
    </w:p>
    <w:p w:rsidR="005D2F15" w:rsidRDefault="005D2F15" w:rsidP="005D2F15">
      <w:pPr>
        <w:pStyle w:val="Zkladntext2"/>
        <w:spacing w:after="0" w:line="240" w:lineRule="auto"/>
        <w:jc w:val="center"/>
        <w:rPr>
          <w:b/>
          <w:bCs/>
        </w:rPr>
      </w:pPr>
    </w:p>
    <w:p w:rsidR="005D2F15" w:rsidRDefault="005D2F15" w:rsidP="005D2F15">
      <w:pPr>
        <w:pStyle w:val="Zkladntext2"/>
        <w:spacing w:after="0" w:line="240" w:lineRule="auto"/>
        <w:jc w:val="center"/>
        <w:rPr>
          <w:b/>
          <w:bCs/>
        </w:rPr>
      </w:pPr>
    </w:p>
    <w:p w:rsidR="005D2F15" w:rsidRDefault="005D2F15" w:rsidP="005D2F15">
      <w:pPr>
        <w:pStyle w:val="Zkladntext2"/>
        <w:spacing w:after="0" w:line="240" w:lineRule="auto"/>
        <w:jc w:val="center"/>
        <w:rPr>
          <w:b/>
          <w:bCs/>
        </w:rPr>
      </w:pPr>
    </w:p>
    <w:p w:rsidR="005D2F15" w:rsidRDefault="005D2F15" w:rsidP="005D2F15">
      <w:pPr>
        <w:pStyle w:val="Zkladntext2"/>
        <w:spacing w:after="0" w:line="240" w:lineRule="auto"/>
        <w:jc w:val="center"/>
        <w:rPr>
          <w:b/>
          <w:bCs/>
        </w:rPr>
      </w:pPr>
    </w:p>
    <w:p w:rsidR="005D2F15" w:rsidRDefault="005D2F15" w:rsidP="005D2F15">
      <w:pPr>
        <w:pStyle w:val="Zkladntext2"/>
        <w:spacing w:after="0" w:line="240" w:lineRule="auto"/>
        <w:jc w:val="center"/>
        <w:rPr>
          <w:b/>
          <w:bCs/>
        </w:rPr>
      </w:pPr>
    </w:p>
    <w:p w:rsidR="005D2F15" w:rsidRDefault="005D2F15" w:rsidP="005D2F15">
      <w:pPr>
        <w:pStyle w:val="Zkladntext2"/>
        <w:spacing w:after="0" w:line="240" w:lineRule="auto"/>
        <w:jc w:val="center"/>
        <w:rPr>
          <w:b/>
          <w:bCs/>
        </w:rPr>
      </w:pPr>
    </w:p>
    <w:p w:rsidR="005D2F15" w:rsidRDefault="005D2F15" w:rsidP="005D2F15">
      <w:pPr>
        <w:pStyle w:val="Zkladntext2"/>
        <w:spacing w:after="0" w:line="240" w:lineRule="auto"/>
        <w:jc w:val="center"/>
        <w:rPr>
          <w:b/>
          <w:bCs/>
        </w:rPr>
      </w:pPr>
    </w:p>
    <w:p w:rsidR="005D2F15" w:rsidRDefault="005D2F15" w:rsidP="005D2F15">
      <w:pPr>
        <w:pStyle w:val="Zkladntext2"/>
        <w:spacing w:after="0" w:line="240" w:lineRule="auto"/>
        <w:jc w:val="center"/>
        <w:rPr>
          <w:b/>
          <w:bCs/>
        </w:rPr>
      </w:pPr>
    </w:p>
    <w:p w:rsidR="005D2F15" w:rsidRDefault="005D2F15" w:rsidP="005D2F15">
      <w:pPr>
        <w:pStyle w:val="Zkladntext2"/>
        <w:spacing w:after="0" w:line="240" w:lineRule="auto"/>
        <w:jc w:val="center"/>
        <w:rPr>
          <w:b/>
          <w:bCs/>
        </w:rPr>
      </w:pPr>
    </w:p>
    <w:p w:rsidR="005D2F15" w:rsidRDefault="005D2F15" w:rsidP="005D2F15">
      <w:pPr>
        <w:pStyle w:val="Zkladntext2"/>
        <w:spacing w:after="0" w:line="240" w:lineRule="auto"/>
        <w:jc w:val="center"/>
        <w:rPr>
          <w:b/>
          <w:bCs/>
        </w:rPr>
      </w:pPr>
    </w:p>
    <w:p w:rsidR="005D2F15" w:rsidRDefault="005D2F15" w:rsidP="005D2F15">
      <w:pPr>
        <w:pStyle w:val="Zkladntext2"/>
        <w:spacing w:after="0" w:line="240" w:lineRule="auto"/>
        <w:jc w:val="center"/>
        <w:rPr>
          <w:b/>
          <w:bCs/>
        </w:rPr>
      </w:pPr>
    </w:p>
    <w:p w:rsidR="005D2F15" w:rsidRDefault="005D2F15" w:rsidP="005D2F15">
      <w:pPr>
        <w:pStyle w:val="Zkladntext2"/>
        <w:spacing w:after="0" w:line="240" w:lineRule="auto"/>
        <w:jc w:val="center"/>
        <w:rPr>
          <w:b/>
          <w:bCs/>
        </w:rPr>
      </w:pPr>
    </w:p>
    <w:p w:rsidR="005D2F15" w:rsidRDefault="005D2F15" w:rsidP="005D2F15">
      <w:pPr>
        <w:pStyle w:val="Zkladntext2"/>
        <w:spacing w:after="0" w:line="240" w:lineRule="auto"/>
        <w:jc w:val="center"/>
        <w:rPr>
          <w:b/>
          <w:bCs/>
        </w:rPr>
      </w:pPr>
    </w:p>
    <w:p w:rsidR="005D2F15" w:rsidRDefault="005D2F15" w:rsidP="005D2F15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 w:val="28"/>
          <w:szCs w:val="28"/>
          <w:lang w:eastAsia="sk-SK"/>
        </w:rPr>
      </w:pPr>
      <w:r>
        <w:rPr>
          <w:b/>
          <w:bCs/>
          <w:sz w:val="28"/>
          <w:szCs w:val="28"/>
          <w:lang w:eastAsia="sk-SK"/>
        </w:rPr>
        <w:lastRenderedPageBreak/>
        <w:t>NÁRODNÁ RADA SLOVENSKEJ REPUBLIKY</w:t>
      </w:r>
    </w:p>
    <w:p w:rsidR="005D2F15" w:rsidRDefault="005D2F15" w:rsidP="005D2F15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 w:val="28"/>
          <w:szCs w:val="28"/>
          <w:lang w:eastAsia="sk-SK"/>
        </w:rPr>
      </w:pPr>
      <w:r>
        <w:rPr>
          <w:b/>
          <w:bCs/>
          <w:sz w:val="28"/>
          <w:szCs w:val="28"/>
          <w:lang w:eastAsia="sk-SK"/>
        </w:rPr>
        <w:t>IX.  volebné obdobie</w:t>
      </w:r>
    </w:p>
    <w:p w:rsidR="005D2F15" w:rsidRDefault="005D2F15" w:rsidP="005D2F15">
      <w:pPr>
        <w:tabs>
          <w:tab w:val="left" w:pos="709"/>
          <w:tab w:val="left" w:pos="1077"/>
        </w:tabs>
        <w:spacing w:after="0" w:line="240" w:lineRule="auto"/>
        <w:rPr>
          <w:bCs/>
          <w:szCs w:val="24"/>
          <w:lang w:eastAsia="sk-SK"/>
        </w:rPr>
      </w:pPr>
      <w:r>
        <w:rPr>
          <w:b/>
          <w:bCs/>
          <w:sz w:val="28"/>
          <w:szCs w:val="28"/>
          <w:lang w:eastAsia="sk-SK"/>
        </w:rPr>
        <w:t>________________________________________________________________</w:t>
      </w:r>
      <w:r>
        <w:rPr>
          <w:b/>
          <w:bCs/>
          <w:sz w:val="28"/>
          <w:szCs w:val="28"/>
          <w:lang w:eastAsia="sk-SK"/>
        </w:rPr>
        <w:br/>
      </w:r>
      <w:r>
        <w:rPr>
          <w:szCs w:val="24"/>
          <w:lang w:eastAsia="sk-SK"/>
        </w:rPr>
        <w:t>K číslu: KNR-VFR-5703/2025-18</w:t>
      </w:r>
    </w:p>
    <w:p w:rsidR="005D2F15" w:rsidRDefault="005D2F15" w:rsidP="005D2F15">
      <w:pPr>
        <w:spacing w:after="0" w:line="240" w:lineRule="auto"/>
        <w:rPr>
          <w:szCs w:val="24"/>
          <w:lang w:eastAsia="sk-SK"/>
        </w:rPr>
      </w:pPr>
    </w:p>
    <w:p w:rsidR="005D2F15" w:rsidRDefault="005D2F15" w:rsidP="005D2F15">
      <w:pPr>
        <w:spacing w:after="0" w:line="240" w:lineRule="auto"/>
        <w:rPr>
          <w:sz w:val="28"/>
          <w:szCs w:val="24"/>
          <w:lang w:eastAsia="sk-SK"/>
        </w:rPr>
      </w:pPr>
    </w:p>
    <w:p w:rsidR="005D2F15" w:rsidRPr="005D2F15" w:rsidRDefault="005D2F15" w:rsidP="005D2F15">
      <w:pPr>
        <w:pStyle w:val="Zkladntext"/>
        <w:spacing w:after="0" w:line="240" w:lineRule="auto"/>
        <w:jc w:val="center"/>
        <w:rPr>
          <w:b/>
          <w:bCs/>
          <w:sz w:val="28"/>
          <w:szCs w:val="28"/>
        </w:rPr>
      </w:pPr>
      <w:r w:rsidRPr="005D2F15">
        <w:rPr>
          <w:b/>
          <w:bCs/>
          <w:sz w:val="28"/>
          <w:szCs w:val="28"/>
        </w:rPr>
        <w:t>UZNESENIE</w:t>
      </w:r>
    </w:p>
    <w:p w:rsidR="005D2F15" w:rsidRDefault="005D2F15" w:rsidP="005D2F15">
      <w:pPr>
        <w:pStyle w:val="Zkladntext"/>
        <w:spacing w:after="0" w:line="240" w:lineRule="auto"/>
        <w:jc w:val="center"/>
        <w:rPr>
          <w:sz w:val="28"/>
          <w:szCs w:val="28"/>
        </w:rPr>
      </w:pPr>
      <w:r w:rsidRPr="005D2F15">
        <w:rPr>
          <w:b/>
          <w:bCs/>
          <w:sz w:val="28"/>
          <w:szCs w:val="28"/>
        </w:rPr>
        <w:t>NÁRODNEJ RADY SLOVENSKEJ REPUBLIKY</w:t>
      </w:r>
    </w:p>
    <w:p w:rsidR="005D2F15" w:rsidRPr="005D2F15" w:rsidRDefault="005D2F15" w:rsidP="005D2F15">
      <w:pPr>
        <w:pStyle w:val="Zkladntext"/>
        <w:spacing w:after="0" w:line="240" w:lineRule="auto"/>
        <w:jc w:val="center"/>
        <w:rPr>
          <w:sz w:val="28"/>
          <w:szCs w:val="28"/>
        </w:rPr>
      </w:pPr>
    </w:p>
    <w:p w:rsidR="005D2F15" w:rsidRPr="00447976" w:rsidRDefault="005D2F15" w:rsidP="005D2F15">
      <w:pPr>
        <w:pStyle w:val="Zkladntext"/>
        <w:spacing w:before="120"/>
        <w:jc w:val="center"/>
        <w:rPr>
          <w:szCs w:val="24"/>
        </w:rPr>
      </w:pPr>
      <w:r w:rsidRPr="00447976">
        <w:rPr>
          <w:bCs/>
          <w:szCs w:val="24"/>
        </w:rPr>
        <w:t>z ... novembra 2025</w:t>
      </w:r>
    </w:p>
    <w:p w:rsidR="005D2F15" w:rsidRPr="00447976" w:rsidRDefault="005D2F15" w:rsidP="005D2F15">
      <w:pPr>
        <w:spacing w:before="120" w:after="0"/>
        <w:rPr>
          <w:szCs w:val="24"/>
        </w:rPr>
      </w:pPr>
    </w:p>
    <w:p w:rsidR="005D2F15" w:rsidRPr="00447976" w:rsidRDefault="005D2F15" w:rsidP="005D2F15">
      <w:pPr>
        <w:tabs>
          <w:tab w:val="left" w:pos="1095"/>
        </w:tabs>
        <w:spacing w:after="0" w:line="240" w:lineRule="auto"/>
        <w:jc w:val="both"/>
        <w:rPr>
          <w:szCs w:val="24"/>
        </w:rPr>
      </w:pPr>
      <w:r w:rsidRPr="00447976">
        <w:rPr>
          <w:b/>
          <w:bCs/>
          <w:szCs w:val="24"/>
        </w:rPr>
        <w:t>k prijatiu potrebných opatrení na ochranu občanov Slovenskej republiky pred negatívnymi dôsledkami smernice Európskeho parlamentu a Rady (EÚ) 2023/959 z 10. mája 2023, ktorou sa mení smernica 2003/87/ES o vytvorení systému obchodovania s emisnými kvótami skleníkových plynov v Únii a rozhodnutie (EÚ) 2015/1814 o zriadení a fungovaní rezervy trhovej stability systému obchodovania s emisnými kvótami, a ktorou sa vytvára samostatný systém obchodovania s emisnými kvótami pre palivá používané v sektoroch budov a cestnej dopravy (tzv. ETS2)</w:t>
      </w:r>
    </w:p>
    <w:p w:rsidR="005D2F15" w:rsidRPr="00447976" w:rsidRDefault="005D2F15" w:rsidP="005D2F15">
      <w:pPr>
        <w:tabs>
          <w:tab w:val="left" w:pos="1095"/>
        </w:tabs>
        <w:spacing w:before="120" w:after="0" w:line="360" w:lineRule="auto"/>
        <w:jc w:val="both"/>
        <w:rPr>
          <w:szCs w:val="24"/>
        </w:rPr>
      </w:pPr>
    </w:p>
    <w:p w:rsidR="005D2F15" w:rsidRPr="00447976" w:rsidRDefault="005D2F15" w:rsidP="005D2F15">
      <w:pPr>
        <w:tabs>
          <w:tab w:val="left" w:pos="1095"/>
        </w:tabs>
        <w:spacing w:before="120" w:after="0" w:line="360" w:lineRule="auto"/>
        <w:jc w:val="both"/>
        <w:rPr>
          <w:b/>
          <w:sz w:val="28"/>
          <w:szCs w:val="28"/>
        </w:rPr>
      </w:pPr>
      <w:r w:rsidRPr="00447976">
        <w:rPr>
          <w:b/>
          <w:sz w:val="28"/>
          <w:szCs w:val="28"/>
        </w:rPr>
        <w:t>Národná rada Slovenskej republiky,</w:t>
      </w:r>
    </w:p>
    <w:p w:rsidR="005D2F15" w:rsidRDefault="005D2F15" w:rsidP="00447976">
      <w:pPr>
        <w:tabs>
          <w:tab w:val="left" w:pos="1095"/>
        </w:tabs>
        <w:spacing w:after="0" w:line="240" w:lineRule="auto"/>
        <w:jc w:val="both"/>
        <w:rPr>
          <w:szCs w:val="24"/>
        </w:rPr>
      </w:pPr>
      <w:r w:rsidRPr="00447976">
        <w:rPr>
          <w:b/>
          <w:bCs/>
          <w:szCs w:val="24"/>
        </w:rPr>
        <w:t>v záujme ochrany občanov Slovenskej republiky, rodín, sociálne slabších skupín a zachovania zásad subsidiarity a proporcionality podľa článku 5 Zmluvy o Európskej únii</w:t>
      </w:r>
      <w:r w:rsidRPr="00447976">
        <w:rPr>
          <w:szCs w:val="24"/>
        </w:rPr>
        <w:t>:</w:t>
      </w:r>
    </w:p>
    <w:p w:rsidR="00447976" w:rsidRPr="00447976" w:rsidRDefault="00447976" w:rsidP="00447976">
      <w:pPr>
        <w:tabs>
          <w:tab w:val="left" w:pos="1095"/>
        </w:tabs>
        <w:spacing w:after="0" w:line="240" w:lineRule="auto"/>
        <w:jc w:val="both"/>
        <w:rPr>
          <w:szCs w:val="24"/>
        </w:rPr>
      </w:pPr>
    </w:p>
    <w:p w:rsidR="005D2F15" w:rsidRPr="00447976" w:rsidRDefault="005D2F15" w:rsidP="00137BE2">
      <w:pPr>
        <w:pStyle w:val="Odsekzoznamu"/>
        <w:numPr>
          <w:ilvl w:val="0"/>
          <w:numId w:val="4"/>
        </w:numPr>
        <w:tabs>
          <w:tab w:val="left" w:pos="1095"/>
        </w:tabs>
        <w:spacing w:after="0" w:line="240" w:lineRule="auto"/>
        <w:jc w:val="both"/>
        <w:rPr>
          <w:szCs w:val="24"/>
        </w:rPr>
      </w:pPr>
      <w:r w:rsidRPr="00447976">
        <w:rPr>
          <w:b/>
          <w:bCs/>
          <w:szCs w:val="24"/>
        </w:rPr>
        <w:t>berie na vedomie</w:t>
      </w:r>
      <w:r w:rsidRPr="00447976">
        <w:rPr>
          <w:szCs w:val="24"/>
        </w:rPr>
        <w:t>, že európske inštitúcie oznámili zámer odložiť zavedenie systému ETS2 o jeden rok;</w:t>
      </w:r>
    </w:p>
    <w:p w:rsidR="00137BE2" w:rsidRPr="00447976" w:rsidRDefault="00137BE2" w:rsidP="00137BE2">
      <w:pPr>
        <w:pStyle w:val="Odsekzoznamu"/>
        <w:tabs>
          <w:tab w:val="left" w:pos="1095"/>
        </w:tabs>
        <w:spacing w:after="0" w:line="240" w:lineRule="auto"/>
        <w:ind w:left="750"/>
        <w:jc w:val="both"/>
        <w:rPr>
          <w:szCs w:val="24"/>
        </w:rPr>
      </w:pPr>
    </w:p>
    <w:p w:rsidR="005D2F15" w:rsidRPr="00447976" w:rsidRDefault="005D2F15" w:rsidP="00137BE2">
      <w:pPr>
        <w:pStyle w:val="Odsekzoznamu"/>
        <w:numPr>
          <w:ilvl w:val="0"/>
          <w:numId w:val="4"/>
        </w:numPr>
        <w:tabs>
          <w:tab w:val="left" w:pos="1095"/>
        </w:tabs>
        <w:spacing w:after="0" w:line="240" w:lineRule="auto"/>
        <w:jc w:val="both"/>
        <w:rPr>
          <w:szCs w:val="24"/>
        </w:rPr>
      </w:pPr>
      <w:r w:rsidRPr="00447976">
        <w:rPr>
          <w:b/>
          <w:bCs/>
          <w:szCs w:val="24"/>
        </w:rPr>
        <w:t>zdôrazňuje</w:t>
      </w:r>
      <w:r w:rsidRPr="00447976">
        <w:rPr>
          <w:szCs w:val="24"/>
        </w:rPr>
        <w:t xml:space="preserve">, že samotný odklad o jeden rok je </w:t>
      </w:r>
      <w:r w:rsidRPr="00447976">
        <w:rPr>
          <w:b/>
          <w:bCs/>
          <w:szCs w:val="24"/>
        </w:rPr>
        <w:t>nedostatočný</w:t>
      </w:r>
      <w:r w:rsidRPr="00447976">
        <w:rPr>
          <w:szCs w:val="24"/>
        </w:rPr>
        <w:t xml:space="preserve">, keďže nerieši podstatu zásadných sociálnych, ekonomických a </w:t>
      </w:r>
      <w:proofErr w:type="spellStart"/>
      <w:r w:rsidRPr="00447976">
        <w:rPr>
          <w:szCs w:val="24"/>
        </w:rPr>
        <w:t>suverenitných</w:t>
      </w:r>
      <w:proofErr w:type="spellEnd"/>
      <w:r w:rsidRPr="00447976">
        <w:rPr>
          <w:szCs w:val="24"/>
        </w:rPr>
        <w:t xml:space="preserve"> problémov spojených s ETS2, ale iba ich posúva v čase;</w:t>
      </w:r>
    </w:p>
    <w:p w:rsidR="00137BE2" w:rsidRPr="00447976" w:rsidRDefault="00137BE2" w:rsidP="00137BE2">
      <w:pPr>
        <w:tabs>
          <w:tab w:val="left" w:pos="1095"/>
        </w:tabs>
        <w:spacing w:after="0" w:line="240" w:lineRule="auto"/>
        <w:jc w:val="both"/>
        <w:rPr>
          <w:szCs w:val="24"/>
        </w:rPr>
      </w:pPr>
    </w:p>
    <w:p w:rsidR="005D2F15" w:rsidRPr="00447976" w:rsidRDefault="005D2F15" w:rsidP="00137BE2">
      <w:pPr>
        <w:pStyle w:val="Odsekzoznamu"/>
        <w:numPr>
          <w:ilvl w:val="0"/>
          <w:numId w:val="4"/>
        </w:numPr>
        <w:tabs>
          <w:tab w:val="left" w:pos="1095"/>
        </w:tabs>
        <w:spacing w:before="120" w:after="0" w:line="360" w:lineRule="auto"/>
        <w:jc w:val="both"/>
        <w:rPr>
          <w:szCs w:val="24"/>
        </w:rPr>
      </w:pPr>
      <w:r w:rsidRPr="00447976">
        <w:rPr>
          <w:b/>
          <w:bCs/>
          <w:szCs w:val="24"/>
        </w:rPr>
        <w:t>konštatuje, že:</w:t>
      </w:r>
    </w:p>
    <w:p w:rsidR="005D2F15" w:rsidRPr="00447976" w:rsidRDefault="005D2F15" w:rsidP="00137BE2">
      <w:pPr>
        <w:numPr>
          <w:ilvl w:val="0"/>
          <w:numId w:val="2"/>
        </w:numPr>
        <w:tabs>
          <w:tab w:val="left" w:pos="1095"/>
        </w:tabs>
        <w:spacing w:after="0" w:line="240" w:lineRule="auto"/>
        <w:ind w:left="357" w:hanging="357"/>
        <w:jc w:val="both"/>
        <w:rPr>
          <w:szCs w:val="24"/>
        </w:rPr>
      </w:pPr>
      <w:r w:rsidRPr="00447976">
        <w:rPr>
          <w:szCs w:val="24"/>
        </w:rPr>
        <w:t xml:space="preserve">systém ETS2 by v prípade zavedenia predstavoval </w:t>
      </w:r>
      <w:r w:rsidRPr="00447976">
        <w:rPr>
          <w:b/>
          <w:bCs/>
          <w:szCs w:val="24"/>
        </w:rPr>
        <w:t>výrazné finančné zaťaženie pre domácnosti a používateľov cestnej dopravy</w:t>
      </w:r>
      <w:r w:rsidRPr="00447976">
        <w:rPr>
          <w:szCs w:val="24"/>
        </w:rPr>
        <w:t>, pričom jeho dopad na ceny energií a palív by najviac pocítili rodiny s nižšími príjmami, dôchodcovia, zraniteľné skupiny a malé a stredné podniky;</w:t>
      </w:r>
    </w:p>
    <w:p w:rsidR="005D2F15" w:rsidRPr="00447976" w:rsidRDefault="005D2F15" w:rsidP="00137BE2">
      <w:pPr>
        <w:numPr>
          <w:ilvl w:val="0"/>
          <w:numId w:val="2"/>
        </w:numPr>
        <w:tabs>
          <w:tab w:val="left" w:pos="1095"/>
        </w:tabs>
        <w:spacing w:after="0" w:line="240" w:lineRule="auto"/>
        <w:ind w:left="357" w:hanging="357"/>
        <w:jc w:val="both"/>
        <w:rPr>
          <w:szCs w:val="24"/>
        </w:rPr>
      </w:pPr>
      <w:r w:rsidRPr="00447976">
        <w:rPr>
          <w:szCs w:val="24"/>
        </w:rPr>
        <w:t xml:space="preserve">ETS2 je v podstate formou </w:t>
      </w:r>
      <w:r w:rsidRPr="00447976">
        <w:rPr>
          <w:b/>
          <w:bCs/>
          <w:szCs w:val="24"/>
        </w:rPr>
        <w:t>nového nepriamo určovaného zdanenia</w:t>
      </w:r>
      <w:r w:rsidRPr="00447976">
        <w:rPr>
          <w:szCs w:val="24"/>
        </w:rPr>
        <w:t xml:space="preserve">, ktorého výška by nebola výsledkom rozhodovania volených orgánov Slovenskej republiky ani Európskej únie, ale by bola odvodená od vývoja na trhu s emisnými kvótami, vrátane rizika cenovej </w:t>
      </w:r>
      <w:proofErr w:type="spellStart"/>
      <w:r w:rsidRPr="00447976">
        <w:rPr>
          <w:szCs w:val="24"/>
        </w:rPr>
        <w:t>volatility</w:t>
      </w:r>
      <w:proofErr w:type="spellEnd"/>
      <w:r w:rsidRPr="00447976">
        <w:rPr>
          <w:szCs w:val="24"/>
        </w:rPr>
        <w:t xml:space="preserve"> a špekulatívneho správania;</w:t>
      </w:r>
    </w:p>
    <w:p w:rsidR="005D2F15" w:rsidRPr="00447976" w:rsidRDefault="005D2F15" w:rsidP="00137BE2">
      <w:pPr>
        <w:numPr>
          <w:ilvl w:val="0"/>
          <w:numId w:val="2"/>
        </w:numPr>
        <w:tabs>
          <w:tab w:val="left" w:pos="1095"/>
        </w:tabs>
        <w:spacing w:after="0" w:line="240" w:lineRule="auto"/>
        <w:ind w:left="357" w:hanging="357"/>
        <w:jc w:val="both"/>
        <w:rPr>
          <w:szCs w:val="24"/>
        </w:rPr>
      </w:pPr>
      <w:r w:rsidRPr="00447976">
        <w:rPr>
          <w:szCs w:val="24"/>
        </w:rPr>
        <w:t xml:space="preserve">takýto mechanizmus predstavuje </w:t>
      </w:r>
      <w:r w:rsidRPr="00447976">
        <w:rPr>
          <w:b/>
          <w:bCs/>
          <w:szCs w:val="24"/>
        </w:rPr>
        <w:t>neprimeraný zásah do hospodárskej a daňovej suverenity Slovenskej republiky</w:t>
      </w:r>
      <w:r w:rsidRPr="00447976">
        <w:rPr>
          <w:szCs w:val="24"/>
        </w:rPr>
        <w:t>, a je v rozpore so zásadou subsidiarity a proporcionality podľa čl. 5 ZEÚ;</w:t>
      </w:r>
    </w:p>
    <w:p w:rsidR="005D2F15" w:rsidRPr="00447976" w:rsidRDefault="005D2F15" w:rsidP="00137BE2">
      <w:pPr>
        <w:numPr>
          <w:ilvl w:val="0"/>
          <w:numId w:val="2"/>
        </w:numPr>
        <w:tabs>
          <w:tab w:val="left" w:pos="1095"/>
        </w:tabs>
        <w:spacing w:after="0" w:line="240" w:lineRule="auto"/>
        <w:ind w:left="357" w:hanging="357"/>
        <w:jc w:val="both"/>
        <w:rPr>
          <w:szCs w:val="24"/>
        </w:rPr>
      </w:pPr>
      <w:r w:rsidRPr="00447976">
        <w:rPr>
          <w:szCs w:val="24"/>
        </w:rPr>
        <w:t xml:space="preserve">potenciálne </w:t>
      </w:r>
      <w:r w:rsidRPr="00447976">
        <w:rPr>
          <w:b/>
          <w:bCs/>
          <w:szCs w:val="24"/>
        </w:rPr>
        <w:t>klimatické prínosy ETS2 sú nejasné</w:t>
      </w:r>
      <w:r w:rsidRPr="00447976">
        <w:rPr>
          <w:szCs w:val="24"/>
        </w:rPr>
        <w:t>, celkový globálny efekt marginálny a mechanizmus nie je primerane prispôsobený sociálnej situácii členských štátov s nižšími príjmami a vyšším rizikom energetickej chudoby;</w:t>
      </w:r>
    </w:p>
    <w:p w:rsidR="005D2F15" w:rsidRPr="00447976" w:rsidRDefault="005D2F15" w:rsidP="00137BE2">
      <w:pPr>
        <w:numPr>
          <w:ilvl w:val="0"/>
          <w:numId w:val="2"/>
        </w:numPr>
        <w:tabs>
          <w:tab w:val="left" w:pos="1095"/>
        </w:tabs>
        <w:spacing w:after="0" w:line="240" w:lineRule="auto"/>
        <w:ind w:left="357" w:hanging="357"/>
        <w:jc w:val="both"/>
        <w:rPr>
          <w:szCs w:val="24"/>
        </w:rPr>
      </w:pPr>
      <w:r w:rsidRPr="00447976">
        <w:rPr>
          <w:szCs w:val="24"/>
        </w:rPr>
        <w:lastRenderedPageBreak/>
        <w:t>na Slovensku môže zvýšenie cien plynového vykurovania motivovať domácnosti k návratu k tuhým palivám, čo by viedlo k zhoršeniu kvality ovzdušia a k negatívnym dopadom na zdravie obyvateľov, a tým paradoxne k zhoršeniu životného prostredia;</w:t>
      </w:r>
    </w:p>
    <w:p w:rsidR="005D2F15" w:rsidRPr="00447976" w:rsidRDefault="005D2F15" w:rsidP="00137BE2">
      <w:pPr>
        <w:numPr>
          <w:ilvl w:val="0"/>
          <w:numId w:val="2"/>
        </w:numPr>
        <w:tabs>
          <w:tab w:val="left" w:pos="1095"/>
        </w:tabs>
        <w:spacing w:after="0" w:line="240" w:lineRule="auto"/>
        <w:ind w:left="357" w:hanging="357"/>
        <w:jc w:val="both"/>
        <w:rPr>
          <w:szCs w:val="24"/>
        </w:rPr>
      </w:pPr>
      <w:r w:rsidRPr="00447976">
        <w:rPr>
          <w:szCs w:val="24"/>
        </w:rPr>
        <w:t xml:space="preserve">samotný Sociálno-klimatický fond, ako kompenzačný nástroj, je </w:t>
      </w:r>
      <w:r w:rsidRPr="00447976">
        <w:rPr>
          <w:b/>
          <w:bCs/>
          <w:szCs w:val="24"/>
        </w:rPr>
        <w:t>nedostatočný</w:t>
      </w:r>
      <w:r w:rsidRPr="00447976">
        <w:rPr>
          <w:szCs w:val="24"/>
        </w:rPr>
        <w:t>, keďže ide najmä o prerozdeľovanie zdrojov, ktoré môže mať obmedzenú efektivitu a neadekvátny vplyv na skutočné zmiernenie negatívnych dopadov ETS2 na občanov;</w:t>
      </w:r>
    </w:p>
    <w:p w:rsidR="005D2F15" w:rsidRPr="00447976" w:rsidRDefault="005D2F15" w:rsidP="00137BE2">
      <w:pPr>
        <w:numPr>
          <w:ilvl w:val="0"/>
          <w:numId w:val="2"/>
        </w:numPr>
        <w:tabs>
          <w:tab w:val="left" w:pos="1095"/>
        </w:tabs>
        <w:spacing w:after="0" w:line="240" w:lineRule="auto"/>
        <w:ind w:left="357" w:hanging="357"/>
        <w:jc w:val="both"/>
        <w:rPr>
          <w:szCs w:val="24"/>
        </w:rPr>
      </w:pPr>
      <w:r w:rsidRPr="00447976">
        <w:rPr>
          <w:szCs w:val="24"/>
        </w:rPr>
        <w:t>v posledných rokoch došlo k výraznému rastu cien energií, ktorý najmä v členských štátoch s nižšími príjmami obyvateľstva predstavuje vážny zásah do životnej úrovne občanov; na Slovensku bol tento vplyv ešte umocnený prijatými fiškálnymi opatreniami vrátane zvýšenia dane z pridanej hodnoty na plyn, teplo a motorové palivá, pričom spotrebná daň z benzínu patrí k najvyšším v regióne strednej Európy, čo ďalej zvyšuje celkové náklady domácností a citlivosť na akékoľvek dodatočné cenové zaťaženie vyplývajúce z ETS2.</w:t>
      </w:r>
    </w:p>
    <w:p w:rsidR="005D2F15" w:rsidRPr="00447976" w:rsidRDefault="005D2F15" w:rsidP="005D2F15">
      <w:pPr>
        <w:tabs>
          <w:tab w:val="left" w:pos="1095"/>
        </w:tabs>
        <w:spacing w:before="120" w:after="0" w:line="360" w:lineRule="auto"/>
        <w:ind w:left="720"/>
        <w:jc w:val="both"/>
        <w:rPr>
          <w:szCs w:val="24"/>
        </w:rPr>
      </w:pPr>
    </w:p>
    <w:p w:rsidR="005D2F15" w:rsidRPr="00447976" w:rsidRDefault="005D2F15" w:rsidP="00137BE2">
      <w:pPr>
        <w:tabs>
          <w:tab w:val="left" w:pos="1095"/>
        </w:tabs>
        <w:spacing w:after="0" w:line="240" w:lineRule="auto"/>
        <w:jc w:val="both"/>
        <w:rPr>
          <w:szCs w:val="24"/>
        </w:rPr>
      </w:pPr>
      <w:r w:rsidRPr="00447976">
        <w:rPr>
          <w:b/>
          <w:bCs/>
          <w:szCs w:val="24"/>
        </w:rPr>
        <w:t>D. vyzýva vládu Slovenskej republiky, aby:</w:t>
      </w:r>
    </w:p>
    <w:p w:rsidR="00447976" w:rsidRDefault="005D2F15" w:rsidP="00447976">
      <w:pPr>
        <w:pStyle w:val="Odsekzoznamu"/>
        <w:numPr>
          <w:ilvl w:val="0"/>
          <w:numId w:val="3"/>
        </w:numPr>
        <w:tabs>
          <w:tab w:val="left" w:pos="1095"/>
        </w:tabs>
        <w:spacing w:after="0" w:line="240" w:lineRule="auto"/>
        <w:jc w:val="both"/>
        <w:rPr>
          <w:szCs w:val="24"/>
        </w:rPr>
      </w:pPr>
      <w:r w:rsidRPr="00447976">
        <w:rPr>
          <w:b/>
          <w:bCs/>
          <w:szCs w:val="24"/>
        </w:rPr>
        <w:t>presadzovala na úrovni EÚ</w:t>
      </w:r>
      <w:r w:rsidRPr="00447976">
        <w:rPr>
          <w:szCs w:val="24"/>
        </w:rPr>
        <w:t xml:space="preserve"> v spolupráci s ďalšími členskými štátmi </w:t>
      </w:r>
      <w:r w:rsidRPr="00447976">
        <w:rPr>
          <w:b/>
          <w:bCs/>
          <w:szCs w:val="24"/>
        </w:rPr>
        <w:t>zásadné odmietnutie ETS2</w:t>
      </w:r>
      <w:r w:rsidRPr="00447976">
        <w:rPr>
          <w:szCs w:val="24"/>
        </w:rPr>
        <w:t>, jeho prehodnotenie vrátane alternatív k tomuto systému, ktoré by chránili občanov SR, a zároveň rešpektovali zásady subsidiarity a proporcionality;</w:t>
      </w:r>
    </w:p>
    <w:p w:rsidR="005D2F15" w:rsidRPr="00447976" w:rsidRDefault="005D2F15" w:rsidP="00447976">
      <w:pPr>
        <w:pStyle w:val="Odsekzoznamu"/>
        <w:numPr>
          <w:ilvl w:val="0"/>
          <w:numId w:val="3"/>
        </w:numPr>
        <w:tabs>
          <w:tab w:val="left" w:pos="1095"/>
        </w:tabs>
        <w:spacing w:after="0" w:line="240" w:lineRule="auto"/>
        <w:jc w:val="both"/>
        <w:rPr>
          <w:szCs w:val="24"/>
        </w:rPr>
      </w:pPr>
      <w:r w:rsidRPr="00447976">
        <w:rPr>
          <w:b/>
          <w:bCs/>
          <w:szCs w:val="24"/>
        </w:rPr>
        <w:t>predložila Národnej rade Slovenskej republiky</w:t>
      </w:r>
      <w:r w:rsidRPr="00447976">
        <w:rPr>
          <w:szCs w:val="24"/>
        </w:rPr>
        <w:t xml:space="preserve"> do 31. januára 2026 </w:t>
      </w:r>
      <w:r w:rsidRPr="00447976">
        <w:rPr>
          <w:b/>
          <w:bCs/>
          <w:szCs w:val="24"/>
        </w:rPr>
        <w:t>správu o právnych, ekonomických a sociálnych dôsledkoch ETS2 na SR</w:t>
      </w:r>
      <w:r w:rsidRPr="00447976">
        <w:rPr>
          <w:szCs w:val="24"/>
        </w:rPr>
        <w:t>, vrátane posúdenia možností úprav na úrovni EÚ a návrhu postupu ochrany záujmov Slovenskej republiky;</w:t>
      </w:r>
    </w:p>
    <w:p w:rsidR="005D2F15" w:rsidRPr="00447976" w:rsidRDefault="005D2F15" w:rsidP="00447976">
      <w:pPr>
        <w:pStyle w:val="Odsekzoznamu"/>
        <w:numPr>
          <w:ilvl w:val="0"/>
          <w:numId w:val="3"/>
        </w:numPr>
        <w:tabs>
          <w:tab w:val="left" w:pos="1095"/>
        </w:tabs>
        <w:spacing w:after="0" w:line="240" w:lineRule="auto"/>
        <w:jc w:val="both"/>
        <w:rPr>
          <w:szCs w:val="24"/>
        </w:rPr>
      </w:pPr>
      <w:r w:rsidRPr="00447976">
        <w:rPr>
          <w:szCs w:val="24"/>
        </w:rPr>
        <w:t xml:space="preserve">v prípade, že na úrovni EÚ nedôjde k odmietnutiu alebo dostatočnému prehodnoteniu ETS2, </w:t>
      </w:r>
      <w:r w:rsidRPr="00447976">
        <w:rPr>
          <w:b/>
          <w:bCs/>
          <w:szCs w:val="24"/>
        </w:rPr>
        <w:t>navrhla postup na minimalizáciu negatívnych dopadov ETS2</w:t>
      </w:r>
      <w:r w:rsidRPr="00447976">
        <w:rPr>
          <w:szCs w:val="24"/>
        </w:rPr>
        <w:t xml:space="preserve"> na obyvateľov SR v súlade s platným právom a zásadou ochrany verejného záujmu;</w:t>
      </w:r>
    </w:p>
    <w:p w:rsidR="005D2F15" w:rsidRPr="00447976" w:rsidRDefault="005D2F15" w:rsidP="00447976">
      <w:pPr>
        <w:pStyle w:val="Odsekzoznamu"/>
        <w:numPr>
          <w:ilvl w:val="0"/>
          <w:numId w:val="3"/>
        </w:numPr>
        <w:tabs>
          <w:tab w:val="left" w:pos="1095"/>
        </w:tabs>
        <w:spacing w:after="0" w:line="240" w:lineRule="auto"/>
        <w:jc w:val="both"/>
        <w:rPr>
          <w:szCs w:val="24"/>
        </w:rPr>
      </w:pPr>
      <w:r w:rsidRPr="00447976">
        <w:rPr>
          <w:szCs w:val="24"/>
        </w:rPr>
        <w:t xml:space="preserve">v rámci uvedeného posúdenia </w:t>
      </w:r>
      <w:r w:rsidRPr="00447976">
        <w:rPr>
          <w:b/>
          <w:bCs/>
          <w:szCs w:val="24"/>
        </w:rPr>
        <w:t>vyhodnotila aj právne možnosti SR</w:t>
      </w:r>
      <w:r w:rsidRPr="00447976">
        <w:rPr>
          <w:szCs w:val="24"/>
        </w:rPr>
        <w:t>, vrátane možností využitia dostupných právnych prostriedkov na úrovni EÚ, ak by sa potvrdilo porušenie zásad subsidiarity a proporcionality;</w:t>
      </w:r>
    </w:p>
    <w:p w:rsidR="005D2F15" w:rsidRPr="00447976" w:rsidRDefault="005D2F15" w:rsidP="00447976">
      <w:pPr>
        <w:pStyle w:val="Odsekzoznamu"/>
        <w:numPr>
          <w:ilvl w:val="0"/>
          <w:numId w:val="3"/>
        </w:numPr>
        <w:tabs>
          <w:tab w:val="left" w:pos="1095"/>
        </w:tabs>
        <w:spacing w:after="0" w:line="240" w:lineRule="auto"/>
        <w:jc w:val="both"/>
        <w:rPr>
          <w:szCs w:val="24"/>
        </w:rPr>
      </w:pPr>
      <w:r w:rsidRPr="00447976">
        <w:rPr>
          <w:b/>
          <w:bCs/>
          <w:szCs w:val="24"/>
        </w:rPr>
        <w:t>odmietla riešenia</w:t>
      </w:r>
      <w:r w:rsidRPr="00447976">
        <w:rPr>
          <w:szCs w:val="24"/>
        </w:rPr>
        <w:t xml:space="preserve">, ktoré by spočívali len v ďalšom prerozdeľovaní a plošnom dotovaní cien energií bez adresného efektu, a namiesto toho </w:t>
      </w:r>
      <w:r w:rsidRPr="00447976">
        <w:rPr>
          <w:b/>
          <w:bCs/>
          <w:szCs w:val="24"/>
        </w:rPr>
        <w:t>pripravila systém adresnej pomoci</w:t>
      </w:r>
      <w:r w:rsidRPr="00447976">
        <w:rPr>
          <w:szCs w:val="24"/>
        </w:rPr>
        <w:t xml:space="preserve"> na boj s energetickou chudobou, vrátane podpory bývania a úspor energií;</w:t>
      </w:r>
    </w:p>
    <w:p w:rsidR="005D2F15" w:rsidRPr="00447976" w:rsidRDefault="005D2F15" w:rsidP="00447976">
      <w:pPr>
        <w:pStyle w:val="Odsekzoznamu"/>
        <w:numPr>
          <w:ilvl w:val="0"/>
          <w:numId w:val="3"/>
        </w:numPr>
        <w:tabs>
          <w:tab w:val="left" w:pos="1095"/>
        </w:tabs>
        <w:spacing w:after="0" w:line="240" w:lineRule="auto"/>
        <w:jc w:val="both"/>
        <w:rPr>
          <w:b/>
          <w:bCs/>
          <w:szCs w:val="24"/>
        </w:rPr>
      </w:pPr>
      <w:r w:rsidRPr="00447976">
        <w:rPr>
          <w:b/>
          <w:bCs/>
          <w:szCs w:val="24"/>
        </w:rPr>
        <w:t>podporovala diverzifikáciu a stabilitu energetických zdrojov</w:t>
      </w:r>
      <w:r w:rsidRPr="00447976">
        <w:rPr>
          <w:szCs w:val="24"/>
        </w:rPr>
        <w:t xml:space="preserve">, najmä akceleráciu rozvoja </w:t>
      </w:r>
      <w:proofErr w:type="spellStart"/>
      <w:r w:rsidRPr="00447976">
        <w:rPr>
          <w:szCs w:val="24"/>
        </w:rPr>
        <w:t>nízkouhlíkových</w:t>
      </w:r>
      <w:proofErr w:type="spellEnd"/>
      <w:r w:rsidRPr="00447976">
        <w:rPr>
          <w:szCs w:val="24"/>
        </w:rPr>
        <w:t xml:space="preserve"> zdrojov vrátane jadrovej energetiky, efektívne využitie geotermálnej energie a udržateľných riešení v teplárenstve;</w:t>
      </w:r>
    </w:p>
    <w:p w:rsidR="005D2F15" w:rsidRPr="00447976" w:rsidRDefault="005D2F15" w:rsidP="00447976">
      <w:pPr>
        <w:pStyle w:val="Odsekzoznamu"/>
        <w:numPr>
          <w:ilvl w:val="0"/>
          <w:numId w:val="3"/>
        </w:numPr>
        <w:tabs>
          <w:tab w:val="left" w:pos="1095"/>
        </w:tabs>
        <w:spacing w:after="0" w:line="240" w:lineRule="auto"/>
        <w:jc w:val="both"/>
        <w:rPr>
          <w:szCs w:val="24"/>
        </w:rPr>
      </w:pPr>
      <w:r w:rsidRPr="00447976">
        <w:rPr>
          <w:szCs w:val="24"/>
        </w:rPr>
        <w:t xml:space="preserve">podporovala na národnej úrovni aj úrovni EÚ len také opatrenia v oblasti životného prostredia, ktoré sú </w:t>
      </w:r>
      <w:r w:rsidRPr="00447976">
        <w:rPr>
          <w:b/>
          <w:bCs/>
          <w:szCs w:val="24"/>
        </w:rPr>
        <w:t>realistické, ekonomicky primerané</w:t>
      </w:r>
      <w:r w:rsidRPr="00447976">
        <w:rPr>
          <w:szCs w:val="24"/>
        </w:rPr>
        <w:t xml:space="preserve"> a prinášajú </w:t>
      </w:r>
      <w:r w:rsidRPr="00447976">
        <w:rPr>
          <w:b/>
          <w:bCs/>
          <w:szCs w:val="24"/>
        </w:rPr>
        <w:t>merateľný prínos</w:t>
      </w:r>
      <w:r w:rsidRPr="00447976">
        <w:rPr>
          <w:szCs w:val="24"/>
        </w:rPr>
        <w:t xml:space="preserve"> pre občanov, životné prostredie a konkurencieschopnosť hospodárstva, v súlade so zásadou hodnoty za peniaze.</w:t>
      </w:r>
    </w:p>
    <w:p w:rsidR="00137BE2" w:rsidRPr="00447976" w:rsidRDefault="00137BE2" w:rsidP="00137BE2">
      <w:pPr>
        <w:pStyle w:val="Zkladntext"/>
        <w:spacing w:after="0" w:line="240" w:lineRule="auto"/>
        <w:jc w:val="both"/>
        <w:rPr>
          <w:b/>
          <w:bCs/>
          <w:szCs w:val="24"/>
        </w:rPr>
      </w:pPr>
    </w:p>
    <w:p w:rsidR="005D2F15" w:rsidRPr="00447976" w:rsidRDefault="005D2F15" w:rsidP="00137BE2">
      <w:pPr>
        <w:pStyle w:val="Zkladntext"/>
        <w:numPr>
          <w:ilvl w:val="1"/>
          <w:numId w:val="3"/>
        </w:numPr>
        <w:spacing w:after="0" w:line="240" w:lineRule="auto"/>
        <w:ind w:left="0" w:firstLine="0"/>
        <w:jc w:val="both"/>
        <w:rPr>
          <w:szCs w:val="24"/>
        </w:rPr>
      </w:pPr>
      <w:r w:rsidRPr="00447976">
        <w:rPr>
          <w:b/>
          <w:bCs/>
          <w:szCs w:val="24"/>
        </w:rPr>
        <w:t>žiada predsedu Národnej rady Slovenskej republiky</w:t>
      </w:r>
      <w:r w:rsidRPr="00447976">
        <w:rPr>
          <w:szCs w:val="24"/>
        </w:rPr>
        <w:t xml:space="preserve">, aby o prijatom uznesení informoval predsedu vlády Slovenskej republiky, ministra hospodárstva Slovenskej republiky, ministra životného prostredia Slovenskej republiky a stálych predstaviteľov Slovenskej republiky pri Európskej únii. </w:t>
      </w:r>
    </w:p>
    <w:p w:rsidR="008F5D5B" w:rsidRPr="00447976" w:rsidRDefault="008F5D5B">
      <w:pPr>
        <w:rPr>
          <w:szCs w:val="24"/>
        </w:rPr>
      </w:pPr>
    </w:p>
    <w:sectPr w:rsidR="008F5D5B" w:rsidRPr="004479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F4AC5"/>
    <w:multiLevelType w:val="hybridMultilevel"/>
    <w:tmpl w:val="762C1282"/>
    <w:lvl w:ilvl="0" w:tplc="78667B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3F11F2"/>
    <w:multiLevelType w:val="multilevel"/>
    <w:tmpl w:val="5E6012E0"/>
    <w:lvl w:ilvl="0">
      <w:start w:val="1"/>
      <w:numFmt w:val="decimal"/>
      <w:lvlText w:val="%1."/>
      <w:lvlJc w:val="left"/>
      <w:pPr>
        <w:tabs>
          <w:tab w:val="num" w:pos="2148"/>
        </w:tabs>
        <w:ind w:left="2148" w:hanging="360"/>
      </w:pPr>
    </w:lvl>
    <w:lvl w:ilvl="1" w:tentative="1">
      <w:start w:val="1"/>
      <w:numFmt w:val="decimal"/>
      <w:lvlText w:val="%2."/>
      <w:lvlJc w:val="left"/>
      <w:pPr>
        <w:tabs>
          <w:tab w:val="num" w:pos="2868"/>
        </w:tabs>
        <w:ind w:left="2868" w:hanging="360"/>
      </w:pPr>
    </w:lvl>
    <w:lvl w:ilvl="2" w:tentative="1">
      <w:start w:val="1"/>
      <w:numFmt w:val="decimal"/>
      <w:lvlText w:val="%3."/>
      <w:lvlJc w:val="left"/>
      <w:pPr>
        <w:tabs>
          <w:tab w:val="num" w:pos="3588"/>
        </w:tabs>
        <w:ind w:left="3588" w:hanging="360"/>
      </w:pPr>
    </w:lvl>
    <w:lvl w:ilvl="3" w:tentative="1">
      <w:start w:val="1"/>
      <w:numFmt w:val="decimal"/>
      <w:lvlText w:val="%4."/>
      <w:lvlJc w:val="left"/>
      <w:pPr>
        <w:tabs>
          <w:tab w:val="num" w:pos="4308"/>
        </w:tabs>
        <w:ind w:left="4308" w:hanging="360"/>
      </w:pPr>
    </w:lvl>
    <w:lvl w:ilvl="4" w:tentative="1">
      <w:start w:val="1"/>
      <w:numFmt w:val="decimal"/>
      <w:lvlText w:val="%5."/>
      <w:lvlJc w:val="left"/>
      <w:pPr>
        <w:tabs>
          <w:tab w:val="num" w:pos="5028"/>
        </w:tabs>
        <w:ind w:left="5028" w:hanging="360"/>
      </w:pPr>
    </w:lvl>
    <w:lvl w:ilvl="5" w:tentative="1">
      <w:start w:val="1"/>
      <w:numFmt w:val="decimal"/>
      <w:lvlText w:val="%6."/>
      <w:lvlJc w:val="left"/>
      <w:pPr>
        <w:tabs>
          <w:tab w:val="num" w:pos="5748"/>
        </w:tabs>
        <w:ind w:left="5748" w:hanging="360"/>
      </w:pPr>
    </w:lvl>
    <w:lvl w:ilvl="6" w:tentative="1">
      <w:start w:val="1"/>
      <w:numFmt w:val="decimal"/>
      <w:lvlText w:val="%7."/>
      <w:lvlJc w:val="left"/>
      <w:pPr>
        <w:tabs>
          <w:tab w:val="num" w:pos="6468"/>
        </w:tabs>
        <w:ind w:left="6468" w:hanging="360"/>
      </w:pPr>
    </w:lvl>
    <w:lvl w:ilvl="7" w:tentative="1">
      <w:start w:val="1"/>
      <w:numFmt w:val="decimal"/>
      <w:lvlText w:val="%8."/>
      <w:lvlJc w:val="left"/>
      <w:pPr>
        <w:tabs>
          <w:tab w:val="num" w:pos="7188"/>
        </w:tabs>
        <w:ind w:left="7188" w:hanging="360"/>
      </w:pPr>
    </w:lvl>
    <w:lvl w:ilvl="8" w:tentative="1">
      <w:start w:val="1"/>
      <w:numFmt w:val="decimal"/>
      <w:lvlText w:val="%9."/>
      <w:lvlJc w:val="left"/>
      <w:pPr>
        <w:tabs>
          <w:tab w:val="num" w:pos="7908"/>
        </w:tabs>
        <w:ind w:left="7908" w:hanging="360"/>
      </w:pPr>
    </w:lvl>
  </w:abstractNum>
  <w:abstractNum w:abstractNumId="2" w15:restartNumberingAfterBreak="0">
    <w:nsid w:val="726C5D1B"/>
    <w:multiLevelType w:val="multilevel"/>
    <w:tmpl w:val="FF421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5"/>
      <w:numFmt w:val="upperLetter"/>
      <w:lvlText w:val="%2."/>
      <w:lvlJc w:val="left"/>
      <w:pPr>
        <w:ind w:left="1440" w:hanging="360"/>
      </w:pPr>
      <w:rPr>
        <w:rFonts w:ascii="Palatino Linotype" w:hAnsi="Palatino Linotype"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7084F66"/>
    <w:multiLevelType w:val="hybridMultilevel"/>
    <w:tmpl w:val="8B6E7B5C"/>
    <w:lvl w:ilvl="0" w:tplc="62C22A1A">
      <w:start w:val="1"/>
      <w:numFmt w:val="upperLetter"/>
      <w:lvlText w:val="%1."/>
      <w:lvlJc w:val="left"/>
      <w:pPr>
        <w:ind w:left="750" w:hanging="39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390"/>
    <w:rsid w:val="00137BE2"/>
    <w:rsid w:val="00447976"/>
    <w:rsid w:val="005D2F15"/>
    <w:rsid w:val="008F5D5B"/>
    <w:rsid w:val="00AD7390"/>
    <w:rsid w:val="00BA6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88D51"/>
  <w15:chartTrackingRefBased/>
  <w15:docId w15:val="{E1AF831E-6D9A-4558-B3BF-9710D202E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D2F15"/>
    <w:pPr>
      <w:spacing w:after="120" w:line="276" w:lineRule="auto"/>
    </w:pPr>
    <w:rPr>
      <w:rFonts w:ascii="Times New Roman" w:eastAsia="Times New Roman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unhideWhenUsed/>
    <w:rsid w:val="005D2F15"/>
  </w:style>
  <w:style w:type="character" w:customStyle="1" w:styleId="ZkladntextChar">
    <w:name w:val="Základný text Char"/>
    <w:basedOn w:val="Predvolenpsmoodseku"/>
    <w:link w:val="Zkladntext"/>
    <w:uiPriority w:val="99"/>
    <w:qFormat/>
    <w:rsid w:val="005D2F15"/>
    <w:rPr>
      <w:rFonts w:ascii="Times New Roman" w:eastAsia="Times New Roman" w:hAnsi="Times New Roman" w:cs="Times New Roman"/>
      <w:sz w:val="24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5D2F15"/>
    <w:pPr>
      <w:spacing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5D2F15"/>
    <w:rPr>
      <w:rFonts w:ascii="Times New Roman" w:eastAsia="Times New Roman" w:hAnsi="Times New Roman" w:cs="Times New Roman"/>
      <w:sz w:val="24"/>
    </w:rPr>
  </w:style>
  <w:style w:type="paragraph" w:customStyle="1" w:styleId="TeloA">
    <w:name w:val="Telo A"/>
    <w:rsid w:val="005D2F1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sk-SK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Predvolen">
    <w:name w:val="Predvolené"/>
    <w:rsid w:val="005D2F15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Helvetica Neue" w:hAnsi="Helvetica Neue" w:cs="Helvetica Neue"/>
      <w:color w:val="000000"/>
      <w:sz w:val="24"/>
      <w:szCs w:val="24"/>
      <w:u w:color="000000"/>
      <w:bdr w:val="nil"/>
      <w:lang w:eastAsia="sk-SK"/>
      <w14:textOutline w14:w="12700" w14:cap="flat" w14:cmpd="sng" w14:algn="ctr">
        <w14:noFill/>
        <w14:prstDash w14:val="solid"/>
        <w14:miter w14:lim="400000"/>
      </w14:textOutline>
    </w:rPr>
  </w:style>
  <w:style w:type="paragraph" w:styleId="Odsekzoznamu">
    <w:name w:val="List Paragraph"/>
    <w:basedOn w:val="Normlny"/>
    <w:uiPriority w:val="34"/>
    <w:qFormat/>
    <w:rsid w:val="00137BE2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BA61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A61C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1343</Words>
  <Characters>7660</Characters>
  <Application>Microsoft Office Word</Application>
  <DocSecurity>0</DocSecurity>
  <Lines>63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8986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3</cp:revision>
  <cp:lastPrinted>2025-11-25T17:55:00Z</cp:lastPrinted>
  <dcterms:created xsi:type="dcterms:W3CDTF">2025-11-25T12:46:00Z</dcterms:created>
  <dcterms:modified xsi:type="dcterms:W3CDTF">2025-11-25T17:55:00Z</dcterms:modified>
</cp:coreProperties>
</file>