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3E9A" w14:textId="77777777" w:rsidR="00A671F5" w:rsidRDefault="00A671F5" w:rsidP="00A671F5">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NÁRODNÁ RADA SLOVENSKEJ REPUBLIKY</w:t>
      </w:r>
    </w:p>
    <w:p w14:paraId="64F97DAC" w14:textId="77777777" w:rsidR="00A671F5" w:rsidRDefault="00A671F5" w:rsidP="00A671F5">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IX. volebné obdobie</w:t>
      </w:r>
    </w:p>
    <w:p w14:paraId="5257269F" w14:textId="77777777" w:rsidR="00A671F5" w:rsidRDefault="00A671F5" w:rsidP="00A671F5">
      <w:pPr>
        <w:shd w:val="clear" w:color="auto" w:fill="FFFFFF"/>
        <w:spacing w:after="0" w:line="240" w:lineRule="auto"/>
        <w:jc w:val="center"/>
        <w:rPr>
          <w:rFonts w:ascii="Calibri" w:eastAsia="Times New Roman" w:hAnsi="Calibri" w:cs="Calibri"/>
          <w:color w:val="222222"/>
          <w:lang w:eastAsia="sk-SK"/>
        </w:rPr>
      </w:pPr>
      <w:r>
        <w:rPr>
          <w:rFonts w:eastAsia="Times New Roman"/>
          <w:b/>
          <w:bCs/>
          <w:color w:val="222222"/>
          <w:lang w:eastAsia="sk-SK"/>
        </w:rPr>
        <w:t>––––––––––––––––––––––––––––––––––––––––––––––––––––––––––––––––––––––––</w:t>
      </w:r>
    </w:p>
    <w:p w14:paraId="74717441" w14:textId="77777777" w:rsidR="00A671F5" w:rsidRDefault="00A671F5" w:rsidP="00A671F5">
      <w:pPr>
        <w:shd w:val="clear" w:color="auto" w:fill="FFFFFF"/>
        <w:spacing w:after="0" w:line="240" w:lineRule="auto"/>
        <w:jc w:val="center"/>
        <w:rPr>
          <w:rFonts w:eastAsia="Times New Roman"/>
          <w:i/>
          <w:iCs/>
          <w:color w:val="222222"/>
          <w:lang w:eastAsia="sk-SK"/>
        </w:rPr>
      </w:pPr>
    </w:p>
    <w:p w14:paraId="3F85E14B" w14:textId="77777777" w:rsidR="00A671F5" w:rsidRDefault="00A671F5" w:rsidP="00A671F5">
      <w:pPr>
        <w:shd w:val="clear" w:color="auto" w:fill="FFFFFF"/>
        <w:spacing w:after="0" w:line="240" w:lineRule="auto"/>
        <w:jc w:val="center"/>
        <w:rPr>
          <w:rFonts w:eastAsia="Times New Roman"/>
          <w:i/>
          <w:iCs/>
          <w:color w:val="222222"/>
          <w:lang w:eastAsia="sk-SK"/>
        </w:rPr>
      </w:pPr>
    </w:p>
    <w:p w14:paraId="0E20C182" w14:textId="77777777" w:rsidR="00A671F5" w:rsidRDefault="00A671F5" w:rsidP="00A671F5">
      <w:pPr>
        <w:shd w:val="clear" w:color="auto" w:fill="FFFFFF"/>
        <w:spacing w:after="0" w:line="240" w:lineRule="auto"/>
        <w:jc w:val="center"/>
        <w:rPr>
          <w:rFonts w:eastAsia="Times New Roman"/>
          <w:i/>
          <w:iCs/>
          <w:color w:val="222222"/>
          <w:lang w:eastAsia="sk-SK"/>
        </w:rPr>
      </w:pPr>
      <w:r>
        <w:rPr>
          <w:rFonts w:eastAsia="Times New Roman"/>
          <w:i/>
          <w:iCs/>
          <w:color w:val="222222"/>
          <w:lang w:eastAsia="sk-SK"/>
        </w:rPr>
        <w:t>Návrh</w:t>
      </w:r>
    </w:p>
    <w:p w14:paraId="19AC41BD" w14:textId="77777777" w:rsidR="00A671F5" w:rsidRDefault="00A671F5" w:rsidP="00A671F5">
      <w:pPr>
        <w:shd w:val="clear" w:color="auto" w:fill="FFFFFF"/>
        <w:spacing w:after="0" w:line="240" w:lineRule="auto"/>
        <w:jc w:val="center"/>
        <w:rPr>
          <w:rFonts w:ascii="Calibri" w:eastAsia="Times New Roman" w:hAnsi="Calibri" w:cs="Calibri"/>
          <w:color w:val="222222"/>
          <w:lang w:eastAsia="sk-SK"/>
        </w:rPr>
      </w:pPr>
    </w:p>
    <w:p w14:paraId="0062BB44" w14:textId="77777777" w:rsidR="00A671F5" w:rsidRDefault="00A671F5" w:rsidP="00A671F5">
      <w:pPr>
        <w:shd w:val="clear" w:color="auto" w:fill="FFFFFF"/>
        <w:spacing w:after="0" w:line="240" w:lineRule="auto"/>
        <w:jc w:val="center"/>
        <w:rPr>
          <w:rFonts w:ascii="Calibri" w:eastAsia="Times New Roman" w:hAnsi="Calibri" w:cs="Calibri"/>
          <w:color w:val="222222"/>
          <w:lang w:eastAsia="sk-SK"/>
        </w:rPr>
      </w:pPr>
    </w:p>
    <w:p w14:paraId="66B6DDBE" w14:textId="77777777" w:rsidR="00A671F5" w:rsidRDefault="00A671F5" w:rsidP="00A671F5">
      <w:pPr>
        <w:shd w:val="clear" w:color="auto" w:fill="FFFFFF"/>
        <w:spacing w:after="0" w:line="240" w:lineRule="auto"/>
        <w:jc w:val="center"/>
        <w:rPr>
          <w:rFonts w:eastAsia="Times New Roman"/>
          <w:b/>
          <w:bCs/>
          <w:color w:val="222222"/>
          <w:lang w:eastAsia="sk-SK"/>
        </w:rPr>
      </w:pPr>
      <w:r>
        <w:rPr>
          <w:rFonts w:eastAsia="Times New Roman"/>
          <w:b/>
          <w:bCs/>
          <w:color w:val="222222"/>
          <w:lang w:eastAsia="sk-SK"/>
        </w:rPr>
        <w:t>ZÁKON</w:t>
      </w:r>
    </w:p>
    <w:p w14:paraId="1065AB27" w14:textId="77777777" w:rsidR="00A671F5" w:rsidRDefault="00A671F5" w:rsidP="00A671F5">
      <w:pPr>
        <w:shd w:val="clear" w:color="auto" w:fill="FFFFFF"/>
        <w:spacing w:after="0" w:line="240" w:lineRule="auto"/>
        <w:jc w:val="center"/>
        <w:rPr>
          <w:rFonts w:ascii="Arial Narrow" w:eastAsia="Times New Roman" w:hAnsi="Arial Narrow"/>
          <w:color w:val="222222"/>
          <w:sz w:val="20"/>
          <w:szCs w:val="20"/>
          <w:lang w:eastAsia="sk-SK"/>
        </w:rPr>
      </w:pPr>
    </w:p>
    <w:p w14:paraId="2763B2F6" w14:textId="77777777" w:rsidR="00A671F5" w:rsidRDefault="00A671F5" w:rsidP="00A671F5">
      <w:pPr>
        <w:shd w:val="clear" w:color="auto" w:fill="FFFFFF"/>
        <w:spacing w:after="0" w:line="240" w:lineRule="auto"/>
        <w:jc w:val="center"/>
        <w:rPr>
          <w:rFonts w:ascii="Arial Narrow" w:eastAsia="Times New Roman" w:hAnsi="Arial Narrow"/>
          <w:color w:val="222222"/>
          <w:sz w:val="20"/>
          <w:szCs w:val="20"/>
          <w:lang w:eastAsia="sk-SK"/>
        </w:rPr>
      </w:pPr>
    </w:p>
    <w:p w14:paraId="36D55F42" w14:textId="77777777" w:rsidR="00A671F5" w:rsidRDefault="00A671F5" w:rsidP="00A671F5">
      <w:pPr>
        <w:shd w:val="clear" w:color="auto" w:fill="FFFFFF"/>
        <w:spacing w:after="0" w:line="240" w:lineRule="auto"/>
        <w:jc w:val="center"/>
        <w:rPr>
          <w:rFonts w:eastAsia="Times New Roman"/>
          <w:color w:val="222222"/>
          <w:lang w:eastAsia="sk-SK"/>
        </w:rPr>
      </w:pPr>
      <w:r>
        <w:rPr>
          <w:rFonts w:eastAsia="Times New Roman"/>
          <w:color w:val="222222"/>
          <w:lang w:eastAsia="sk-SK"/>
        </w:rPr>
        <w:t>z .... 2026,</w:t>
      </w:r>
    </w:p>
    <w:p w14:paraId="32B4434A" w14:textId="77777777" w:rsidR="00A671F5" w:rsidRDefault="00A671F5" w:rsidP="00A671F5">
      <w:pPr>
        <w:shd w:val="clear" w:color="auto" w:fill="FFFFFF"/>
        <w:spacing w:after="0" w:line="240" w:lineRule="auto"/>
        <w:jc w:val="center"/>
        <w:rPr>
          <w:rFonts w:ascii="Arial Narrow" w:eastAsia="Times New Roman" w:hAnsi="Arial Narrow"/>
          <w:color w:val="222222"/>
          <w:sz w:val="20"/>
          <w:szCs w:val="20"/>
          <w:lang w:eastAsia="sk-SK"/>
        </w:rPr>
      </w:pPr>
    </w:p>
    <w:p w14:paraId="48863F54" w14:textId="77777777" w:rsidR="00A671F5" w:rsidRDefault="00A671F5" w:rsidP="00A671F5">
      <w:pPr>
        <w:shd w:val="clear" w:color="auto" w:fill="FFFFFF"/>
        <w:spacing w:after="0" w:line="240" w:lineRule="auto"/>
        <w:jc w:val="center"/>
        <w:rPr>
          <w:rFonts w:ascii="Arial Narrow" w:eastAsia="Times New Roman" w:hAnsi="Arial Narrow"/>
          <w:color w:val="222222"/>
          <w:sz w:val="20"/>
          <w:szCs w:val="20"/>
          <w:lang w:eastAsia="sk-SK"/>
        </w:rPr>
      </w:pPr>
    </w:p>
    <w:p w14:paraId="6138645D" w14:textId="77777777" w:rsidR="00A671F5" w:rsidRDefault="00A671F5" w:rsidP="00A671F5">
      <w:pPr>
        <w:spacing w:after="0"/>
        <w:jc w:val="center"/>
        <w:rPr>
          <w:b/>
          <w:bCs/>
        </w:rPr>
      </w:pPr>
      <w:bookmarkStart w:id="0" w:name="_Hlk111382520"/>
      <w:bookmarkStart w:id="1" w:name="_Hlk110351615"/>
      <w:r>
        <w:rPr>
          <w:b/>
          <w:bCs/>
        </w:rPr>
        <w:t xml:space="preserve">ktorým sa </w:t>
      </w:r>
      <w:bookmarkEnd w:id="0"/>
      <w:r>
        <w:rPr>
          <w:b/>
          <w:bCs/>
        </w:rPr>
        <w:t>mení a dopĺňa z</w:t>
      </w:r>
      <w:r>
        <w:rPr>
          <w:b/>
          <w:bCs/>
          <w:shd w:val="clear" w:color="auto" w:fill="FFFFFF"/>
        </w:rPr>
        <w:t>ákon č. 595/2003 Z. z. o dani z príjmov v znení neskorších predpisov a ktorým sa dopĺňa z</w:t>
      </w:r>
      <w:r>
        <w:rPr>
          <w:b/>
          <w:bCs/>
        </w:rPr>
        <w:t>ákon č. 580/2004 Z. z. </w:t>
      </w:r>
      <w:r>
        <w:rPr>
          <w:b/>
          <w:bCs/>
          <w:shd w:val="clear" w:color="auto" w:fill="FFFFFF"/>
        </w:rPr>
        <w:t>o zdravotnom poistení a o zmene a doplnení zákona č. 95/2002 Z. z. o poisťovníctve a o zmene a doplnení niektorých zákonov v znení neskorších predpisov</w:t>
      </w:r>
    </w:p>
    <w:p w14:paraId="4B6F1E60" w14:textId="77777777" w:rsidR="00A671F5" w:rsidRDefault="00A671F5" w:rsidP="00A671F5">
      <w:pPr>
        <w:spacing w:after="0"/>
        <w:jc w:val="center"/>
      </w:pPr>
    </w:p>
    <w:p w14:paraId="00ED1382" w14:textId="77777777" w:rsidR="00A671F5" w:rsidRDefault="00A671F5" w:rsidP="00A671F5">
      <w:pPr>
        <w:pStyle w:val="Zkladntext"/>
        <w:ind w:firstLine="708"/>
        <w:rPr>
          <w:color w:val="auto"/>
          <w:szCs w:val="24"/>
        </w:rPr>
      </w:pPr>
      <w:r>
        <w:rPr>
          <w:color w:val="auto"/>
          <w:szCs w:val="24"/>
        </w:rPr>
        <w:t>Národná rada Slovenskej republiky sa uzniesla na tomto zákone:</w:t>
      </w:r>
    </w:p>
    <w:p w14:paraId="22121268" w14:textId="77777777" w:rsidR="00A671F5" w:rsidRDefault="00A671F5" w:rsidP="00A671F5">
      <w:pPr>
        <w:spacing w:after="0"/>
        <w:jc w:val="center"/>
        <w:rPr>
          <w:b/>
          <w:bCs/>
        </w:rPr>
      </w:pPr>
    </w:p>
    <w:p w14:paraId="2A58F1C1" w14:textId="77777777" w:rsidR="00A671F5" w:rsidRDefault="00A671F5" w:rsidP="00A671F5">
      <w:pPr>
        <w:spacing w:after="0"/>
        <w:jc w:val="center"/>
        <w:rPr>
          <w:b/>
          <w:bCs/>
        </w:rPr>
      </w:pPr>
      <w:r>
        <w:rPr>
          <w:b/>
          <w:bCs/>
        </w:rPr>
        <w:t>Čl. I</w:t>
      </w:r>
    </w:p>
    <w:p w14:paraId="313F5384" w14:textId="77777777" w:rsidR="00A671F5" w:rsidRDefault="00A671F5" w:rsidP="00A671F5">
      <w:pPr>
        <w:spacing w:after="0" w:line="240" w:lineRule="auto"/>
        <w:jc w:val="center"/>
        <w:rPr>
          <w:b/>
          <w:bCs/>
        </w:rPr>
      </w:pPr>
    </w:p>
    <w:p w14:paraId="6573BB57" w14:textId="5EDE8B65" w:rsidR="00A671F5" w:rsidRDefault="00A671F5" w:rsidP="00A671F5">
      <w:pPr>
        <w:spacing w:after="0" w:line="240" w:lineRule="auto"/>
        <w:ind w:firstLine="708"/>
        <w:jc w:val="both"/>
      </w:pPr>
      <w: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w:t>
      </w:r>
      <w:r>
        <w:lastRenderedPageBreak/>
        <w:t xml:space="preserve">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w:t>
      </w:r>
      <w:r w:rsidRPr="00747A33">
        <w:t>zákona č. 248/2024 Z. z., zákona č. 278/2024 Z. z., zákona č. 279/2024 Z. z., zákona č. 355/2024 Z. z.</w:t>
      </w:r>
      <w:r>
        <w:t xml:space="preserve">, </w:t>
      </w:r>
      <w:r w:rsidRPr="00747A33">
        <w:t>zákona č. 26/2025 Z. z.</w:t>
      </w:r>
      <w:r>
        <w:t>,</w:t>
      </w:r>
      <w:r w:rsidRPr="00DD1E6D">
        <w:rPr>
          <w:rFonts w:eastAsia="Calibri"/>
        </w:rPr>
        <w:t xml:space="preserve"> </w:t>
      </w:r>
      <w:r w:rsidRPr="00DD1E6D">
        <w:t>zákona č. 83/2025 Z. z.</w:t>
      </w:r>
      <w:r>
        <w:t>,</w:t>
      </w:r>
      <w:r w:rsidRPr="00DD1E6D">
        <w:t> zákona č. 104/2025 Z. z.</w:t>
      </w:r>
      <w:r>
        <w:t xml:space="preserve">, zákona č. </w:t>
      </w:r>
      <w:r w:rsidR="008143E9">
        <w:t>141/2025 Z. z.</w:t>
      </w:r>
      <w:r>
        <w:t>,</w:t>
      </w:r>
      <w:r w:rsidRPr="00CC7985">
        <w:t xml:space="preserve"> zákona č. 1</w:t>
      </w:r>
      <w:r>
        <w:t>50</w:t>
      </w:r>
      <w:r w:rsidRPr="00CC7985">
        <w:t>/2025 Z. z., zákona č. 1</w:t>
      </w:r>
      <w:r>
        <w:t>52</w:t>
      </w:r>
      <w:r w:rsidRPr="00CC7985">
        <w:t>/2025 Z. z., zákona č. 1</w:t>
      </w:r>
      <w:r>
        <w:t>53</w:t>
      </w:r>
      <w:r w:rsidRPr="00CC7985">
        <w:t xml:space="preserve">/2025 Z. z., zákona č. </w:t>
      </w:r>
      <w:r>
        <w:t>200</w:t>
      </w:r>
      <w:r w:rsidRPr="00CC7985">
        <w:t>/2025 Z. z., zákona č. 104/2025 Z. z.,</w:t>
      </w:r>
      <w:r w:rsidRPr="00747A33">
        <w:t xml:space="preserve"> </w:t>
      </w:r>
      <w:r w:rsidRPr="00CC7985">
        <w:t xml:space="preserve">zákona č. </w:t>
      </w:r>
      <w:r>
        <w:t>261</w:t>
      </w:r>
      <w:r w:rsidRPr="00CC7985">
        <w:t xml:space="preserve">/2025 Z. z., zákona č. </w:t>
      </w:r>
      <w:r>
        <w:t>312</w:t>
      </w:r>
      <w:r w:rsidRPr="00CC7985">
        <w:t>/2025 Z. z.,</w:t>
      </w:r>
      <w:r>
        <w:t xml:space="preserve"> </w:t>
      </w:r>
      <w:r w:rsidRPr="00CC7985">
        <w:t xml:space="preserve">zákona č. </w:t>
      </w:r>
      <w:r>
        <w:t>385</w:t>
      </w:r>
      <w:r w:rsidRPr="00CC7985">
        <w:t>/2025 Z. z.</w:t>
      </w:r>
      <w:r>
        <w:t xml:space="preserve"> a </w:t>
      </w:r>
      <w:r w:rsidRPr="00CC7985">
        <w:t xml:space="preserve">zákona č. </w:t>
      </w:r>
      <w:r>
        <w:t>406</w:t>
      </w:r>
      <w:r w:rsidRPr="00CC7985">
        <w:t>/2025 Z. z.</w:t>
      </w:r>
      <w:r>
        <w:t xml:space="preserve"> sa mení a dopĺňa takto:</w:t>
      </w:r>
    </w:p>
    <w:p w14:paraId="23E6ECA2" w14:textId="77777777" w:rsidR="00A671F5" w:rsidRDefault="00A671F5" w:rsidP="00A671F5">
      <w:pPr>
        <w:shd w:val="clear" w:color="auto" w:fill="FFFFFF"/>
        <w:spacing w:after="0" w:line="240" w:lineRule="auto"/>
        <w:jc w:val="both"/>
        <w:rPr>
          <w:lang w:eastAsia="sk-SK"/>
        </w:rPr>
      </w:pPr>
      <w:bookmarkStart w:id="2" w:name="_Hlk88123690"/>
    </w:p>
    <w:p w14:paraId="6D10D3EC" w14:textId="77777777" w:rsidR="00A671F5" w:rsidRDefault="00A671F5" w:rsidP="00A671F5">
      <w:pPr>
        <w:pStyle w:val="Odsekzoznamu"/>
        <w:numPr>
          <w:ilvl w:val="0"/>
          <w:numId w:val="1"/>
        </w:numPr>
        <w:shd w:val="clear" w:color="auto" w:fill="FFFFFF"/>
        <w:spacing w:after="0" w:line="240" w:lineRule="auto"/>
        <w:ind w:left="284" w:hanging="284"/>
        <w:jc w:val="both"/>
      </w:pPr>
      <w:r>
        <w:t xml:space="preserve">V § 2 písmeno </w:t>
      </w:r>
      <w:proofErr w:type="spellStart"/>
      <w:r>
        <w:t>ai</w:t>
      </w:r>
      <w:proofErr w:type="spellEnd"/>
      <w:r>
        <w:t xml:space="preserve">) znie: </w:t>
      </w:r>
    </w:p>
    <w:p w14:paraId="399EF31B" w14:textId="77777777" w:rsidR="00A671F5" w:rsidRDefault="00A671F5" w:rsidP="00A671F5">
      <w:pPr>
        <w:pStyle w:val="Odsekzoznamu"/>
        <w:spacing w:after="0" w:line="240" w:lineRule="auto"/>
        <w:ind w:left="284"/>
        <w:jc w:val="both"/>
      </w:pPr>
      <w:r>
        <w:t>„</w:t>
      </w:r>
      <w:proofErr w:type="spellStart"/>
      <w:r>
        <w:t>ai</w:t>
      </w:r>
      <w:proofErr w:type="spellEnd"/>
      <w:r>
        <w:t>) virtuálnou menou digitálny nositeľ hodnoty, ktorý nie je vydaný ani garantovaný centrálnou bankou ani orgánom verejnej moci, ani nie je nevyhnutne naviazaný na zákonné platidlo, nemá právny status meny alebo peňazí, ale je akceptovaný niektorými fyzickými osobami alebo právnickými osobami ako platobný prostriedok, a ktorý možno prevádzať, uchovávať alebo s ním elektronicky obchodovať,“.</w:t>
      </w:r>
    </w:p>
    <w:p w14:paraId="21E11BB7" w14:textId="77777777" w:rsidR="00A671F5" w:rsidRDefault="00A671F5" w:rsidP="00A671F5">
      <w:pPr>
        <w:pStyle w:val="Odsekzoznamu"/>
        <w:spacing w:after="0" w:line="240" w:lineRule="auto"/>
        <w:ind w:left="284"/>
        <w:jc w:val="both"/>
      </w:pPr>
    </w:p>
    <w:p w14:paraId="53F10B34" w14:textId="77777777" w:rsidR="00A671F5" w:rsidRDefault="00A671F5" w:rsidP="00A671F5">
      <w:pPr>
        <w:pStyle w:val="Odsekzoznamu"/>
        <w:spacing w:after="0" w:line="240" w:lineRule="auto"/>
        <w:ind w:left="284"/>
        <w:jc w:val="both"/>
      </w:pPr>
      <w:r>
        <w:t>Poznámka pod čiarou k odkazu 2f sa vypúšťa.</w:t>
      </w:r>
    </w:p>
    <w:p w14:paraId="6147ADEB" w14:textId="77777777" w:rsidR="00A671F5" w:rsidRDefault="00A671F5" w:rsidP="00A671F5">
      <w:pPr>
        <w:pStyle w:val="Odsekzoznamu"/>
        <w:spacing w:after="0" w:line="240" w:lineRule="auto"/>
        <w:ind w:left="284" w:hanging="284"/>
        <w:jc w:val="both"/>
      </w:pPr>
    </w:p>
    <w:p w14:paraId="15E7FD05" w14:textId="77777777" w:rsidR="00A671F5" w:rsidRDefault="00A671F5" w:rsidP="00A671F5">
      <w:pPr>
        <w:pStyle w:val="Odsekzoznamu"/>
        <w:numPr>
          <w:ilvl w:val="0"/>
          <w:numId w:val="1"/>
        </w:numPr>
        <w:shd w:val="clear" w:color="auto" w:fill="FFFFFF"/>
        <w:spacing w:after="0" w:line="240" w:lineRule="auto"/>
        <w:ind w:left="284" w:hanging="284"/>
        <w:jc w:val="both"/>
      </w:pPr>
      <w:r>
        <w:t>§ 2 sa dopĺňa písmenami aj) až </w:t>
      </w:r>
      <w:proofErr w:type="spellStart"/>
      <w:r>
        <w:t>al</w:t>
      </w:r>
      <w:proofErr w:type="spellEnd"/>
      <w:r>
        <w:t>), ktoré znejú:</w:t>
      </w:r>
    </w:p>
    <w:p w14:paraId="7FE26AD3" w14:textId="77777777" w:rsidR="00A671F5" w:rsidRDefault="00A671F5" w:rsidP="00A671F5">
      <w:pPr>
        <w:pStyle w:val="Odsekzoznamu"/>
        <w:shd w:val="clear" w:color="auto" w:fill="FFFFFF"/>
        <w:spacing w:after="0" w:line="240" w:lineRule="auto"/>
        <w:ind w:left="284"/>
        <w:jc w:val="both"/>
      </w:pPr>
      <w:r>
        <w:t xml:space="preserve">„aj) </w:t>
      </w:r>
      <w:proofErr w:type="spellStart"/>
      <w:r>
        <w:t>stablecoinom</w:t>
      </w:r>
      <w:proofErr w:type="spellEnd"/>
      <w:r>
        <w:t xml:space="preserve"> akákoľvek virtuálna mena, ktorej cena je relatívne stabilná z dôvodu jej naviazania na určitú komoditu, peňažnú menu alebo z dôvodu regulácie jej ponuky na základe stanoveného algoritmu,</w:t>
      </w:r>
    </w:p>
    <w:p w14:paraId="2C2921D5" w14:textId="77777777" w:rsidR="00A671F5" w:rsidRDefault="00A671F5" w:rsidP="00A671F5">
      <w:pPr>
        <w:pStyle w:val="Odsekzoznamu"/>
        <w:shd w:val="clear" w:color="auto" w:fill="FFFFFF"/>
        <w:spacing w:after="0" w:line="240" w:lineRule="auto"/>
        <w:ind w:left="284"/>
        <w:jc w:val="both"/>
      </w:pPr>
      <w:r>
        <w:t xml:space="preserve">ak) predajom virtuálnej meny výmena virtuálnej meny za majetok, výmena virtuálnej meny za poskytnutie služby, odplatný prevod virtuálnej meny alebo výmena virtuálnej meny za </w:t>
      </w:r>
      <w:proofErr w:type="spellStart"/>
      <w:r>
        <w:t>stablecoin</w:t>
      </w:r>
      <w:proofErr w:type="spellEnd"/>
      <w:r>
        <w:t>; výmena virtuálnej meny za inú virtuálnu menu sa za predaj virtuálnej meny nepovažuje,</w:t>
      </w:r>
    </w:p>
    <w:p w14:paraId="4103A18D" w14:textId="77777777" w:rsidR="00A671F5" w:rsidRDefault="00A671F5" w:rsidP="00A671F5">
      <w:pPr>
        <w:pStyle w:val="Odsekzoznamu"/>
        <w:shd w:val="clear" w:color="auto" w:fill="FFFFFF"/>
        <w:spacing w:after="0" w:line="240" w:lineRule="auto"/>
        <w:ind w:left="284"/>
        <w:jc w:val="both"/>
      </w:pPr>
      <w:proofErr w:type="spellStart"/>
      <w:r>
        <w:t>al</w:t>
      </w:r>
      <w:proofErr w:type="spellEnd"/>
      <w:r>
        <w:t xml:space="preserve">) </w:t>
      </w:r>
      <w:proofErr w:type="spellStart"/>
      <w:r>
        <w:t>stakingom</w:t>
      </w:r>
      <w:proofErr w:type="spellEnd"/>
      <w:r>
        <w:t xml:space="preserve"> prírastok virtuálnej meny získaný overovaním transakcií vo virtuálnej sieti.“.</w:t>
      </w:r>
    </w:p>
    <w:p w14:paraId="43596867" w14:textId="77777777" w:rsidR="00A671F5" w:rsidRDefault="00A671F5" w:rsidP="00A671F5">
      <w:pPr>
        <w:pStyle w:val="Odsekzoznamu"/>
        <w:shd w:val="clear" w:color="auto" w:fill="FFFFFF"/>
        <w:spacing w:after="0" w:line="240" w:lineRule="auto"/>
        <w:ind w:left="284"/>
        <w:jc w:val="both"/>
      </w:pPr>
    </w:p>
    <w:p w14:paraId="58070A83" w14:textId="77777777" w:rsidR="00A671F5" w:rsidRDefault="00A671F5" w:rsidP="00A671F5">
      <w:pPr>
        <w:pStyle w:val="Odsekzoznamu"/>
        <w:numPr>
          <w:ilvl w:val="0"/>
          <w:numId w:val="1"/>
        </w:numPr>
        <w:spacing w:after="0" w:line="240" w:lineRule="auto"/>
        <w:ind w:left="284" w:hanging="284"/>
        <w:jc w:val="both"/>
      </w:pPr>
      <w:r>
        <w:t xml:space="preserve">V </w:t>
      </w:r>
      <w:bookmarkStart w:id="3" w:name="_Hlk220935605"/>
      <w:r>
        <w:t>§ 8 ods. 1 písm. t)</w:t>
      </w:r>
      <w:bookmarkEnd w:id="3"/>
      <w:r>
        <w:t xml:space="preserve"> sa nad slovo „</w:t>
      </w:r>
      <w:proofErr w:type="spellStart"/>
      <w:r>
        <w:t>kryptoaktíva</w:t>
      </w:r>
      <w:proofErr w:type="spellEnd"/>
      <w:r>
        <w:t>“ umiestňuje odkaz 37afba.</w:t>
      </w:r>
    </w:p>
    <w:p w14:paraId="212B2E4A" w14:textId="77777777" w:rsidR="00A671F5" w:rsidRDefault="00A671F5" w:rsidP="00A671F5">
      <w:pPr>
        <w:spacing w:after="0" w:line="240" w:lineRule="auto"/>
        <w:jc w:val="both"/>
      </w:pPr>
    </w:p>
    <w:p w14:paraId="109B998A" w14:textId="77777777" w:rsidR="00A671F5" w:rsidRDefault="00A671F5" w:rsidP="00A671F5">
      <w:pPr>
        <w:spacing w:after="0" w:line="240" w:lineRule="auto"/>
        <w:ind w:left="284"/>
        <w:jc w:val="both"/>
      </w:pPr>
      <w:r w:rsidRPr="001D5533">
        <w:t xml:space="preserve">Poznámka pod čiarou k odkazu </w:t>
      </w:r>
      <w:r>
        <w:t>37afba znie:</w:t>
      </w:r>
    </w:p>
    <w:p w14:paraId="3C5DEFA4" w14:textId="77777777" w:rsidR="00A671F5" w:rsidRDefault="00A671F5" w:rsidP="00A671F5">
      <w:pPr>
        <w:spacing w:after="0" w:line="240" w:lineRule="auto"/>
        <w:ind w:left="284"/>
        <w:jc w:val="both"/>
      </w:pPr>
    </w:p>
    <w:p w14:paraId="7ABF3C5E" w14:textId="77777777" w:rsidR="00A671F5" w:rsidRPr="001D5533" w:rsidRDefault="00A671F5" w:rsidP="00A671F5">
      <w:pPr>
        <w:spacing w:after="0" w:line="240" w:lineRule="auto"/>
        <w:ind w:left="284"/>
        <w:jc w:val="both"/>
      </w:pPr>
      <w:r>
        <w:t>„</w:t>
      </w:r>
      <w:r w:rsidRPr="001D5533">
        <w:t xml:space="preserve">Čl. 3 ods. 1 bod 5 nariadenia Európskeho parlamentu a Rady (EÚ) 2023/1114 z 31. mája 2023 o trhoch s </w:t>
      </w:r>
      <w:proofErr w:type="spellStart"/>
      <w:r w:rsidRPr="001D5533">
        <w:t>kryptoaktívami</w:t>
      </w:r>
      <w:proofErr w:type="spellEnd"/>
      <w:r w:rsidRPr="001D5533">
        <w:t xml:space="preserve"> a o zmene nariadení (EÚ) č. 1093/2010 a (EÚ) č. 1095/2010 a smerníc 2013/36/EÚ a (EÚ) 2019/1937 (</w:t>
      </w:r>
      <w:proofErr w:type="spellStart"/>
      <w:r w:rsidRPr="001D5533">
        <w:t>Ú.v</w:t>
      </w:r>
      <w:proofErr w:type="spellEnd"/>
      <w:r w:rsidRPr="001D5533">
        <w:t>. EÚ L 150, 9.6.2023) v platnom znení.</w:t>
      </w:r>
      <w:r>
        <w:t>“</w:t>
      </w:r>
      <w:r w:rsidRPr="001D5533">
        <w:t>.</w:t>
      </w:r>
    </w:p>
    <w:p w14:paraId="157BE188" w14:textId="77777777" w:rsidR="00A671F5" w:rsidRDefault="00A671F5" w:rsidP="00A671F5">
      <w:pPr>
        <w:spacing w:after="0" w:line="240" w:lineRule="auto"/>
        <w:ind w:left="284"/>
        <w:jc w:val="both"/>
      </w:pPr>
    </w:p>
    <w:p w14:paraId="4C87C9CA" w14:textId="77777777" w:rsidR="00A671F5" w:rsidRDefault="00A671F5" w:rsidP="00A671F5">
      <w:pPr>
        <w:pStyle w:val="Odsekzoznamu"/>
        <w:numPr>
          <w:ilvl w:val="0"/>
          <w:numId w:val="1"/>
        </w:numPr>
        <w:spacing w:after="0" w:line="240" w:lineRule="auto"/>
        <w:ind w:left="284" w:hanging="284"/>
        <w:jc w:val="both"/>
      </w:pPr>
      <w:r>
        <w:t xml:space="preserve">V § 8 odsek 17 znie: </w:t>
      </w:r>
    </w:p>
    <w:p w14:paraId="10552ABE" w14:textId="77777777" w:rsidR="00A671F5" w:rsidRDefault="00A671F5" w:rsidP="00A671F5">
      <w:pPr>
        <w:pStyle w:val="Odsekzoznamu"/>
        <w:spacing w:after="0" w:line="240" w:lineRule="auto"/>
        <w:ind w:left="284"/>
        <w:jc w:val="both"/>
      </w:pPr>
    </w:p>
    <w:p w14:paraId="2E558521" w14:textId="77777777" w:rsidR="00A671F5" w:rsidRDefault="00A671F5" w:rsidP="00A671F5">
      <w:pPr>
        <w:pStyle w:val="Odsekzoznamu"/>
        <w:spacing w:after="0" w:line="240" w:lineRule="auto"/>
        <w:ind w:left="284"/>
        <w:jc w:val="both"/>
      </w:pPr>
      <w:r>
        <w:t xml:space="preserve">„(17) Príjem podľa odseku 1 písm. t) z predaja virtuálnej meny nadobudnutej ťažbou alebo </w:t>
      </w:r>
      <w:proofErr w:type="spellStart"/>
      <w:r>
        <w:t>stakingom</w:t>
      </w:r>
      <w:proofErr w:type="spellEnd"/>
      <w:r>
        <w:t xml:space="preserve"> sa zahrnie do základu dane (čiastkového základu dane) v zdaňovacom období realizácie predaja tejto virtuálnej meny. Súčasťou základu dane (čiastkového základu dane) je príjem z predaja virtuálnej meny </w:t>
      </w:r>
      <w:r w:rsidRPr="009015BF">
        <w:t xml:space="preserve">dosiahnutý pri výmene virtuálnej meny za majetok, pri výmene virtuálnej meny za poskytnutie služby alebo pri výmene virtuálnej meny za </w:t>
      </w:r>
      <w:proofErr w:type="spellStart"/>
      <w:r w:rsidRPr="009015BF">
        <w:lastRenderedPageBreak/>
        <w:t>stablecoin</w:t>
      </w:r>
      <w:proofErr w:type="spellEnd"/>
      <w:r w:rsidRPr="009015BF">
        <w:t xml:space="preserve"> pri použití ocenenia podľa § 17 ods. 43; to neplatí pre príjmy podľa odseku 1 písm. t), ktoré sa zahŕňajú do osobitného základu dane podľa § 51e ods. 5 a 6.“.</w:t>
      </w:r>
    </w:p>
    <w:p w14:paraId="21E10F1E" w14:textId="77777777" w:rsidR="00A671F5" w:rsidRDefault="00A671F5" w:rsidP="00A671F5">
      <w:pPr>
        <w:pStyle w:val="Odsekzoznamu"/>
        <w:spacing w:after="0" w:line="240" w:lineRule="auto"/>
        <w:ind w:left="284"/>
        <w:jc w:val="both"/>
      </w:pPr>
    </w:p>
    <w:p w14:paraId="520DBA5A" w14:textId="77777777" w:rsidR="00A671F5" w:rsidRDefault="00A671F5" w:rsidP="00A671F5">
      <w:pPr>
        <w:pStyle w:val="Odsekzoznamu"/>
        <w:numPr>
          <w:ilvl w:val="0"/>
          <w:numId w:val="1"/>
        </w:numPr>
        <w:spacing w:after="0" w:line="240" w:lineRule="auto"/>
        <w:ind w:left="284" w:hanging="284"/>
        <w:jc w:val="both"/>
      </w:pPr>
      <w:bookmarkStart w:id="4" w:name="_Hlk87965190"/>
      <w:bookmarkStart w:id="5" w:name="_Hlk88123855"/>
      <w:bookmarkEnd w:id="2"/>
      <w:r>
        <w:t xml:space="preserve">V § 9 sa odsek 1 dopĺňa písmenom u), ktoré znie: </w:t>
      </w:r>
    </w:p>
    <w:p w14:paraId="73B30155" w14:textId="77777777" w:rsidR="00A671F5" w:rsidRDefault="00A671F5" w:rsidP="00A671F5">
      <w:pPr>
        <w:pStyle w:val="Odsekzoznamu"/>
        <w:spacing w:after="0" w:line="240" w:lineRule="auto"/>
        <w:ind w:left="284"/>
        <w:jc w:val="both"/>
      </w:pPr>
      <w:r>
        <w:t>„u) z výmeny virtuálnej meny za majetok alebo poskytnutie služby, ak úhrn týchto príjmov znížený o výdavky podľa § 8 ods. 2 nepresiahne v zdaňovacom období 2 400 eur; ak takto vymedzený rozdiel medzi úhrnom príjmov a úhrnom výdavkov presiahne 2 400 eur, do základu dane sa zahrnie len rozdiel nad takto ustanovenú sumu.“.</w:t>
      </w:r>
    </w:p>
    <w:p w14:paraId="354716A3" w14:textId="77777777" w:rsidR="00A671F5" w:rsidRDefault="00A671F5" w:rsidP="00A671F5">
      <w:pPr>
        <w:pStyle w:val="Odsekzoznamu"/>
        <w:shd w:val="clear" w:color="auto" w:fill="FFFFFF"/>
        <w:spacing w:after="0" w:line="240" w:lineRule="auto"/>
        <w:ind w:left="284" w:hanging="284"/>
        <w:jc w:val="both"/>
        <w:rPr>
          <w:shd w:val="clear" w:color="auto" w:fill="FFFFFF"/>
        </w:rPr>
      </w:pPr>
    </w:p>
    <w:p w14:paraId="033C2F54" w14:textId="77777777" w:rsidR="00A671F5" w:rsidRDefault="00A671F5" w:rsidP="00A671F5">
      <w:pPr>
        <w:pStyle w:val="Odsekzoznamu"/>
        <w:numPr>
          <w:ilvl w:val="0"/>
          <w:numId w:val="1"/>
        </w:numPr>
        <w:shd w:val="clear" w:color="auto" w:fill="FFFFFF"/>
        <w:spacing w:after="0" w:line="240" w:lineRule="auto"/>
        <w:ind w:left="426" w:hanging="426"/>
        <w:jc w:val="both"/>
        <w:rPr>
          <w:shd w:val="clear" w:color="auto" w:fill="FFFFFF"/>
        </w:rPr>
      </w:pPr>
      <w:r>
        <w:rPr>
          <w:shd w:val="clear" w:color="auto" w:fill="FFFFFF"/>
        </w:rPr>
        <w:t xml:space="preserve">V § 15 sa písmeno a) dopĺňa ôsmym bodom, </w:t>
      </w:r>
      <w:bookmarkEnd w:id="4"/>
      <w:r>
        <w:rPr>
          <w:shd w:val="clear" w:color="auto" w:fill="FFFFFF"/>
        </w:rPr>
        <w:t>ktorý znie:</w:t>
      </w:r>
    </w:p>
    <w:p w14:paraId="36F06143" w14:textId="77777777" w:rsidR="00A671F5" w:rsidRDefault="00A671F5" w:rsidP="00A671F5">
      <w:pPr>
        <w:pStyle w:val="Odsekzoznamu"/>
        <w:shd w:val="clear" w:color="auto" w:fill="FFFFFF"/>
        <w:spacing w:after="0" w:line="240" w:lineRule="auto"/>
        <w:ind w:left="426"/>
        <w:jc w:val="both"/>
        <w:rPr>
          <w:shd w:val="clear" w:color="auto" w:fill="FFFFFF"/>
        </w:rPr>
      </w:pPr>
    </w:p>
    <w:p w14:paraId="3ED02694" w14:textId="77777777" w:rsidR="00A671F5" w:rsidRDefault="00A671F5" w:rsidP="00A671F5">
      <w:pPr>
        <w:shd w:val="clear" w:color="auto" w:fill="FFFFFF"/>
        <w:spacing w:after="0" w:line="240" w:lineRule="auto"/>
        <w:ind w:firstLine="426"/>
        <w:jc w:val="both"/>
        <w:rPr>
          <w:shd w:val="clear" w:color="auto" w:fill="FFFFFF"/>
        </w:rPr>
      </w:pPr>
      <w:r>
        <w:rPr>
          <w:shd w:val="clear" w:color="auto" w:fill="FFFFFF"/>
        </w:rPr>
        <w:t xml:space="preserve">„8. 7 % z osobitného základu dane zisteného podľa § 51e ods. 6.“. </w:t>
      </w:r>
    </w:p>
    <w:p w14:paraId="5264C113" w14:textId="77777777" w:rsidR="00A671F5" w:rsidRDefault="00A671F5" w:rsidP="00A671F5">
      <w:pPr>
        <w:shd w:val="clear" w:color="auto" w:fill="FFFFFF"/>
        <w:spacing w:after="0" w:line="240" w:lineRule="auto"/>
        <w:jc w:val="both"/>
        <w:rPr>
          <w:shd w:val="clear" w:color="auto" w:fill="FFFFFF"/>
        </w:rPr>
      </w:pPr>
    </w:p>
    <w:p w14:paraId="7E4FD06A" w14:textId="77777777" w:rsidR="00A671F5" w:rsidRDefault="00A671F5" w:rsidP="00A671F5">
      <w:pPr>
        <w:pStyle w:val="Odsekzoznamu"/>
        <w:numPr>
          <w:ilvl w:val="0"/>
          <w:numId w:val="1"/>
        </w:numPr>
        <w:shd w:val="clear" w:color="auto" w:fill="FFFFFF"/>
        <w:spacing w:after="0" w:line="240" w:lineRule="auto"/>
        <w:ind w:left="426" w:hanging="426"/>
        <w:jc w:val="both"/>
      </w:pPr>
      <w:r>
        <w:t xml:space="preserve">V § 17 ods. 3 písm. n) sa za slová „daného </w:t>
      </w:r>
      <w:proofErr w:type="spellStart"/>
      <w:r>
        <w:t>kryptoaktíva</w:t>
      </w:r>
      <w:proofErr w:type="spellEnd"/>
      <w:r>
        <w:t xml:space="preserve">“ vkladajú slová „alebo </w:t>
      </w:r>
      <w:proofErr w:type="spellStart"/>
      <w:r>
        <w:t>stakingom</w:t>
      </w:r>
      <w:proofErr w:type="spellEnd"/>
      <w:r>
        <w:t>“.</w:t>
      </w:r>
    </w:p>
    <w:p w14:paraId="56FB5C88" w14:textId="77777777" w:rsidR="00A671F5" w:rsidRDefault="00A671F5" w:rsidP="00A671F5">
      <w:pPr>
        <w:pStyle w:val="Odsekzoznamu"/>
        <w:shd w:val="clear" w:color="auto" w:fill="FFFFFF"/>
        <w:spacing w:after="0" w:line="240" w:lineRule="auto"/>
        <w:ind w:left="426" w:hanging="426"/>
        <w:jc w:val="both"/>
      </w:pPr>
    </w:p>
    <w:p w14:paraId="0419A826" w14:textId="77777777" w:rsidR="00A671F5" w:rsidRDefault="00A671F5" w:rsidP="00A671F5">
      <w:pPr>
        <w:pStyle w:val="Odsekzoznamu"/>
        <w:numPr>
          <w:ilvl w:val="0"/>
          <w:numId w:val="1"/>
        </w:numPr>
        <w:shd w:val="clear" w:color="auto" w:fill="FFFFFF"/>
        <w:spacing w:after="0" w:line="240" w:lineRule="auto"/>
        <w:ind w:left="426" w:hanging="426"/>
        <w:jc w:val="both"/>
      </w:pPr>
      <w:r>
        <w:t xml:space="preserve">V § 17 odsek 43 znie: </w:t>
      </w:r>
    </w:p>
    <w:p w14:paraId="67546C01" w14:textId="77777777" w:rsidR="00A671F5" w:rsidRDefault="00A671F5" w:rsidP="00A671F5">
      <w:pPr>
        <w:pStyle w:val="Odsekzoznamu"/>
        <w:shd w:val="clear" w:color="auto" w:fill="FFFFFF"/>
        <w:spacing w:after="0" w:line="240" w:lineRule="auto"/>
        <w:ind w:left="426"/>
        <w:jc w:val="both"/>
      </w:pPr>
      <w:r>
        <w:t xml:space="preserve">„(43) Súčasťou základu dane je príjem z predaja virtuálnej meny dosiahnutý pri výmene virtuálnej meny za majetok, pri výmene virtuálnej meny za poskytnutie služby alebo pri výmene virtuálnej meny za </w:t>
      </w:r>
      <w:proofErr w:type="spellStart"/>
      <w:r>
        <w:t>stablecoin</w:t>
      </w:r>
      <w:proofErr w:type="spellEnd"/>
      <w:r>
        <w:t xml:space="preserve"> v tom zdaňovacom období, v ktorom dochádza k tejto výmene, pri použití ocenenia vymieňanej virtuálnej meny reálnou hodnotou</w:t>
      </w:r>
      <w:r>
        <w:rPr>
          <w:vertAlign w:val="superscript"/>
        </w:rPr>
        <w:t>80acc</w:t>
      </w:r>
      <w:r>
        <w:t xml:space="preserve">) ku dňu výmeny.“. </w:t>
      </w:r>
    </w:p>
    <w:p w14:paraId="2CC05707" w14:textId="77777777" w:rsidR="00A671F5" w:rsidRDefault="00A671F5" w:rsidP="00A671F5">
      <w:pPr>
        <w:pStyle w:val="Odsekzoznamu"/>
        <w:shd w:val="clear" w:color="auto" w:fill="FFFFFF"/>
        <w:spacing w:after="0" w:line="240" w:lineRule="auto"/>
        <w:ind w:left="426"/>
        <w:jc w:val="both"/>
      </w:pPr>
    </w:p>
    <w:p w14:paraId="69D77A43" w14:textId="77777777" w:rsidR="00A671F5" w:rsidRDefault="00A671F5" w:rsidP="00A671F5">
      <w:pPr>
        <w:pStyle w:val="Odsekzoznamu"/>
        <w:numPr>
          <w:ilvl w:val="0"/>
          <w:numId w:val="1"/>
        </w:numPr>
        <w:shd w:val="clear" w:color="auto" w:fill="FFFFFF"/>
        <w:spacing w:after="0" w:line="240" w:lineRule="auto"/>
        <w:ind w:left="426" w:hanging="426"/>
        <w:jc w:val="both"/>
        <w:rPr>
          <w:shd w:val="clear" w:color="auto" w:fill="FFFFFF"/>
        </w:rPr>
      </w:pPr>
      <w:r>
        <w:t xml:space="preserve">Nadpis § 51e znie: </w:t>
      </w:r>
      <w:r>
        <w:rPr>
          <w:b/>
          <w:bCs/>
        </w:rPr>
        <w:t xml:space="preserve">„Osobitný základ dane z podielu na zisku (dividendy), vyrovnacieho podielu, podielu na likvidačnom zostatku, podielu na výsledku podnikania vyplácaného tichému spoločníkovi, podielu člena pozemkového spoločenstva s právnou subjektivitou na zisku a na </w:t>
      </w:r>
      <w:r>
        <w:rPr>
          <w:b/>
        </w:rPr>
        <w:t>majetku a z predaja virtuálnej meny</w:t>
      </w:r>
      <w:r>
        <w:rPr>
          <w:b/>
          <w:bCs/>
        </w:rPr>
        <w:t>“</w:t>
      </w:r>
      <w:r>
        <w:t>.</w:t>
      </w:r>
    </w:p>
    <w:p w14:paraId="0A7A4A90" w14:textId="77777777" w:rsidR="00A671F5" w:rsidRDefault="00A671F5" w:rsidP="00A671F5">
      <w:pPr>
        <w:pStyle w:val="Odsekzoznamu"/>
        <w:spacing w:after="0" w:line="240" w:lineRule="auto"/>
        <w:rPr>
          <w:shd w:val="clear" w:color="auto" w:fill="FFFFFF"/>
        </w:rPr>
      </w:pPr>
    </w:p>
    <w:p w14:paraId="108B3136" w14:textId="77777777" w:rsidR="00A671F5" w:rsidRDefault="00A671F5" w:rsidP="00A671F5">
      <w:pPr>
        <w:pStyle w:val="Odsekzoznamu"/>
        <w:numPr>
          <w:ilvl w:val="0"/>
          <w:numId w:val="1"/>
        </w:numPr>
        <w:shd w:val="clear" w:color="auto" w:fill="FFFFFF"/>
        <w:spacing w:after="0" w:line="240" w:lineRule="auto"/>
        <w:ind w:left="426" w:hanging="426"/>
        <w:jc w:val="both"/>
        <w:rPr>
          <w:shd w:val="clear" w:color="auto" w:fill="FFFFFF"/>
        </w:rPr>
      </w:pPr>
      <w:r>
        <w:t xml:space="preserve">§ 51e sa dopĺňa odsekmi 5 a 6, ktoré znejú: </w:t>
      </w:r>
    </w:p>
    <w:p w14:paraId="46EB8F40" w14:textId="77777777" w:rsidR="00A671F5" w:rsidRDefault="00A671F5" w:rsidP="00A671F5">
      <w:pPr>
        <w:shd w:val="clear" w:color="auto" w:fill="FFFFFF"/>
        <w:spacing w:after="0" w:line="240" w:lineRule="auto"/>
        <w:ind w:left="426"/>
        <w:jc w:val="both"/>
      </w:pPr>
    </w:p>
    <w:p w14:paraId="55E371A6" w14:textId="77777777" w:rsidR="00A671F5" w:rsidRDefault="00A671F5" w:rsidP="00A671F5">
      <w:pPr>
        <w:shd w:val="clear" w:color="auto" w:fill="FFFFFF"/>
        <w:spacing w:after="0" w:line="240" w:lineRule="auto"/>
        <w:ind w:left="426"/>
        <w:jc w:val="both"/>
      </w:pPr>
      <w:r>
        <w:t>„(5) Do osobitného základu dane sa zahŕňajú príjmy podľa § 8 ods. 1 písm. t)</w:t>
      </w:r>
      <w:r>
        <w:rPr>
          <w:shd w:val="clear" w:color="auto" w:fill="FFFFFF"/>
        </w:rPr>
        <w:t xml:space="preserve">, ak k predaju virtuálnej meny došlo po uplynutí jedného roka od jej nadobudnutia; to neplatí pre príjem z predaja virtuálnej meny, ktorá bola obchodným majetkom daňovníka. </w:t>
      </w:r>
      <w:r>
        <w:t>Ustanovenie § 8 ods. 17 sa použije primerane.</w:t>
      </w:r>
    </w:p>
    <w:p w14:paraId="118BE09F" w14:textId="77777777" w:rsidR="00A671F5" w:rsidRDefault="00A671F5" w:rsidP="00A671F5">
      <w:pPr>
        <w:shd w:val="clear" w:color="auto" w:fill="FFFFFF"/>
        <w:spacing w:after="0" w:line="240" w:lineRule="auto"/>
        <w:ind w:left="426"/>
        <w:jc w:val="both"/>
        <w:rPr>
          <w:shd w:val="clear" w:color="auto" w:fill="FFFFFF"/>
        </w:rPr>
      </w:pPr>
    </w:p>
    <w:p w14:paraId="3E34FC25" w14:textId="77777777" w:rsidR="00A671F5" w:rsidRDefault="00A671F5" w:rsidP="00A671F5">
      <w:pPr>
        <w:pStyle w:val="Normlnywebov"/>
        <w:spacing w:before="0" w:beforeAutospacing="0" w:after="0" w:afterAutospacing="0"/>
        <w:ind w:left="426"/>
        <w:jc w:val="both"/>
      </w:pPr>
      <w:r>
        <w:t xml:space="preserve">(6) Príjmy podľa § 8 ods. 1 písm. t) vyplácané daňovníkovi za podmienok podľa odseku 5 sú súčasťou osobitného základu dane pri podaní daňového priznania podľa § 32 zdaňovaného sadzbou dane podľa § 15 písm. a) ôsmeho bodu.“. </w:t>
      </w:r>
    </w:p>
    <w:p w14:paraId="11B9DCC1" w14:textId="77777777" w:rsidR="00A671F5" w:rsidRDefault="00A671F5" w:rsidP="00A671F5">
      <w:pPr>
        <w:shd w:val="clear" w:color="auto" w:fill="FFFFFF"/>
        <w:spacing w:after="0" w:line="240" w:lineRule="auto"/>
        <w:jc w:val="both"/>
        <w:rPr>
          <w:shd w:val="clear" w:color="auto" w:fill="FFFFFF"/>
        </w:rPr>
      </w:pPr>
    </w:p>
    <w:bookmarkEnd w:id="5"/>
    <w:p w14:paraId="22568C44" w14:textId="77777777" w:rsidR="00A671F5" w:rsidRDefault="00A671F5" w:rsidP="00A671F5">
      <w:pPr>
        <w:pStyle w:val="Odsekzoznamu"/>
        <w:numPr>
          <w:ilvl w:val="0"/>
          <w:numId w:val="1"/>
        </w:numPr>
        <w:shd w:val="clear" w:color="auto" w:fill="FFFFFF"/>
        <w:spacing w:after="0" w:line="240" w:lineRule="auto"/>
        <w:ind w:left="426" w:hanging="426"/>
        <w:jc w:val="both"/>
      </w:pPr>
      <w:r>
        <w:t xml:space="preserve">Za § 52zzzm sa vkladá § 52zzzn, ktorý vrátane nadpisu znie: </w:t>
      </w:r>
    </w:p>
    <w:p w14:paraId="6D4FD05C" w14:textId="77777777" w:rsidR="00A671F5" w:rsidRDefault="00A671F5" w:rsidP="00A671F5">
      <w:pPr>
        <w:pStyle w:val="Odsekzoznamu"/>
        <w:shd w:val="clear" w:color="auto" w:fill="FFFFFF"/>
        <w:spacing w:after="0" w:line="240" w:lineRule="auto"/>
        <w:ind w:left="426"/>
        <w:jc w:val="both"/>
      </w:pPr>
    </w:p>
    <w:p w14:paraId="29F95A73" w14:textId="77777777" w:rsidR="00A671F5" w:rsidRDefault="00A671F5" w:rsidP="00A671F5">
      <w:pPr>
        <w:shd w:val="clear" w:color="auto" w:fill="FFFFFF"/>
        <w:spacing w:after="0" w:line="240" w:lineRule="auto"/>
        <w:jc w:val="center"/>
        <w:rPr>
          <w:b/>
        </w:rPr>
      </w:pPr>
      <w:r>
        <w:t>„</w:t>
      </w:r>
      <w:r>
        <w:rPr>
          <w:b/>
        </w:rPr>
        <w:t>§ 52zzzn</w:t>
      </w:r>
    </w:p>
    <w:p w14:paraId="5E0FBF86" w14:textId="3613B650" w:rsidR="00A671F5" w:rsidRPr="004765AF" w:rsidRDefault="00A671F5" w:rsidP="00A671F5">
      <w:pPr>
        <w:shd w:val="clear" w:color="auto" w:fill="FFFFFF"/>
        <w:spacing w:after="0" w:line="240" w:lineRule="auto"/>
        <w:jc w:val="center"/>
        <w:rPr>
          <w:b/>
        </w:rPr>
      </w:pPr>
      <w:r w:rsidRPr="004765AF">
        <w:rPr>
          <w:b/>
        </w:rPr>
        <w:t xml:space="preserve">Prechodné ustanovenie k úpravám účinným od </w:t>
      </w:r>
      <w:r w:rsidRPr="00BD7464">
        <w:rPr>
          <w:b/>
        </w:rPr>
        <w:t>1. j</w:t>
      </w:r>
      <w:r w:rsidR="001D25CA">
        <w:rPr>
          <w:b/>
        </w:rPr>
        <w:t>anuára</w:t>
      </w:r>
      <w:r w:rsidRPr="00BD7464">
        <w:rPr>
          <w:b/>
        </w:rPr>
        <w:t xml:space="preserve"> 202</w:t>
      </w:r>
      <w:r w:rsidR="001D25CA">
        <w:rPr>
          <w:b/>
        </w:rPr>
        <w:t>7</w:t>
      </w:r>
    </w:p>
    <w:p w14:paraId="1D33580A" w14:textId="77777777" w:rsidR="00A671F5" w:rsidRPr="004765AF" w:rsidRDefault="00A671F5" w:rsidP="00A671F5">
      <w:pPr>
        <w:shd w:val="clear" w:color="auto" w:fill="FFFFFF"/>
        <w:spacing w:after="0" w:line="240" w:lineRule="auto"/>
        <w:jc w:val="center"/>
        <w:rPr>
          <w:b/>
        </w:rPr>
      </w:pPr>
    </w:p>
    <w:p w14:paraId="55C541BC" w14:textId="5D90A915" w:rsidR="00A671F5" w:rsidRPr="004765AF" w:rsidRDefault="00A671F5" w:rsidP="00A671F5">
      <w:pPr>
        <w:shd w:val="clear" w:color="auto" w:fill="FFFFFF"/>
        <w:spacing w:after="0" w:line="240" w:lineRule="auto"/>
        <w:ind w:firstLine="708"/>
        <w:jc w:val="both"/>
      </w:pPr>
      <w:r w:rsidRPr="004765AF">
        <w:t xml:space="preserve">Ustanovenia § 2 písm. </w:t>
      </w:r>
      <w:proofErr w:type="spellStart"/>
      <w:r w:rsidRPr="004765AF">
        <w:t>ai</w:t>
      </w:r>
      <w:proofErr w:type="spellEnd"/>
      <w:r w:rsidRPr="004765AF">
        <w:t xml:space="preserve">) až </w:t>
      </w:r>
      <w:proofErr w:type="spellStart"/>
      <w:r w:rsidRPr="004765AF">
        <w:t>al</w:t>
      </w:r>
      <w:proofErr w:type="spellEnd"/>
      <w:r w:rsidRPr="004765AF">
        <w:t>), § 8 ods. 17, § 9 ods. 1 písm. u), § 15 písm. a) ôsmeho  bodu, § 17 ods. 3 písm. n), § 17 ods. 43, § 51e ods. 5 a 6 v znení účinnom od 1. j</w:t>
      </w:r>
      <w:r w:rsidR="001D25CA">
        <w:t xml:space="preserve">anuára </w:t>
      </w:r>
      <w:r w:rsidR="0004780D">
        <w:t>2027</w:t>
      </w:r>
      <w:r w:rsidRPr="004765AF">
        <w:t xml:space="preserve"> sa použijú prvýkrát za zdaňovacie obdobie, ktoré sa začína </w:t>
      </w:r>
      <w:r w:rsidRPr="00BD7464">
        <w:t>1. januára 202</w:t>
      </w:r>
      <w:r>
        <w:t>6</w:t>
      </w:r>
      <w:r w:rsidRPr="004765AF">
        <w:t>.“.</w:t>
      </w:r>
    </w:p>
    <w:p w14:paraId="0B77BBCA" w14:textId="77777777" w:rsidR="00A671F5" w:rsidRPr="004765AF" w:rsidRDefault="00A671F5" w:rsidP="00A671F5">
      <w:pPr>
        <w:shd w:val="clear" w:color="auto" w:fill="FFFFFF"/>
        <w:spacing w:after="0" w:line="240" w:lineRule="auto"/>
        <w:ind w:left="426"/>
        <w:jc w:val="both"/>
      </w:pPr>
    </w:p>
    <w:p w14:paraId="28F3833F" w14:textId="77777777" w:rsidR="0018765A" w:rsidRDefault="0018765A" w:rsidP="00A671F5">
      <w:pPr>
        <w:spacing w:after="0" w:line="240" w:lineRule="auto"/>
        <w:jc w:val="center"/>
        <w:rPr>
          <w:b/>
        </w:rPr>
      </w:pPr>
    </w:p>
    <w:p w14:paraId="6946BADB" w14:textId="77777777" w:rsidR="0018765A" w:rsidRDefault="0018765A" w:rsidP="00A671F5">
      <w:pPr>
        <w:spacing w:after="0" w:line="240" w:lineRule="auto"/>
        <w:jc w:val="center"/>
        <w:rPr>
          <w:b/>
        </w:rPr>
      </w:pPr>
    </w:p>
    <w:p w14:paraId="0B6BFCD8" w14:textId="20FEC7E1" w:rsidR="00A671F5" w:rsidRDefault="00A671F5" w:rsidP="00A671F5">
      <w:pPr>
        <w:spacing w:after="0" w:line="240" w:lineRule="auto"/>
        <w:jc w:val="center"/>
        <w:rPr>
          <w:b/>
        </w:rPr>
      </w:pPr>
      <w:r w:rsidRPr="004765AF">
        <w:rPr>
          <w:b/>
        </w:rPr>
        <w:lastRenderedPageBreak/>
        <w:t>Čl. II</w:t>
      </w:r>
    </w:p>
    <w:p w14:paraId="48CF9062" w14:textId="77777777" w:rsidR="00A671F5" w:rsidRDefault="00A671F5" w:rsidP="00A671F5">
      <w:pPr>
        <w:spacing w:after="0" w:line="240" w:lineRule="auto"/>
        <w:jc w:val="center"/>
        <w:rPr>
          <w:b/>
        </w:rPr>
      </w:pPr>
    </w:p>
    <w:p w14:paraId="5DE2D5FE" w14:textId="77777777" w:rsidR="00A671F5" w:rsidRDefault="00A671F5" w:rsidP="00A671F5">
      <w:pPr>
        <w:shd w:val="clear" w:color="auto" w:fill="FFFFFF"/>
        <w:spacing w:after="0" w:line="240" w:lineRule="auto"/>
        <w:ind w:firstLine="708"/>
        <w:jc w:val="both"/>
        <w:rPr>
          <w:bCs/>
          <w:shd w:val="clear" w:color="auto" w:fill="FFFFFF"/>
        </w:rPr>
      </w:pPr>
      <w:r>
        <w:rPr>
          <w:bCs/>
        </w:rPr>
        <w:t>Zákon č. 580/2004 Z. z. </w:t>
      </w:r>
      <w:r>
        <w:rPr>
          <w:bCs/>
          <w:shd w:val="clear" w:color="auto" w:fill="FFFFFF"/>
        </w:rPr>
        <w:t xml:space="preserve">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w:t>
      </w:r>
      <w:r w:rsidRPr="00287108">
        <w:rPr>
          <w:bCs/>
          <w:shd w:val="clear" w:color="auto" w:fill="FFFFFF"/>
        </w:rPr>
        <w:t>zákona č. 309/2024 Z. z.</w:t>
      </w:r>
      <w:r>
        <w:rPr>
          <w:bCs/>
          <w:shd w:val="clear" w:color="auto" w:fill="FFFFFF"/>
        </w:rPr>
        <w:t xml:space="preserve">, zákona č. 362/2024 Z. z., </w:t>
      </w:r>
      <w:r w:rsidRPr="000D6FBE">
        <w:rPr>
          <w:bCs/>
          <w:shd w:val="clear" w:color="auto" w:fill="FFFFFF"/>
        </w:rPr>
        <w:t xml:space="preserve">zákona č. </w:t>
      </w:r>
      <w:r>
        <w:rPr>
          <w:bCs/>
          <w:shd w:val="clear" w:color="auto" w:fill="FFFFFF"/>
        </w:rPr>
        <w:t>260</w:t>
      </w:r>
      <w:r w:rsidRPr="000D6FBE">
        <w:rPr>
          <w:bCs/>
          <w:shd w:val="clear" w:color="auto" w:fill="FFFFFF"/>
        </w:rPr>
        <w:t>/202</w:t>
      </w:r>
      <w:r>
        <w:rPr>
          <w:bCs/>
          <w:shd w:val="clear" w:color="auto" w:fill="FFFFFF"/>
        </w:rPr>
        <w:t>5</w:t>
      </w:r>
      <w:r w:rsidRPr="000D6FBE">
        <w:rPr>
          <w:bCs/>
          <w:shd w:val="clear" w:color="auto" w:fill="FFFFFF"/>
        </w:rPr>
        <w:t xml:space="preserve"> Z. z., zákona č. 26</w:t>
      </w:r>
      <w:r>
        <w:rPr>
          <w:bCs/>
          <w:shd w:val="clear" w:color="auto" w:fill="FFFFFF"/>
        </w:rPr>
        <w:t>1</w:t>
      </w:r>
      <w:r w:rsidRPr="000D6FBE">
        <w:rPr>
          <w:bCs/>
          <w:shd w:val="clear" w:color="auto" w:fill="FFFFFF"/>
        </w:rPr>
        <w:t>/2025 Z. z.,</w:t>
      </w:r>
      <w:r>
        <w:rPr>
          <w:bCs/>
          <w:shd w:val="clear" w:color="auto" w:fill="FFFFFF"/>
        </w:rPr>
        <w:t xml:space="preserve"> </w:t>
      </w:r>
      <w:r w:rsidRPr="000D6FBE">
        <w:rPr>
          <w:bCs/>
          <w:shd w:val="clear" w:color="auto" w:fill="FFFFFF"/>
        </w:rPr>
        <w:t>zákona č. 2</w:t>
      </w:r>
      <w:r>
        <w:rPr>
          <w:bCs/>
          <w:shd w:val="clear" w:color="auto" w:fill="FFFFFF"/>
        </w:rPr>
        <w:t>93</w:t>
      </w:r>
      <w:r w:rsidRPr="000D6FBE">
        <w:rPr>
          <w:bCs/>
          <w:shd w:val="clear" w:color="auto" w:fill="FFFFFF"/>
        </w:rPr>
        <w:t>/2025 Z. z.</w:t>
      </w:r>
      <w:r>
        <w:rPr>
          <w:bCs/>
          <w:shd w:val="clear" w:color="auto" w:fill="FFFFFF"/>
        </w:rPr>
        <w:t xml:space="preserve"> a </w:t>
      </w:r>
      <w:r w:rsidRPr="000D6FBE">
        <w:rPr>
          <w:bCs/>
          <w:shd w:val="clear" w:color="auto" w:fill="FFFFFF"/>
        </w:rPr>
        <w:t xml:space="preserve">zákona č. </w:t>
      </w:r>
      <w:r>
        <w:rPr>
          <w:bCs/>
          <w:shd w:val="clear" w:color="auto" w:fill="FFFFFF"/>
        </w:rPr>
        <w:t>406</w:t>
      </w:r>
      <w:r w:rsidRPr="000D6FBE">
        <w:rPr>
          <w:bCs/>
          <w:shd w:val="clear" w:color="auto" w:fill="FFFFFF"/>
        </w:rPr>
        <w:t>/2025 Z. z.</w:t>
      </w:r>
      <w:r>
        <w:rPr>
          <w:bCs/>
          <w:shd w:val="clear" w:color="auto" w:fill="FFFFFF"/>
        </w:rPr>
        <w:t xml:space="preserve"> sa dopĺňa takto:</w:t>
      </w:r>
    </w:p>
    <w:p w14:paraId="62385BAB" w14:textId="77777777" w:rsidR="00A671F5" w:rsidRDefault="00A671F5" w:rsidP="00A671F5">
      <w:pPr>
        <w:shd w:val="clear" w:color="auto" w:fill="FFFFFF"/>
        <w:spacing w:after="0" w:line="240" w:lineRule="auto"/>
        <w:jc w:val="both"/>
        <w:rPr>
          <w:shd w:val="clear" w:color="auto" w:fill="FFFFFF"/>
        </w:rPr>
      </w:pPr>
    </w:p>
    <w:p w14:paraId="2721ACA1" w14:textId="77777777" w:rsidR="00A671F5" w:rsidRDefault="00A671F5" w:rsidP="00A671F5">
      <w:pPr>
        <w:pStyle w:val="Odsekzoznamu"/>
        <w:numPr>
          <w:ilvl w:val="0"/>
          <w:numId w:val="2"/>
        </w:numPr>
        <w:shd w:val="clear" w:color="auto" w:fill="FFFFFF"/>
        <w:tabs>
          <w:tab w:val="left" w:pos="426"/>
        </w:tabs>
        <w:spacing w:after="0" w:line="240" w:lineRule="auto"/>
        <w:ind w:left="284" w:hanging="284"/>
        <w:jc w:val="both"/>
      </w:pPr>
      <w:r>
        <w:t xml:space="preserve">V § 10b ods. 1 písm. d) sa na konci pripájajú tieto slová: „okrem príjmu </w:t>
      </w:r>
      <w:r>
        <w:rPr>
          <w:shd w:val="clear" w:color="auto" w:fill="FFFFFF"/>
        </w:rPr>
        <w:t>z predaja virtuálnej meny podľa osobitného predpisu,</w:t>
      </w:r>
      <w:r>
        <w:rPr>
          <w:rFonts w:eastAsia="Times New Roman"/>
          <w:vertAlign w:val="superscript"/>
        </w:rPr>
        <w:t>23aa</w:t>
      </w:r>
      <w:r>
        <w:rPr>
          <w:rFonts w:eastAsia="Times New Roman"/>
        </w:rPr>
        <w:t>)</w:t>
      </w:r>
      <w:r>
        <w:t xml:space="preserve"> </w:t>
      </w:r>
      <w:r>
        <w:rPr>
          <w:shd w:val="clear" w:color="auto" w:fill="FFFFFF"/>
        </w:rPr>
        <w:t>ktorá nebola obchodným majetkom daňovníka,</w:t>
      </w:r>
      <w:r>
        <w:t>“.</w:t>
      </w:r>
    </w:p>
    <w:p w14:paraId="51E8597B" w14:textId="77777777" w:rsidR="00A671F5" w:rsidRDefault="00A671F5" w:rsidP="00A671F5">
      <w:pPr>
        <w:shd w:val="clear" w:color="auto" w:fill="FFFFFF"/>
        <w:tabs>
          <w:tab w:val="left" w:pos="426"/>
        </w:tabs>
        <w:spacing w:after="0" w:line="240" w:lineRule="auto"/>
        <w:ind w:left="284" w:hanging="284"/>
        <w:jc w:val="both"/>
      </w:pPr>
    </w:p>
    <w:p w14:paraId="59BD97FA" w14:textId="77777777" w:rsidR="00A671F5" w:rsidRDefault="00A671F5" w:rsidP="00A671F5">
      <w:pPr>
        <w:spacing w:after="0" w:line="240" w:lineRule="auto"/>
        <w:ind w:left="284"/>
        <w:jc w:val="both"/>
      </w:pPr>
      <w:r>
        <w:t xml:space="preserve">Poznámka pod čiarou k odkazu 23aa znie: </w:t>
      </w:r>
    </w:p>
    <w:p w14:paraId="597C38EC" w14:textId="77777777" w:rsidR="00A671F5" w:rsidRDefault="00A671F5" w:rsidP="00A671F5">
      <w:pPr>
        <w:spacing w:after="0" w:line="240" w:lineRule="auto"/>
        <w:ind w:left="284"/>
        <w:jc w:val="both"/>
      </w:pPr>
      <w:r>
        <w:t>„</w:t>
      </w:r>
      <w:r>
        <w:rPr>
          <w:vertAlign w:val="superscript"/>
        </w:rPr>
        <w:t>23aa</w:t>
      </w:r>
      <w:r>
        <w:t xml:space="preserve">) § 2 písm. </w:t>
      </w:r>
      <w:proofErr w:type="spellStart"/>
      <w:r>
        <w:t>ai</w:t>
      </w:r>
      <w:proofErr w:type="spellEnd"/>
      <w:r>
        <w:t>) zákona č. 595/2003 Z. z. v znení zákona č. .../2026 Z. z.</w:t>
      </w:r>
    </w:p>
    <w:p w14:paraId="0DA08D2E" w14:textId="77777777" w:rsidR="00A671F5" w:rsidRDefault="00A671F5" w:rsidP="00A671F5">
      <w:pPr>
        <w:spacing w:after="0" w:line="240" w:lineRule="auto"/>
        <w:ind w:left="284"/>
        <w:jc w:val="both"/>
      </w:pPr>
      <w:r>
        <w:t xml:space="preserve">        § 8 ods. 1 písm. t) zákona č. 595/2003 Z. z. v znení neskorších predpisov.“.  </w:t>
      </w:r>
    </w:p>
    <w:p w14:paraId="6354D036" w14:textId="77777777" w:rsidR="00A671F5" w:rsidRDefault="00A671F5" w:rsidP="00A671F5">
      <w:pPr>
        <w:shd w:val="clear" w:color="auto" w:fill="FFFFFF"/>
        <w:spacing w:after="0" w:line="240" w:lineRule="auto"/>
        <w:ind w:left="284" w:hanging="284"/>
        <w:jc w:val="both"/>
      </w:pPr>
    </w:p>
    <w:p w14:paraId="47C491CA" w14:textId="77777777" w:rsidR="00A671F5" w:rsidRDefault="00A671F5" w:rsidP="00A671F5">
      <w:pPr>
        <w:pStyle w:val="Odsekzoznamu"/>
        <w:numPr>
          <w:ilvl w:val="0"/>
          <w:numId w:val="2"/>
        </w:numPr>
        <w:spacing w:after="0" w:line="240" w:lineRule="auto"/>
        <w:ind w:left="284" w:hanging="284"/>
        <w:jc w:val="both"/>
        <w:rPr>
          <w:lang w:eastAsia="sk-SK"/>
        </w:rPr>
      </w:pPr>
      <w:r>
        <w:t>V § 29b ods. 11 sa za slová „osobitného predpisu</w:t>
      </w:r>
      <w:r>
        <w:rPr>
          <w:vertAlign w:val="superscript"/>
        </w:rPr>
        <w:t>23</w:t>
      </w:r>
      <w:r>
        <w:t>)</w:t>
      </w:r>
      <w:r w:rsidRPr="00900B8A">
        <w:t>“</w:t>
      </w:r>
      <w:r>
        <w:rPr>
          <w:vertAlign w:val="superscript"/>
        </w:rPr>
        <w:t xml:space="preserve"> </w:t>
      </w:r>
      <w:r>
        <w:t>vkladajú slová „okrem príjmov z predaja virtuálnej meny podľa osobitného predpisu,</w:t>
      </w:r>
      <w:r>
        <w:rPr>
          <w:vertAlign w:val="superscript"/>
        </w:rPr>
        <w:t>23aa</w:t>
      </w:r>
      <w:r>
        <w:t xml:space="preserve">) ktorá nebola obchodným majetkom daňovníka,“. </w:t>
      </w:r>
    </w:p>
    <w:p w14:paraId="5B19DAFB" w14:textId="77777777" w:rsidR="00A671F5" w:rsidRDefault="00A671F5" w:rsidP="00A671F5">
      <w:pPr>
        <w:shd w:val="clear" w:color="auto" w:fill="FFFFFF"/>
        <w:spacing w:after="0" w:line="240" w:lineRule="auto"/>
        <w:jc w:val="both"/>
        <w:rPr>
          <w:lang w:eastAsia="sk-SK"/>
        </w:rPr>
      </w:pPr>
    </w:p>
    <w:p w14:paraId="09F2BEE8" w14:textId="77777777" w:rsidR="00A671F5" w:rsidRDefault="00A671F5" w:rsidP="00A671F5">
      <w:pPr>
        <w:spacing w:after="0"/>
        <w:jc w:val="center"/>
        <w:rPr>
          <w:b/>
          <w:bCs/>
        </w:rPr>
      </w:pPr>
      <w:r>
        <w:rPr>
          <w:b/>
          <w:bCs/>
        </w:rPr>
        <w:t>Čl. III</w:t>
      </w:r>
    </w:p>
    <w:p w14:paraId="40927717" w14:textId="77777777" w:rsidR="00A671F5" w:rsidRDefault="00A671F5" w:rsidP="00A671F5">
      <w:pPr>
        <w:pStyle w:val="Odsekzoznamu"/>
        <w:rPr>
          <w:rFonts w:eastAsia="Times New Roman"/>
          <w:lang w:eastAsia="sk-SK"/>
        </w:rPr>
      </w:pPr>
    </w:p>
    <w:p w14:paraId="4DEF78A8" w14:textId="384C9A01" w:rsidR="00A671F5" w:rsidRDefault="00A671F5" w:rsidP="00A671F5">
      <w:pPr>
        <w:pStyle w:val="Odsekzoznamu"/>
        <w:rPr>
          <w:rFonts w:eastAsia="Times New Roman"/>
          <w:lang w:eastAsia="sk-SK"/>
        </w:rPr>
      </w:pPr>
      <w:r w:rsidRPr="004765AF">
        <w:rPr>
          <w:rFonts w:eastAsia="Times New Roman"/>
          <w:lang w:eastAsia="sk-SK"/>
        </w:rPr>
        <w:t xml:space="preserve">Tento zákon nadobúda účinnosť </w:t>
      </w:r>
      <w:r w:rsidRPr="00BD7464">
        <w:rPr>
          <w:rFonts w:eastAsia="Times New Roman"/>
          <w:lang w:eastAsia="sk-SK"/>
        </w:rPr>
        <w:t>1. j</w:t>
      </w:r>
      <w:r w:rsidR="00604D2C">
        <w:rPr>
          <w:rFonts w:eastAsia="Times New Roman"/>
          <w:lang w:eastAsia="sk-SK"/>
        </w:rPr>
        <w:t>anuára</w:t>
      </w:r>
      <w:r w:rsidRPr="00BD7464">
        <w:rPr>
          <w:rFonts w:eastAsia="Times New Roman"/>
          <w:lang w:eastAsia="sk-SK"/>
        </w:rPr>
        <w:t xml:space="preserve"> 202</w:t>
      </w:r>
      <w:r w:rsidR="005D4A16">
        <w:rPr>
          <w:rFonts w:eastAsia="Times New Roman"/>
          <w:lang w:eastAsia="sk-SK"/>
        </w:rPr>
        <w:t>7</w:t>
      </w:r>
      <w:r w:rsidRPr="004765AF">
        <w:rPr>
          <w:rFonts w:eastAsia="Times New Roman"/>
          <w:lang w:eastAsia="sk-SK"/>
        </w:rPr>
        <w:t>.</w:t>
      </w:r>
    </w:p>
    <w:bookmarkEnd w:id="1"/>
    <w:p w14:paraId="76F4B3EC" w14:textId="77777777" w:rsidR="00A671F5" w:rsidRDefault="00A671F5" w:rsidP="00A671F5">
      <w:pPr>
        <w:pStyle w:val="Odsekzoznamu"/>
        <w:rPr>
          <w:rFonts w:eastAsia="Times New Roman"/>
          <w:lang w:eastAsia="sk-SK"/>
        </w:rPr>
      </w:pPr>
    </w:p>
    <w:p w14:paraId="24A75E58" w14:textId="77777777" w:rsidR="00A671F5" w:rsidRPr="00321E70" w:rsidRDefault="00A671F5" w:rsidP="00A671F5"/>
    <w:p w14:paraId="318A2818" w14:textId="77777777" w:rsidR="004F3F5A" w:rsidRPr="00A671F5" w:rsidRDefault="004F3F5A" w:rsidP="00A671F5"/>
    <w:sectPr w:rsidR="004F3F5A" w:rsidRPr="00A671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66BC" w14:textId="77777777" w:rsidR="00222C59" w:rsidRDefault="00222C59">
      <w:pPr>
        <w:spacing w:line="240" w:lineRule="auto"/>
      </w:pPr>
      <w:r>
        <w:separator/>
      </w:r>
    </w:p>
  </w:endnote>
  <w:endnote w:type="continuationSeparator" w:id="0">
    <w:p w14:paraId="09C2DA15" w14:textId="77777777" w:rsidR="00222C59" w:rsidRDefault="00222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Light">
    <w:altName w:val="|??e?e???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9DD5" w14:textId="77777777" w:rsidR="004F3F5A" w:rsidRDefault="004F3F5A">
    <w:pPr>
      <w:pStyle w:val="Pta"/>
      <w:jc w:val="center"/>
    </w:pPr>
  </w:p>
  <w:p w14:paraId="2A27DA95" w14:textId="77777777" w:rsidR="004F3F5A" w:rsidRDefault="004F3F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5AED" w14:textId="77777777" w:rsidR="00222C59" w:rsidRDefault="00222C59">
      <w:pPr>
        <w:spacing w:after="0"/>
      </w:pPr>
      <w:r>
        <w:separator/>
      </w:r>
    </w:p>
  </w:footnote>
  <w:footnote w:type="continuationSeparator" w:id="0">
    <w:p w14:paraId="1A9591CA" w14:textId="77777777" w:rsidR="00222C59" w:rsidRDefault="00222C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00FFA"/>
    <w:multiLevelType w:val="multilevel"/>
    <w:tmpl w:val="5BC00FFA"/>
    <w:lvl w:ilvl="0">
      <w:start w:val="1"/>
      <w:numFmt w:val="decimal"/>
      <w:lvlText w:val="%1."/>
      <w:lvlJc w:val="left"/>
      <w:pPr>
        <w:ind w:left="780" w:hanging="360"/>
      </w:pPr>
      <w:rPr>
        <w:rFonts w:hint="default"/>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78C3107F"/>
    <w:multiLevelType w:val="multilevel"/>
    <w:tmpl w:val="78C3107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668903">
    <w:abstractNumId w:val="1"/>
  </w:num>
  <w:num w:numId="2" w16cid:durableId="82539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F3"/>
    <w:rsid w:val="00003AC9"/>
    <w:rsid w:val="00013627"/>
    <w:rsid w:val="000205BA"/>
    <w:rsid w:val="0002274C"/>
    <w:rsid w:val="00024789"/>
    <w:rsid w:val="00026632"/>
    <w:rsid w:val="00027E96"/>
    <w:rsid w:val="000419DC"/>
    <w:rsid w:val="0004780D"/>
    <w:rsid w:val="00053538"/>
    <w:rsid w:val="00054BAE"/>
    <w:rsid w:val="00057161"/>
    <w:rsid w:val="0005736A"/>
    <w:rsid w:val="0005771C"/>
    <w:rsid w:val="00063DBE"/>
    <w:rsid w:val="00067352"/>
    <w:rsid w:val="00072277"/>
    <w:rsid w:val="00074535"/>
    <w:rsid w:val="00083704"/>
    <w:rsid w:val="00085126"/>
    <w:rsid w:val="00087053"/>
    <w:rsid w:val="000879FE"/>
    <w:rsid w:val="000A08C9"/>
    <w:rsid w:val="000A2333"/>
    <w:rsid w:val="000A7EEC"/>
    <w:rsid w:val="000B2AA9"/>
    <w:rsid w:val="000B72DA"/>
    <w:rsid w:val="000B7687"/>
    <w:rsid w:val="000C15A5"/>
    <w:rsid w:val="000C779C"/>
    <w:rsid w:val="000D1D08"/>
    <w:rsid w:val="000D5957"/>
    <w:rsid w:val="000D6087"/>
    <w:rsid w:val="000E6925"/>
    <w:rsid w:val="000F2721"/>
    <w:rsid w:val="001019AB"/>
    <w:rsid w:val="00102A32"/>
    <w:rsid w:val="0010330D"/>
    <w:rsid w:val="0010591E"/>
    <w:rsid w:val="00107ED4"/>
    <w:rsid w:val="00111837"/>
    <w:rsid w:val="00114E5D"/>
    <w:rsid w:val="00126C29"/>
    <w:rsid w:val="00130B98"/>
    <w:rsid w:val="00131D67"/>
    <w:rsid w:val="0014140B"/>
    <w:rsid w:val="0014328A"/>
    <w:rsid w:val="0015685B"/>
    <w:rsid w:val="00156B4D"/>
    <w:rsid w:val="00160602"/>
    <w:rsid w:val="001619AE"/>
    <w:rsid w:val="00166446"/>
    <w:rsid w:val="0018765A"/>
    <w:rsid w:val="00191A40"/>
    <w:rsid w:val="00192CBA"/>
    <w:rsid w:val="001A19A9"/>
    <w:rsid w:val="001A6032"/>
    <w:rsid w:val="001A6E7E"/>
    <w:rsid w:val="001B6DC4"/>
    <w:rsid w:val="001C025B"/>
    <w:rsid w:val="001C0F25"/>
    <w:rsid w:val="001C45EA"/>
    <w:rsid w:val="001C74E8"/>
    <w:rsid w:val="001D25CA"/>
    <w:rsid w:val="001D7D20"/>
    <w:rsid w:val="001E1AD1"/>
    <w:rsid w:val="001E3BBD"/>
    <w:rsid w:val="001E55E8"/>
    <w:rsid w:val="001F5FBE"/>
    <w:rsid w:val="0020118F"/>
    <w:rsid w:val="002046AA"/>
    <w:rsid w:val="00207053"/>
    <w:rsid w:val="0021081F"/>
    <w:rsid w:val="002153B7"/>
    <w:rsid w:val="00216ADC"/>
    <w:rsid w:val="00221414"/>
    <w:rsid w:val="00222C59"/>
    <w:rsid w:val="002231E7"/>
    <w:rsid w:val="002235BA"/>
    <w:rsid w:val="00232BF9"/>
    <w:rsid w:val="00233C3F"/>
    <w:rsid w:val="00234912"/>
    <w:rsid w:val="00235D8B"/>
    <w:rsid w:val="00237EF8"/>
    <w:rsid w:val="00240680"/>
    <w:rsid w:val="00243FDF"/>
    <w:rsid w:val="00245584"/>
    <w:rsid w:val="00254EB7"/>
    <w:rsid w:val="00255048"/>
    <w:rsid w:val="002618A9"/>
    <w:rsid w:val="002769CE"/>
    <w:rsid w:val="00285BF0"/>
    <w:rsid w:val="0028621C"/>
    <w:rsid w:val="00287108"/>
    <w:rsid w:val="0029208B"/>
    <w:rsid w:val="0029395B"/>
    <w:rsid w:val="00293EA5"/>
    <w:rsid w:val="002A6CB0"/>
    <w:rsid w:val="002B0B3D"/>
    <w:rsid w:val="002B49CD"/>
    <w:rsid w:val="002B4F7B"/>
    <w:rsid w:val="002B7B8C"/>
    <w:rsid w:val="002D51C7"/>
    <w:rsid w:val="002E0751"/>
    <w:rsid w:val="002E1028"/>
    <w:rsid w:val="002E5188"/>
    <w:rsid w:val="002E5303"/>
    <w:rsid w:val="002F15E6"/>
    <w:rsid w:val="002F6E8B"/>
    <w:rsid w:val="0030161A"/>
    <w:rsid w:val="00301ADE"/>
    <w:rsid w:val="003033D3"/>
    <w:rsid w:val="00305F9F"/>
    <w:rsid w:val="00311F94"/>
    <w:rsid w:val="003143B8"/>
    <w:rsid w:val="00315694"/>
    <w:rsid w:val="003172B3"/>
    <w:rsid w:val="00321E70"/>
    <w:rsid w:val="003323C3"/>
    <w:rsid w:val="00332A83"/>
    <w:rsid w:val="00335E66"/>
    <w:rsid w:val="003447ED"/>
    <w:rsid w:val="0034561F"/>
    <w:rsid w:val="00346971"/>
    <w:rsid w:val="00350FA9"/>
    <w:rsid w:val="00364E73"/>
    <w:rsid w:val="003651F7"/>
    <w:rsid w:val="00367093"/>
    <w:rsid w:val="00367154"/>
    <w:rsid w:val="003720AB"/>
    <w:rsid w:val="00374E95"/>
    <w:rsid w:val="003853D4"/>
    <w:rsid w:val="00390987"/>
    <w:rsid w:val="00391EE9"/>
    <w:rsid w:val="003923CA"/>
    <w:rsid w:val="0039551A"/>
    <w:rsid w:val="00396181"/>
    <w:rsid w:val="003A428A"/>
    <w:rsid w:val="003A4F9E"/>
    <w:rsid w:val="003A6646"/>
    <w:rsid w:val="003B7254"/>
    <w:rsid w:val="003C2378"/>
    <w:rsid w:val="003C5540"/>
    <w:rsid w:val="003C59F0"/>
    <w:rsid w:val="003D0392"/>
    <w:rsid w:val="003D306B"/>
    <w:rsid w:val="003D4E8E"/>
    <w:rsid w:val="003D75A9"/>
    <w:rsid w:val="003E0675"/>
    <w:rsid w:val="003F0248"/>
    <w:rsid w:val="003F0281"/>
    <w:rsid w:val="003F1776"/>
    <w:rsid w:val="003F2E12"/>
    <w:rsid w:val="003F2ECB"/>
    <w:rsid w:val="003F4401"/>
    <w:rsid w:val="003F5357"/>
    <w:rsid w:val="004059A4"/>
    <w:rsid w:val="004133D2"/>
    <w:rsid w:val="004138D6"/>
    <w:rsid w:val="00413E3B"/>
    <w:rsid w:val="0042188E"/>
    <w:rsid w:val="004255BB"/>
    <w:rsid w:val="00426870"/>
    <w:rsid w:val="00435E2F"/>
    <w:rsid w:val="00452059"/>
    <w:rsid w:val="00455635"/>
    <w:rsid w:val="00462CE9"/>
    <w:rsid w:val="00463C44"/>
    <w:rsid w:val="0047040A"/>
    <w:rsid w:val="004719AE"/>
    <w:rsid w:val="004722D2"/>
    <w:rsid w:val="00475E7C"/>
    <w:rsid w:val="004768B2"/>
    <w:rsid w:val="0048006F"/>
    <w:rsid w:val="004857D3"/>
    <w:rsid w:val="00494C81"/>
    <w:rsid w:val="00494CF3"/>
    <w:rsid w:val="004A0FBA"/>
    <w:rsid w:val="004A371C"/>
    <w:rsid w:val="004A7D83"/>
    <w:rsid w:val="004B2F7F"/>
    <w:rsid w:val="004B3BBA"/>
    <w:rsid w:val="004C34C8"/>
    <w:rsid w:val="004D2264"/>
    <w:rsid w:val="004D416B"/>
    <w:rsid w:val="004E2E65"/>
    <w:rsid w:val="004E3291"/>
    <w:rsid w:val="004F17AF"/>
    <w:rsid w:val="004F34C9"/>
    <w:rsid w:val="004F3F5A"/>
    <w:rsid w:val="004F49BF"/>
    <w:rsid w:val="0050575E"/>
    <w:rsid w:val="00507F8C"/>
    <w:rsid w:val="00511D34"/>
    <w:rsid w:val="00511D3C"/>
    <w:rsid w:val="00522E92"/>
    <w:rsid w:val="00523BDF"/>
    <w:rsid w:val="00530DC5"/>
    <w:rsid w:val="005379E7"/>
    <w:rsid w:val="00540236"/>
    <w:rsid w:val="0054056D"/>
    <w:rsid w:val="00543769"/>
    <w:rsid w:val="00555840"/>
    <w:rsid w:val="00585877"/>
    <w:rsid w:val="00586906"/>
    <w:rsid w:val="00590B25"/>
    <w:rsid w:val="00590DDD"/>
    <w:rsid w:val="005957E7"/>
    <w:rsid w:val="005A6C7C"/>
    <w:rsid w:val="005B19E4"/>
    <w:rsid w:val="005C2D1D"/>
    <w:rsid w:val="005C554F"/>
    <w:rsid w:val="005C61C1"/>
    <w:rsid w:val="005D442D"/>
    <w:rsid w:val="005D4A16"/>
    <w:rsid w:val="005E2754"/>
    <w:rsid w:val="005E33AE"/>
    <w:rsid w:val="005E5A0E"/>
    <w:rsid w:val="005E5A79"/>
    <w:rsid w:val="005F0BAF"/>
    <w:rsid w:val="005F7D6A"/>
    <w:rsid w:val="00603587"/>
    <w:rsid w:val="00604D2C"/>
    <w:rsid w:val="0060726B"/>
    <w:rsid w:val="00607BDA"/>
    <w:rsid w:val="00615732"/>
    <w:rsid w:val="00622782"/>
    <w:rsid w:val="00630F0D"/>
    <w:rsid w:val="006365AC"/>
    <w:rsid w:val="0064016E"/>
    <w:rsid w:val="00642407"/>
    <w:rsid w:val="006434DD"/>
    <w:rsid w:val="0065181C"/>
    <w:rsid w:val="0065473E"/>
    <w:rsid w:val="00660AD1"/>
    <w:rsid w:val="0066724D"/>
    <w:rsid w:val="00667A58"/>
    <w:rsid w:val="00673DC9"/>
    <w:rsid w:val="0067539F"/>
    <w:rsid w:val="006805ED"/>
    <w:rsid w:val="00682D34"/>
    <w:rsid w:val="00687FAF"/>
    <w:rsid w:val="0069242A"/>
    <w:rsid w:val="006957E7"/>
    <w:rsid w:val="00695CE3"/>
    <w:rsid w:val="006A2D81"/>
    <w:rsid w:val="006A7131"/>
    <w:rsid w:val="006B1C38"/>
    <w:rsid w:val="006B5B30"/>
    <w:rsid w:val="006B62F7"/>
    <w:rsid w:val="006B63AD"/>
    <w:rsid w:val="006C46DA"/>
    <w:rsid w:val="006C6B24"/>
    <w:rsid w:val="006D2333"/>
    <w:rsid w:val="006D6D56"/>
    <w:rsid w:val="006E23BF"/>
    <w:rsid w:val="006E51E7"/>
    <w:rsid w:val="006E7407"/>
    <w:rsid w:val="006E787C"/>
    <w:rsid w:val="006F37B2"/>
    <w:rsid w:val="006F4EC3"/>
    <w:rsid w:val="006F6069"/>
    <w:rsid w:val="006F7264"/>
    <w:rsid w:val="00701453"/>
    <w:rsid w:val="00712217"/>
    <w:rsid w:val="00712C60"/>
    <w:rsid w:val="00721BFE"/>
    <w:rsid w:val="00723925"/>
    <w:rsid w:val="00732E15"/>
    <w:rsid w:val="00733529"/>
    <w:rsid w:val="007347E8"/>
    <w:rsid w:val="007360FB"/>
    <w:rsid w:val="00737E13"/>
    <w:rsid w:val="0074477F"/>
    <w:rsid w:val="00745F81"/>
    <w:rsid w:val="00747A33"/>
    <w:rsid w:val="00747FDC"/>
    <w:rsid w:val="007565EE"/>
    <w:rsid w:val="00757F9A"/>
    <w:rsid w:val="00760AA9"/>
    <w:rsid w:val="00764836"/>
    <w:rsid w:val="00771356"/>
    <w:rsid w:val="00771B34"/>
    <w:rsid w:val="00774845"/>
    <w:rsid w:val="00776070"/>
    <w:rsid w:val="00792DA9"/>
    <w:rsid w:val="007A24CC"/>
    <w:rsid w:val="007A25FA"/>
    <w:rsid w:val="007A4107"/>
    <w:rsid w:val="007B2C12"/>
    <w:rsid w:val="007C1C8B"/>
    <w:rsid w:val="007C2047"/>
    <w:rsid w:val="007C28BA"/>
    <w:rsid w:val="007C3080"/>
    <w:rsid w:val="007C359C"/>
    <w:rsid w:val="007E040B"/>
    <w:rsid w:val="007E4142"/>
    <w:rsid w:val="007E69B0"/>
    <w:rsid w:val="007F30FA"/>
    <w:rsid w:val="00802CB6"/>
    <w:rsid w:val="0081323D"/>
    <w:rsid w:val="008143E9"/>
    <w:rsid w:val="00815C4D"/>
    <w:rsid w:val="008222F3"/>
    <w:rsid w:val="00824456"/>
    <w:rsid w:val="008336BF"/>
    <w:rsid w:val="00833D4C"/>
    <w:rsid w:val="0084084D"/>
    <w:rsid w:val="00840871"/>
    <w:rsid w:val="00843462"/>
    <w:rsid w:val="00851C72"/>
    <w:rsid w:val="008602E7"/>
    <w:rsid w:val="00862214"/>
    <w:rsid w:val="008707B9"/>
    <w:rsid w:val="00881600"/>
    <w:rsid w:val="0088391F"/>
    <w:rsid w:val="00896C80"/>
    <w:rsid w:val="008A376F"/>
    <w:rsid w:val="008B279B"/>
    <w:rsid w:val="008B5167"/>
    <w:rsid w:val="008C0513"/>
    <w:rsid w:val="008C56EA"/>
    <w:rsid w:val="008C73C3"/>
    <w:rsid w:val="008D2986"/>
    <w:rsid w:val="008D38B2"/>
    <w:rsid w:val="008D657B"/>
    <w:rsid w:val="008E4472"/>
    <w:rsid w:val="008E672B"/>
    <w:rsid w:val="008F55F7"/>
    <w:rsid w:val="009015BF"/>
    <w:rsid w:val="00901C71"/>
    <w:rsid w:val="0090530D"/>
    <w:rsid w:val="00905D57"/>
    <w:rsid w:val="00911200"/>
    <w:rsid w:val="00924BAD"/>
    <w:rsid w:val="00930B7D"/>
    <w:rsid w:val="009331E7"/>
    <w:rsid w:val="00937BAB"/>
    <w:rsid w:val="009419C9"/>
    <w:rsid w:val="00943358"/>
    <w:rsid w:val="00955AA4"/>
    <w:rsid w:val="009643CB"/>
    <w:rsid w:val="00965A41"/>
    <w:rsid w:val="00966187"/>
    <w:rsid w:val="009675AE"/>
    <w:rsid w:val="00971934"/>
    <w:rsid w:val="00971A77"/>
    <w:rsid w:val="00971EB8"/>
    <w:rsid w:val="00972A87"/>
    <w:rsid w:val="00974D56"/>
    <w:rsid w:val="00977483"/>
    <w:rsid w:val="009777EE"/>
    <w:rsid w:val="00982568"/>
    <w:rsid w:val="009827E4"/>
    <w:rsid w:val="009849F6"/>
    <w:rsid w:val="00991FC8"/>
    <w:rsid w:val="00992030"/>
    <w:rsid w:val="00997644"/>
    <w:rsid w:val="00997C23"/>
    <w:rsid w:val="009A0376"/>
    <w:rsid w:val="009B3985"/>
    <w:rsid w:val="009B5C36"/>
    <w:rsid w:val="009B5E40"/>
    <w:rsid w:val="009C44E6"/>
    <w:rsid w:val="009C570B"/>
    <w:rsid w:val="009D2CDB"/>
    <w:rsid w:val="009D39E5"/>
    <w:rsid w:val="009D7F5A"/>
    <w:rsid w:val="009E2BF6"/>
    <w:rsid w:val="009E6EA6"/>
    <w:rsid w:val="009E7B4C"/>
    <w:rsid w:val="009F7CC4"/>
    <w:rsid w:val="00A00053"/>
    <w:rsid w:val="00A01172"/>
    <w:rsid w:val="00A01942"/>
    <w:rsid w:val="00A02D12"/>
    <w:rsid w:val="00A037B6"/>
    <w:rsid w:val="00A04D9B"/>
    <w:rsid w:val="00A0511F"/>
    <w:rsid w:val="00A05217"/>
    <w:rsid w:val="00A21E28"/>
    <w:rsid w:val="00A22B47"/>
    <w:rsid w:val="00A22C43"/>
    <w:rsid w:val="00A311B5"/>
    <w:rsid w:val="00A34255"/>
    <w:rsid w:val="00A3661D"/>
    <w:rsid w:val="00A439DE"/>
    <w:rsid w:val="00A46CC9"/>
    <w:rsid w:val="00A46F54"/>
    <w:rsid w:val="00A522E6"/>
    <w:rsid w:val="00A52B25"/>
    <w:rsid w:val="00A53075"/>
    <w:rsid w:val="00A61979"/>
    <w:rsid w:val="00A64D67"/>
    <w:rsid w:val="00A65719"/>
    <w:rsid w:val="00A66741"/>
    <w:rsid w:val="00A66EB0"/>
    <w:rsid w:val="00A671F5"/>
    <w:rsid w:val="00A71412"/>
    <w:rsid w:val="00A752FC"/>
    <w:rsid w:val="00A82AAC"/>
    <w:rsid w:val="00A83653"/>
    <w:rsid w:val="00A915B6"/>
    <w:rsid w:val="00A9486A"/>
    <w:rsid w:val="00A97D7B"/>
    <w:rsid w:val="00AA57EB"/>
    <w:rsid w:val="00AB64E0"/>
    <w:rsid w:val="00AC5A5B"/>
    <w:rsid w:val="00AC7163"/>
    <w:rsid w:val="00AD2B4B"/>
    <w:rsid w:val="00AF4A57"/>
    <w:rsid w:val="00AF6DC3"/>
    <w:rsid w:val="00B0420A"/>
    <w:rsid w:val="00B0605A"/>
    <w:rsid w:val="00B10824"/>
    <w:rsid w:val="00B117A6"/>
    <w:rsid w:val="00B11C96"/>
    <w:rsid w:val="00B1439E"/>
    <w:rsid w:val="00B15B17"/>
    <w:rsid w:val="00B3145E"/>
    <w:rsid w:val="00B3756E"/>
    <w:rsid w:val="00B44C3A"/>
    <w:rsid w:val="00B5397A"/>
    <w:rsid w:val="00B608A7"/>
    <w:rsid w:val="00B61D89"/>
    <w:rsid w:val="00B64EC9"/>
    <w:rsid w:val="00B70389"/>
    <w:rsid w:val="00B764E2"/>
    <w:rsid w:val="00B8212F"/>
    <w:rsid w:val="00B86B54"/>
    <w:rsid w:val="00B93786"/>
    <w:rsid w:val="00B96EE6"/>
    <w:rsid w:val="00BA1831"/>
    <w:rsid w:val="00BA1A6E"/>
    <w:rsid w:val="00BA38B3"/>
    <w:rsid w:val="00BA5B06"/>
    <w:rsid w:val="00BC4000"/>
    <w:rsid w:val="00BC7952"/>
    <w:rsid w:val="00BD27E1"/>
    <w:rsid w:val="00BD7171"/>
    <w:rsid w:val="00BE1116"/>
    <w:rsid w:val="00BE3F5E"/>
    <w:rsid w:val="00BF7228"/>
    <w:rsid w:val="00C00808"/>
    <w:rsid w:val="00C024F6"/>
    <w:rsid w:val="00C02DB3"/>
    <w:rsid w:val="00C03BA8"/>
    <w:rsid w:val="00C05D57"/>
    <w:rsid w:val="00C06D48"/>
    <w:rsid w:val="00C23A33"/>
    <w:rsid w:val="00C23A80"/>
    <w:rsid w:val="00C3025F"/>
    <w:rsid w:val="00C36F8B"/>
    <w:rsid w:val="00C42A9C"/>
    <w:rsid w:val="00C539A9"/>
    <w:rsid w:val="00C53F3C"/>
    <w:rsid w:val="00C54B11"/>
    <w:rsid w:val="00C55628"/>
    <w:rsid w:val="00C63E48"/>
    <w:rsid w:val="00C705B2"/>
    <w:rsid w:val="00C70CC5"/>
    <w:rsid w:val="00C7568B"/>
    <w:rsid w:val="00C77B86"/>
    <w:rsid w:val="00C82BAE"/>
    <w:rsid w:val="00C84152"/>
    <w:rsid w:val="00C86518"/>
    <w:rsid w:val="00C90285"/>
    <w:rsid w:val="00C92983"/>
    <w:rsid w:val="00C93ADC"/>
    <w:rsid w:val="00CA6B73"/>
    <w:rsid w:val="00CA75F1"/>
    <w:rsid w:val="00CB2484"/>
    <w:rsid w:val="00CB27E4"/>
    <w:rsid w:val="00CC004A"/>
    <w:rsid w:val="00CC0AB0"/>
    <w:rsid w:val="00CD227F"/>
    <w:rsid w:val="00CE1C4A"/>
    <w:rsid w:val="00CE6AED"/>
    <w:rsid w:val="00CF026F"/>
    <w:rsid w:val="00CF2C1C"/>
    <w:rsid w:val="00D12E80"/>
    <w:rsid w:val="00D17117"/>
    <w:rsid w:val="00D22433"/>
    <w:rsid w:val="00D22A7F"/>
    <w:rsid w:val="00D2561A"/>
    <w:rsid w:val="00D26EFB"/>
    <w:rsid w:val="00D32316"/>
    <w:rsid w:val="00D365F5"/>
    <w:rsid w:val="00D41D37"/>
    <w:rsid w:val="00D54246"/>
    <w:rsid w:val="00D57A5A"/>
    <w:rsid w:val="00D62966"/>
    <w:rsid w:val="00D63985"/>
    <w:rsid w:val="00D6456F"/>
    <w:rsid w:val="00D65AD6"/>
    <w:rsid w:val="00D7189A"/>
    <w:rsid w:val="00D74C38"/>
    <w:rsid w:val="00D76AC2"/>
    <w:rsid w:val="00D80416"/>
    <w:rsid w:val="00D816B0"/>
    <w:rsid w:val="00D83514"/>
    <w:rsid w:val="00D92F82"/>
    <w:rsid w:val="00D9774A"/>
    <w:rsid w:val="00DA2B63"/>
    <w:rsid w:val="00DA4B63"/>
    <w:rsid w:val="00DB58D3"/>
    <w:rsid w:val="00DC004D"/>
    <w:rsid w:val="00DD0063"/>
    <w:rsid w:val="00DD04C3"/>
    <w:rsid w:val="00DD097E"/>
    <w:rsid w:val="00DD1B90"/>
    <w:rsid w:val="00DD220B"/>
    <w:rsid w:val="00DD7805"/>
    <w:rsid w:val="00DE00E9"/>
    <w:rsid w:val="00DE3088"/>
    <w:rsid w:val="00DF19AB"/>
    <w:rsid w:val="00E02901"/>
    <w:rsid w:val="00E07F3A"/>
    <w:rsid w:val="00E103E4"/>
    <w:rsid w:val="00E105EB"/>
    <w:rsid w:val="00E131DE"/>
    <w:rsid w:val="00E1398B"/>
    <w:rsid w:val="00E140EE"/>
    <w:rsid w:val="00E17483"/>
    <w:rsid w:val="00E24DC6"/>
    <w:rsid w:val="00E33407"/>
    <w:rsid w:val="00E40AFE"/>
    <w:rsid w:val="00E41C16"/>
    <w:rsid w:val="00E42B0D"/>
    <w:rsid w:val="00E53C29"/>
    <w:rsid w:val="00E70906"/>
    <w:rsid w:val="00E72A9D"/>
    <w:rsid w:val="00E773F9"/>
    <w:rsid w:val="00E83103"/>
    <w:rsid w:val="00E8796D"/>
    <w:rsid w:val="00E90698"/>
    <w:rsid w:val="00E91B8C"/>
    <w:rsid w:val="00E94207"/>
    <w:rsid w:val="00E95231"/>
    <w:rsid w:val="00E96313"/>
    <w:rsid w:val="00EA4149"/>
    <w:rsid w:val="00EA6C20"/>
    <w:rsid w:val="00EC265F"/>
    <w:rsid w:val="00EC5AF8"/>
    <w:rsid w:val="00ED1FB6"/>
    <w:rsid w:val="00ED2840"/>
    <w:rsid w:val="00ED42F4"/>
    <w:rsid w:val="00ED5801"/>
    <w:rsid w:val="00ED7B7A"/>
    <w:rsid w:val="00EE3CA5"/>
    <w:rsid w:val="00EE4D4E"/>
    <w:rsid w:val="00EE4DB8"/>
    <w:rsid w:val="00EF27CE"/>
    <w:rsid w:val="00EF3051"/>
    <w:rsid w:val="00EF41A3"/>
    <w:rsid w:val="00EF686B"/>
    <w:rsid w:val="00F03FEC"/>
    <w:rsid w:val="00F05676"/>
    <w:rsid w:val="00F13F6E"/>
    <w:rsid w:val="00F155F3"/>
    <w:rsid w:val="00F15E20"/>
    <w:rsid w:val="00F35840"/>
    <w:rsid w:val="00F35A02"/>
    <w:rsid w:val="00F40BC3"/>
    <w:rsid w:val="00F4138F"/>
    <w:rsid w:val="00F44410"/>
    <w:rsid w:val="00F454E6"/>
    <w:rsid w:val="00F46BB1"/>
    <w:rsid w:val="00F47D81"/>
    <w:rsid w:val="00F577AF"/>
    <w:rsid w:val="00F600F9"/>
    <w:rsid w:val="00F63C05"/>
    <w:rsid w:val="00F64AEB"/>
    <w:rsid w:val="00F65E7C"/>
    <w:rsid w:val="00F66A1E"/>
    <w:rsid w:val="00F73F4F"/>
    <w:rsid w:val="00F80FDF"/>
    <w:rsid w:val="00F821D3"/>
    <w:rsid w:val="00F84863"/>
    <w:rsid w:val="00F901B4"/>
    <w:rsid w:val="00F90457"/>
    <w:rsid w:val="00F964C5"/>
    <w:rsid w:val="00FA3EC6"/>
    <w:rsid w:val="00FA632B"/>
    <w:rsid w:val="00FB1EAD"/>
    <w:rsid w:val="00FB2FCB"/>
    <w:rsid w:val="00FB54DA"/>
    <w:rsid w:val="00FD31B8"/>
    <w:rsid w:val="00FD3EB1"/>
    <w:rsid w:val="00FE0E9A"/>
    <w:rsid w:val="00FE47E1"/>
    <w:rsid w:val="00FE67F3"/>
    <w:rsid w:val="00FF0CCA"/>
    <w:rsid w:val="00FF243F"/>
    <w:rsid w:val="00FF245F"/>
    <w:rsid w:val="00FF55B8"/>
    <w:rsid w:val="00FF714B"/>
    <w:rsid w:val="121D3585"/>
    <w:rsid w:val="1B194666"/>
    <w:rsid w:val="41E15BD1"/>
    <w:rsid w:val="67DD2FE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024C"/>
  <w15:docId w15:val="{47190D39-5EC5-4BC8-ACED-2BFD9424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PremennHTML">
    <w:name w:val="HTML Variable"/>
    <w:basedOn w:val="Predvolenpsmoodseku"/>
    <w:uiPriority w:val="99"/>
    <w:semiHidden/>
    <w:unhideWhenUsed/>
    <w:qFormat/>
    <w:rPr>
      <w:i/>
      <w:iCs/>
    </w:rPr>
  </w:style>
  <w:style w:type="character" w:styleId="Hypertextovprepojenie">
    <w:name w:val="Hyperlink"/>
    <w:basedOn w:val="Predvolenpsmoodseku"/>
    <w:uiPriority w:val="99"/>
    <w:unhideWhenUsed/>
    <w:qFormat/>
    <w:rPr>
      <w:color w:val="0000FF"/>
      <w:u w:val="single"/>
    </w:rPr>
  </w:style>
  <w:style w:type="paragraph" w:styleId="Normlnywebov">
    <w:name w:val="Normal (Web)"/>
    <w:basedOn w:val="Normlny"/>
    <w:uiPriority w:val="99"/>
    <w:unhideWhenUsed/>
    <w:qFormat/>
    <w:pPr>
      <w:spacing w:before="100" w:beforeAutospacing="1" w:after="100" w:afterAutospacing="1" w:line="240" w:lineRule="auto"/>
    </w:pPr>
    <w:rPr>
      <w:rFonts w:eastAsia="Times New Roman"/>
      <w:lang w:eastAsia="sk-SK"/>
    </w:rPr>
  </w:style>
  <w:style w:type="table" w:styleId="Mriekatabuky">
    <w:name w:val="Table Grid"/>
    <w:basedOn w:val="Normlnatabu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pPr>
      <w:ind w:left="720"/>
      <w:contextualSpacing/>
    </w:p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customStyle="1" w:styleId="Zkladntext">
    <w:name w:val="Základní text"/>
    <w:qFormat/>
    <w:pPr>
      <w:widowControl w:val="0"/>
      <w:snapToGrid w:val="0"/>
    </w:pPr>
    <w:rPr>
      <w:rFonts w:eastAsia="Times New Roman"/>
      <w:color w:val="000000"/>
      <w:sz w:val="24"/>
    </w:rPr>
  </w:style>
  <w:style w:type="character" w:customStyle="1" w:styleId="ams">
    <w:name w:val="ams"/>
    <w:basedOn w:val="Predvolenpsmoodseku"/>
    <w:qFormat/>
  </w:style>
  <w:style w:type="character" w:customStyle="1" w:styleId="Nevyrieenzmienka1">
    <w:name w:val="Nevyriešená zmienka1"/>
    <w:basedOn w:val="Predvolenpsmoodseku"/>
    <w:uiPriority w:val="99"/>
    <w:semiHidden/>
    <w:unhideWhenUsed/>
    <w:qFormat/>
    <w:rPr>
      <w:color w:val="605E5C"/>
      <w:shd w:val="clear" w:color="auto" w:fill="E1DFDD"/>
    </w:rPr>
  </w:style>
  <w:style w:type="character" w:customStyle="1" w:styleId="OdsekzoznamuChar">
    <w:name w:val="Odsek zoznamu Char"/>
    <w:basedOn w:val="Predvolenpsmoodseku"/>
    <w:link w:val="Odsekzoznamu"/>
    <w:uiPriority w:val="34"/>
    <w:qFormat/>
    <w:locked/>
  </w:style>
  <w:style w:type="paragraph" w:styleId="Bezriadkovania">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1755</Words>
  <Characters>10008</Characters>
  <Application>Microsoft Office Word</Application>
  <DocSecurity>0</DocSecurity>
  <Lines>83</Lines>
  <Paragraphs>23</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41</cp:revision>
  <cp:lastPrinted>2020-12-17T09:04:00Z</cp:lastPrinted>
  <dcterms:created xsi:type="dcterms:W3CDTF">2025-05-05T10:22:00Z</dcterms:created>
  <dcterms:modified xsi:type="dcterms:W3CDTF">2026-02-03T13:05:00Z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67b883a947a55f32f99670069239464e4955b67c2b49755eb1e844023292452c</vt:lpwstr>
  </property>
  <property fmtid="{D5CDD505-2E9C-101B-9397-08002B2CF9AE}" pid="3" name="KSOProductBuildVer">
    <vt:lpwstr>1033-12.2.0.17562</vt:lpwstr>
  </property>
  <property fmtid="{D5CDD505-2E9C-101B-9397-08002B2CF9AE}" pid="4" name="ICV">
    <vt:lpwstr>48A47259954D46089C76D06AFD0F1979_12</vt:lpwstr>
  </property>
</Properties>
</file>