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B6CE" w14:textId="77777777" w:rsidR="00111A2E" w:rsidRPr="00185E5B" w:rsidRDefault="00111A2E" w:rsidP="00111A2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bookmarkStart w:id="0" w:name="_Hlk110351615"/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2F65E523" w14:textId="77777777" w:rsidR="00111A2E" w:rsidRPr="00185E5B" w:rsidRDefault="00111A2E" w:rsidP="00111A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IX</w:t>
      </w:r>
      <w:r w:rsidRPr="00185E5B">
        <w:rPr>
          <w:rFonts w:eastAsia="Times New Roman"/>
          <w:b/>
          <w:bCs/>
          <w:color w:val="222222"/>
          <w:lang w:eastAsia="sk-SK"/>
        </w:rPr>
        <w:t>. volebné obdobie</w:t>
      </w:r>
    </w:p>
    <w:p w14:paraId="7314438F" w14:textId="77777777" w:rsidR="00111A2E" w:rsidRPr="00185E5B" w:rsidRDefault="00111A2E" w:rsidP="00111A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6B70A89A" w14:textId="77777777" w:rsidR="00111A2E" w:rsidRDefault="00111A2E" w:rsidP="00111A2E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5C010C43" w14:textId="77777777" w:rsidR="00111A2E" w:rsidRDefault="00111A2E" w:rsidP="00111A2E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2F404AF8" w14:textId="77777777" w:rsidR="00111A2E" w:rsidRDefault="00111A2E" w:rsidP="00111A2E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5088E3C2" w14:textId="77777777" w:rsidR="00111A2E" w:rsidRDefault="00111A2E" w:rsidP="00111A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2E96773F" w14:textId="77777777" w:rsidR="00111A2E" w:rsidRPr="00185E5B" w:rsidRDefault="00111A2E" w:rsidP="00111A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5D6989B2" w14:textId="77777777" w:rsidR="00111A2E" w:rsidRDefault="00111A2E" w:rsidP="00111A2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4D45B64" w14:textId="77777777" w:rsidR="00111A2E" w:rsidRDefault="00111A2E" w:rsidP="00111A2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51C2CA1E" w14:textId="77777777" w:rsidR="00111A2E" w:rsidRPr="00185E5B" w:rsidRDefault="00111A2E" w:rsidP="00111A2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8D0C2FB" w14:textId="77777777" w:rsidR="00111A2E" w:rsidRDefault="00111A2E" w:rsidP="00111A2E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>
        <w:rPr>
          <w:rFonts w:eastAsia="Times New Roman"/>
          <w:color w:val="222222"/>
          <w:lang w:eastAsia="sk-SK"/>
        </w:rPr>
        <w:t>6</w:t>
      </w:r>
      <w:r w:rsidRPr="00185E5B">
        <w:rPr>
          <w:rFonts w:eastAsia="Times New Roman"/>
          <w:color w:val="222222"/>
          <w:lang w:eastAsia="sk-SK"/>
        </w:rPr>
        <w:t>,</w:t>
      </w:r>
    </w:p>
    <w:p w14:paraId="3BD4E81B" w14:textId="77777777" w:rsidR="00111A2E" w:rsidRDefault="00111A2E" w:rsidP="00111A2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71D9343D" w14:textId="77777777" w:rsidR="00111A2E" w:rsidRPr="00185E5B" w:rsidRDefault="00111A2E" w:rsidP="00111A2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4B5FF99" w14:textId="77777777" w:rsidR="00111A2E" w:rsidRDefault="00111A2E" w:rsidP="00111A2E">
      <w:pPr>
        <w:jc w:val="center"/>
        <w:rPr>
          <w:b/>
          <w:bCs/>
        </w:rPr>
      </w:pPr>
      <w:bookmarkStart w:id="1" w:name="_Hlk111382520"/>
      <w:r>
        <w:rPr>
          <w:b/>
          <w:bCs/>
        </w:rPr>
        <w:t xml:space="preserve">ktorým sa </w:t>
      </w:r>
      <w:r w:rsidRPr="006A7A1C">
        <w:rPr>
          <w:b/>
          <w:bCs/>
        </w:rPr>
        <w:t>mení zá</w:t>
      </w:r>
      <w:r w:rsidRPr="002153B7">
        <w:rPr>
          <w:b/>
          <w:bCs/>
        </w:rPr>
        <w:t>kon č.</w:t>
      </w:r>
      <w:r>
        <w:rPr>
          <w:b/>
          <w:bCs/>
        </w:rPr>
        <w:t xml:space="preserve"> 145/1995 Z. z. </w:t>
      </w:r>
      <w:r w:rsidRPr="006B439F">
        <w:rPr>
          <w:b/>
          <w:bCs/>
        </w:rPr>
        <w:t>o správnych poplatkoch</w:t>
      </w:r>
      <w:r>
        <w:rPr>
          <w:b/>
          <w:bCs/>
        </w:rPr>
        <w:t xml:space="preserve"> </w:t>
      </w:r>
      <w:r w:rsidRPr="002153B7">
        <w:rPr>
          <w:b/>
          <w:bCs/>
        </w:rPr>
        <w:t>v znení neskorších predpisov</w:t>
      </w:r>
    </w:p>
    <w:bookmarkEnd w:id="1"/>
    <w:p w14:paraId="451B58BD" w14:textId="77777777" w:rsidR="00111A2E" w:rsidRDefault="00111A2E" w:rsidP="00111A2E">
      <w:pPr>
        <w:pStyle w:val="Zkladntext"/>
        <w:ind w:firstLine="708"/>
        <w:rPr>
          <w:color w:val="auto"/>
          <w:szCs w:val="24"/>
        </w:rPr>
      </w:pPr>
    </w:p>
    <w:p w14:paraId="4528216D" w14:textId="77777777" w:rsidR="00111A2E" w:rsidRDefault="00111A2E" w:rsidP="00111A2E">
      <w:pPr>
        <w:pStyle w:val="Zkladntext"/>
        <w:ind w:firstLine="708"/>
        <w:rPr>
          <w:color w:val="auto"/>
          <w:szCs w:val="24"/>
        </w:rPr>
      </w:pPr>
      <w:r w:rsidRPr="00D421A0">
        <w:rPr>
          <w:color w:val="auto"/>
          <w:szCs w:val="24"/>
        </w:rPr>
        <w:t>Národná rada Slovenskej republiky sa uzniesla na tomto zákone:</w:t>
      </w:r>
    </w:p>
    <w:p w14:paraId="2F97397A" w14:textId="77777777" w:rsidR="00111A2E" w:rsidRPr="0066724D" w:rsidRDefault="00111A2E" w:rsidP="00111A2E">
      <w:pPr>
        <w:spacing w:after="0"/>
        <w:jc w:val="center"/>
        <w:rPr>
          <w:b/>
          <w:bCs/>
        </w:rPr>
      </w:pPr>
    </w:p>
    <w:p w14:paraId="5784BFDB" w14:textId="77777777" w:rsidR="00111A2E" w:rsidRDefault="00111A2E" w:rsidP="00111A2E">
      <w:pPr>
        <w:spacing w:after="0"/>
        <w:jc w:val="center"/>
        <w:rPr>
          <w:b/>
          <w:bCs/>
        </w:rPr>
      </w:pPr>
      <w:r w:rsidRPr="0066724D">
        <w:rPr>
          <w:b/>
          <w:bCs/>
        </w:rPr>
        <w:t>Čl. I</w:t>
      </w:r>
    </w:p>
    <w:p w14:paraId="1AC119CA" w14:textId="77777777" w:rsidR="00111A2E" w:rsidRDefault="00111A2E" w:rsidP="00111A2E">
      <w:pPr>
        <w:spacing w:after="0" w:line="240" w:lineRule="auto"/>
        <w:ind w:firstLine="708"/>
        <w:jc w:val="both"/>
      </w:pPr>
    </w:p>
    <w:p w14:paraId="7D071D11" w14:textId="77777777" w:rsidR="00111A2E" w:rsidRPr="00506FCD" w:rsidRDefault="00111A2E" w:rsidP="00111A2E">
      <w:pPr>
        <w:spacing w:after="0" w:line="240" w:lineRule="auto"/>
        <w:ind w:firstLine="708"/>
        <w:jc w:val="both"/>
      </w:pPr>
      <w:r w:rsidRPr="00BF2D87">
        <w:t xml:space="preserve">Zákon Národnej rady Slovenskej </w:t>
      </w:r>
      <w:r w:rsidRPr="00314E5E">
        <w:t xml:space="preserve">republiky č. 145/1995 Z. z. o správnych poplatkoch v znení zákona Národnej rady Slovenskej republiky č. 123/1996 Z. z., zákona Národnej </w:t>
      </w:r>
      <w:r w:rsidRPr="00BF2D87">
        <w:t xml:space="preserve">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zákona č. 109/2023 Z. z., zákona č. 119/2023 Z. z., zákona č. 135/2023 Z. z., zákona č. 146/2023 Z. z., </w:t>
      </w:r>
      <w:r w:rsidRPr="00765935">
        <w:t xml:space="preserve">zákona č. 183/2023 Z. z., zákona č. </w:t>
      </w:r>
      <w:r w:rsidRPr="00506FCD">
        <w:t>192/2023 Z. z.,, zákona č. 287/2023 Z. z., zákona č. 293/2023 Z. z., zákona č. 309/2023 Z. z., zákona č. 331/2023 Z. z., zákona č. 332/2023 Z. z., zákona č. 530/2023 Z. z., zákona č. 120/2024 Z. z., zákona č. 142/2024 Z. z., zákona č. 160/2024 Z. z., zákona č. 161/2024 Z. z., zákona č. 162/2024 Z. z., zákona č. 246/2024 Z. z., zákona č. 292/2024 Z. z., zákona č. 307/2024 Z. z., zákona č. 364/2024 Z. z., zákona č. 366/2024 Z. z., zákona č. 377/2024 Z. z., zákona č. 378/2024 Z. z., zákona č. 26/2025 Z. z., zákona č. 98/2025 Z. z., zákona č. 143/2025 Z. z., zákona č. 176/2025 Z. z., zákona č. 177/2025 Z. z., zákona č. 273/2025 Z. z., zákona č. 292/2025 Z. z., zákona č. 307/2025 Z. z.,  zákona č. 335/2025 Z. z. a zákona č. 383/2025 Z. z. sa mení a dopĺňa takto:</w:t>
      </w:r>
    </w:p>
    <w:p w14:paraId="14F30858" w14:textId="77777777" w:rsidR="00111A2E" w:rsidRDefault="00111A2E" w:rsidP="00111A2E">
      <w:pPr>
        <w:spacing w:after="0" w:line="240" w:lineRule="auto"/>
        <w:jc w:val="center"/>
        <w:rPr>
          <w:b/>
          <w:bCs/>
          <w:color w:val="FF0000"/>
        </w:rPr>
      </w:pPr>
    </w:p>
    <w:p w14:paraId="4A93D27D" w14:textId="77777777" w:rsidR="00111A2E" w:rsidRPr="005D64EF" w:rsidRDefault="00111A2E" w:rsidP="00111A2E">
      <w:pPr>
        <w:spacing w:after="0" w:line="240" w:lineRule="auto"/>
      </w:pPr>
      <w:r>
        <w:t>1.</w:t>
      </w:r>
      <w:r w:rsidRPr="00CD1AB6">
        <w:t xml:space="preserve"> </w:t>
      </w:r>
      <w:r w:rsidRPr="005D64EF">
        <w:t xml:space="preserve">V prílohe Sadzobník správnych poplatkov časti I. </w:t>
      </w:r>
      <w:r>
        <w:t>Všeobecná správa</w:t>
      </w:r>
      <w:r w:rsidRPr="005D64EF">
        <w:t xml:space="preserve"> položke 2 písm. a) sa suma „2 eurá“ nahrádza sumou „</w:t>
      </w:r>
      <w:bookmarkStart w:id="2" w:name="_Hlk220674151"/>
      <w:r w:rsidRPr="005D64EF">
        <w:t>1,35 eura</w:t>
      </w:r>
      <w:bookmarkEnd w:id="2"/>
      <w:r w:rsidRPr="005D64EF">
        <w:t xml:space="preserve">“. </w:t>
      </w:r>
    </w:p>
    <w:p w14:paraId="23FED9EE" w14:textId="77777777" w:rsidR="00111A2E" w:rsidRPr="005D64EF" w:rsidRDefault="00111A2E" w:rsidP="00111A2E">
      <w:pPr>
        <w:spacing w:after="0" w:line="240" w:lineRule="auto"/>
      </w:pPr>
    </w:p>
    <w:p w14:paraId="02FB551C" w14:textId="77777777" w:rsidR="00111A2E" w:rsidRPr="00CC660C" w:rsidRDefault="00111A2E" w:rsidP="00111A2E">
      <w:pPr>
        <w:spacing w:after="0" w:line="240" w:lineRule="auto"/>
      </w:pPr>
      <w:r>
        <w:t>2.</w:t>
      </w:r>
      <w:r w:rsidRPr="00CD1AB6">
        <w:t xml:space="preserve"> V prílohe Sadzobník správnych poplatkov časti I. Všeobecná správa položke 10 </w:t>
      </w:r>
      <w:r>
        <w:t xml:space="preserve">písm. a) </w:t>
      </w:r>
      <w:r w:rsidRPr="00CD1AB6">
        <w:t>sa suma „12 eur“ nahrádza sumou „</w:t>
      </w:r>
      <w:bookmarkStart w:id="3" w:name="_Hlk220674197"/>
      <w:r w:rsidRPr="00CD1AB6">
        <w:t>8 eur</w:t>
      </w:r>
      <w:bookmarkEnd w:id="3"/>
      <w:r w:rsidRPr="00CD1AB6">
        <w:t xml:space="preserve">“. </w:t>
      </w:r>
    </w:p>
    <w:p w14:paraId="7EFCB7E2" w14:textId="77777777" w:rsidR="00111A2E" w:rsidRDefault="00111A2E" w:rsidP="00111A2E">
      <w:pPr>
        <w:spacing w:after="0" w:line="240" w:lineRule="auto"/>
        <w:rPr>
          <w:b/>
          <w:bCs/>
        </w:rPr>
      </w:pPr>
    </w:p>
    <w:p w14:paraId="40275975" w14:textId="77777777" w:rsidR="00111A2E" w:rsidRPr="00BB1809" w:rsidRDefault="00111A2E" w:rsidP="00111A2E">
      <w:pPr>
        <w:spacing w:after="0" w:line="240" w:lineRule="auto"/>
      </w:pPr>
      <w:r>
        <w:t>3.</w:t>
      </w:r>
      <w:r w:rsidRPr="00CD1AB6">
        <w:t xml:space="preserve"> </w:t>
      </w:r>
      <w:r w:rsidRPr="00BB1809">
        <w:t>V prílohe Sadzobník správnych poplatkov časti I. Všeobecná správa položke 10 písm. h) sa suma „40 eur“ nahrádza sumou „</w:t>
      </w:r>
      <w:bookmarkStart w:id="4" w:name="_Hlk220674225"/>
      <w:r w:rsidRPr="00BB1809">
        <w:t>27 eur</w:t>
      </w:r>
      <w:bookmarkEnd w:id="4"/>
      <w:r w:rsidRPr="00BB1809">
        <w:t xml:space="preserve">“. </w:t>
      </w:r>
    </w:p>
    <w:p w14:paraId="409FADC1" w14:textId="77777777" w:rsidR="00111A2E" w:rsidRPr="00BB1809" w:rsidRDefault="00111A2E" w:rsidP="00111A2E">
      <w:pPr>
        <w:spacing w:after="0" w:line="240" w:lineRule="auto"/>
        <w:rPr>
          <w:b/>
          <w:bCs/>
        </w:rPr>
      </w:pPr>
    </w:p>
    <w:p w14:paraId="48D98D32" w14:textId="77777777" w:rsidR="00111A2E" w:rsidRDefault="00111A2E" w:rsidP="00111A2E">
      <w:pPr>
        <w:spacing w:after="0" w:line="240" w:lineRule="auto"/>
      </w:pPr>
      <w:r>
        <w:t>4.</w:t>
      </w:r>
      <w:r w:rsidRPr="00CD1AB6">
        <w:t xml:space="preserve"> V prílohe Sadzobník správnych poplatkov časti VI. Doprava položke 63 sa suma „10 eur“ nahrádza sumou „</w:t>
      </w:r>
      <w:bookmarkStart w:id="5" w:name="_Hlk220674264"/>
      <w:r w:rsidRPr="00CD1AB6">
        <w:t>6,50 eur</w:t>
      </w:r>
      <w:bookmarkEnd w:id="5"/>
      <w:r>
        <w:t>a</w:t>
      </w:r>
      <w:r w:rsidRPr="00CD1AB6">
        <w:t xml:space="preserve">“. </w:t>
      </w:r>
    </w:p>
    <w:p w14:paraId="5D0A86F6" w14:textId="77777777" w:rsidR="00111A2E" w:rsidRDefault="00111A2E" w:rsidP="00111A2E">
      <w:pPr>
        <w:spacing w:after="0" w:line="240" w:lineRule="auto"/>
      </w:pPr>
    </w:p>
    <w:p w14:paraId="77E8765D" w14:textId="77777777" w:rsidR="00111A2E" w:rsidRPr="0082107B" w:rsidRDefault="00111A2E" w:rsidP="00111A2E">
      <w:pPr>
        <w:spacing w:after="0" w:line="240" w:lineRule="auto"/>
      </w:pPr>
      <w:r>
        <w:t>5.</w:t>
      </w:r>
      <w:r w:rsidRPr="0082107B">
        <w:t xml:space="preserve"> V prílohe Sadzobník správnych poplatkov </w:t>
      </w:r>
      <w:r w:rsidRPr="00C50C7E">
        <w:t>časti VI. Doprava</w:t>
      </w:r>
      <w:r w:rsidRPr="0082107B">
        <w:t xml:space="preserve"> položke 73a písm. a) sa suma „5 eur“ nahrádza sumou „3,35 eura“, suma „20 eur“ sa nahrádza sumou „13,40 eura“, suma „35 eur“ sa nahrádza sumou „</w:t>
      </w:r>
      <w:bookmarkStart w:id="6" w:name="_Hlk220674454"/>
      <w:r w:rsidRPr="0082107B">
        <w:t>23,45 eura</w:t>
      </w:r>
      <w:bookmarkEnd w:id="6"/>
      <w:r>
        <w:t>“</w:t>
      </w:r>
      <w:r w:rsidRPr="0082107B">
        <w:t>, suma „70 eur“ sa nahrádza sumou „</w:t>
      </w:r>
      <w:bookmarkStart w:id="7" w:name="_Hlk220674474"/>
      <w:r w:rsidRPr="0082107B">
        <w:t>46,90 eura</w:t>
      </w:r>
      <w:bookmarkEnd w:id="7"/>
      <w:r w:rsidRPr="0082107B">
        <w:t xml:space="preserve">“, suma </w:t>
      </w:r>
      <w:r>
        <w:t>„</w:t>
      </w:r>
      <w:r w:rsidRPr="0082107B">
        <w:t>170 eur</w:t>
      </w:r>
      <w:r>
        <w:t>“</w:t>
      </w:r>
      <w:r w:rsidRPr="0082107B">
        <w:t xml:space="preserve"> sa nahrádza sumou „</w:t>
      </w:r>
      <w:bookmarkStart w:id="8" w:name="_Hlk220674501"/>
      <w:r w:rsidRPr="0082107B">
        <w:t>113,90 eura</w:t>
      </w:r>
      <w:bookmarkEnd w:id="8"/>
      <w:r w:rsidRPr="0082107B">
        <w:t>“ a suma „350 eur“ sa nahrádza sumou „</w:t>
      </w:r>
      <w:bookmarkStart w:id="9" w:name="_Hlk220674531"/>
      <w:r w:rsidRPr="0082107B">
        <w:t>234,5</w:t>
      </w:r>
      <w:r>
        <w:t>0</w:t>
      </w:r>
      <w:r w:rsidRPr="0082107B">
        <w:t xml:space="preserve"> eura</w:t>
      </w:r>
      <w:bookmarkEnd w:id="9"/>
      <w:r w:rsidRPr="0082107B">
        <w:t xml:space="preserve">“. </w:t>
      </w:r>
    </w:p>
    <w:p w14:paraId="2C11B650" w14:textId="77777777" w:rsidR="00111A2E" w:rsidRPr="0082107B" w:rsidRDefault="00111A2E" w:rsidP="00111A2E">
      <w:pPr>
        <w:spacing w:after="0" w:line="240" w:lineRule="auto"/>
        <w:rPr>
          <w:color w:val="00B050"/>
        </w:rPr>
      </w:pPr>
    </w:p>
    <w:p w14:paraId="3E8BDD86" w14:textId="77777777" w:rsidR="00111A2E" w:rsidRPr="00EC1F53" w:rsidRDefault="00111A2E" w:rsidP="00111A2E">
      <w:pPr>
        <w:spacing w:after="0" w:line="240" w:lineRule="auto"/>
      </w:pPr>
      <w:r>
        <w:t>6.</w:t>
      </w:r>
      <w:r w:rsidRPr="00CD1AB6">
        <w:t xml:space="preserve">  </w:t>
      </w:r>
      <w:r w:rsidRPr="00EC1F53">
        <w:t xml:space="preserve">V prílohe Sadzobník správnych poplatkov časti VI. Doprava položke 73a písm. c) sa suma „5 eur“ nahrádza sumou „3,35 eura“. </w:t>
      </w:r>
    </w:p>
    <w:p w14:paraId="16BE3BF1" w14:textId="77777777" w:rsidR="00111A2E" w:rsidRDefault="00111A2E" w:rsidP="00111A2E">
      <w:pPr>
        <w:spacing w:after="0" w:line="240" w:lineRule="auto"/>
      </w:pPr>
    </w:p>
    <w:p w14:paraId="1B0E535C" w14:textId="77777777" w:rsidR="00111A2E" w:rsidRPr="00DF4137" w:rsidRDefault="00111A2E" w:rsidP="00111A2E">
      <w:pPr>
        <w:spacing w:after="0" w:line="240" w:lineRule="auto"/>
      </w:pPr>
      <w:r>
        <w:t>7.</w:t>
      </w:r>
      <w:r w:rsidRPr="00CD1AB6">
        <w:t xml:space="preserve"> </w:t>
      </w:r>
      <w:r w:rsidRPr="00DF4137">
        <w:t>V prílohe Sadzobník správnych poplatkov časti VI. Doprava položke 77a písm. c) sa suma „</w:t>
      </w:r>
      <w:r>
        <w:t>7</w:t>
      </w:r>
      <w:r w:rsidRPr="00DF4137">
        <w:t xml:space="preserve"> eur“ nahrádza sumou „</w:t>
      </w:r>
      <w:bookmarkStart w:id="10" w:name="_Hlk220674587"/>
      <w:r>
        <w:t xml:space="preserve">5 </w:t>
      </w:r>
      <w:r w:rsidRPr="00DF4137">
        <w:t>eur</w:t>
      </w:r>
      <w:bookmarkEnd w:id="10"/>
      <w:r w:rsidRPr="00DF4137">
        <w:t xml:space="preserve">“. </w:t>
      </w:r>
    </w:p>
    <w:p w14:paraId="0FA0BCDA" w14:textId="77777777" w:rsidR="00111A2E" w:rsidRDefault="00111A2E" w:rsidP="00111A2E">
      <w:pPr>
        <w:spacing w:after="0" w:line="240" w:lineRule="auto"/>
        <w:rPr>
          <w:color w:val="00B050"/>
        </w:rPr>
      </w:pPr>
    </w:p>
    <w:p w14:paraId="2479B52A" w14:textId="77777777" w:rsidR="00111A2E" w:rsidRPr="0073790E" w:rsidRDefault="00111A2E" w:rsidP="00111A2E">
      <w:pPr>
        <w:spacing w:after="0" w:line="240" w:lineRule="auto"/>
      </w:pPr>
      <w:r>
        <w:t>8.</w:t>
      </w:r>
      <w:r w:rsidRPr="00CD1AB6">
        <w:t xml:space="preserve"> </w:t>
      </w:r>
      <w:r w:rsidRPr="0073790E">
        <w:t>V prílohe Sadzobník správnych poplatkov časti VI. Doprava položke 77a písm. d) sa suma „70 eur“ nahrádza sumou „</w:t>
      </w:r>
      <w:bookmarkStart w:id="11" w:name="_Hlk220674612"/>
      <w:r w:rsidRPr="0073790E">
        <w:t>50 eur</w:t>
      </w:r>
      <w:bookmarkEnd w:id="11"/>
      <w:r w:rsidRPr="0073790E">
        <w:t xml:space="preserve">“. </w:t>
      </w:r>
    </w:p>
    <w:p w14:paraId="6C27C80C" w14:textId="77777777" w:rsidR="00111A2E" w:rsidRDefault="00111A2E" w:rsidP="00111A2E">
      <w:pPr>
        <w:spacing w:after="0" w:line="240" w:lineRule="auto"/>
        <w:rPr>
          <w:color w:val="00B050"/>
        </w:rPr>
      </w:pPr>
    </w:p>
    <w:p w14:paraId="4D32729D" w14:textId="77777777" w:rsidR="00111A2E" w:rsidRPr="0073790E" w:rsidRDefault="00111A2E" w:rsidP="00111A2E">
      <w:pPr>
        <w:spacing w:after="0" w:line="240" w:lineRule="auto"/>
      </w:pPr>
      <w:r>
        <w:t>9.</w:t>
      </w:r>
      <w:r w:rsidRPr="00CD1AB6">
        <w:t xml:space="preserve"> </w:t>
      </w:r>
      <w:r w:rsidRPr="0073790E">
        <w:t xml:space="preserve">V prílohe Sadzobník správnych poplatkov časti </w:t>
      </w:r>
      <w:r w:rsidRPr="00CD1AB6">
        <w:t xml:space="preserve">VIII. </w:t>
      </w:r>
      <w:r w:rsidRPr="00B16CFA">
        <w:t>F</w:t>
      </w:r>
      <w:r w:rsidRPr="00CD1AB6">
        <w:t xml:space="preserve">inančná správa a obchodná činnosť  </w:t>
      </w:r>
      <w:r w:rsidRPr="0073790E">
        <w:t xml:space="preserve">položke </w:t>
      </w:r>
      <w:r>
        <w:t>143 písm. c) sa suma „2 eurá“ nahrádza sumou „</w:t>
      </w:r>
      <w:bookmarkStart w:id="12" w:name="_Hlk220674709"/>
      <w:r>
        <w:t>1,50 eura</w:t>
      </w:r>
      <w:bookmarkEnd w:id="12"/>
      <w:r>
        <w:t xml:space="preserve">“. </w:t>
      </w:r>
      <w:r w:rsidRPr="0073790E">
        <w:t xml:space="preserve"> </w:t>
      </w:r>
    </w:p>
    <w:p w14:paraId="2363CD6C" w14:textId="77777777" w:rsidR="00111A2E" w:rsidRPr="00AB56E2" w:rsidRDefault="00111A2E" w:rsidP="00111A2E">
      <w:pPr>
        <w:spacing w:after="0" w:line="240" w:lineRule="auto"/>
        <w:rPr>
          <w:color w:val="00B050"/>
        </w:rPr>
      </w:pPr>
    </w:p>
    <w:p w14:paraId="46CC80A6" w14:textId="77777777" w:rsidR="00111A2E" w:rsidRPr="00CD1AB6" w:rsidRDefault="00111A2E" w:rsidP="00111A2E">
      <w:pPr>
        <w:spacing w:after="0" w:line="240" w:lineRule="auto"/>
      </w:pPr>
      <w:r>
        <w:t>10.</w:t>
      </w:r>
      <w:r w:rsidRPr="00CD1AB6">
        <w:t xml:space="preserve"> V prílohe Sadzobník správnych poplatkov časti VIII. </w:t>
      </w:r>
      <w:r w:rsidRPr="00B16CFA">
        <w:t>F</w:t>
      </w:r>
      <w:r w:rsidRPr="00CD1AB6">
        <w:t>inančná správa a obchodná činnosť  položke 148 písm. a) sa suma „7 eur“ nahrádza sumou „</w:t>
      </w:r>
      <w:bookmarkStart w:id="13" w:name="_Hlk220674831"/>
      <w:r w:rsidRPr="00CD1AB6">
        <w:t>5 eur</w:t>
      </w:r>
      <w:bookmarkEnd w:id="13"/>
      <w:r w:rsidRPr="00CD1AB6">
        <w:t>“</w:t>
      </w:r>
      <w:r w:rsidRPr="00CD1AB6">
        <w:rPr>
          <w:b/>
          <w:bCs/>
        </w:rPr>
        <w:t xml:space="preserve"> </w:t>
      </w:r>
      <w:r w:rsidRPr="00CD1AB6">
        <w:t>a suma „22 eur“ sa nahrádza sumou „</w:t>
      </w:r>
      <w:bookmarkStart w:id="14" w:name="_Hlk220674846"/>
      <w:r w:rsidRPr="00CD1AB6">
        <w:t>15 eur</w:t>
      </w:r>
      <w:bookmarkEnd w:id="14"/>
      <w:r w:rsidRPr="00CD1AB6">
        <w:t>“.</w:t>
      </w:r>
    </w:p>
    <w:p w14:paraId="2E704708" w14:textId="77777777" w:rsidR="00111A2E" w:rsidRPr="00CD1AB6" w:rsidRDefault="00111A2E" w:rsidP="00111A2E">
      <w:pPr>
        <w:spacing w:after="0" w:line="240" w:lineRule="auto"/>
      </w:pPr>
    </w:p>
    <w:p w14:paraId="2461D8DF" w14:textId="77777777" w:rsidR="00111A2E" w:rsidRPr="006A1708" w:rsidRDefault="00111A2E" w:rsidP="00111A2E">
      <w:pPr>
        <w:spacing w:after="0" w:line="240" w:lineRule="auto"/>
      </w:pPr>
      <w:r>
        <w:t>11.</w:t>
      </w:r>
      <w:r w:rsidRPr="00CD1AB6">
        <w:t xml:space="preserve"> </w:t>
      </w:r>
      <w:r w:rsidRPr="006A1708">
        <w:t>V prílohe Sadzobník správnych poplatkov časti VIII. Finančná správa a obchodná činnosť položke 148 písm. b) sa suma „5 eur“ nahrádza sumou „</w:t>
      </w:r>
      <w:bookmarkStart w:id="15" w:name="_Hlk220674877"/>
      <w:r w:rsidRPr="006A1708">
        <w:t>3 eurá</w:t>
      </w:r>
      <w:bookmarkEnd w:id="15"/>
      <w:r w:rsidRPr="006A1708">
        <w:t xml:space="preserve">“. </w:t>
      </w:r>
    </w:p>
    <w:p w14:paraId="58C9AA1E" w14:textId="77777777" w:rsidR="00111A2E" w:rsidRPr="006A1708" w:rsidRDefault="00111A2E" w:rsidP="00111A2E">
      <w:pPr>
        <w:spacing w:after="0" w:line="240" w:lineRule="auto"/>
        <w:rPr>
          <w:b/>
          <w:bCs/>
        </w:rPr>
      </w:pPr>
    </w:p>
    <w:p w14:paraId="4B902933" w14:textId="77777777" w:rsidR="00111A2E" w:rsidRPr="001411E7" w:rsidRDefault="00111A2E" w:rsidP="00111A2E">
      <w:pPr>
        <w:spacing w:after="0" w:line="240" w:lineRule="auto"/>
      </w:pPr>
      <w:r>
        <w:t>12.</w:t>
      </w:r>
      <w:r w:rsidRPr="00CD1AB6">
        <w:t xml:space="preserve"> </w:t>
      </w:r>
      <w:r w:rsidRPr="001411E7">
        <w:t>V prílohe Sadzobník správnych poplatkov časti VIII. Finančná správa a obchodná činnosť položke 148 písm. g) sa suma „4 eurá“ nahrádza sumou „</w:t>
      </w:r>
      <w:bookmarkStart w:id="16" w:name="_Hlk220674933"/>
      <w:r w:rsidRPr="001411E7">
        <w:t>2,70 eura</w:t>
      </w:r>
      <w:bookmarkEnd w:id="16"/>
      <w:r w:rsidRPr="001411E7">
        <w:t xml:space="preserve">“. </w:t>
      </w:r>
    </w:p>
    <w:p w14:paraId="74895D5F" w14:textId="77777777" w:rsidR="00111A2E" w:rsidRDefault="00111A2E" w:rsidP="00111A2E">
      <w:pPr>
        <w:spacing w:after="0" w:line="240" w:lineRule="auto"/>
      </w:pPr>
    </w:p>
    <w:p w14:paraId="54CFE92A" w14:textId="77777777" w:rsidR="00111A2E" w:rsidRPr="009B0EE4" w:rsidRDefault="00111A2E" w:rsidP="00111A2E">
      <w:pPr>
        <w:spacing w:after="0" w:line="240" w:lineRule="auto"/>
      </w:pPr>
      <w:r>
        <w:t>13.</w:t>
      </w:r>
      <w:r w:rsidRPr="00CD1AB6">
        <w:t xml:space="preserve"> </w:t>
      </w:r>
      <w:r w:rsidRPr="009B0EE4">
        <w:t>V prílohe Sadzobník správnych poplatkov časti VIII. Finančná správa a obchodná činnosť položke 150 písm. f) sa suma „50 eur“ nahrádza sumou „</w:t>
      </w:r>
      <w:bookmarkStart w:id="17" w:name="_Hlk220674977"/>
      <w:r w:rsidRPr="009B0EE4">
        <w:t>33,50 eura</w:t>
      </w:r>
      <w:bookmarkEnd w:id="17"/>
      <w:r w:rsidRPr="009B0EE4">
        <w:t xml:space="preserve">“. </w:t>
      </w:r>
    </w:p>
    <w:p w14:paraId="4730E093" w14:textId="77777777" w:rsidR="00111A2E" w:rsidRDefault="00111A2E" w:rsidP="00111A2E">
      <w:pPr>
        <w:spacing w:after="0" w:line="240" w:lineRule="auto"/>
        <w:rPr>
          <w:color w:val="00B050"/>
        </w:rPr>
      </w:pPr>
    </w:p>
    <w:p w14:paraId="39244BF5" w14:textId="77777777" w:rsidR="00111A2E" w:rsidRPr="00BB15AF" w:rsidRDefault="00111A2E" w:rsidP="00111A2E">
      <w:pPr>
        <w:spacing w:after="0" w:line="240" w:lineRule="auto"/>
      </w:pPr>
      <w:r>
        <w:t>14.</w:t>
      </w:r>
      <w:r w:rsidRPr="00CD1AB6">
        <w:t xml:space="preserve"> </w:t>
      </w:r>
      <w:r w:rsidRPr="00BB15AF">
        <w:t>V prílohe Sadzobník správnych poplatkov časti XVIII. Konzulárne poplatky položke 254 písm. a) sa suma „1</w:t>
      </w:r>
      <w:r>
        <w:t>5</w:t>
      </w:r>
      <w:r w:rsidRPr="00BB15AF">
        <w:t xml:space="preserve"> eur“ nahrádza sumou „10 eur“. </w:t>
      </w:r>
    </w:p>
    <w:p w14:paraId="4082C6B4" w14:textId="77777777" w:rsidR="00111A2E" w:rsidRDefault="00111A2E" w:rsidP="00111A2E">
      <w:pPr>
        <w:spacing w:after="0" w:line="240" w:lineRule="auto"/>
        <w:rPr>
          <w:color w:val="FF0000"/>
        </w:rPr>
      </w:pPr>
    </w:p>
    <w:p w14:paraId="740DB2EA" w14:textId="77777777" w:rsidR="00111A2E" w:rsidRPr="0066724D" w:rsidRDefault="00111A2E" w:rsidP="00111A2E">
      <w:pPr>
        <w:spacing w:after="0"/>
        <w:jc w:val="center"/>
        <w:rPr>
          <w:b/>
          <w:bCs/>
        </w:rPr>
      </w:pPr>
      <w:r w:rsidRPr="0066724D">
        <w:rPr>
          <w:b/>
          <w:bCs/>
        </w:rPr>
        <w:t xml:space="preserve">Čl. </w:t>
      </w:r>
      <w:r>
        <w:rPr>
          <w:b/>
          <w:bCs/>
        </w:rPr>
        <w:t>I</w:t>
      </w:r>
      <w:r w:rsidRPr="0066724D">
        <w:rPr>
          <w:b/>
          <w:bCs/>
        </w:rPr>
        <w:t>I</w:t>
      </w:r>
    </w:p>
    <w:p w14:paraId="4C95BECE" w14:textId="77777777" w:rsidR="00111A2E" w:rsidRDefault="00111A2E" w:rsidP="00111A2E">
      <w:pPr>
        <w:pStyle w:val="Odsekzoznamu"/>
        <w:rPr>
          <w:rFonts w:eastAsia="Times New Roman"/>
          <w:lang w:eastAsia="sk-SK"/>
        </w:rPr>
      </w:pPr>
    </w:p>
    <w:p w14:paraId="27C5D228" w14:textId="77777777" w:rsidR="00111A2E" w:rsidRDefault="00111A2E" w:rsidP="00111A2E">
      <w:pPr>
        <w:pStyle w:val="Odsekzoznamu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Tento zákon nadobúda účinnosť 1. júla 2026. </w:t>
      </w:r>
    </w:p>
    <w:p w14:paraId="5A0CE2C0" w14:textId="0D0C46E8" w:rsidR="00D57A5A" w:rsidRPr="00111A2E" w:rsidRDefault="00F70D9B" w:rsidP="00111A2E">
      <w:r w:rsidRPr="00111A2E">
        <w:t xml:space="preserve"> </w:t>
      </w:r>
      <w:bookmarkEnd w:id="0"/>
    </w:p>
    <w:sectPr w:rsidR="00D57A5A" w:rsidRPr="00111A2E" w:rsidSect="00490C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C69D" w14:textId="77777777" w:rsidR="0089763E" w:rsidRDefault="0089763E" w:rsidP="00ED5801">
      <w:pPr>
        <w:spacing w:after="0" w:line="240" w:lineRule="auto"/>
      </w:pPr>
      <w:r>
        <w:separator/>
      </w:r>
    </w:p>
  </w:endnote>
  <w:endnote w:type="continuationSeparator" w:id="0">
    <w:p w14:paraId="33291A87" w14:textId="77777777" w:rsidR="0089763E" w:rsidRDefault="0089763E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C574" w14:textId="77777777" w:rsidR="0089763E" w:rsidRDefault="0089763E" w:rsidP="00ED5801">
      <w:pPr>
        <w:spacing w:after="0" w:line="240" w:lineRule="auto"/>
      </w:pPr>
      <w:r>
        <w:separator/>
      </w:r>
    </w:p>
  </w:footnote>
  <w:footnote w:type="continuationSeparator" w:id="0">
    <w:p w14:paraId="21D10876" w14:textId="77777777" w:rsidR="0089763E" w:rsidRDefault="0089763E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012F7"/>
    <w:multiLevelType w:val="hybridMultilevel"/>
    <w:tmpl w:val="2F7C0BDA"/>
    <w:lvl w:ilvl="0" w:tplc="5FC81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1D5E"/>
    <w:multiLevelType w:val="hybridMultilevel"/>
    <w:tmpl w:val="D224389A"/>
    <w:lvl w:ilvl="0" w:tplc="BB228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356D4"/>
    <w:multiLevelType w:val="hybridMultilevel"/>
    <w:tmpl w:val="04D25190"/>
    <w:lvl w:ilvl="0" w:tplc="A648B09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C245C"/>
    <w:multiLevelType w:val="hybridMultilevel"/>
    <w:tmpl w:val="54944322"/>
    <w:lvl w:ilvl="0" w:tplc="E96A051C">
      <w:start w:val="1"/>
      <w:numFmt w:val="decimal"/>
      <w:lvlText w:val="%1."/>
      <w:lvlJc w:val="left"/>
      <w:pPr>
        <w:ind w:left="420" w:hanging="360"/>
      </w:pPr>
      <w:rPr>
        <w:rFonts w:ascii="Open Sans" w:hAnsi="Open Sans" w:cs="Open Sans" w:hint="default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80B7D57"/>
    <w:multiLevelType w:val="hybridMultilevel"/>
    <w:tmpl w:val="DA3026E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F0A90"/>
    <w:multiLevelType w:val="hybridMultilevel"/>
    <w:tmpl w:val="E4DA23D0"/>
    <w:lvl w:ilvl="0" w:tplc="91A871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34506">
    <w:abstractNumId w:val="6"/>
  </w:num>
  <w:num w:numId="2" w16cid:durableId="613944093">
    <w:abstractNumId w:val="2"/>
  </w:num>
  <w:num w:numId="3" w16cid:durableId="901604265">
    <w:abstractNumId w:val="5"/>
  </w:num>
  <w:num w:numId="4" w16cid:durableId="592129355">
    <w:abstractNumId w:val="1"/>
  </w:num>
  <w:num w:numId="5" w16cid:durableId="1502502373">
    <w:abstractNumId w:val="10"/>
  </w:num>
  <w:num w:numId="6" w16cid:durableId="662777016">
    <w:abstractNumId w:val="0"/>
  </w:num>
  <w:num w:numId="7" w16cid:durableId="1770660737">
    <w:abstractNumId w:val="3"/>
  </w:num>
  <w:num w:numId="8" w16cid:durableId="748230349">
    <w:abstractNumId w:val="8"/>
  </w:num>
  <w:num w:numId="9" w16cid:durableId="675614803">
    <w:abstractNumId w:val="11"/>
  </w:num>
  <w:num w:numId="10" w16cid:durableId="2096702007">
    <w:abstractNumId w:val="9"/>
  </w:num>
  <w:num w:numId="11" w16cid:durableId="1798451371">
    <w:abstractNumId w:val="7"/>
  </w:num>
  <w:num w:numId="12" w16cid:durableId="891229931">
    <w:abstractNumId w:val="12"/>
  </w:num>
  <w:num w:numId="13" w16cid:durableId="717975921">
    <w:abstractNumId w:val="13"/>
  </w:num>
  <w:num w:numId="14" w16cid:durableId="1356081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3AC9"/>
    <w:rsid w:val="00010FEC"/>
    <w:rsid w:val="00013627"/>
    <w:rsid w:val="000205BA"/>
    <w:rsid w:val="00024789"/>
    <w:rsid w:val="00026632"/>
    <w:rsid w:val="0002691F"/>
    <w:rsid w:val="00027E96"/>
    <w:rsid w:val="000314EF"/>
    <w:rsid w:val="0003455B"/>
    <w:rsid w:val="00035ED5"/>
    <w:rsid w:val="00042537"/>
    <w:rsid w:val="00046C9E"/>
    <w:rsid w:val="00046D42"/>
    <w:rsid w:val="00054BAE"/>
    <w:rsid w:val="0005771C"/>
    <w:rsid w:val="000610A0"/>
    <w:rsid w:val="00067352"/>
    <w:rsid w:val="00072277"/>
    <w:rsid w:val="00074535"/>
    <w:rsid w:val="00083704"/>
    <w:rsid w:val="00085126"/>
    <w:rsid w:val="000879FE"/>
    <w:rsid w:val="00091C88"/>
    <w:rsid w:val="000A08C9"/>
    <w:rsid w:val="000A0CD5"/>
    <w:rsid w:val="000A2333"/>
    <w:rsid w:val="000A2998"/>
    <w:rsid w:val="000A7EEC"/>
    <w:rsid w:val="000B2AA9"/>
    <w:rsid w:val="000B72DA"/>
    <w:rsid w:val="000B7687"/>
    <w:rsid w:val="000C15A5"/>
    <w:rsid w:val="000C779C"/>
    <w:rsid w:val="000C7AEF"/>
    <w:rsid w:val="000D1D08"/>
    <w:rsid w:val="000D6087"/>
    <w:rsid w:val="000E6925"/>
    <w:rsid w:val="00102A32"/>
    <w:rsid w:val="0010330D"/>
    <w:rsid w:val="001037E0"/>
    <w:rsid w:val="00105068"/>
    <w:rsid w:val="001057C3"/>
    <w:rsid w:val="0010591E"/>
    <w:rsid w:val="00111837"/>
    <w:rsid w:val="00111A2E"/>
    <w:rsid w:val="00114E5D"/>
    <w:rsid w:val="00114E99"/>
    <w:rsid w:val="00116D4B"/>
    <w:rsid w:val="001215F9"/>
    <w:rsid w:val="00124EE9"/>
    <w:rsid w:val="00126C29"/>
    <w:rsid w:val="00130B98"/>
    <w:rsid w:val="00130E7B"/>
    <w:rsid w:val="00131D67"/>
    <w:rsid w:val="001411E7"/>
    <w:rsid w:val="0014328A"/>
    <w:rsid w:val="0015038B"/>
    <w:rsid w:val="0015685B"/>
    <w:rsid w:val="001619AE"/>
    <w:rsid w:val="00164D5D"/>
    <w:rsid w:val="00166446"/>
    <w:rsid w:val="001859D9"/>
    <w:rsid w:val="001957A2"/>
    <w:rsid w:val="001A11BA"/>
    <w:rsid w:val="001A19A9"/>
    <w:rsid w:val="001A5848"/>
    <w:rsid w:val="001A6032"/>
    <w:rsid w:val="001A6E7E"/>
    <w:rsid w:val="001B536E"/>
    <w:rsid w:val="001B6DC4"/>
    <w:rsid w:val="001C025B"/>
    <w:rsid w:val="001C0686"/>
    <w:rsid w:val="001C45EA"/>
    <w:rsid w:val="001C59B9"/>
    <w:rsid w:val="001C74E8"/>
    <w:rsid w:val="001C7975"/>
    <w:rsid w:val="001D7D20"/>
    <w:rsid w:val="001E1AD1"/>
    <w:rsid w:val="001E3BBD"/>
    <w:rsid w:val="001E55E8"/>
    <w:rsid w:val="001E6773"/>
    <w:rsid w:val="001F415C"/>
    <w:rsid w:val="001F5FBE"/>
    <w:rsid w:val="002046AA"/>
    <w:rsid w:val="0020650D"/>
    <w:rsid w:val="00207053"/>
    <w:rsid w:val="0021081F"/>
    <w:rsid w:val="002112C6"/>
    <w:rsid w:val="002153B7"/>
    <w:rsid w:val="002231E7"/>
    <w:rsid w:val="00225AEE"/>
    <w:rsid w:val="00230BF6"/>
    <w:rsid w:val="00232BF9"/>
    <w:rsid w:val="00234912"/>
    <w:rsid w:val="00235D8B"/>
    <w:rsid w:val="00240680"/>
    <w:rsid w:val="00240BF4"/>
    <w:rsid w:val="00245584"/>
    <w:rsid w:val="00254E6A"/>
    <w:rsid w:val="00255048"/>
    <w:rsid w:val="002556CA"/>
    <w:rsid w:val="00260319"/>
    <w:rsid w:val="002618A9"/>
    <w:rsid w:val="002765AE"/>
    <w:rsid w:val="002769CE"/>
    <w:rsid w:val="00285BF0"/>
    <w:rsid w:val="0028621C"/>
    <w:rsid w:val="00287665"/>
    <w:rsid w:val="0029208B"/>
    <w:rsid w:val="002A6D38"/>
    <w:rsid w:val="002B0B3D"/>
    <w:rsid w:val="002B49CD"/>
    <w:rsid w:val="002B4F7B"/>
    <w:rsid w:val="002C2C7D"/>
    <w:rsid w:val="002D27EA"/>
    <w:rsid w:val="002E0751"/>
    <w:rsid w:val="002E1028"/>
    <w:rsid w:val="002E523E"/>
    <w:rsid w:val="002E5303"/>
    <w:rsid w:val="002F15E6"/>
    <w:rsid w:val="002F7CF9"/>
    <w:rsid w:val="0030161A"/>
    <w:rsid w:val="003033D3"/>
    <w:rsid w:val="00305F9F"/>
    <w:rsid w:val="00314E5E"/>
    <w:rsid w:val="003172B3"/>
    <w:rsid w:val="00326431"/>
    <w:rsid w:val="00332A83"/>
    <w:rsid w:val="00335E66"/>
    <w:rsid w:val="00336657"/>
    <w:rsid w:val="003447ED"/>
    <w:rsid w:val="0034561F"/>
    <w:rsid w:val="00346971"/>
    <w:rsid w:val="00350FA9"/>
    <w:rsid w:val="00355C96"/>
    <w:rsid w:val="00367154"/>
    <w:rsid w:val="003736C6"/>
    <w:rsid w:val="00373D53"/>
    <w:rsid w:val="00374E95"/>
    <w:rsid w:val="0037711F"/>
    <w:rsid w:val="00381D43"/>
    <w:rsid w:val="003853D4"/>
    <w:rsid w:val="00390539"/>
    <w:rsid w:val="00390987"/>
    <w:rsid w:val="00391EE9"/>
    <w:rsid w:val="003923CA"/>
    <w:rsid w:val="0039551A"/>
    <w:rsid w:val="00396181"/>
    <w:rsid w:val="0039747F"/>
    <w:rsid w:val="003A428A"/>
    <w:rsid w:val="003A4F9E"/>
    <w:rsid w:val="003A6646"/>
    <w:rsid w:val="003B1F3C"/>
    <w:rsid w:val="003B7254"/>
    <w:rsid w:val="003C2378"/>
    <w:rsid w:val="003C4AB8"/>
    <w:rsid w:val="003C5540"/>
    <w:rsid w:val="003C59F0"/>
    <w:rsid w:val="003D0392"/>
    <w:rsid w:val="003D306B"/>
    <w:rsid w:val="003D61EC"/>
    <w:rsid w:val="003F0281"/>
    <w:rsid w:val="003F1776"/>
    <w:rsid w:val="003F1B7F"/>
    <w:rsid w:val="003F2E12"/>
    <w:rsid w:val="003F2ECB"/>
    <w:rsid w:val="003F4401"/>
    <w:rsid w:val="003F72A9"/>
    <w:rsid w:val="00405333"/>
    <w:rsid w:val="004059A4"/>
    <w:rsid w:val="00411927"/>
    <w:rsid w:val="004126CB"/>
    <w:rsid w:val="004133D2"/>
    <w:rsid w:val="004138D6"/>
    <w:rsid w:val="00413E3B"/>
    <w:rsid w:val="0042188E"/>
    <w:rsid w:val="004220EB"/>
    <w:rsid w:val="004255BB"/>
    <w:rsid w:val="00426870"/>
    <w:rsid w:val="00435E2F"/>
    <w:rsid w:val="00460F6A"/>
    <w:rsid w:val="00463AF3"/>
    <w:rsid w:val="0047040A"/>
    <w:rsid w:val="004719AE"/>
    <w:rsid w:val="004722D2"/>
    <w:rsid w:val="00475E7C"/>
    <w:rsid w:val="004768B2"/>
    <w:rsid w:val="0048006F"/>
    <w:rsid w:val="004857D3"/>
    <w:rsid w:val="00490C2D"/>
    <w:rsid w:val="00492A54"/>
    <w:rsid w:val="00494C81"/>
    <w:rsid w:val="004A371C"/>
    <w:rsid w:val="004A5343"/>
    <w:rsid w:val="004A7D83"/>
    <w:rsid w:val="004B3BBA"/>
    <w:rsid w:val="004C34C8"/>
    <w:rsid w:val="004C4940"/>
    <w:rsid w:val="004C74CA"/>
    <w:rsid w:val="004D58AD"/>
    <w:rsid w:val="004E2E65"/>
    <w:rsid w:val="004E3291"/>
    <w:rsid w:val="004F17AF"/>
    <w:rsid w:val="004F34C9"/>
    <w:rsid w:val="004F49BF"/>
    <w:rsid w:val="004F6015"/>
    <w:rsid w:val="00500ADF"/>
    <w:rsid w:val="00501578"/>
    <w:rsid w:val="0050575E"/>
    <w:rsid w:val="00506FCD"/>
    <w:rsid w:val="005071EE"/>
    <w:rsid w:val="00507F8C"/>
    <w:rsid w:val="005116BE"/>
    <w:rsid w:val="00511D3C"/>
    <w:rsid w:val="00523BDF"/>
    <w:rsid w:val="00523F46"/>
    <w:rsid w:val="00530DC5"/>
    <w:rsid w:val="005310FD"/>
    <w:rsid w:val="005379E7"/>
    <w:rsid w:val="0054056D"/>
    <w:rsid w:val="005418BB"/>
    <w:rsid w:val="00543769"/>
    <w:rsid w:val="005456BA"/>
    <w:rsid w:val="00551A2E"/>
    <w:rsid w:val="00555840"/>
    <w:rsid w:val="0056095C"/>
    <w:rsid w:val="00564F04"/>
    <w:rsid w:val="0058189A"/>
    <w:rsid w:val="00586906"/>
    <w:rsid w:val="00590B25"/>
    <w:rsid w:val="00590DDD"/>
    <w:rsid w:val="0059264D"/>
    <w:rsid w:val="005957E7"/>
    <w:rsid w:val="005A2EAE"/>
    <w:rsid w:val="005A6C7C"/>
    <w:rsid w:val="005B19E4"/>
    <w:rsid w:val="005C0315"/>
    <w:rsid w:val="005C2D1D"/>
    <w:rsid w:val="005C45D8"/>
    <w:rsid w:val="005C61C1"/>
    <w:rsid w:val="005D1F58"/>
    <w:rsid w:val="005D442D"/>
    <w:rsid w:val="005D64EF"/>
    <w:rsid w:val="005E3903"/>
    <w:rsid w:val="005E5A0E"/>
    <w:rsid w:val="005E5A79"/>
    <w:rsid w:val="005E63D7"/>
    <w:rsid w:val="005F0BAF"/>
    <w:rsid w:val="005F0E34"/>
    <w:rsid w:val="005F3C41"/>
    <w:rsid w:val="005F4532"/>
    <w:rsid w:val="005F7D6A"/>
    <w:rsid w:val="00603587"/>
    <w:rsid w:val="0060726B"/>
    <w:rsid w:val="00607BDA"/>
    <w:rsid w:val="006365AC"/>
    <w:rsid w:val="0064016E"/>
    <w:rsid w:val="00642407"/>
    <w:rsid w:val="006434DD"/>
    <w:rsid w:val="0065181C"/>
    <w:rsid w:val="006529CB"/>
    <w:rsid w:val="0065473E"/>
    <w:rsid w:val="00654CD2"/>
    <w:rsid w:val="0066724D"/>
    <w:rsid w:val="00667A58"/>
    <w:rsid w:val="00673DC9"/>
    <w:rsid w:val="0067539F"/>
    <w:rsid w:val="006805ED"/>
    <w:rsid w:val="00682D34"/>
    <w:rsid w:val="00687FAF"/>
    <w:rsid w:val="0069242A"/>
    <w:rsid w:val="00695CE3"/>
    <w:rsid w:val="006A1708"/>
    <w:rsid w:val="006A2D81"/>
    <w:rsid w:val="006A427C"/>
    <w:rsid w:val="006A7131"/>
    <w:rsid w:val="006A7A1C"/>
    <w:rsid w:val="006B0856"/>
    <w:rsid w:val="006B1C38"/>
    <w:rsid w:val="006B3096"/>
    <w:rsid w:val="006B5B30"/>
    <w:rsid w:val="006B62F7"/>
    <w:rsid w:val="006D2333"/>
    <w:rsid w:val="006D382E"/>
    <w:rsid w:val="006D6D56"/>
    <w:rsid w:val="006E23BF"/>
    <w:rsid w:val="006E7407"/>
    <w:rsid w:val="006E787C"/>
    <w:rsid w:val="006F37B2"/>
    <w:rsid w:val="006F6069"/>
    <w:rsid w:val="006F7264"/>
    <w:rsid w:val="00701453"/>
    <w:rsid w:val="0070305D"/>
    <w:rsid w:val="00712217"/>
    <w:rsid w:val="00712C60"/>
    <w:rsid w:val="00713ABB"/>
    <w:rsid w:val="00721BFE"/>
    <w:rsid w:val="00725176"/>
    <w:rsid w:val="00732E15"/>
    <w:rsid w:val="00733529"/>
    <w:rsid w:val="007347E8"/>
    <w:rsid w:val="007360FB"/>
    <w:rsid w:val="0073790E"/>
    <w:rsid w:val="00737E13"/>
    <w:rsid w:val="0074477F"/>
    <w:rsid w:val="00747FDC"/>
    <w:rsid w:val="007559C5"/>
    <w:rsid w:val="007565EE"/>
    <w:rsid w:val="00757003"/>
    <w:rsid w:val="00760AA9"/>
    <w:rsid w:val="00763D6D"/>
    <w:rsid w:val="00764836"/>
    <w:rsid w:val="00765935"/>
    <w:rsid w:val="00771B34"/>
    <w:rsid w:val="00773DA2"/>
    <w:rsid w:val="00774845"/>
    <w:rsid w:val="00775504"/>
    <w:rsid w:val="00776070"/>
    <w:rsid w:val="00792DA9"/>
    <w:rsid w:val="00794FBF"/>
    <w:rsid w:val="007A25FA"/>
    <w:rsid w:val="007A4107"/>
    <w:rsid w:val="007B2C12"/>
    <w:rsid w:val="007B74D0"/>
    <w:rsid w:val="007C2047"/>
    <w:rsid w:val="007C28BA"/>
    <w:rsid w:val="007C359C"/>
    <w:rsid w:val="007C5BA2"/>
    <w:rsid w:val="007C6DC6"/>
    <w:rsid w:val="007D0B64"/>
    <w:rsid w:val="007E040B"/>
    <w:rsid w:val="007E0CB1"/>
    <w:rsid w:val="007E4142"/>
    <w:rsid w:val="007E69B0"/>
    <w:rsid w:val="007F30FA"/>
    <w:rsid w:val="00802CB6"/>
    <w:rsid w:val="00810A8D"/>
    <w:rsid w:val="0081323D"/>
    <w:rsid w:val="0081643E"/>
    <w:rsid w:val="0082107B"/>
    <w:rsid w:val="008222F3"/>
    <w:rsid w:val="00824456"/>
    <w:rsid w:val="008336BF"/>
    <w:rsid w:val="00833D4C"/>
    <w:rsid w:val="0084084D"/>
    <w:rsid w:val="00840871"/>
    <w:rsid w:val="00843462"/>
    <w:rsid w:val="00845CB2"/>
    <w:rsid w:val="00851C72"/>
    <w:rsid w:val="008573B1"/>
    <w:rsid w:val="008602E7"/>
    <w:rsid w:val="00862214"/>
    <w:rsid w:val="00864389"/>
    <w:rsid w:val="008707B9"/>
    <w:rsid w:val="0087098F"/>
    <w:rsid w:val="00874EEF"/>
    <w:rsid w:val="00877309"/>
    <w:rsid w:val="00881600"/>
    <w:rsid w:val="00896C80"/>
    <w:rsid w:val="0089763E"/>
    <w:rsid w:val="008A376F"/>
    <w:rsid w:val="008B279B"/>
    <w:rsid w:val="008B5167"/>
    <w:rsid w:val="008B6055"/>
    <w:rsid w:val="008C0513"/>
    <w:rsid w:val="008C56EA"/>
    <w:rsid w:val="008D2986"/>
    <w:rsid w:val="008D38B2"/>
    <w:rsid w:val="008D657B"/>
    <w:rsid w:val="008D7A01"/>
    <w:rsid w:val="008E4472"/>
    <w:rsid w:val="008F541C"/>
    <w:rsid w:val="008F55F7"/>
    <w:rsid w:val="00901C71"/>
    <w:rsid w:val="00905D57"/>
    <w:rsid w:val="00911200"/>
    <w:rsid w:val="00924BAD"/>
    <w:rsid w:val="0092583F"/>
    <w:rsid w:val="0092657B"/>
    <w:rsid w:val="00930B7D"/>
    <w:rsid w:val="009331E7"/>
    <w:rsid w:val="00937BAB"/>
    <w:rsid w:val="009419C9"/>
    <w:rsid w:val="00943358"/>
    <w:rsid w:val="00955AA4"/>
    <w:rsid w:val="009643CB"/>
    <w:rsid w:val="00965A41"/>
    <w:rsid w:val="00966187"/>
    <w:rsid w:val="00967483"/>
    <w:rsid w:val="009675AE"/>
    <w:rsid w:val="00971934"/>
    <w:rsid w:val="00971A77"/>
    <w:rsid w:val="00971BB0"/>
    <w:rsid w:val="00972A87"/>
    <w:rsid w:val="00974D56"/>
    <w:rsid w:val="00977483"/>
    <w:rsid w:val="009777EE"/>
    <w:rsid w:val="00982370"/>
    <w:rsid w:val="00982701"/>
    <w:rsid w:val="009827E4"/>
    <w:rsid w:val="00982DDE"/>
    <w:rsid w:val="009849F6"/>
    <w:rsid w:val="00991FC8"/>
    <w:rsid w:val="00992030"/>
    <w:rsid w:val="00997C23"/>
    <w:rsid w:val="009A0376"/>
    <w:rsid w:val="009A4719"/>
    <w:rsid w:val="009A786E"/>
    <w:rsid w:val="009B0EE4"/>
    <w:rsid w:val="009B3985"/>
    <w:rsid w:val="009B5C36"/>
    <w:rsid w:val="009B5E40"/>
    <w:rsid w:val="009C4B1B"/>
    <w:rsid w:val="009C50F8"/>
    <w:rsid w:val="009D2CDB"/>
    <w:rsid w:val="009D39E5"/>
    <w:rsid w:val="009D4F0A"/>
    <w:rsid w:val="009E2BF6"/>
    <w:rsid w:val="009E6EA6"/>
    <w:rsid w:val="009F40CD"/>
    <w:rsid w:val="00A00053"/>
    <w:rsid w:val="00A01172"/>
    <w:rsid w:val="00A02D12"/>
    <w:rsid w:val="00A04D9B"/>
    <w:rsid w:val="00A0511F"/>
    <w:rsid w:val="00A05217"/>
    <w:rsid w:val="00A11733"/>
    <w:rsid w:val="00A1649C"/>
    <w:rsid w:val="00A16DD9"/>
    <w:rsid w:val="00A22B47"/>
    <w:rsid w:val="00A22C43"/>
    <w:rsid w:val="00A27469"/>
    <w:rsid w:val="00A311B5"/>
    <w:rsid w:val="00A34255"/>
    <w:rsid w:val="00A342DB"/>
    <w:rsid w:val="00A3661D"/>
    <w:rsid w:val="00A439DE"/>
    <w:rsid w:val="00A454BD"/>
    <w:rsid w:val="00A46CC9"/>
    <w:rsid w:val="00A46F54"/>
    <w:rsid w:val="00A522E6"/>
    <w:rsid w:val="00A52B25"/>
    <w:rsid w:val="00A56F25"/>
    <w:rsid w:val="00A61979"/>
    <w:rsid w:val="00A64D67"/>
    <w:rsid w:val="00A65719"/>
    <w:rsid w:val="00A66741"/>
    <w:rsid w:val="00A71412"/>
    <w:rsid w:val="00A74CE8"/>
    <w:rsid w:val="00A82AAC"/>
    <w:rsid w:val="00A83653"/>
    <w:rsid w:val="00A915B6"/>
    <w:rsid w:val="00A96343"/>
    <w:rsid w:val="00A97D7B"/>
    <w:rsid w:val="00A97FF8"/>
    <w:rsid w:val="00AA38EB"/>
    <w:rsid w:val="00AA56DF"/>
    <w:rsid w:val="00AA57EB"/>
    <w:rsid w:val="00AA6402"/>
    <w:rsid w:val="00AB56E2"/>
    <w:rsid w:val="00AB64E0"/>
    <w:rsid w:val="00AC07B4"/>
    <w:rsid w:val="00AC5A5B"/>
    <w:rsid w:val="00AC7163"/>
    <w:rsid w:val="00AD2B4B"/>
    <w:rsid w:val="00AE60CF"/>
    <w:rsid w:val="00AE7A36"/>
    <w:rsid w:val="00AF6DC3"/>
    <w:rsid w:val="00B0420A"/>
    <w:rsid w:val="00B0605A"/>
    <w:rsid w:val="00B10824"/>
    <w:rsid w:val="00B117A6"/>
    <w:rsid w:val="00B11C96"/>
    <w:rsid w:val="00B11D58"/>
    <w:rsid w:val="00B1439E"/>
    <w:rsid w:val="00B15B17"/>
    <w:rsid w:val="00B16CFA"/>
    <w:rsid w:val="00B216F3"/>
    <w:rsid w:val="00B3145E"/>
    <w:rsid w:val="00B424C4"/>
    <w:rsid w:val="00B44C3A"/>
    <w:rsid w:val="00B46423"/>
    <w:rsid w:val="00B5397A"/>
    <w:rsid w:val="00B608A7"/>
    <w:rsid w:val="00B61D89"/>
    <w:rsid w:val="00B64EC9"/>
    <w:rsid w:val="00B668A6"/>
    <w:rsid w:val="00B764E2"/>
    <w:rsid w:val="00B8212F"/>
    <w:rsid w:val="00B93786"/>
    <w:rsid w:val="00B93F4E"/>
    <w:rsid w:val="00B95B01"/>
    <w:rsid w:val="00BA1831"/>
    <w:rsid w:val="00BA1A6E"/>
    <w:rsid w:val="00BA22EF"/>
    <w:rsid w:val="00BA38B3"/>
    <w:rsid w:val="00BA58E8"/>
    <w:rsid w:val="00BB15AF"/>
    <w:rsid w:val="00BB1809"/>
    <w:rsid w:val="00BC07D5"/>
    <w:rsid w:val="00BC4000"/>
    <w:rsid w:val="00BD0BA7"/>
    <w:rsid w:val="00BD27E1"/>
    <w:rsid w:val="00BD7171"/>
    <w:rsid w:val="00BE0C71"/>
    <w:rsid w:val="00BE1116"/>
    <w:rsid w:val="00BE3F5E"/>
    <w:rsid w:val="00BF0828"/>
    <w:rsid w:val="00BF1A58"/>
    <w:rsid w:val="00BF2D87"/>
    <w:rsid w:val="00BF7228"/>
    <w:rsid w:val="00C00808"/>
    <w:rsid w:val="00C0281A"/>
    <w:rsid w:val="00C05D57"/>
    <w:rsid w:val="00C06D48"/>
    <w:rsid w:val="00C206FB"/>
    <w:rsid w:val="00C23A80"/>
    <w:rsid w:val="00C265B5"/>
    <w:rsid w:val="00C3025F"/>
    <w:rsid w:val="00C33506"/>
    <w:rsid w:val="00C50C7E"/>
    <w:rsid w:val="00C539A9"/>
    <w:rsid w:val="00C53F3C"/>
    <w:rsid w:val="00C54B11"/>
    <w:rsid w:val="00C55628"/>
    <w:rsid w:val="00C63E48"/>
    <w:rsid w:val="00C67468"/>
    <w:rsid w:val="00C70CC5"/>
    <w:rsid w:val="00C739A9"/>
    <w:rsid w:val="00C7568B"/>
    <w:rsid w:val="00C77B86"/>
    <w:rsid w:val="00C80445"/>
    <w:rsid w:val="00C82BAE"/>
    <w:rsid w:val="00C90285"/>
    <w:rsid w:val="00C92983"/>
    <w:rsid w:val="00C93ADC"/>
    <w:rsid w:val="00CA1826"/>
    <w:rsid w:val="00CA1E56"/>
    <w:rsid w:val="00CA2C14"/>
    <w:rsid w:val="00CA5E2A"/>
    <w:rsid w:val="00CA75F1"/>
    <w:rsid w:val="00CB0BD7"/>
    <w:rsid w:val="00CB27E4"/>
    <w:rsid w:val="00CC004A"/>
    <w:rsid w:val="00CC099D"/>
    <w:rsid w:val="00CC0AB0"/>
    <w:rsid w:val="00CC1844"/>
    <w:rsid w:val="00CC660C"/>
    <w:rsid w:val="00CD1AB6"/>
    <w:rsid w:val="00CE0FCB"/>
    <w:rsid w:val="00CE5B38"/>
    <w:rsid w:val="00CE6AED"/>
    <w:rsid w:val="00CF0208"/>
    <w:rsid w:val="00CF2C1C"/>
    <w:rsid w:val="00D12E80"/>
    <w:rsid w:val="00D17117"/>
    <w:rsid w:val="00D22433"/>
    <w:rsid w:val="00D2561A"/>
    <w:rsid w:val="00D32316"/>
    <w:rsid w:val="00D365F5"/>
    <w:rsid w:val="00D41D37"/>
    <w:rsid w:val="00D4317E"/>
    <w:rsid w:val="00D51DC9"/>
    <w:rsid w:val="00D54244"/>
    <w:rsid w:val="00D54246"/>
    <w:rsid w:val="00D57A5A"/>
    <w:rsid w:val="00D61BF9"/>
    <w:rsid w:val="00D62966"/>
    <w:rsid w:val="00D63985"/>
    <w:rsid w:val="00D6456F"/>
    <w:rsid w:val="00D65AD6"/>
    <w:rsid w:val="00D7189A"/>
    <w:rsid w:val="00D76AC2"/>
    <w:rsid w:val="00D770D7"/>
    <w:rsid w:val="00D83514"/>
    <w:rsid w:val="00D85BC8"/>
    <w:rsid w:val="00D92F82"/>
    <w:rsid w:val="00D9774A"/>
    <w:rsid w:val="00DA2B63"/>
    <w:rsid w:val="00DA490D"/>
    <w:rsid w:val="00DA4B63"/>
    <w:rsid w:val="00DB58D3"/>
    <w:rsid w:val="00DC02A6"/>
    <w:rsid w:val="00DC58F4"/>
    <w:rsid w:val="00DD0063"/>
    <w:rsid w:val="00DD04C3"/>
    <w:rsid w:val="00DD1AC0"/>
    <w:rsid w:val="00DD220B"/>
    <w:rsid w:val="00DD7805"/>
    <w:rsid w:val="00DE3088"/>
    <w:rsid w:val="00DF1616"/>
    <w:rsid w:val="00DF19AB"/>
    <w:rsid w:val="00DF4137"/>
    <w:rsid w:val="00E02901"/>
    <w:rsid w:val="00E05E83"/>
    <w:rsid w:val="00E06B79"/>
    <w:rsid w:val="00E07F3A"/>
    <w:rsid w:val="00E105EB"/>
    <w:rsid w:val="00E111D5"/>
    <w:rsid w:val="00E131DE"/>
    <w:rsid w:val="00E1398B"/>
    <w:rsid w:val="00E140EE"/>
    <w:rsid w:val="00E24DC6"/>
    <w:rsid w:val="00E40AFE"/>
    <w:rsid w:val="00E41853"/>
    <w:rsid w:val="00E42B0D"/>
    <w:rsid w:val="00E446E7"/>
    <w:rsid w:val="00E53466"/>
    <w:rsid w:val="00E679C2"/>
    <w:rsid w:val="00E70906"/>
    <w:rsid w:val="00E711C1"/>
    <w:rsid w:val="00E749A9"/>
    <w:rsid w:val="00E773F9"/>
    <w:rsid w:val="00E8142D"/>
    <w:rsid w:val="00E83103"/>
    <w:rsid w:val="00E8796D"/>
    <w:rsid w:val="00E94207"/>
    <w:rsid w:val="00E95231"/>
    <w:rsid w:val="00E96313"/>
    <w:rsid w:val="00EA6C20"/>
    <w:rsid w:val="00EA7425"/>
    <w:rsid w:val="00EB3930"/>
    <w:rsid w:val="00EB46FF"/>
    <w:rsid w:val="00EC1F53"/>
    <w:rsid w:val="00EC3448"/>
    <w:rsid w:val="00EC3648"/>
    <w:rsid w:val="00EC5AF8"/>
    <w:rsid w:val="00EC779E"/>
    <w:rsid w:val="00ED1FB6"/>
    <w:rsid w:val="00ED5801"/>
    <w:rsid w:val="00ED7B7A"/>
    <w:rsid w:val="00EE36A5"/>
    <w:rsid w:val="00EE3CA5"/>
    <w:rsid w:val="00EE4DB8"/>
    <w:rsid w:val="00EF27CE"/>
    <w:rsid w:val="00EF41A3"/>
    <w:rsid w:val="00EF4AB5"/>
    <w:rsid w:val="00F0225E"/>
    <w:rsid w:val="00F05676"/>
    <w:rsid w:val="00F13F6E"/>
    <w:rsid w:val="00F155F3"/>
    <w:rsid w:val="00F25EF2"/>
    <w:rsid w:val="00F35840"/>
    <w:rsid w:val="00F35A02"/>
    <w:rsid w:val="00F40BC3"/>
    <w:rsid w:val="00F40D83"/>
    <w:rsid w:val="00F44410"/>
    <w:rsid w:val="00F454E6"/>
    <w:rsid w:val="00F47D81"/>
    <w:rsid w:val="00F577AF"/>
    <w:rsid w:val="00F600F9"/>
    <w:rsid w:val="00F63FB7"/>
    <w:rsid w:val="00F65E7C"/>
    <w:rsid w:val="00F66A1E"/>
    <w:rsid w:val="00F70D9B"/>
    <w:rsid w:val="00F73F4F"/>
    <w:rsid w:val="00F80FDF"/>
    <w:rsid w:val="00F821D3"/>
    <w:rsid w:val="00F8776D"/>
    <w:rsid w:val="00F901B4"/>
    <w:rsid w:val="00F90457"/>
    <w:rsid w:val="00F92281"/>
    <w:rsid w:val="00F964C5"/>
    <w:rsid w:val="00FA3EC6"/>
    <w:rsid w:val="00FA632B"/>
    <w:rsid w:val="00FB00BF"/>
    <w:rsid w:val="00FB0EFF"/>
    <w:rsid w:val="00FB1EAD"/>
    <w:rsid w:val="00FC1DF4"/>
    <w:rsid w:val="00FD31B8"/>
    <w:rsid w:val="00FD3EB1"/>
    <w:rsid w:val="00FE0E9A"/>
    <w:rsid w:val="00FE32A8"/>
    <w:rsid w:val="00FE47E1"/>
    <w:rsid w:val="00FE67F3"/>
    <w:rsid w:val="00FF0CCA"/>
    <w:rsid w:val="00FF243F"/>
    <w:rsid w:val="00FF245F"/>
    <w:rsid w:val="00FF55B8"/>
    <w:rsid w:val="00FF6B05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  <w:style w:type="character" w:customStyle="1" w:styleId="ams">
    <w:name w:val="ams"/>
    <w:basedOn w:val="Predvolenpsmoodseku"/>
    <w:rsid w:val="001C025B"/>
  </w:style>
  <w:style w:type="paragraph" w:styleId="Normlnywebov">
    <w:name w:val="Normal (Web)"/>
    <w:basedOn w:val="Normlny"/>
    <w:uiPriority w:val="99"/>
    <w:semiHidden/>
    <w:unhideWhenUsed/>
    <w:rsid w:val="00166446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F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4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1946</Words>
  <Characters>8624</Characters>
  <Application>Microsoft Office Word</Application>
  <DocSecurity>0</DocSecurity>
  <Lines>71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8</cp:revision>
  <cp:lastPrinted>2020-12-17T09:04:00Z</cp:lastPrinted>
  <dcterms:created xsi:type="dcterms:W3CDTF">2026-01-30T11:34:00Z</dcterms:created>
  <dcterms:modified xsi:type="dcterms:W3CDTF">2026-01-30T14:14:00Z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</Properties>
</file>