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406F7" w14:textId="1FEC599B" w:rsidR="002E65EC" w:rsidRPr="002E0F8E" w:rsidRDefault="00F42CDF" w:rsidP="00272832">
      <w:pPr>
        <w:spacing w:before="240" w:after="600"/>
        <w:jc w:val="center"/>
        <w:rPr>
          <w:rFonts w:ascii="Arial Narrow" w:hAnsi="Arial Narrow"/>
          <w:b/>
          <w:bCs/>
          <w:sz w:val="24"/>
          <w:szCs w:val="24"/>
        </w:rPr>
      </w:pPr>
      <w:r w:rsidRPr="002E0F8E">
        <w:rPr>
          <w:rFonts w:ascii="Arial Narrow" w:hAnsi="Arial Narrow"/>
          <w:b/>
          <w:bCs/>
          <w:sz w:val="24"/>
          <w:szCs w:val="24"/>
        </w:rPr>
        <w:t xml:space="preserve">Informácia </w:t>
      </w:r>
      <w:r w:rsidR="00177B3D" w:rsidRPr="003E7C2A">
        <w:rPr>
          <w:rFonts w:ascii="Arial Narrow" w:hAnsi="Arial Narrow"/>
          <w:b/>
          <w:bCs/>
          <w:sz w:val="24"/>
          <w:szCs w:val="24"/>
        </w:rPr>
        <w:t xml:space="preserve">o výsledkoch vykonaného auditu a o stave plnenia prijatých opatrení za obdobie rokov 2020 – 2025 </w:t>
      </w:r>
      <w:r w:rsidR="00177B3D">
        <w:rPr>
          <w:rFonts w:ascii="Arial Narrow" w:hAnsi="Arial Narrow"/>
          <w:b/>
          <w:bCs/>
          <w:sz w:val="24"/>
          <w:szCs w:val="24"/>
        </w:rPr>
        <w:t xml:space="preserve">v zmysle </w:t>
      </w:r>
      <w:r w:rsidR="002E65EC" w:rsidRPr="002E0F8E">
        <w:rPr>
          <w:rFonts w:ascii="Arial Narrow" w:hAnsi="Arial Narrow"/>
          <w:b/>
          <w:bCs/>
          <w:sz w:val="24"/>
          <w:szCs w:val="24"/>
        </w:rPr>
        <w:t>uznesen</w:t>
      </w:r>
      <w:r w:rsidRPr="002E0F8E">
        <w:rPr>
          <w:rFonts w:ascii="Arial Narrow" w:hAnsi="Arial Narrow"/>
          <w:b/>
          <w:bCs/>
          <w:sz w:val="24"/>
          <w:szCs w:val="24"/>
        </w:rPr>
        <w:t>ia</w:t>
      </w:r>
      <w:r w:rsidR="002E65EC" w:rsidRPr="002E0F8E">
        <w:rPr>
          <w:rFonts w:ascii="Arial Narrow" w:hAnsi="Arial Narrow"/>
          <w:b/>
          <w:bCs/>
          <w:sz w:val="24"/>
          <w:szCs w:val="24"/>
        </w:rPr>
        <w:t xml:space="preserve"> vlády Slovenskej republiky č.</w:t>
      </w:r>
      <w:r w:rsidRPr="002E0F8E">
        <w:rPr>
          <w:rFonts w:ascii="Arial Narrow" w:hAnsi="Arial Narrow"/>
          <w:b/>
          <w:bCs/>
          <w:sz w:val="24"/>
          <w:szCs w:val="24"/>
        </w:rPr>
        <w:t> </w:t>
      </w:r>
      <w:r w:rsidR="002E65EC" w:rsidRPr="002E0F8E">
        <w:rPr>
          <w:rFonts w:ascii="Arial Narrow" w:hAnsi="Arial Narrow"/>
          <w:b/>
          <w:bCs/>
          <w:sz w:val="24"/>
          <w:szCs w:val="24"/>
        </w:rPr>
        <w:t>508 z 15. októbra 2025</w:t>
      </w:r>
      <w:r w:rsidRPr="00FA6072"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681BB7E3" w14:textId="48F0A640" w:rsidR="002E65EC" w:rsidRPr="002E0F8E" w:rsidRDefault="001C2F85" w:rsidP="003E7C2A">
      <w:pPr>
        <w:spacing w:before="240" w:after="120" w:line="360" w:lineRule="auto"/>
        <w:jc w:val="both"/>
        <w:rPr>
          <w:rFonts w:ascii="Arial Narrow" w:hAnsi="Arial Narrow"/>
          <w:sz w:val="24"/>
          <w:szCs w:val="24"/>
        </w:rPr>
      </w:pPr>
      <w:r w:rsidRPr="002E0F8E">
        <w:rPr>
          <w:rFonts w:ascii="Arial Narrow" w:hAnsi="Arial Narrow"/>
          <w:sz w:val="24"/>
          <w:szCs w:val="24"/>
        </w:rPr>
        <w:t xml:space="preserve">V súlade s uznesením Národnej rady </w:t>
      </w:r>
      <w:r w:rsidR="00BA4F2A" w:rsidRPr="002E0F8E">
        <w:rPr>
          <w:rFonts w:ascii="Arial Narrow" w:hAnsi="Arial Narrow"/>
          <w:sz w:val="24"/>
          <w:szCs w:val="24"/>
        </w:rPr>
        <w:t>SR</w:t>
      </w:r>
      <w:r w:rsidRPr="002E0F8E">
        <w:rPr>
          <w:rFonts w:ascii="Arial Narrow" w:hAnsi="Arial Narrow"/>
          <w:sz w:val="24"/>
          <w:szCs w:val="24"/>
        </w:rPr>
        <w:t xml:space="preserve"> č. 1148 z 30. septembra 2025 k vykonaniu auditu a k prijatiu systémových riadiacich a kontrolných opatrení pri čerpaní dotačných a grantových finančných prostriedkov v ústredných orgánoch štátnej správy za obdobie rokov 2020 – 2025 bola ministrovi financií </w:t>
      </w:r>
      <w:r w:rsidR="00F42CDF" w:rsidRPr="002E0F8E">
        <w:rPr>
          <w:rFonts w:ascii="Arial Narrow" w:hAnsi="Arial Narrow"/>
          <w:sz w:val="24"/>
          <w:szCs w:val="24"/>
        </w:rPr>
        <w:t xml:space="preserve">SR </w:t>
      </w:r>
      <w:r w:rsidRPr="002E0F8E">
        <w:rPr>
          <w:rFonts w:ascii="Arial Narrow" w:hAnsi="Arial Narrow"/>
          <w:sz w:val="24"/>
          <w:szCs w:val="24"/>
        </w:rPr>
        <w:t xml:space="preserve">uznesením vlády </w:t>
      </w:r>
      <w:r w:rsidR="00681F72">
        <w:rPr>
          <w:rFonts w:ascii="Arial Narrow" w:hAnsi="Arial Narrow"/>
          <w:sz w:val="24"/>
          <w:szCs w:val="24"/>
        </w:rPr>
        <w:t>SR</w:t>
      </w:r>
      <w:r w:rsidR="004716B9" w:rsidRPr="002E0F8E">
        <w:rPr>
          <w:rFonts w:ascii="Arial Narrow" w:hAnsi="Arial Narrow"/>
          <w:sz w:val="24"/>
          <w:szCs w:val="24"/>
        </w:rPr>
        <w:t xml:space="preserve"> </w:t>
      </w:r>
      <w:r w:rsidR="00F42CDF" w:rsidRPr="002E0F8E">
        <w:rPr>
          <w:rFonts w:ascii="Arial Narrow" w:hAnsi="Arial Narrow"/>
          <w:sz w:val="24"/>
          <w:szCs w:val="24"/>
        </w:rPr>
        <w:t xml:space="preserve">č. 508 z 15. októbra 2025 </w:t>
      </w:r>
      <w:r w:rsidRPr="002E0F8E">
        <w:rPr>
          <w:rFonts w:ascii="Arial Narrow" w:hAnsi="Arial Narrow"/>
          <w:sz w:val="24"/>
          <w:szCs w:val="24"/>
        </w:rPr>
        <w:t xml:space="preserve">uložená </w:t>
      </w:r>
      <w:r w:rsidRPr="002E0F8E">
        <w:rPr>
          <w:rFonts w:ascii="Arial Narrow" w:hAnsi="Arial Narrow"/>
          <w:b/>
          <w:bCs/>
          <w:sz w:val="24"/>
          <w:szCs w:val="24"/>
        </w:rPr>
        <w:t>úloha B.1. zriadiť medzirezortnú kontrolnú skupinu zo zástupcov všetkých dotknutých ústredných orgánov štátnej správy a subjektov, ktoré poskytli dotácie a granty</w:t>
      </w:r>
      <w:r w:rsidRPr="002E0F8E">
        <w:rPr>
          <w:rFonts w:ascii="Arial Narrow" w:hAnsi="Arial Narrow"/>
          <w:sz w:val="24"/>
          <w:szCs w:val="24"/>
        </w:rPr>
        <w:t>.</w:t>
      </w:r>
    </w:p>
    <w:p w14:paraId="49A8B3C4" w14:textId="49159954" w:rsidR="002D1716" w:rsidRPr="002E0F8E" w:rsidRDefault="001C2F85" w:rsidP="003E7C2A">
      <w:pPr>
        <w:spacing w:before="120" w:after="120" w:line="360" w:lineRule="auto"/>
        <w:jc w:val="both"/>
        <w:rPr>
          <w:rFonts w:ascii="Arial Narrow" w:hAnsi="Arial Narrow"/>
          <w:sz w:val="24"/>
          <w:szCs w:val="24"/>
        </w:rPr>
      </w:pPr>
      <w:r w:rsidRPr="002E0F8E">
        <w:rPr>
          <w:rFonts w:ascii="Arial Narrow" w:hAnsi="Arial Narrow"/>
          <w:sz w:val="24"/>
          <w:szCs w:val="24"/>
        </w:rPr>
        <w:t xml:space="preserve">V tejto súvislosti boli listom ministra financií </w:t>
      </w:r>
      <w:r w:rsidR="00F42CDF" w:rsidRPr="002E0F8E">
        <w:rPr>
          <w:rFonts w:ascii="Arial Narrow" w:hAnsi="Arial Narrow"/>
          <w:sz w:val="24"/>
          <w:szCs w:val="24"/>
        </w:rPr>
        <w:t xml:space="preserve">SR </w:t>
      </w:r>
      <w:r w:rsidRPr="002E0F8E">
        <w:rPr>
          <w:rFonts w:ascii="Arial Narrow" w:hAnsi="Arial Narrow"/>
          <w:sz w:val="24"/>
          <w:szCs w:val="24"/>
        </w:rPr>
        <w:t>zo dňa 17.</w:t>
      </w:r>
      <w:r w:rsidR="00F42CDF" w:rsidRPr="002E0F8E">
        <w:rPr>
          <w:rFonts w:ascii="Arial Narrow" w:hAnsi="Arial Narrow"/>
          <w:sz w:val="24"/>
          <w:szCs w:val="24"/>
        </w:rPr>
        <w:t xml:space="preserve"> </w:t>
      </w:r>
      <w:r w:rsidRPr="002E0F8E">
        <w:rPr>
          <w:rFonts w:ascii="Arial Narrow" w:hAnsi="Arial Narrow"/>
          <w:sz w:val="24"/>
          <w:szCs w:val="24"/>
        </w:rPr>
        <w:t>10.</w:t>
      </w:r>
      <w:r w:rsidR="00F42CDF" w:rsidRPr="002E0F8E">
        <w:rPr>
          <w:rFonts w:ascii="Arial Narrow" w:hAnsi="Arial Narrow"/>
          <w:sz w:val="24"/>
          <w:szCs w:val="24"/>
        </w:rPr>
        <w:t xml:space="preserve"> </w:t>
      </w:r>
      <w:r w:rsidRPr="002E0F8E">
        <w:rPr>
          <w:rFonts w:ascii="Arial Narrow" w:hAnsi="Arial Narrow"/>
          <w:sz w:val="24"/>
          <w:szCs w:val="24"/>
        </w:rPr>
        <w:t>2025 vyzvané všetky ústredné orgány štátnej správy</w:t>
      </w:r>
      <w:r w:rsidR="00F42CDF" w:rsidRPr="002E0F8E">
        <w:rPr>
          <w:rFonts w:ascii="Arial Narrow" w:hAnsi="Arial Narrow"/>
          <w:sz w:val="24"/>
          <w:szCs w:val="24"/>
        </w:rPr>
        <w:t>,</w:t>
      </w:r>
      <w:r w:rsidRPr="002E0F8E">
        <w:rPr>
          <w:rFonts w:ascii="Arial Narrow" w:hAnsi="Arial Narrow"/>
          <w:sz w:val="24"/>
          <w:szCs w:val="24"/>
        </w:rPr>
        <w:t xml:space="preserve"> aby nominovali svojich zástupcov do medzirezortnej kontrolnej skupiny. </w:t>
      </w:r>
      <w:r w:rsidRPr="002E0F8E">
        <w:rPr>
          <w:rFonts w:ascii="Arial Narrow" w:hAnsi="Arial Narrow"/>
          <w:b/>
          <w:bCs/>
          <w:sz w:val="24"/>
          <w:szCs w:val="24"/>
        </w:rPr>
        <w:t>Medzirezortná kontrolná skupina bola zložená dňa 22.</w:t>
      </w:r>
      <w:r w:rsidR="00F42CDF" w:rsidRPr="002E0F8E">
        <w:rPr>
          <w:rFonts w:ascii="Arial Narrow" w:hAnsi="Arial Narrow"/>
          <w:b/>
          <w:bCs/>
          <w:sz w:val="24"/>
          <w:szCs w:val="24"/>
        </w:rPr>
        <w:t xml:space="preserve"> </w:t>
      </w:r>
      <w:r w:rsidRPr="002E0F8E">
        <w:rPr>
          <w:rFonts w:ascii="Arial Narrow" w:hAnsi="Arial Narrow"/>
          <w:b/>
          <w:bCs/>
          <w:sz w:val="24"/>
          <w:szCs w:val="24"/>
        </w:rPr>
        <w:t>10.</w:t>
      </w:r>
      <w:r w:rsidR="00F42CDF" w:rsidRPr="002E0F8E">
        <w:rPr>
          <w:rFonts w:ascii="Arial Narrow" w:hAnsi="Arial Narrow"/>
          <w:b/>
          <w:bCs/>
          <w:sz w:val="24"/>
          <w:szCs w:val="24"/>
        </w:rPr>
        <w:t xml:space="preserve"> </w:t>
      </w:r>
      <w:r w:rsidRPr="002E0F8E">
        <w:rPr>
          <w:rFonts w:ascii="Arial Narrow" w:hAnsi="Arial Narrow"/>
          <w:b/>
          <w:bCs/>
          <w:sz w:val="24"/>
          <w:szCs w:val="24"/>
        </w:rPr>
        <w:t>2025</w:t>
      </w:r>
      <w:r w:rsidRPr="002E0F8E">
        <w:rPr>
          <w:rFonts w:ascii="Arial Narrow" w:hAnsi="Arial Narrow"/>
          <w:sz w:val="24"/>
          <w:szCs w:val="24"/>
        </w:rPr>
        <w:t xml:space="preserve"> a </w:t>
      </w:r>
      <w:r w:rsidR="00F42CDF" w:rsidRPr="002E0F8E">
        <w:rPr>
          <w:rFonts w:ascii="Arial Narrow" w:hAnsi="Arial Narrow"/>
          <w:sz w:val="24"/>
          <w:szCs w:val="24"/>
        </w:rPr>
        <w:t xml:space="preserve"> </w:t>
      </w:r>
      <w:r w:rsidRPr="002E0F8E">
        <w:rPr>
          <w:rFonts w:ascii="Arial Narrow" w:hAnsi="Arial Narrow"/>
          <w:sz w:val="24"/>
          <w:szCs w:val="24"/>
        </w:rPr>
        <w:t xml:space="preserve">hneď </w:t>
      </w:r>
      <w:r w:rsidR="00F42CDF" w:rsidRPr="002E0F8E">
        <w:rPr>
          <w:rFonts w:ascii="Arial Narrow" w:hAnsi="Arial Narrow"/>
          <w:sz w:val="24"/>
          <w:szCs w:val="24"/>
        </w:rPr>
        <w:t xml:space="preserve">v </w:t>
      </w:r>
      <w:r w:rsidRPr="002E0F8E">
        <w:rPr>
          <w:rFonts w:ascii="Arial Narrow" w:hAnsi="Arial Narrow"/>
          <w:sz w:val="24"/>
          <w:szCs w:val="24"/>
        </w:rPr>
        <w:t>nasledujúci deň (23.</w:t>
      </w:r>
      <w:r w:rsidR="00F42CDF" w:rsidRPr="002E0F8E">
        <w:rPr>
          <w:rFonts w:ascii="Arial Narrow" w:hAnsi="Arial Narrow"/>
          <w:sz w:val="24"/>
          <w:szCs w:val="24"/>
        </w:rPr>
        <w:t xml:space="preserve"> </w:t>
      </w:r>
      <w:r w:rsidRPr="002E0F8E">
        <w:rPr>
          <w:rFonts w:ascii="Arial Narrow" w:hAnsi="Arial Narrow"/>
          <w:sz w:val="24"/>
          <w:szCs w:val="24"/>
        </w:rPr>
        <w:t>10.</w:t>
      </w:r>
      <w:r w:rsidR="00F42CDF" w:rsidRPr="002E0F8E">
        <w:rPr>
          <w:rFonts w:ascii="Arial Narrow" w:hAnsi="Arial Narrow"/>
          <w:sz w:val="24"/>
          <w:szCs w:val="24"/>
        </w:rPr>
        <w:t xml:space="preserve"> </w:t>
      </w:r>
      <w:r w:rsidRPr="002E0F8E">
        <w:rPr>
          <w:rFonts w:ascii="Arial Narrow" w:hAnsi="Arial Narrow"/>
          <w:sz w:val="24"/>
          <w:szCs w:val="24"/>
        </w:rPr>
        <w:t>2025) sa konalo</w:t>
      </w:r>
      <w:r w:rsidR="00F42CDF" w:rsidRPr="002E0F8E">
        <w:rPr>
          <w:rFonts w:ascii="Arial Narrow" w:hAnsi="Arial Narrow"/>
          <w:sz w:val="24"/>
          <w:szCs w:val="24"/>
        </w:rPr>
        <w:t xml:space="preserve"> </w:t>
      </w:r>
      <w:r w:rsidRPr="002E0F8E">
        <w:rPr>
          <w:rFonts w:ascii="Arial Narrow" w:hAnsi="Arial Narrow"/>
          <w:sz w:val="24"/>
          <w:szCs w:val="24"/>
        </w:rPr>
        <w:t>prvé zasadn</w:t>
      </w:r>
      <w:r w:rsidR="00F42CDF" w:rsidRPr="002E0F8E">
        <w:rPr>
          <w:rFonts w:ascii="Arial Narrow" w:hAnsi="Arial Narrow"/>
          <w:sz w:val="24"/>
          <w:szCs w:val="24"/>
        </w:rPr>
        <w:t>uti</w:t>
      </w:r>
      <w:r w:rsidRPr="002E0F8E">
        <w:rPr>
          <w:rFonts w:ascii="Arial Narrow" w:hAnsi="Arial Narrow"/>
          <w:sz w:val="24"/>
          <w:szCs w:val="24"/>
        </w:rPr>
        <w:t xml:space="preserve">e </w:t>
      </w:r>
      <w:r w:rsidR="0040544B">
        <w:rPr>
          <w:rFonts w:ascii="Arial Narrow" w:hAnsi="Arial Narrow"/>
          <w:sz w:val="24"/>
          <w:szCs w:val="24"/>
        </w:rPr>
        <w:t>medzirezortnej kontrolnej</w:t>
      </w:r>
      <w:r w:rsidR="0040544B" w:rsidRPr="002E0F8E">
        <w:rPr>
          <w:rFonts w:ascii="Arial Narrow" w:hAnsi="Arial Narrow"/>
          <w:sz w:val="24"/>
          <w:szCs w:val="24"/>
        </w:rPr>
        <w:t xml:space="preserve"> </w:t>
      </w:r>
      <w:r w:rsidRPr="002E0F8E">
        <w:rPr>
          <w:rFonts w:ascii="Arial Narrow" w:hAnsi="Arial Narrow"/>
          <w:sz w:val="24"/>
          <w:szCs w:val="24"/>
        </w:rPr>
        <w:t>skupiny</w:t>
      </w:r>
      <w:r w:rsidR="00F42CDF" w:rsidRPr="002E0F8E">
        <w:rPr>
          <w:rFonts w:ascii="Arial Narrow" w:hAnsi="Arial Narrow"/>
          <w:sz w:val="24"/>
          <w:szCs w:val="24"/>
        </w:rPr>
        <w:t xml:space="preserve">, na ktorom boli </w:t>
      </w:r>
      <w:r w:rsidR="00C87FCD" w:rsidRPr="002E0F8E">
        <w:rPr>
          <w:rFonts w:ascii="Arial Narrow" w:hAnsi="Arial Narrow"/>
          <w:sz w:val="24"/>
          <w:szCs w:val="24"/>
        </w:rPr>
        <w:t xml:space="preserve">prediskutované </w:t>
      </w:r>
      <w:r w:rsidR="00F42CDF" w:rsidRPr="002E0F8E">
        <w:rPr>
          <w:rFonts w:ascii="Arial Narrow" w:hAnsi="Arial Narrow"/>
          <w:sz w:val="24"/>
          <w:szCs w:val="24"/>
        </w:rPr>
        <w:t>jednotlivé čiastkové úlohy súvisiace s plnením úloh vyplývajúcich z vyššie uvedených uznesení.</w:t>
      </w:r>
    </w:p>
    <w:p w14:paraId="0909B65E" w14:textId="5A81C86B" w:rsidR="004E0923" w:rsidRPr="002E0F8E" w:rsidRDefault="00681F72" w:rsidP="003E7C2A">
      <w:pPr>
        <w:spacing w:before="120" w:after="120"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Vyššie uvedeným uznesením vlády SR bola ministrovi financií SR uložená taktiež úloha </w:t>
      </w:r>
      <w:r w:rsidR="002D1716" w:rsidRPr="003E7C2A">
        <w:rPr>
          <w:rFonts w:ascii="Arial Narrow" w:hAnsi="Arial Narrow"/>
          <w:b/>
          <w:bCs/>
          <w:sz w:val="24"/>
          <w:szCs w:val="24"/>
        </w:rPr>
        <w:t>B.2.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="004E0923" w:rsidRPr="003E7C2A">
        <w:rPr>
          <w:rFonts w:ascii="Arial Narrow" w:hAnsi="Arial Narrow"/>
          <w:b/>
          <w:bCs/>
          <w:sz w:val="24"/>
          <w:szCs w:val="24"/>
        </w:rPr>
        <w:t>predložiť na</w:t>
      </w:r>
      <w:r>
        <w:rPr>
          <w:rFonts w:ascii="Arial Narrow" w:hAnsi="Arial Narrow"/>
          <w:b/>
          <w:bCs/>
          <w:sz w:val="24"/>
          <w:szCs w:val="24"/>
        </w:rPr>
        <w:t> </w:t>
      </w:r>
      <w:r w:rsidR="004E0923" w:rsidRPr="003E7C2A">
        <w:rPr>
          <w:rFonts w:ascii="Arial Narrow" w:hAnsi="Arial Narrow"/>
          <w:b/>
          <w:bCs/>
          <w:sz w:val="24"/>
          <w:szCs w:val="24"/>
        </w:rPr>
        <w:t xml:space="preserve">rokovanie vlády informáciu o výsledkoch vykonaného auditu a o stave plnenia prijatých opatrení za obdobie rokov 2020 – 2025 a následne za každý uplynulý kalendárny rok </w:t>
      </w:r>
      <w:r w:rsidRPr="003E7C2A">
        <w:rPr>
          <w:rFonts w:ascii="Arial Narrow" w:hAnsi="Arial Narrow"/>
          <w:sz w:val="24"/>
          <w:szCs w:val="24"/>
        </w:rPr>
        <w:t>a členom vlády</w:t>
      </w:r>
      <w:r>
        <w:rPr>
          <w:rFonts w:ascii="Arial Narrow" w:hAnsi="Arial Narrow"/>
          <w:sz w:val="24"/>
          <w:szCs w:val="24"/>
        </w:rPr>
        <w:t xml:space="preserve"> bola určená</w:t>
      </w:r>
      <w:r>
        <w:rPr>
          <w:rFonts w:ascii="Arial Narrow" w:hAnsi="Arial Narrow"/>
          <w:b/>
          <w:bCs/>
          <w:sz w:val="24"/>
          <w:szCs w:val="24"/>
        </w:rPr>
        <w:t xml:space="preserve"> úloha B. 3. </w:t>
      </w:r>
      <w:r w:rsidR="004E0923" w:rsidRPr="002E0F8E">
        <w:rPr>
          <w:rFonts w:ascii="Arial Narrow" w:hAnsi="Arial Narrow"/>
          <w:b/>
          <w:bCs/>
          <w:sz w:val="24"/>
          <w:szCs w:val="24"/>
        </w:rPr>
        <w:t>zabezpečiť paralelnú nezávislú kontrolu s cieľom identifikovať duplicitné alebo neoprávnené čerpanie dotačných a grantových finančných prostriedkov</w:t>
      </w:r>
    </w:p>
    <w:p w14:paraId="223FB52A" w14:textId="3FF2A0D0" w:rsidR="00E66159" w:rsidRPr="002E0F8E" w:rsidRDefault="00681F72" w:rsidP="003E7C2A">
      <w:pPr>
        <w:spacing w:before="120" w:after="120"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 účelom splnenia úloh B.2. a B.3. </w:t>
      </w:r>
      <w:r w:rsidR="00E66159" w:rsidRPr="002E0F8E">
        <w:rPr>
          <w:rFonts w:ascii="Arial Narrow" w:hAnsi="Arial Narrow"/>
          <w:sz w:val="24"/>
          <w:szCs w:val="24"/>
        </w:rPr>
        <w:t xml:space="preserve">boli členovia medzirezortnej kontrolnej skupiny </w:t>
      </w:r>
      <w:r w:rsidR="006931B4" w:rsidRPr="002E0F8E">
        <w:rPr>
          <w:rFonts w:ascii="Arial Narrow" w:hAnsi="Arial Narrow"/>
          <w:sz w:val="24"/>
          <w:szCs w:val="24"/>
        </w:rPr>
        <w:t>p</w:t>
      </w:r>
      <w:r w:rsidR="006931B4">
        <w:rPr>
          <w:rFonts w:ascii="Arial Narrow" w:hAnsi="Arial Narrow"/>
          <w:sz w:val="24"/>
          <w:szCs w:val="24"/>
        </w:rPr>
        <w:t>ožiadaní</w:t>
      </w:r>
      <w:r w:rsidR="001C1576">
        <w:rPr>
          <w:rFonts w:ascii="Arial Narrow" w:hAnsi="Arial Narrow"/>
          <w:sz w:val="24"/>
          <w:szCs w:val="24"/>
        </w:rPr>
        <w:t xml:space="preserve"> </w:t>
      </w:r>
      <w:r w:rsidR="00CC750D">
        <w:rPr>
          <w:rFonts w:ascii="Arial Narrow" w:hAnsi="Arial Narrow"/>
          <w:sz w:val="24"/>
          <w:szCs w:val="24"/>
        </w:rPr>
        <w:t>v termíne do</w:t>
      </w:r>
      <w:r w:rsidR="00E66159" w:rsidRPr="002E0F8E">
        <w:rPr>
          <w:rFonts w:ascii="Arial Narrow" w:hAnsi="Arial Narrow"/>
          <w:sz w:val="24"/>
          <w:szCs w:val="24"/>
        </w:rPr>
        <w:t>:</w:t>
      </w:r>
    </w:p>
    <w:p w14:paraId="2898DC59" w14:textId="32192456" w:rsidR="00E66159" w:rsidRPr="002E0F8E" w:rsidRDefault="00756B20" w:rsidP="003E7C2A">
      <w:pPr>
        <w:pStyle w:val="Odsekzoznamu"/>
        <w:numPr>
          <w:ilvl w:val="0"/>
          <w:numId w:val="1"/>
        </w:numPr>
        <w:spacing w:before="120" w:after="120" w:line="360" w:lineRule="auto"/>
        <w:jc w:val="both"/>
        <w:rPr>
          <w:rFonts w:ascii="Arial Narrow" w:hAnsi="Arial Narrow"/>
          <w:sz w:val="24"/>
          <w:szCs w:val="24"/>
        </w:rPr>
      </w:pPr>
      <w:r w:rsidRPr="002E0F8E">
        <w:rPr>
          <w:rFonts w:ascii="Arial Narrow" w:hAnsi="Arial Narrow"/>
          <w:sz w:val="24"/>
          <w:szCs w:val="24"/>
        </w:rPr>
        <w:t>30.</w:t>
      </w:r>
      <w:r w:rsidR="00E66159" w:rsidRPr="002E0F8E">
        <w:rPr>
          <w:rFonts w:ascii="Arial Narrow" w:hAnsi="Arial Narrow"/>
          <w:sz w:val="24"/>
          <w:szCs w:val="24"/>
        </w:rPr>
        <w:t xml:space="preserve"> </w:t>
      </w:r>
      <w:r w:rsidRPr="002E0F8E">
        <w:rPr>
          <w:rFonts w:ascii="Arial Narrow" w:hAnsi="Arial Narrow"/>
          <w:sz w:val="24"/>
          <w:szCs w:val="24"/>
        </w:rPr>
        <w:t>10.</w:t>
      </w:r>
      <w:r w:rsidR="00E66159" w:rsidRPr="002E0F8E">
        <w:rPr>
          <w:rFonts w:ascii="Arial Narrow" w:hAnsi="Arial Narrow"/>
          <w:sz w:val="24"/>
          <w:szCs w:val="24"/>
        </w:rPr>
        <w:t xml:space="preserve"> </w:t>
      </w:r>
      <w:r w:rsidRPr="002E0F8E">
        <w:rPr>
          <w:rFonts w:ascii="Arial Narrow" w:hAnsi="Arial Narrow"/>
          <w:sz w:val="24"/>
          <w:szCs w:val="24"/>
        </w:rPr>
        <w:t xml:space="preserve">2025 </w:t>
      </w:r>
      <w:r w:rsidR="004E0923" w:rsidRPr="002E0F8E">
        <w:rPr>
          <w:rFonts w:ascii="Arial Narrow" w:hAnsi="Arial Narrow"/>
          <w:b/>
          <w:bCs/>
          <w:sz w:val="24"/>
          <w:szCs w:val="24"/>
        </w:rPr>
        <w:t>predložiť</w:t>
      </w:r>
      <w:r w:rsidR="004E0923" w:rsidRPr="002E0F8E">
        <w:rPr>
          <w:rFonts w:ascii="Arial Narrow" w:hAnsi="Arial Narrow"/>
          <w:sz w:val="24"/>
          <w:szCs w:val="24"/>
        </w:rPr>
        <w:t xml:space="preserve"> </w:t>
      </w:r>
      <w:r w:rsidRPr="002E0F8E">
        <w:rPr>
          <w:rFonts w:ascii="Arial Narrow" w:hAnsi="Arial Narrow"/>
          <w:sz w:val="24"/>
          <w:szCs w:val="24"/>
        </w:rPr>
        <w:t>zástupcom M</w:t>
      </w:r>
      <w:r w:rsidR="0040544B">
        <w:rPr>
          <w:rFonts w:ascii="Arial Narrow" w:hAnsi="Arial Narrow"/>
          <w:sz w:val="24"/>
          <w:szCs w:val="24"/>
        </w:rPr>
        <w:t>inisterstva financií</w:t>
      </w:r>
      <w:r w:rsidRPr="002E0F8E">
        <w:rPr>
          <w:rFonts w:ascii="Arial Narrow" w:hAnsi="Arial Narrow"/>
          <w:sz w:val="24"/>
          <w:szCs w:val="24"/>
        </w:rPr>
        <w:t xml:space="preserve"> </w:t>
      </w:r>
      <w:r w:rsidR="0040544B" w:rsidRPr="002E0F8E">
        <w:rPr>
          <w:rFonts w:ascii="Arial Narrow" w:hAnsi="Arial Narrow"/>
          <w:sz w:val="24"/>
          <w:szCs w:val="24"/>
        </w:rPr>
        <w:t>S</w:t>
      </w:r>
      <w:r w:rsidR="0040544B">
        <w:rPr>
          <w:rFonts w:ascii="Arial Narrow" w:hAnsi="Arial Narrow"/>
          <w:sz w:val="24"/>
          <w:szCs w:val="24"/>
        </w:rPr>
        <w:t>lovenskej republiky (ďalej len „MF SR“)</w:t>
      </w:r>
      <w:r w:rsidRPr="002E0F8E">
        <w:rPr>
          <w:rFonts w:ascii="Arial Narrow" w:hAnsi="Arial Narrow"/>
          <w:sz w:val="24"/>
          <w:szCs w:val="24"/>
        </w:rPr>
        <w:t xml:space="preserve"> </w:t>
      </w:r>
      <w:r w:rsidRPr="002E0F8E">
        <w:rPr>
          <w:rFonts w:ascii="Arial Narrow" w:hAnsi="Arial Narrow"/>
          <w:b/>
          <w:bCs/>
          <w:sz w:val="24"/>
          <w:szCs w:val="24"/>
        </w:rPr>
        <w:t>vyplnený formulár s údajmi o poskytnutých verejných financiách</w:t>
      </w:r>
      <w:r w:rsidR="008811FA">
        <w:rPr>
          <w:rStyle w:val="Odkaznapoznmkupodiarou"/>
          <w:rFonts w:ascii="Arial Narrow" w:hAnsi="Arial Narrow"/>
          <w:b/>
          <w:bCs/>
          <w:sz w:val="24"/>
          <w:szCs w:val="24"/>
        </w:rPr>
        <w:footnoteReference w:id="1"/>
      </w:r>
      <w:r w:rsidRPr="002E0F8E">
        <w:rPr>
          <w:rFonts w:ascii="Arial Narrow" w:hAnsi="Arial Narrow"/>
          <w:b/>
          <w:bCs/>
          <w:sz w:val="24"/>
          <w:szCs w:val="24"/>
        </w:rPr>
        <w:t xml:space="preserve"> </w:t>
      </w:r>
      <w:r w:rsidR="00E66159" w:rsidRPr="002E0F8E">
        <w:rPr>
          <w:rFonts w:ascii="Arial Narrow" w:hAnsi="Arial Narrow"/>
          <w:b/>
          <w:bCs/>
          <w:sz w:val="24"/>
          <w:szCs w:val="24"/>
        </w:rPr>
        <w:t>v </w:t>
      </w:r>
      <w:r w:rsidR="002E0F8E" w:rsidRPr="00982662">
        <w:rPr>
          <w:rFonts w:ascii="Arial Narrow" w:hAnsi="Arial Narrow"/>
          <w:b/>
          <w:bCs/>
          <w:sz w:val="24"/>
          <w:szCs w:val="24"/>
        </w:rPr>
        <w:t>období</w:t>
      </w:r>
      <w:r w:rsidR="00E66159" w:rsidRPr="002E0F8E">
        <w:rPr>
          <w:rFonts w:ascii="Arial Narrow" w:hAnsi="Arial Narrow"/>
          <w:b/>
          <w:bCs/>
          <w:sz w:val="24"/>
          <w:szCs w:val="24"/>
        </w:rPr>
        <w:t xml:space="preserve"> </w:t>
      </w:r>
      <w:r w:rsidR="007A2A70">
        <w:rPr>
          <w:rFonts w:ascii="Arial Narrow" w:hAnsi="Arial Narrow"/>
          <w:b/>
          <w:bCs/>
          <w:sz w:val="24"/>
          <w:szCs w:val="24"/>
        </w:rPr>
        <w:t xml:space="preserve">od 1. 1. </w:t>
      </w:r>
      <w:r w:rsidR="00E66159" w:rsidRPr="002E0F8E">
        <w:rPr>
          <w:rFonts w:ascii="Arial Narrow" w:hAnsi="Arial Narrow"/>
          <w:b/>
          <w:bCs/>
          <w:sz w:val="24"/>
          <w:szCs w:val="24"/>
        </w:rPr>
        <w:t xml:space="preserve">2020 </w:t>
      </w:r>
      <w:r w:rsidR="007A2A70">
        <w:rPr>
          <w:rFonts w:ascii="Arial Narrow" w:hAnsi="Arial Narrow"/>
          <w:b/>
          <w:bCs/>
          <w:sz w:val="24"/>
          <w:szCs w:val="24"/>
        </w:rPr>
        <w:t>do</w:t>
      </w:r>
      <w:r w:rsidR="00E66159" w:rsidRPr="002E0F8E">
        <w:rPr>
          <w:rFonts w:ascii="Arial Narrow" w:hAnsi="Arial Narrow"/>
          <w:b/>
          <w:bCs/>
          <w:sz w:val="24"/>
          <w:szCs w:val="24"/>
        </w:rPr>
        <w:t xml:space="preserve"> </w:t>
      </w:r>
      <w:r w:rsidR="002E0F8E" w:rsidRPr="002E0F8E">
        <w:rPr>
          <w:rFonts w:ascii="Arial Narrow" w:hAnsi="Arial Narrow"/>
          <w:b/>
          <w:bCs/>
          <w:sz w:val="24"/>
          <w:szCs w:val="24"/>
        </w:rPr>
        <w:t xml:space="preserve">30. 9. </w:t>
      </w:r>
      <w:r w:rsidR="00E66159" w:rsidRPr="002E0F8E">
        <w:rPr>
          <w:rFonts w:ascii="Arial Narrow" w:hAnsi="Arial Narrow"/>
          <w:b/>
          <w:bCs/>
          <w:sz w:val="24"/>
          <w:szCs w:val="24"/>
        </w:rPr>
        <w:t>2025</w:t>
      </w:r>
      <w:r w:rsidR="00E66159" w:rsidRPr="002E0F8E">
        <w:rPr>
          <w:rFonts w:ascii="Arial Narrow" w:hAnsi="Arial Narrow"/>
          <w:sz w:val="24"/>
          <w:szCs w:val="24"/>
        </w:rPr>
        <w:t xml:space="preserve"> </w:t>
      </w:r>
      <w:r w:rsidRPr="002E0F8E">
        <w:rPr>
          <w:rFonts w:ascii="Arial Narrow" w:hAnsi="Arial Narrow"/>
          <w:sz w:val="24"/>
          <w:szCs w:val="24"/>
        </w:rPr>
        <w:t>za ústredný orgán štátnej správy</w:t>
      </w:r>
      <w:r w:rsidR="001C2F85" w:rsidRPr="002E0F8E">
        <w:rPr>
          <w:rFonts w:ascii="Arial Narrow" w:hAnsi="Arial Narrow"/>
          <w:sz w:val="24"/>
          <w:szCs w:val="24"/>
        </w:rPr>
        <w:t xml:space="preserve"> </w:t>
      </w:r>
      <w:r w:rsidRPr="002E0F8E">
        <w:rPr>
          <w:rFonts w:ascii="Arial Narrow" w:hAnsi="Arial Narrow"/>
          <w:sz w:val="24"/>
          <w:szCs w:val="24"/>
        </w:rPr>
        <w:t xml:space="preserve">ako aj za jeho podriadené </w:t>
      </w:r>
      <w:r w:rsidR="00E66159" w:rsidRPr="002E0F8E">
        <w:rPr>
          <w:rFonts w:ascii="Arial Narrow" w:hAnsi="Arial Narrow"/>
          <w:sz w:val="24"/>
          <w:szCs w:val="24"/>
        </w:rPr>
        <w:t>organizácie</w:t>
      </w:r>
      <w:r w:rsidR="004E0923" w:rsidRPr="002E0F8E">
        <w:rPr>
          <w:rFonts w:ascii="Arial Narrow" w:hAnsi="Arial Narrow"/>
          <w:sz w:val="24"/>
          <w:szCs w:val="24"/>
        </w:rPr>
        <w:t>,</w:t>
      </w:r>
    </w:p>
    <w:p w14:paraId="3340064E" w14:textId="5A1033A3" w:rsidR="00E00F6D" w:rsidRPr="00BE251A" w:rsidRDefault="00E1738E" w:rsidP="003E7C2A">
      <w:pPr>
        <w:pStyle w:val="Odsekzoznamu"/>
        <w:numPr>
          <w:ilvl w:val="0"/>
          <w:numId w:val="1"/>
        </w:numPr>
        <w:spacing w:before="120" w:after="120" w:line="360" w:lineRule="auto"/>
        <w:jc w:val="both"/>
        <w:rPr>
          <w:rFonts w:ascii="Arial Narrow" w:hAnsi="Arial Narrow"/>
          <w:sz w:val="24"/>
          <w:szCs w:val="24"/>
        </w:rPr>
      </w:pPr>
      <w:r w:rsidRPr="002E0F8E">
        <w:rPr>
          <w:rFonts w:ascii="Arial Narrow" w:hAnsi="Arial Narrow"/>
          <w:sz w:val="24"/>
          <w:szCs w:val="24"/>
        </w:rPr>
        <w:t>5.</w:t>
      </w:r>
      <w:r w:rsidR="004E0923" w:rsidRPr="002E0F8E">
        <w:rPr>
          <w:rFonts w:ascii="Arial Narrow" w:hAnsi="Arial Narrow"/>
          <w:sz w:val="24"/>
          <w:szCs w:val="24"/>
        </w:rPr>
        <w:t xml:space="preserve"> </w:t>
      </w:r>
      <w:r w:rsidRPr="002E0F8E">
        <w:rPr>
          <w:rFonts w:ascii="Arial Narrow" w:hAnsi="Arial Narrow"/>
          <w:sz w:val="24"/>
          <w:szCs w:val="24"/>
        </w:rPr>
        <w:t>11.</w:t>
      </w:r>
      <w:r w:rsidR="004E0923" w:rsidRPr="002E0F8E">
        <w:rPr>
          <w:rFonts w:ascii="Arial Narrow" w:hAnsi="Arial Narrow"/>
          <w:sz w:val="24"/>
          <w:szCs w:val="24"/>
        </w:rPr>
        <w:t xml:space="preserve"> </w:t>
      </w:r>
      <w:r w:rsidRPr="002E0F8E">
        <w:rPr>
          <w:rFonts w:ascii="Arial Narrow" w:hAnsi="Arial Narrow"/>
          <w:sz w:val="24"/>
          <w:szCs w:val="24"/>
        </w:rPr>
        <w:t xml:space="preserve">2025 </w:t>
      </w:r>
      <w:r w:rsidRPr="002E0F8E">
        <w:rPr>
          <w:rFonts w:ascii="Arial Narrow" w:hAnsi="Arial Narrow"/>
          <w:b/>
          <w:bCs/>
          <w:sz w:val="24"/>
          <w:szCs w:val="24"/>
        </w:rPr>
        <w:t xml:space="preserve">identifikovať, či </w:t>
      </w:r>
      <w:r w:rsidR="00E66159" w:rsidRPr="002E0F8E">
        <w:rPr>
          <w:rFonts w:ascii="Arial Narrow" w:hAnsi="Arial Narrow"/>
          <w:b/>
          <w:bCs/>
          <w:sz w:val="24"/>
          <w:szCs w:val="24"/>
        </w:rPr>
        <w:t xml:space="preserve">sa </w:t>
      </w:r>
      <w:r w:rsidRPr="002E0F8E">
        <w:rPr>
          <w:rFonts w:ascii="Arial Narrow" w:hAnsi="Arial Narrow"/>
          <w:b/>
          <w:bCs/>
          <w:sz w:val="24"/>
          <w:szCs w:val="24"/>
        </w:rPr>
        <w:t>niektorý z</w:t>
      </w:r>
      <w:r w:rsidR="001C1576">
        <w:rPr>
          <w:rFonts w:ascii="Arial Narrow" w:hAnsi="Arial Narrow"/>
          <w:b/>
          <w:bCs/>
          <w:sz w:val="24"/>
          <w:szCs w:val="24"/>
        </w:rPr>
        <w:t> </w:t>
      </w:r>
      <w:r w:rsidRPr="002E0F8E">
        <w:rPr>
          <w:rFonts w:ascii="Arial Narrow" w:hAnsi="Arial Narrow"/>
          <w:b/>
          <w:bCs/>
          <w:sz w:val="24"/>
          <w:szCs w:val="24"/>
        </w:rPr>
        <w:t>prijímateľov</w:t>
      </w:r>
      <w:r w:rsidR="001C1576">
        <w:rPr>
          <w:rFonts w:ascii="Arial Narrow" w:hAnsi="Arial Narrow"/>
          <w:b/>
          <w:bCs/>
          <w:sz w:val="24"/>
          <w:szCs w:val="24"/>
        </w:rPr>
        <w:t xml:space="preserve"> verejných financií</w:t>
      </w:r>
      <w:r w:rsidRPr="002E0F8E">
        <w:rPr>
          <w:rFonts w:ascii="Arial Narrow" w:hAnsi="Arial Narrow"/>
          <w:b/>
          <w:bCs/>
          <w:sz w:val="24"/>
          <w:szCs w:val="24"/>
        </w:rPr>
        <w:t xml:space="preserve"> nevyskytuje </w:t>
      </w:r>
      <w:r w:rsidR="00E66159" w:rsidRPr="002E0F8E">
        <w:rPr>
          <w:rFonts w:ascii="Arial Narrow" w:hAnsi="Arial Narrow"/>
          <w:b/>
          <w:bCs/>
          <w:sz w:val="24"/>
          <w:szCs w:val="24"/>
        </w:rPr>
        <w:t xml:space="preserve">v zozname </w:t>
      </w:r>
      <w:r w:rsidRPr="002E0F8E">
        <w:rPr>
          <w:rFonts w:ascii="Arial Narrow" w:hAnsi="Arial Narrow"/>
          <w:b/>
          <w:bCs/>
          <w:sz w:val="24"/>
          <w:szCs w:val="24"/>
        </w:rPr>
        <w:t xml:space="preserve">duplicitne, tzn. či </w:t>
      </w:r>
      <w:r w:rsidR="00E66159" w:rsidRPr="002E0F8E">
        <w:rPr>
          <w:rFonts w:ascii="Arial Narrow" w:hAnsi="Arial Narrow"/>
          <w:b/>
          <w:bCs/>
          <w:sz w:val="24"/>
          <w:szCs w:val="24"/>
        </w:rPr>
        <w:t>mu neboli poskytnuté verejné financie</w:t>
      </w:r>
      <w:r w:rsidRPr="002E0F8E">
        <w:rPr>
          <w:rFonts w:ascii="Arial Narrow" w:hAnsi="Arial Narrow"/>
          <w:b/>
          <w:bCs/>
          <w:sz w:val="24"/>
          <w:szCs w:val="24"/>
        </w:rPr>
        <w:t xml:space="preserve"> </w:t>
      </w:r>
      <w:r w:rsidR="00E66159" w:rsidRPr="002E0F8E">
        <w:rPr>
          <w:rFonts w:ascii="Arial Narrow" w:hAnsi="Arial Narrow"/>
          <w:b/>
          <w:bCs/>
          <w:sz w:val="24"/>
          <w:szCs w:val="24"/>
        </w:rPr>
        <w:t>viackrát</w:t>
      </w:r>
      <w:r w:rsidR="00E66159" w:rsidRPr="002E0F8E">
        <w:rPr>
          <w:rFonts w:ascii="Arial Narrow" w:hAnsi="Arial Narrow"/>
          <w:sz w:val="24"/>
          <w:szCs w:val="24"/>
        </w:rPr>
        <w:t xml:space="preserve">, </w:t>
      </w:r>
      <w:r w:rsidRPr="002E0F8E">
        <w:rPr>
          <w:rFonts w:ascii="Arial Narrow" w:hAnsi="Arial Narrow"/>
          <w:sz w:val="24"/>
          <w:szCs w:val="24"/>
        </w:rPr>
        <w:t>a ak áno, bolo nevyhnutné vyhodnotiť</w:t>
      </w:r>
      <w:r w:rsidR="001C1576">
        <w:rPr>
          <w:rFonts w:ascii="Arial Narrow" w:hAnsi="Arial Narrow"/>
          <w:sz w:val="24"/>
          <w:szCs w:val="24"/>
        </w:rPr>
        <w:t>,</w:t>
      </w:r>
      <w:r w:rsidRPr="002E0F8E">
        <w:rPr>
          <w:rFonts w:ascii="Arial Narrow" w:hAnsi="Arial Narrow"/>
          <w:sz w:val="24"/>
          <w:szCs w:val="24"/>
        </w:rPr>
        <w:t xml:space="preserve"> či sa nejedná o duplicitné financovanie. </w:t>
      </w:r>
      <w:r w:rsidR="00E66159" w:rsidRPr="002E0F8E">
        <w:rPr>
          <w:rFonts w:ascii="Arial Narrow" w:hAnsi="Arial Narrow"/>
          <w:sz w:val="24"/>
          <w:szCs w:val="24"/>
        </w:rPr>
        <w:t>V rámci analýzy bolo potrebné skúmať aj</w:t>
      </w:r>
      <w:r w:rsidR="00E23A63" w:rsidRPr="002E0F8E">
        <w:rPr>
          <w:rFonts w:ascii="Arial Narrow" w:hAnsi="Arial Narrow"/>
          <w:sz w:val="24"/>
          <w:szCs w:val="24"/>
        </w:rPr>
        <w:t> </w:t>
      </w:r>
      <w:r w:rsidR="00E66159" w:rsidRPr="002E0F8E">
        <w:rPr>
          <w:rFonts w:ascii="Arial Narrow" w:hAnsi="Arial Narrow"/>
          <w:sz w:val="24"/>
          <w:szCs w:val="24"/>
        </w:rPr>
        <w:t xml:space="preserve">všetky podriadené organizácie, ktoré poskytovali </w:t>
      </w:r>
      <w:r w:rsidR="001C1576">
        <w:rPr>
          <w:rFonts w:ascii="Arial Narrow" w:hAnsi="Arial Narrow"/>
          <w:sz w:val="24"/>
          <w:szCs w:val="24"/>
        </w:rPr>
        <w:t xml:space="preserve">v sledovanom období </w:t>
      </w:r>
      <w:r w:rsidR="00E66159" w:rsidRPr="002E0F8E">
        <w:rPr>
          <w:rFonts w:ascii="Arial Narrow" w:hAnsi="Arial Narrow"/>
          <w:sz w:val="24"/>
          <w:szCs w:val="24"/>
        </w:rPr>
        <w:t>verejné financie</w:t>
      </w:r>
      <w:r w:rsidR="00E00F6D">
        <w:rPr>
          <w:rFonts w:ascii="Arial Narrow" w:hAnsi="Arial Narrow"/>
          <w:sz w:val="24"/>
          <w:szCs w:val="24"/>
        </w:rPr>
        <w:t xml:space="preserve">, </w:t>
      </w:r>
    </w:p>
    <w:p w14:paraId="02CF00A3" w14:textId="38816B6B" w:rsidR="00E66159" w:rsidRPr="002E0F8E" w:rsidRDefault="00E00F6D" w:rsidP="003E7C2A">
      <w:pPr>
        <w:pStyle w:val="Odsekzoznamu"/>
        <w:numPr>
          <w:ilvl w:val="0"/>
          <w:numId w:val="1"/>
        </w:numPr>
        <w:spacing w:before="120" w:after="12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12. 12. 2025 </w:t>
      </w:r>
      <w:r>
        <w:rPr>
          <w:rFonts w:ascii="Arial Narrow" w:hAnsi="Arial Narrow"/>
          <w:b/>
          <w:bCs/>
          <w:sz w:val="24"/>
          <w:szCs w:val="24"/>
        </w:rPr>
        <w:t xml:space="preserve">predložiť </w:t>
      </w:r>
      <w:r w:rsidRPr="00E00F6D">
        <w:rPr>
          <w:rFonts w:ascii="Arial Narrow" w:hAnsi="Arial Narrow"/>
          <w:sz w:val="24"/>
          <w:szCs w:val="24"/>
        </w:rPr>
        <w:t>zástupcom MF SR</w:t>
      </w:r>
      <w:r w:rsidRPr="00E00F6D">
        <w:rPr>
          <w:rFonts w:ascii="Arial Narrow" w:hAnsi="Arial Narrow"/>
          <w:b/>
          <w:bCs/>
          <w:sz w:val="24"/>
          <w:szCs w:val="24"/>
        </w:rPr>
        <w:t xml:space="preserve"> výsledky z  overenia</w:t>
      </w:r>
      <w:r>
        <w:rPr>
          <w:rFonts w:ascii="Arial Narrow" w:hAnsi="Arial Narrow"/>
          <w:sz w:val="24"/>
          <w:szCs w:val="24"/>
        </w:rPr>
        <w:t xml:space="preserve"> vykonaného v nadväznosti identifikáciu možného duplicitného financovania</w:t>
      </w:r>
      <w:r w:rsidRPr="00E00F6D">
        <w:rPr>
          <w:rFonts w:ascii="Arial Narrow" w:hAnsi="Arial Narrow"/>
          <w:sz w:val="24"/>
          <w:szCs w:val="24"/>
        </w:rPr>
        <w:t>.</w:t>
      </w:r>
    </w:p>
    <w:p w14:paraId="120ED64C" w14:textId="1F64309E" w:rsidR="0040544B" w:rsidRPr="00F60149" w:rsidRDefault="00F60149" w:rsidP="003E7C2A">
      <w:pPr>
        <w:spacing w:before="120" w:after="12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 dôvodu, že neexistuje</w:t>
      </w:r>
      <w:r w:rsidR="001C1576">
        <w:rPr>
          <w:rFonts w:ascii="Arial Narrow" w:hAnsi="Arial Narrow"/>
          <w:sz w:val="24"/>
          <w:szCs w:val="24"/>
        </w:rPr>
        <w:t xml:space="preserve"> </w:t>
      </w:r>
      <w:r w:rsidR="00652A45">
        <w:rPr>
          <w:rFonts w:ascii="Arial Narrow" w:hAnsi="Arial Narrow"/>
          <w:sz w:val="24"/>
          <w:szCs w:val="24"/>
        </w:rPr>
        <w:t>centrálna</w:t>
      </w:r>
      <w:r w:rsidR="001C1576">
        <w:rPr>
          <w:rFonts w:ascii="Arial Narrow" w:hAnsi="Arial Narrow"/>
          <w:sz w:val="24"/>
          <w:szCs w:val="24"/>
        </w:rPr>
        <w:t xml:space="preserve"> evidenci</w:t>
      </w:r>
      <w:r w:rsidR="00652A45">
        <w:rPr>
          <w:rFonts w:ascii="Arial Narrow" w:hAnsi="Arial Narrow"/>
          <w:sz w:val="24"/>
          <w:szCs w:val="24"/>
        </w:rPr>
        <w:t>a</w:t>
      </w:r>
      <w:r w:rsidR="001C1576">
        <w:rPr>
          <w:rFonts w:ascii="Arial Narrow" w:hAnsi="Arial Narrow"/>
          <w:sz w:val="24"/>
          <w:szCs w:val="24"/>
        </w:rPr>
        <w:t xml:space="preserve"> a </w:t>
      </w:r>
      <w:r>
        <w:rPr>
          <w:rFonts w:ascii="Arial Narrow" w:hAnsi="Arial Narrow"/>
          <w:sz w:val="24"/>
          <w:szCs w:val="24"/>
        </w:rPr>
        <w:t xml:space="preserve"> jednotná štruktúra evidencie poskytovaných verejných </w:t>
      </w:r>
      <w:r w:rsidR="001C1576">
        <w:rPr>
          <w:rFonts w:ascii="Arial Narrow" w:hAnsi="Arial Narrow"/>
          <w:sz w:val="24"/>
          <w:szCs w:val="24"/>
        </w:rPr>
        <w:t>financií</w:t>
      </w:r>
      <w:r>
        <w:rPr>
          <w:rFonts w:ascii="Arial Narrow" w:hAnsi="Arial Narrow"/>
          <w:sz w:val="24"/>
          <w:szCs w:val="24"/>
        </w:rPr>
        <w:t>, boli p</w:t>
      </w:r>
      <w:r w:rsidR="00C87FCD" w:rsidRPr="002E0F8E">
        <w:rPr>
          <w:rFonts w:ascii="Arial Narrow" w:hAnsi="Arial Narrow"/>
          <w:sz w:val="24"/>
          <w:szCs w:val="24"/>
        </w:rPr>
        <w:t xml:space="preserve">odklady </w:t>
      </w:r>
      <w:r w:rsidR="00BA4F2A" w:rsidRPr="002E0F8E">
        <w:rPr>
          <w:rFonts w:ascii="Arial Narrow" w:hAnsi="Arial Narrow"/>
          <w:sz w:val="24"/>
          <w:szCs w:val="24"/>
        </w:rPr>
        <w:t xml:space="preserve">predložené </w:t>
      </w:r>
      <w:r w:rsidR="009B2729">
        <w:rPr>
          <w:rFonts w:ascii="Arial Narrow" w:hAnsi="Arial Narrow"/>
          <w:sz w:val="24"/>
          <w:szCs w:val="24"/>
        </w:rPr>
        <w:t xml:space="preserve">MF SR </w:t>
      </w:r>
      <w:r w:rsidR="00C87FCD" w:rsidRPr="002E0F8E">
        <w:rPr>
          <w:rFonts w:ascii="Arial Narrow" w:hAnsi="Arial Narrow"/>
          <w:sz w:val="24"/>
          <w:szCs w:val="24"/>
        </w:rPr>
        <w:t xml:space="preserve">od </w:t>
      </w:r>
      <w:r w:rsidR="001C1576">
        <w:rPr>
          <w:rFonts w:ascii="Arial Narrow" w:hAnsi="Arial Narrow"/>
          <w:sz w:val="24"/>
          <w:szCs w:val="24"/>
        </w:rPr>
        <w:t>jednotlivých</w:t>
      </w:r>
      <w:r w:rsidR="00C87FCD" w:rsidRPr="002E0F8E">
        <w:rPr>
          <w:rFonts w:ascii="Arial Narrow" w:hAnsi="Arial Narrow"/>
          <w:sz w:val="24"/>
          <w:szCs w:val="24"/>
        </w:rPr>
        <w:t xml:space="preserve"> členov</w:t>
      </w:r>
      <w:r w:rsidR="00B24F70" w:rsidRPr="002E0F8E">
        <w:rPr>
          <w:rFonts w:ascii="Arial Narrow" w:hAnsi="Arial Narrow"/>
          <w:sz w:val="24"/>
          <w:szCs w:val="24"/>
        </w:rPr>
        <w:t xml:space="preserve"> medzirezortnej kontrolnej skupiny</w:t>
      </w:r>
      <w:r>
        <w:rPr>
          <w:rFonts w:ascii="Arial Narrow" w:hAnsi="Arial Narrow"/>
          <w:sz w:val="24"/>
          <w:szCs w:val="24"/>
        </w:rPr>
        <w:t xml:space="preserve"> za celé sledované obdobie</w:t>
      </w:r>
      <w:r w:rsidR="00C87FCD" w:rsidRPr="002E0F8E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v</w:t>
      </w:r>
      <w:r w:rsidR="00E527FC">
        <w:rPr>
          <w:rFonts w:ascii="Arial Narrow" w:hAnsi="Arial Narrow"/>
          <w:sz w:val="24"/>
          <w:szCs w:val="24"/>
        </w:rPr>
        <w:t> </w:t>
      </w:r>
      <w:r>
        <w:rPr>
          <w:rFonts w:ascii="Arial Narrow" w:hAnsi="Arial Narrow"/>
          <w:sz w:val="24"/>
          <w:szCs w:val="24"/>
        </w:rPr>
        <w:t xml:space="preserve">rôznej </w:t>
      </w:r>
      <w:r w:rsidR="001C1576">
        <w:rPr>
          <w:rFonts w:ascii="Arial Narrow" w:hAnsi="Arial Narrow"/>
          <w:sz w:val="24"/>
          <w:szCs w:val="24"/>
        </w:rPr>
        <w:t>forma a </w:t>
      </w:r>
      <w:r w:rsidR="00652A45">
        <w:rPr>
          <w:rFonts w:ascii="Arial Narrow" w:hAnsi="Arial Narrow"/>
          <w:sz w:val="24"/>
          <w:szCs w:val="24"/>
        </w:rPr>
        <w:t> </w:t>
      </w:r>
      <w:r w:rsidR="00246464" w:rsidRPr="00F60149">
        <w:rPr>
          <w:rFonts w:ascii="Arial Narrow" w:hAnsi="Arial Narrow"/>
          <w:sz w:val="24"/>
          <w:szCs w:val="24"/>
        </w:rPr>
        <w:t>kvalite</w:t>
      </w:r>
      <w:r w:rsidR="00652A45">
        <w:rPr>
          <w:rFonts w:ascii="Arial Narrow" w:hAnsi="Arial Narrow"/>
          <w:sz w:val="24"/>
          <w:szCs w:val="24"/>
        </w:rPr>
        <w:t xml:space="preserve">. </w:t>
      </w:r>
      <w:r w:rsidR="00970398">
        <w:rPr>
          <w:rFonts w:ascii="Arial Narrow" w:hAnsi="Arial Narrow"/>
          <w:sz w:val="24"/>
          <w:szCs w:val="24"/>
        </w:rPr>
        <w:t xml:space="preserve">Za </w:t>
      </w:r>
      <w:r w:rsidR="00652A45">
        <w:rPr>
          <w:rFonts w:ascii="Arial Narrow" w:hAnsi="Arial Narrow"/>
          <w:sz w:val="24"/>
          <w:szCs w:val="24"/>
        </w:rPr>
        <w:t xml:space="preserve">pravdivosť a úplnosť dát </w:t>
      </w:r>
      <w:r w:rsidR="00970398">
        <w:rPr>
          <w:rFonts w:ascii="Arial Narrow" w:hAnsi="Arial Narrow"/>
          <w:sz w:val="24"/>
          <w:szCs w:val="24"/>
        </w:rPr>
        <w:t xml:space="preserve">o poskytnutých verejných financiách </w:t>
      </w:r>
      <w:r w:rsidR="00652A45">
        <w:rPr>
          <w:rFonts w:ascii="Arial Narrow" w:hAnsi="Arial Narrow"/>
          <w:sz w:val="24"/>
          <w:szCs w:val="24"/>
        </w:rPr>
        <w:t xml:space="preserve">predložených </w:t>
      </w:r>
      <w:r w:rsidR="00970398">
        <w:rPr>
          <w:rFonts w:ascii="Arial Narrow" w:hAnsi="Arial Narrow"/>
          <w:sz w:val="24"/>
          <w:szCs w:val="24"/>
        </w:rPr>
        <w:t xml:space="preserve">MF SR nesú zodpovednosť </w:t>
      </w:r>
      <w:r w:rsidR="00652A45">
        <w:rPr>
          <w:rFonts w:ascii="Arial Narrow" w:hAnsi="Arial Narrow"/>
          <w:sz w:val="24"/>
          <w:szCs w:val="24"/>
        </w:rPr>
        <w:t>jednotli</w:t>
      </w:r>
      <w:r w:rsidR="00970398">
        <w:rPr>
          <w:rFonts w:ascii="Arial Narrow" w:hAnsi="Arial Narrow"/>
          <w:sz w:val="24"/>
          <w:szCs w:val="24"/>
        </w:rPr>
        <w:t>ví</w:t>
      </w:r>
      <w:r w:rsidR="00652A45">
        <w:rPr>
          <w:rFonts w:ascii="Arial Narrow" w:hAnsi="Arial Narrow"/>
          <w:sz w:val="24"/>
          <w:szCs w:val="24"/>
        </w:rPr>
        <w:t xml:space="preserve"> člen</w:t>
      </w:r>
      <w:r w:rsidR="00970398">
        <w:rPr>
          <w:rFonts w:ascii="Arial Narrow" w:hAnsi="Arial Narrow"/>
          <w:sz w:val="24"/>
          <w:szCs w:val="24"/>
        </w:rPr>
        <w:t>ovia</w:t>
      </w:r>
      <w:r w:rsidR="00652A45">
        <w:rPr>
          <w:rFonts w:ascii="Arial Narrow" w:hAnsi="Arial Narrow"/>
          <w:sz w:val="24"/>
          <w:szCs w:val="24"/>
        </w:rPr>
        <w:t xml:space="preserve"> medzirezortnej pracovnej skupiny</w:t>
      </w:r>
      <w:r w:rsidR="00B818E7">
        <w:rPr>
          <w:rFonts w:ascii="Arial Narrow" w:hAnsi="Arial Narrow"/>
          <w:sz w:val="24"/>
          <w:szCs w:val="24"/>
        </w:rPr>
        <w:t xml:space="preserve">, ktorí ich </w:t>
      </w:r>
      <w:r w:rsidR="003E7C2A">
        <w:rPr>
          <w:rFonts w:ascii="Arial Narrow" w:hAnsi="Arial Narrow"/>
          <w:sz w:val="24"/>
          <w:szCs w:val="24"/>
        </w:rPr>
        <w:t>evidovali</w:t>
      </w:r>
      <w:r w:rsidR="00B818E7">
        <w:rPr>
          <w:rFonts w:ascii="Arial Narrow" w:hAnsi="Arial Narrow"/>
          <w:sz w:val="24"/>
          <w:szCs w:val="24"/>
        </w:rPr>
        <w:t xml:space="preserve"> v rámci svojich rezortov.</w:t>
      </w:r>
      <w:r w:rsidR="001A7B5B" w:rsidRPr="002E0F8E">
        <w:rPr>
          <w:rFonts w:ascii="Arial Narrow" w:hAnsi="Arial Narrow"/>
          <w:b/>
          <w:bCs/>
          <w:sz w:val="24"/>
          <w:szCs w:val="24"/>
        </w:rPr>
        <w:t xml:space="preserve"> </w:t>
      </w:r>
      <w:r w:rsidR="00C87FCD" w:rsidRPr="00F60149">
        <w:rPr>
          <w:rFonts w:ascii="Arial Narrow" w:hAnsi="Arial Narrow"/>
          <w:sz w:val="24"/>
          <w:szCs w:val="24"/>
        </w:rPr>
        <w:t>N</w:t>
      </w:r>
      <w:r w:rsidR="001A7B5B" w:rsidRPr="00F60149">
        <w:rPr>
          <w:rFonts w:ascii="Arial Narrow" w:hAnsi="Arial Narrow"/>
          <w:sz w:val="24"/>
          <w:szCs w:val="24"/>
        </w:rPr>
        <w:t xml:space="preserve">ižšie </w:t>
      </w:r>
      <w:r w:rsidR="00765DD3" w:rsidRPr="00F60149">
        <w:rPr>
          <w:rFonts w:ascii="Arial Narrow" w:hAnsi="Arial Narrow"/>
          <w:sz w:val="24"/>
          <w:szCs w:val="24"/>
        </w:rPr>
        <w:t>uvedená</w:t>
      </w:r>
      <w:r w:rsidR="001A7B5B" w:rsidRPr="00F60149">
        <w:rPr>
          <w:rFonts w:ascii="Arial Narrow" w:hAnsi="Arial Narrow"/>
          <w:sz w:val="24"/>
          <w:szCs w:val="24"/>
        </w:rPr>
        <w:t xml:space="preserve"> tabuľka</w:t>
      </w:r>
      <w:r w:rsidR="003E7C2A">
        <w:rPr>
          <w:rFonts w:ascii="Arial Narrow" w:hAnsi="Arial Narrow"/>
          <w:sz w:val="24"/>
          <w:szCs w:val="24"/>
        </w:rPr>
        <w:t xml:space="preserve"> č. 1</w:t>
      </w:r>
      <w:r w:rsidR="001A7B5B" w:rsidRPr="00F60149">
        <w:rPr>
          <w:rFonts w:ascii="Arial Narrow" w:hAnsi="Arial Narrow"/>
          <w:sz w:val="24"/>
          <w:szCs w:val="24"/>
        </w:rPr>
        <w:t xml:space="preserve"> </w:t>
      </w:r>
      <w:r w:rsidR="00765DD3" w:rsidRPr="00F60149">
        <w:rPr>
          <w:rFonts w:ascii="Arial Narrow" w:hAnsi="Arial Narrow"/>
          <w:sz w:val="24"/>
          <w:szCs w:val="24"/>
        </w:rPr>
        <w:t>poskytuje</w:t>
      </w:r>
      <w:r w:rsidR="0040544B" w:rsidRPr="00F60149">
        <w:rPr>
          <w:rFonts w:ascii="Arial Narrow" w:hAnsi="Arial Narrow"/>
          <w:sz w:val="24"/>
          <w:szCs w:val="24"/>
        </w:rPr>
        <w:t xml:space="preserve"> prehľad </w:t>
      </w:r>
      <w:r w:rsidR="003E7C2A">
        <w:rPr>
          <w:rFonts w:ascii="Arial Narrow" w:hAnsi="Arial Narrow"/>
          <w:sz w:val="24"/>
          <w:szCs w:val="24"/>
        </w:rPr>
        <w:t>poskytnutých</w:t>
      </w:r>
      <w:r w:rsidR="00C87FCD" w:rsidRPr="00F60149">
        <w:rPr>
          <w:rFonts w:ascii="Arial Narrow" w:hAnsi="Arial Narrow"/>
          <w:sz w:val="24"/>
          <w:szCs w:val="24"/>
        </w:rPr>
        <w:t xml:space="preserve"> </w:t>
      </w:r>
      <w:r w:rsidR="003E7C2A">
        <w:rPr>
          <w:rFonts w:ascii="Arial Narrow" w:hAnsi="Arial Narrow"/>
          <w:sz w:val="24"/>
          <w:szCs w:val="24"/>
        </w:rPr>
        <w:t>údajov a informácií</w:t>
      </w:r>
      <w:r w:rsidR="0040544B" w:rsidRPr="00F60149">
        <w:rPr>
          <w:rFonts w:ascii="Arial Narrow" w:hAnsi="Arial Narrow"/>
          <w:sz w:val="24"/>
          <w:szCs w:val="24"/>
        </w:rPr>
        <w:t xml:space="preserve">: </w:t>
      </w:r>
    </w:p>
    <w:p w14:paraId="73FA241D" w14:textId="11068D43" w:rsidR="00DA0E97" w:rsidRPr="00BE251A" w:rsidRDefault="00B30429" w:rsidP="003E7C2A">
      <w:pPr>
        <w:spacing w:before="120" w:after="12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  <w:r w:rsidRPr="00BE251A">
        <w:rPr>
          <w:rFonts w:ascii="Arial Narrow" w:hAnsi="Arial Narrow"/>
          <w:b/>
          <w:bCs/>
          <w:sz w:val="20"/>
          <w:szCs w:val="20"/>
        </w:rPr>
        <w:t xml:space="preserve">Tabuľka č. 1 – Zoznam poskytnutých verejných financií ústrednými orgánmi štátnej správy a ich podriadenými organizáciami za </w:t>
      </w:r>
      <w:r w:rsidR="002E0F8E" w:rsidRPr="00BE251A">
        <w:rPr>
          <w:rFonts w:ascii="Arial Narrow" w:hAnsi="Arial Narrow"/>
          <w:b/>
          <w:bCs/>
          <w:sz w:val="20"/>
          <w:szCs w:val="20"/>
        </w:rPr>
        <w:t>obdobie</w:t>
      </w:r>
      <w:r w:rsidR="00782F52">
        <w:rPr>
          <w:rFonts w:ascii="Arial Narrow" w:hAnsi="Arial Narrow"/>
          <w:b/>
          <w:bCs/>
          <w:sz w:val="20"/>
          <w:szCs w:val="20"/>
        </w:rPr>
        <w:t xml:space="preserve"> od 1. 1.</w:t>
      </w:r>
      <w:r w:rsidR="00FA5451" w:rsidRPr="00BE251A">
        <w:rPr>
          <w:rFonts w:ascii="Arial Narrow" w:hAnsi="Arial Narrow"/>
          <w:b/>
          <w:bCs/>
          <w:sz w:val="20"/>
          <w:szCs w:val="20"/>
        </w:rPr>
        <w:t xml:space="preserve"> </w:t>
      </w:r>
      <w:r w:rsidRPr="00BE251A">
        <w:rPr>
          <w:rFonts w:ascii="Arial Narrow" w:hAnsi="Arial Narrow"/>
          <w:b/>
          <w:bCs/>
          <w:sz w:val="20"/>
          <w:szCs w:val="20"/>
        </w:rPr>
        <w:t xml:space="preserve">2020 </w:t>
      </w:r>
      <w:r w:rsidR="00782F52">
        <w:rPr>
          <w:rFonts w:ascii="Arial Narrow" w:hAnsi="Arial Narrow"/>
          <w:b/>
          <w:bCs/>
          <w:sz w:val="20"/>
          <w:szCs w:val="20"/>
        </w:rPr>
        <w:t xml:space="preserve">do </w:t>
      </w:r>
      <w:r w:rsidR="002E0F8E" w:rsidRPr="00BE251A">
        <w:rPr>
          <w:rFonts w:ascii="Arial Narrow" w:hAnsi="Arial Narrow"/>
          <w:b/>
          <w:bCs/>
          <w:sz w:val="20"/>
          <w:szCs w:val="20"/>
        </w:rPr>
        <w:t xml:space="preserve">30. 9. </w:t>
      </w:r>
      <w:r w:rsidRPr="00BE251A">
        <w:rPr>
          <w:rFonts w:ascii="Arial Narrow" w:hAnsi="Arial Narrow"/>
          <w:b/>
          <w:bCs/>
          <w:sz w:val="20"/>
          <w:szCs w:val="20"/>
        </w:rPr>
        <w:t>2025</w:t>
      </w:r>
      <w:r w:rsidR="00DD29BD" w:rsidRPr="00BE251A">
        <w:rPr>
          <w:rFonts w:ascii="Arial Narrow" w:hAnsi="Arial Narrow"/>
          <w:b/>
          <w:bCs/>
          <w:sz w:val="20"/>
          <w:szCs w:val="20"/>
        </w:rPr>
        <w:t xml:space="preserve"> v zmysle nimi predložených podkladov</w:t>
      </w:r>
    </w:p>
    <w:tbl>
      <w:tblPr>
        <w:tblW w:w="91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2835"/>
        <w:gridCol w:w="2644"/>
      </w:tblGrid>
      <w:tr w:rsidR="006F5878" w:rsidRPr="006F5878" w14:paraId="6D37CD0F" w14:textId="77777777" w:rsidTr="003D7546">
        <w:trPr>
          <w:trHeight w:val="727"/>
          <w:tblHeader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29403909" w14:textId="77777777" w:rsidR="006F5878" w:rsidRPr="00BE251A" w:rsidRDefault="006F5878" w:rsidP="003E7C2A">
            <w:pPr>
              <w:spacing w:before="120" w:after="1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Ústredný orgán štátnej správy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bottom"/>
            <w:hideMark/>
          </w:tcPr>
          <w:p w14:paraId="1FD8CB30" w14:textId="4EFCA6AB" w:rsidR="006F5878" w:rsidRPr="00BE251A" w:rsidRDefault="006F5878" w:rsidP="003E7C2A">
            <w:pPr>
              <w:spacing w:before="120" w:after="1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Počet </w:t>
            </w:r>
            <w:r w:rsidR="0040544B" w:rsidRPr="00BE251A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poskytnutí verejných financií</w:t>
            </w:r>
            <w:r w:rsidRPr="00BE251A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(počet riadkov v zaslanom súbore)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AF7BDC3" w14:textId="15C58684" w:rsidR="006F5878" w:rsidRPr="00BE251A" w:rsidRDefault="006F5878" w:rsidP="003E7C2A">
            <w:pPr>
              <w:spacing w:before="120" w:after="1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Finančný objem poskytnutých </w:t>
            </w:r>
            <w:r w:rsidR="0040544B" w:rsidRPr="00BE251A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verejných financií </w:t>
            </w:r>
            <w:r w:rsidR="006931B4" w:rsidRPr="00BE251A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v</w:t>
            </w:r>
            <w:r w:rsidR="0040544B" w:rsidRPr="00BE251A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  <w:r w:rsidR="00BE251A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E</w:t>
            </w:r>
            <w:r w:rsidR="006931B4" w:rsidRPr="00BE251A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ur</w:t>
            </w:r>
          </w:p>
        </w:tc>
      </w:tr>
      <w:tr w:rsidR="00DA0E97" w:rsidRPr="006F5878" w14:paraId="32678B24" w14:textId="77777777" w:rsidTr="00BE251A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2B5E2" w14:textId="259DB537" w:rsidR="00DA0E97" w:rsidRPr="00BE251A" w:rsidRDefault="00DA0E97" w:rsidP="003E7C2A">
            <w:pPr>
              <w:spacing w:before="120" w:after="12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Úrad vlády SR</w:t>
            </w:r>
            <w:r w:rsidR="00024245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(ÚV SR)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85547" w14:textId="73B60598" w:rsidR="00DA0E97" w:rsidRPr="00BE251A" w:rsidRDefault="00DA0E97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hAnsi="Arial Narrow"/>
                <w:color w:val="000000"/>
                <w:sz w:val="20"/>
                <w:szCs w:val="20"/>
              </w:rPr>
              <w:t>3 601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C44C8" w14:textId="3B5E4EB5" w:rsidR="00DA0E97" w:rsidRPr="00BE251A" w:rsidRDefault="00DA0E97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hAnsi="Arial Narrow"/>
                <w:color w:val="000000"/>
                <w:sz w:val="20"/>
                <w:szCs w:val="20"/>
              </w:rPr>
              <w:t>814 785 342,07</w:t>
            </w:r>
          </w:p>
        </w:tc>
      </w:tr>
      <w:tr w:rsidR="00DA0E97" w:rsidRPr="006F5878" w14:paraId="004A5E43" w14:textId="77777777" w:rsidTr="00BE251A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1BFCA" w14:textId="3392611E" w:rsidR="00DA0E97" w:rsidRPr="00BE251A" w:rsidRDefault="00DA0E97" w:rsidP="003E7C2A">
            <w:pPr>
              <w:spacing w:before="120" w:after="12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Ministerstvo zahraničných vecí</w:t>
            </w:r>
            <w:r w:rsidR="00024245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a európskych záležitostí</w:t>
            </w:r>
            <w:r w:rsidRPr="00BE251A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SR</w:t>
            </w:r>
            <w:r w:rsidR="00024245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(</w:t>
            </w:r>
            <w:proofErr w:type="spellStart"/>
            <w:r w:rsidR="00024245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MZVaEZ</w:t>
            </w:r>
            <w:proofErr w:type="spellEnd"/>
            <w:r w:rsidR="00024245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SR)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78ECF" w14:textId="577F5D89" w:rsidR="00DA0E97" w:rsidRPr="00BE251A" w:rsidRDefault="00DA0E97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hAnsi="Arial Narrow"/>
                <w:color w:val="000000"/>
                <w:sz w:val="20"/>
                <w:szCs w:val="20"/>
              </w:rPr>
              <w:t>5 195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E80A7" w14:textId="08B25014" w:rsidR="00DA0E97" w:rsidRPr="00BE251A" w:rsidRDefault="00DA0E97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hAnsi="Arial Narrow"/>
                <w:color w:val="000000"/>
                <w:sz w:val="20"/>
                <w:szCs w:val="20"/>
              </w:rPr>
              <w:t>63 552 547,28</w:t>
            </w:r>
          </w:p>
        </w:tc>
      </w:tr>
      <w:tr w:rsidR="00DA0E97" w:rsidRPr="006F5878" w14:paraId="067010EF" w14:textId="77777777" w:rsidTr="00BE251A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EF0C7" w14:textId="7BD2AC03" w:rsidR="00DA0E97" w:rsidRPr="00BE251A" w:rsidRDefault="00DA0E97" w:rsidP="003E7C2A">
            <w:pPr>
              <w:spacing w:before="120" w:after="12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Ministerstvo obrany SR</w:t>
            </w:r>
            <w:r w:rsidR="00024245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(MO SR)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7E43A" w14:textId="6FE64756" w:rsidR="00DA0E97" w:rsidRPr="00BE251A" w:rsidRDefault="00DA0E97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hAnsi="Arial Narrow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B5672" w14:textId="20289757" w:rsidR="00DA0E97" w:rsidRPr="00BE251A" w:rsidRDefault="00DA0E97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hAnsi="Arial Narrow"/>
                <w:color w:val="000000"/>
                <w:sz w:val="20"/>
                <w:szCs w:val="20"/>
              </w:rPr>
              <w:t>22 465 753,84</w:t>
            </w:r>
          </w:p>
        </w:tc>
      </w:tr>
      <w:tr w:rsidR="00DA0E97" w:rsidRPr="006F5878" w14:paraId="1B406649" w14:textId="77777777" w:rsidTr="00BE251A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6592C" w14:textId="0BD7362E" w:rsidR="00DA0E97" w:rsidRPr="00BE251A" w:rsidRDefault="00DA0E97" w:rsidP="003E7C2A">
            <w:pPr>
              <w:spacing w:before="120" w:after="12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Ministerstvo práce, sociálnych vecí a rodiny SR</w:t>
            </w:r>
            <w:r w:rsidR="00024245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(MPSVaR SR)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7B73C" w14:textId="2A65FA8A" w:rsidR="00DA0E97" w:rsidRPr="00BE251A" w:rsidRDefault="00DA0E97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hAnsi="Arial Narrow"/>
                <w:color w:val="000000"/>
                <w:sz w:val="20"/>
                <w:szCs w:val="20"/>
              </w:rPr>
              <w:t>33 119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D793A" w14:textId="05396EBE" w:rsidR="00DA0E97" w:rsidRPr="00BE251A" w:rsidRDefault="00DA0E97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hAnsi="Arial Narrow"/>
                <w:color w:val="000000"/>
                <w:sz w:val="20"/>
                <w:szCs w:val="20"/>
              </w:rPr>
              <w:t>313 661 193,84</w:t>
            </w:r>
          </w:p>
        </w:tc>
      </w:tr>
      <w:tr w:rsidR="00DA0E97" w:rsidRPr="006F5878" w14:paraId="4233C2B9" w14:textId="77777777" w:rsidTr="00BE251A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0CB8D" w14:textId="6D51C96C" w:rsidR="00DA0E97" w:rsidRPr="00BE251A" w:rsidRDefault="00DA0E97" w:rsidP="003E7C2A">
            <w:pPr>
              <w:spacing w:before="120" w:after="12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Ministerstvo pôdohospodárstva a rozvoja vidieka SR</w:t>
            </w:r>
            <w:r w:rsidR="00024245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(</w:t>
            </w:r>
            <w:proofErr w:type="spellStart"/>
            <w:r w:rsidR="00024245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MPaRV</w:t>
            </w:r>
            <w:proofErr w:type="spellEnd"/>
            <w:r w:rsidR="00024245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SR)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D8936" w14:textId="28F2CE47" w:rsidR="00DA0E97" w:rsidRPr="00BE251A" w:rsidRDefault="00DA0E97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hAnsi="Arial Narrow"/>
                <w:color w:val="000000"/>
                <w:sz w:val="20"/>
                <w:szCs w:val="20"/>
              </w:rPr>
              <w:t>44 356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59DCE" w14:textId="04D0BAC2" w:rsidR="00DA0E97" w:rsidRPr="00BE251A" w:rsidRDefault="00DA0E97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hAnsi="Arial Narrow"/>
                <w:color w:val="000000"/>
                <w:sz w:val="20"/>
                <w:szCs w:val="20"/>
              </w:rPr>
              <w:t>1 375 951 041,09</w:t>
            </w:r>
          </w:p>
        </w:tc>
      </w:tr>
      <w:tr w:rsidR="00DA0E97" w:rsidRPr="006F5878" w14:paraId="206DCF41" w14:textId="77777777" w:rsidTr="00BE251A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219B5" w14:textId="51395E96" w:rsidR="00DA0E97" w:rsidRPr="00BE251A" w:rsidRDefault="00DA0E97" w:rsidP="003E7C2A">
            <w:pPr>
              <w:spacing w:before="120" w:after="12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Úrad geodézie, kartografie a katastra SR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1212C" w14:textId="54E3F0E5" w:rsidR="00DA0E97" w:rsidRPr="00BE251A" w:rsidRDefault="00DA0E97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ED0" w14:textId="7E9CA6D4" w:rsidR="00DA0E97" w:rsidRPr="00BE251A" w:rsidRDefault="00DA0E97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hAnsi="Arial Narrow"/>
                <w:color w:val="000000"/>
                <w:sz w:val="20"/>
                <w:szCs w:val="20"/>
              </w:rPr>
              <w:t>3 269 439,00</w:t>
            </w:r>
          </w:p>
        </w:tc>
      </w:tr>
      <w:tr w:rsidR="00DA0E97" w:rsidRPr="006F5878" w14:paraId="69C91A55" w14:textId="77777777" w:rsidTr="00BE251A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4B6AC" w14:textId="77777777" w:rsidR="00DA0E97" w:rsidRPr="00BE251A" w:rsidRDefault="00DA0E97" w:rsidP="003E7C2A">
            <w:pPr>
              <w:spacing w:before="120" w:after="12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Úrad pre normalizáciu, metrológiu a skúšobníctvo SR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0B7F4" w14:textId="081AA8FE" w:rsidR="00DA0E97" w:rsidRPr="00BE251A" w:rsidRDefault="00DA0E97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hAnsi="Arial Narrow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DF2D1" w14:textId="68CFF2EE" w:rsidR="00DA0E97" w:rsidRPr="00BE251A" w:rsidRDefault="00DA0E97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hAnsi="Arial Narrow"/>
                <w:color w:val="000000"/>
                <w:sz w:val="20"/>
                <w:szCs w:val="20"/>
              </w:rPr>
              <w:t>3 439 014,90</w:t>
            </w:r>
          </w:p>
        </w:tc>
      </w:tr>
      <w:tr w:rsidR="00DA0E97" w:rsidRPr="006F5878" w14:paraId="74144138" w14:textId="77777777" w:rsidTr="00BE251A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429FC" w14:textId="22E6CB5C" w:rsidR="00DA0E97" w:rsidRPr="00BE251A" w:rsidRDefault="00DA0E97" w:rsidP="003E7C2A">
            <w:pPr>
              <w:spacing w:before="120" w:after="12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Národný bezpečnostný úrad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9319" w14:textId="0EC0C2D5" w:rsidR="00DA0E97" w:rsidRPr="00BE251A" w:rsidRDefault="00DA0E97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hAnsi="Arial Narrow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6E4CB" w14:textId="3BF0A0AA" w:rsidR="00DA0E97" w:rsidRPr="00BE251A" w:rsidRDefault="00DA0E97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hAnsi="Arial Narrow"/>
                <w:color w:val="000000"/>
                <w:sz w:val="20"/>
                <w:szCs w:val="20"/>
              </w:rPr>
              <w:t>2 268 017,21</w:t>
            </w:r>
          </w:p>
        </w:tc>
      </w:tr>
      <w:tr w:rsidR="00DA0E97" w:rsidRPr="006F5878" w14:paraId="296C0040" w14:textId="77777777" w:rsidTr="00BE251A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6FCC0" w14:textId="77777777" w:rsidR="00DA0E97" w:rsidRPr="00BE251A" w:rsidRDefault="00DA0E97" w:rsidP="003E7C2A">
            <w:pPr>
              <w:spacing w:before="120" w:after="12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Úrad pre územné plánovanie a výstavbu SR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B31E2" w14:textId="3B8FA75D" w:rsidR="00DA0E97" w:rsidRPr="00BE251A" w:rsidRDefault="00DA0E97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hAnsi="Arial Narrow"/>
                <w:color w:val="000000"/>
                <w:sz w:val="20"/>
                <w:szCs w:val="20"/>
              </w:rPr>
              <w:t>7 244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586AA" w14:textId="55D9D1AE" w:rsidR="00DA0E97" w:rsidRPr="00BE251A" w:rsidRDefault="00DA0E97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hAnsi="Arial Narrow"/>
                <w:color w:val="000000"/>
                <w:sz w:val="20"/>
                <w:szCs w:val="20"/>
              </w:rPr>
              <w:t>28 098 652,86</w:t>
            </w:r>
          </w:p>
        </w:tc>
      </w:tr>
      <w:tr w:rsidR="00DA0E97" w:rsidRPr="006F5878" w14:paraId="467706F7" w14:textId="77777777" w:rsidTr="00BE251A">
        <w:trPr>
          <w:trHeight w:val="551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25E95" w14:textId="77777777" w:rsidR="00DA0E97" w:rsidRPr="00BE251A" w:rsidRDefault="00DA0E97" w:rsidP="003E7C2A">
            <w:pPr>
              <w:spacing w:before="120" w:after="12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Úrad podpredsedu vlády SR pre Plán obnovy a znalostnú ekonomiku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350FA" w14:textId="66766D99" w:rsidR="00DA0E97" w:rsidRPr="00BE251A" w:rsidRDefault="00DA0E97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hAnsi="Arial Narrow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27F0" w14:textId="7F08F3A3" w:rsidR="00DA0E97" w:rsidRPr="00BE251A" w:rsidRDefault="00DA0E97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hAnsi="Arial Narrow"/>
                <w:color w:val="000000"/>
                <w:sz w:val="20"/>
                <w:szCs w:val="20"/>
              </w:rPr>
              <w:t>15 946 344,24</w:t>
            </w:r>
          </w:p>
        </w:tc>
      </w:tr>
      <w:tr w:rsidR="00DA0E97" w:rsidRPr="006F5878" w14:paraId="7AF9B548" w14:textId="77777777" w:rsidTr="00BE251A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31755" w14:textId="601279BE" w:rsidR="00DA0E97" w:rsidRPr="00BE251A" w:rsidRDefault="00DA0E97" w:rsidP="003E7C2A">
            <w:pPr>
              <w:spacing w:before="120" w:after="12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Ministerstvo vnútra SR</w:t>
            </w:r>
            <w:r w:rsidR="00085D44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(MV SR)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2FD69" w14:textId="2E9024C1" w:rsidR="00DA0E97" w:rsidRPr="00BE251A" w:rsidRDefault="00DA0E97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hAnsi="Arial Narrow"/>
                <w:color w:val="000000"/>
                <w:sz w:val="20"/>
                <w:szCs w:val="20"/>
              </w:rPr>
              <w:t>1 805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05D58" w14:textId="008D6C23" w:rsidR="00DA0E97" w:rsidRPr="00BE251A" w:rsidRDefault="00DA0E97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hAnsi="Arial Narrow"/>
                <w:color w:val="000000"/>
                <w:sz w:val="20"/>
                <w:szCs w:val="20"/>
              </w:rPr>
              <w:t>1 457 840 464,21</w:t>
            </w:r>
          </w:p>
        </w:tc>
      </w:tr>
      <w:tr w:rsidR="00DA0E97" w:rsidRPr="006F5878" w14:paraId="7FEF3B75" w14:textId="77777777" w:rsidTr="00BE251A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C93D3" w14:textId="4EC3E11B" w:rsidR="00DA0E97" w:rsidRPr="00BE251A" w:rsidRDefault="00DA0E97" w:rsidP="003E7C2A">
            <w:pPr>
              <w:spacing w:before="120" w:after="12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Ministerstvo cestovného ruchu a športu SR</w:t>
            </w:r>
            <w:r w:rsidR="004F39C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r w:rsidR="00C70F3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(MCRaŠ SR)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FEB7A" w14:textId="07EE8C99" w:rsidR="00DA0E97" w:rsidRPr="00BE251A" w:rsidRDefault="00DA0E97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hAnsi="Arial Narrow"/>
                <w:color w:val="000000"/>
                <w:sz w:val="20"/>
                <w:szCs w:val="20"/>
              </w:rPr>
              <w:t>3 206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9A1C1" w14:textId="0A46F461" w:rsidR="00DA0E97" w:rsidRPr="00BE251A" w:rsidRDefault="00DA0E97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hAnsi="Arial Narrow"/>
                <w:color w:val="000000"/>
                <w:sz w:val="20"/>
                <w:szCs w:val="20"/>
              </w:rPr>
              <w:t>685 826 570,65</w:t>
            </w:r>
          </w:p>
        </w:tc>
      </w:tr>
      <w:tr w:rsidR="00DA0E97" w:rsidRPr="006F5878" w14:paraId="54D2D6C8" w14:textId="77777777" w:rsidTr="00BE251A">
        <w:trPr>
          <w:trHeight w:val="542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8E93F" w14:textId="4F0A97EE" w:rsidR="00DA0E97" w:rsidRPr="00BE251A" w:rsidRDefault="00DA0E97" w:rsidP="003E7C2A">
            <w:pPr>
              <w:spacing w:before="120" w:after="12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Ministerstvo investícií, regionálneho rozvoja a informatizácie SR</w:t>
            </w:r>
            <w:r w:rsidR="004F39C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(MIRRI SR)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8E58A" w14:textId="7DA0CBBA" w:rsidR="00DA0E97" w:rsidRPr="00BE251A" w:rsidRDefault="00DA0E97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hAnsi="Arial Narrow"/>
                <w:color w:val="000000"/>
                <w:sz w:val="20"/>
                <w:szCs w:val="20"/>
              </w:rPr>
              <w:t>7 414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A95D5" w14:textId="59C5B1E2" w:rsidR="00DA0E97" w:rsidRPr="00BE251A" w:rsidRDefault="00DA0E97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hAnsi="Arial Narrow"/>
                <w:color w:val="000000"/>
                <w:sz w:val="20"/>
                <w:szCs w:val="20"/>
              </w:rPr>
              <w:t>4 233 132 143,23</w:t>
            </w:r>
          </w:p>
        </w:tc>
      </w:tr>
      <w:tr w:rsidR="00DA0E97" w:rsidRPr="006F5878" w14:paraId="08B57C68" w14:textId="77777777" w:rsidTr="00BE251A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69EA8" w14:textId="3B06BA7E" w:rsidR="00DA0E97" w:rsidRPr="00BE251A" w:rsidRDefault="00DA0E97" w:rsidP="003E7C2A">
            <w:pPr>
              <w:spacing w:before="120" w:after="12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Ministerstvo spravodlivosti SR</w:t>
            </w:r>
            <w:r w:rsidR="004F39C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(MS SR)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1715E" w14:textId="6AC7F13E" w:rsidR="00DA0E97" w:rsidRPr="00BE251A" w:rsidRDefault="00DA0E97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hAnsi="Arial Narrow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6F0EC" w14:textId="047A287F" w:rsidR="00DA0E97" w:rsidRPr="00BE251A" w:rsidRDefault="00DA0E97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hAnsi="Arial Narrow"/>
                <w:color w:val="000000"/>
                <w:sz w:val="20"/>
                <w:szCs w:val="20"/>
              </w:rPr>
              <w:t>12 547 273,40</w:t>
            </w:r>
          </w:p>
        </w:tc>
      </w:tr>
      <w:tr w:rsidR="00DA0E97" w:rsidRPr="006F5878" w14:paraId="72F03391" w14:textId="77777777" w:rsidTr="00BE251A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26033" w14:textId="4EC6D281" w:rsidR="00DA0E97" w:rsidRPr="00BE251A" w:rsidRDefault="00DA0E97" w:rsidP="003E7C2A">
            <w:pPr>
              <w:spacing w:before="120" w:after="12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Ministerstvo kultúry SR</w:t>
            </w:r>
            <w:r w:rsidR="004F39C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(MK SR)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143C3" w14:textId="3623D81D" w:rsidR="00DA0E97" w:rsidRPr="00BE251A" w:rsidRDefault="00DA0E97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hAnsi="Arial Narrow"/>
                <w:color w:val="000000"/>
                <w:sz w:val="20"/>
                <w:szCs w:val="20"/>
              </w:rPr>
              <w:t>36 541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19BBA" w14:textId="1E37D87D" w:rsidR="00DA0E97" w:rsidRPr="00BE251A" w:rsidRDefault="00DA0E97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hAnsi="Arial Narrow"/>
                <w:color w:val="000000"/>
                <w:sz w:val="20"/>
                <w:szCs w:val="20"/>
              </w:rPr>
              <w:t>409 162 759,50</w:t>
            </w:r>
          </w:p>
        </w:tc>
      </w:tr>
      <w:tr w:rsidR="00DA0E97" w:rsidRPr="006F5878" w14:paraId="7EC4BA0D" w14:textId="77777777" w:rsidTr="00BE251A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72B67" w14:textId="2F9C6764" w:rsidR="00DA0E97" w:rsidRPr="00BE251A" w:rsidRDefault="00DA0E97" w:rsidP="003E7C2A">
            <w:pPr>
              <w:spacing w:before="120" w:after="12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lastRenderedPageBreak/>
              <w:t>Ministerstvo hospodárstva SR</w:t>
            </w:r>
            <w:r w:rsidR="004F39C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(MH SR)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CD49" w14:textId="3FB0DC6F" w:rsidR="00DA0E97" w:rsidRPr="00BE251A" w:rsidRDefault="00DA0E97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hAnsi="Arial Narrow"/>
                <w:color w:val="000000"/>
                <w:sz w:val="20"/>
                <w:szCs w:val="20"/>
              </w:rPr>
              <w:t>505 762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82C34" w14:textId="0D884449" w:rsidR="00DA0E97" w:rsidRPr="00BE251A" w:rsidRDefault="00DA0E97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hAnsi="Arial Narrow"/>
                <w:color w:val="000000"/>
                <w:sz w:val="20"/>
                <w:szCs w:val="20"/>
              </w:rPr>
              <w:t>6 793 337 757,64</w:t>
            </w:r>
          </w:p>
        </w:tc>
      </w:tr>
      <w:tr w:rsidR="00DA0E97" w:rsidRPr="006F5878" w14:paraId="78C31F15" w14:textId="77777777" w:rsidTr="00BE251A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28BE4" w14:textId="77777777" w:rsidR="00DA0E97" w:rsidRPr="00BE251A" w:rsidRDefault="00DA0E97" w:rsidP="003E7C2A">
            <w:pPr>
              <w:spacing w:before="120" w:after="12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Ministerstvo dopravy SR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D9DBE" w14:textId="6DC7854D" w:rsidR="00DA0E97" w:rsidRPr="00BE251A" w:rsidRDefault="00DA0E97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hAnsi="Arial Narrow"/>
                <w:color w:val="000000"/>
                <w:sz w:val="20"/>
                <w:szCs w:val="20"/>
              </w:rPr>
              <w:t>6 189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95BCB" w14:textId="51B3DAB2" w:rsidR="00DA0E97" w:rsidRPr="00BE251A" w:rsidRDefault="00DA0E97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hAnsi="Arial Narrow"/>
                <w:color w:val="000000"/>
                <w:sz w:val="20"/>
                <w:szCs w:val="20"/>
              </w:rPr>
              <w:t>3 319 073 481,97</w:t>
            </w:r>
          </w:p>
        </w:tc>
      </w:tr>
      <w:tr w:rsidR="00DA0E97" w:rsidRPr="006F5878" w14:paraId="3FFEE991" w14:textId="77777777" w:rsidTr="00BE251A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C6C80" w14:textId="50EAD896" w:rsidR="00DA0E97" w:rsidRPr="00BE251A" w:rsidRDefault="00DA0E97" w:rsidP="003E7C2A">
            <w:pPr>
              <w:spacing w:before="120" w:after="12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Ministerstvo financií SR</w:t>
            </w:r>
            <w:r w:rsidR="004F39C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(MF SR)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B5EB6" w14:textId="6D81BC43" w:rsidR="00DA0E97" w:rsidRPr="00BE251A" w:rsidRDefault="00DA0E97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hAnsi="Arial Narrow"/>
                <w:color w:val="000000"/>
                <w:sz w:val="20"/>
                <w:szCs w:val="20"/>
              </w:rPr>
              <w:t>14 556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D61D4" w14:textId="61E783CC" w:rsidR="00DA0E97" w:rsidRPr="00BE251A" w:rsidRDefault="00DA0E97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hAnsi="Arial Narrow"/>
                <w:color w:val="000000"/>
                <w:sz w:val="20"/>
                <w:szCs w:val="20"/>
              </w:rPr>
              <w:t>420 205 982,85</w:t>
            </w:r>
          </w:p>
        </w:tc>
      </w:tr>
      <w:tr w:rsidR="00DA0E97" w:rsidRPr="006F5878" w14:paraId="17B4DE05" w14:textId="77777777" w:rsidTr="00BE251A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33A91" w14:textId="1E2873DD" w:rsidR="00DA0E97" w:rsidRPr="00BE251A" w:rsidRDefault="00DA0E97" w:rsidP="003E7C2A">
            <w:pPr>
              <w:spacing w:before="120" w:after="12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Ministerstvo životného prostredia SR</w:t>
            </w:r>
            <w:r w:rsidR="004F39C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(MŽP SR)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A8CD0" w14:textId="75867CBA" w:rsidR="00DA0E97" w:rsidRPr="00BE251A" w:rsidRDefault="00DA0E97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hAnsi="Arial Narrow"/>
                <w:color w:val="000000"/>
                <w:sz w:val="20"/>
                <w:szCs w:val="20"/>
              </w:rPr>
              <w:t>22 403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8F3FD" w14:textId="1E7D39E3" w:rsidR="00DA0E97" w:rsidRPr="00BE251A" w:rsidRDefault="00DA0E97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hAnsi="Arial Narrow"/>
                <w:color w:val="000000"/>
                <w:sz w:val="20"/>
                <w:szCs w:val="20"/>
              </w:rPr>
              <w:t>2 063 767 164,12</w:t>
            </w:r>
          </w:p>
        </w:tc>
      </w:tr>
      <w:tr w:rsidR="00DA0E97" w:rsidRPr="006F5878" w14:paraId="155F1629" w14:textId="77777777" w:rsidTr="00BE251A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626A2" w14:textId="1155F48A" w:rsidR="00DA0E97" w:rsidRPr="00BE251A" w:rsidRDefault="00DA0E97" w:rsidP="003E7C2A">
            <w:pPr>
              <w:spacing w:before="120" w:after="12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Ministerstvo školstva, výskumu, vývoja a mládeže SR</w:t>
            </w:r>
            <w:r w:rsidR="004F39C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(</w:t>
            </w:r>
            <w:proofErr w:type="spellStart"/>
            <w:r w:rsidR="004F39C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MŠVVaM</w:t>
            </w:r>
            <w:proofErr w:type="spellEnd"/>
            <w:r w:rsidR="004F39C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SR)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4CCE6" w14:textId="58F01AB9" w:rsidR="00DA0E97" w:rsidRPr="00BE251A" w:rsidRDefault="00DA0E97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hAnsi="Arial Narrow"/>
                <w:color w:val="000000"/>
                <w:sz w:val="20"/>
                <w:szCs w:val="20"/>
              </w:rPr>
              <w:t>19 138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5684C" w14:textId="00622059" w:rsidR="00DA0E97" w:rsidRPr="00BE251A" w:rsidRDefault="00DA0E97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hAnsi="Arial Narrow"/>
                <w:color w:val="000000"/>
                <w:sz w:val="20"/>
                <w:szCs w:val="20"/>
              </w:rPr>
              <w:t>727 821 669,17</w:t>
            </w:r>
          </w:p>
        </w:tc>
      </w:tr>
      <w:tr w:rsidR="00DA0E97" w:rsidRPr="006F5878" w14:paraId="4414A1DF" w14:textId="77777777" w:rsidTr="00BE251A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1E19B" w14:textId="7F6F39B5" w:rsidR="00DA0E97" w:rsidRPr="00BE251A" w:rsidRDefault="00DA0E97" w:rsidP="003E7C2A">
            <w:pPr>
              <w:spacing w:before="120" w:after="12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Ministerstvo zdravotníctva SR</w:t>
            </w:r>
            <w:r w:rsidR="00C70F3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(MZ SR)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8F8C9" w14:textId="70D5CE08" w:rsidR="00DA0E97" w:rsidRPr="00BE251A" w:rsidRDefault="00DA0E97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hAnsi="Arial Narrow"/>
                <w:color w:val="000000"/>
                <w:sz w:val="20"/>
                <w:szCs w:val="20"/>
              </w:rPr>
              <w:t>1 455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D0C10" w14:textId="2CFFB183" w:rsidR="00DA0E97" w:rsidRPr="00BE251A" w:rsidRDefault="00DA0E97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hAnsi="Arial Narrow"/>
                <w:color w:val="000000"/>
                <w:sz w:val="20"/>
                <w:szCs w:val="20"/>
              </w:rPr>
              <w:t>953 241 787,88</w:t>
            </w:r>
          </w:p>
        </w:tc>
      </w:tr>
      <w:tr w:rsidR="00DA0E97" w:rsidRPr="00294E47" w14:paraId="164D66AB" w14:textId="77777777" w:rsidTr="00BE251A">
        <w:trPr>
          <w:trHeight w:val="31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2BC9B" w14:textId="77777777" w:rsidR="00DA0E97" w:rsidRPr="00BE251A" w:rsidRDefault="00DA0E97" w:rsidP="003E7C2A">
            <w:pPr>
              <w:spacing w:before="120" w:after="12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SPOLU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A62EC" w14:textId="6CEC4B8F" w:rsidR="00DA0E97" w:rsidRPr="00BE251A" w:rsidRDefault="00DA0E97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712 506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1BEB0" w14:textId="7F8F7131" w:rsidR="00DA0E97" w:rsidRPr="00BE251A" w:rsidRDefault="00DA0E97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23 719 394 400,97</w:t>
            </w:r>
          </w:p>
        </w:tc>
      </w:tr>
    </w:tbl>
    <w:p w14:paraId="02B30A20" w14:textId="77777777" w:rsidR="00652A45" w:rsidRDefault="00652A45" w:rsidP="003E7C2A">
      <w:pPr>
        <w:spacing w:before="120" w:after="120"/>
        <w:jc w:val="both"/>
        <w:rPr>
          <w:rFonts w:ascii="Arial Narrow" w:hAnsi="Arial Narrow"/>
          <w:sz w:val="24"/>
          <w:szCs w:val="24"/>
        </w:rPr>
      </w:pPr>
    </w:p>
    <w:p w14:paraId="1EF5177C" w14:textId="730A4209" w:rsidR="00782F52" w:rsidRPr="00294E47" w:rsidRDefault="001C1576" w:rsidP="003E7C2A">
      <w:pPr>
        <w:spacing w:before="120" w:after="120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Duplicitné financovanie bolo overované v súlade s uznesením vlády č. 508 z 15. októbra 2025 prostredníctvom nezávislých kontrol vykonávaných </w:t>
      </w:r>
      <w:r w:rsidR="005303F3">
        <w:rPr>
          <w:rFonts w:ascii="Arial Narrow" w:hAnsi="Arial Narrow"/>
          <w:sz w:val="24"/>
          <w:szCs w:val="24"/>
        </w:rPr>
        <w:t>zamestnancami</w:t>
      </w:r>
      <w:r>
        <w:rPr>
          <w:rFonts w:ascii="Arial Narrow" w:hAnsi="Arial Narrow"/>
          <w:sz w:val="24"/>
          <w:szCs w:val="24"/>
        </w:rPr>
        <w:t xml:space="preserve"> </w:t>
      </w:r>
      <w:r w:rsidR="005303F3">
        <w:rPr>
          <w:rFonts w:ascii="Arial Narrow" w:hAnsi="Arial Narrow"/>
          <w:sz w:val="24"/>
          <w:szCs w:val="24"/>
        </w:rPr>
        <w:t xml:space="preserve">jednotlivých </w:t>
      </w:r>
      <w:r>
        <w:rPr>
          <w:rFonts w:ascii="Arial Narrow" w:hAnsi="Arial Narrow"/>
          <w:sz w:val="24"/>
          <w:szCs w:val="24"/>
        </w:rPr>
        <w:t xml:space="preserve">ústredných orgánov štátnej správy a prostredníctvom komparatívnej kontroly vykonávanej zamestnancami MF SR. </w:t>
      </w:r>
    </w:p>
    <w:p w14:paraId="7D714ECF" w14:textId="5C2BC132" w:rsidR="005D0CFB" w:rsidRPr="002E0F8E" w:rsidRDefault="005D0CFB" w:rsidP="003E7C2A">
      <w:pPr>
        <w:pStyle w:val="Odsekzoznamu"/>
        <w:numPr>
          <w:ilvl w:val="0"/>
          <w:numId w:val="3"/>
        </w:numPr>
        <w:spacing w:before="360" w:after="360"/>
        <w:ind w:left="714" w:hanging="357"/>
        <w:jc w:val="both"/>
        <w:rPr>
          <w:rFonts w:ascii="Arial Narrow" w:hAnsi="Arial Narrow"/>
          <w:sz w:val="24"/>
          <w:szCs w:val="24"/>
          <w:u w:val="single"/>
        </w:rPr>
      </w:pPr>
      <w:r w:rsidRPr="002E0F8E">
        <w:rPr>
          <w:rFonts w:ascii="Arial Narrow" w:hAnsi="Arial Narrow"/>
          <w:sz w:val="24"/>
          <w:szCs w:val="24"/>
          <w:u w:val="single"/>
        </w:rPr>
        <w:t xml:space="preserve">Výsledky nezávislej </w:t>
      </w:r>
      <w:r w:rsidR="00B212CF">
        <w:rPr>
          <w:rFonts w:ascii="Arial Narrow" w:hAnsi="Arial Narrow"/>
          <w:sz w:val="24"/>
          <w:szCs w:val="24"/>
          <w:u w:val="single"/>
        </w:rPr>
        <w:t xml:space="preserve">paralelnej </w:t>
      </w:r>
      <w:r w:rsidRPr="002E0F8E">
        <w:rPr>
          <w:rFonts w:ascii="Arial Narrow" w:hAnsi="Arial Narrow"/>
          <w:sz w:val="24"/>
          <w:szCs w:val="24"/>
          <w:u w:val="single"/>
        </w:rPr>
        <w:t>kontroly vykonanej členmi medzirezortnej pracovnej skupiny</w:t>
      </w:r>
      <w:r w:rsidR="00F40508" w:rsidRPr="002E0F8E">
        <w:rPr>
          <w:rFonts w:ascii="Arial Narrow" w:hAnsi="Arial Narrow"/>
          <w:sz w:val="24"/>
          <w:szCs w:val="24"/>
          <w:u w:val="single"/>
        </w:rPr>
        <w:t xml:space="preserve"> </w:t>
      </w:r>
      <w:r w:rsidR="00B24F70" w:rsidRPr="002E0F8E">
        <w:rPr>
          <w:rFonts w:ascii="Arial Narrow" w:hAnsi="Arial Narrow"/>
          <w:sz w:val="24"/>
          <w:szCs w:val="24"/>
          <w:u w:val="single"/>
        </w:rPr>
        <w:t xml:space="preserve">v zmysle bodu B.3. uznesenia vlády </w:t>
      </w:r>
      <w:r w:rsidR="000B7082">
        <w:rPr>
          <w:rFonts w:ascii="Arial Narrow" w:hAnsi="Arial Narrow"/>
          <w:sz w:val="24"/>
          <w:szCs w:val="24"/>
          <w:u w:val="single"/>
        </w:rPr>
        <w:t xml:space="preserve">SR </w:t>
      </w:r>
      <w:bookmarkStart w:id="0" w:name="_Hlk219308627"/>
      <w:r w:rsidR="00B24F70" w:rsidRPr="002E0F8E">
        <w:rPr>
          <w:rFonts w:ascii="Arial Narrow" w:hAnsi="Arial Narrow"/>
          <w:sz w:val="24"/>
          <w:szCs w:val="24"/>
          <w:u w:val="single"/>
        </w:rPr>
        <w:t>č. 508</w:t>
      </w:r>
      <w:r w:rsidR="00010655">
        <w:rPr>
          <w:rFonts w:ascii="Arial Narrow" w:hAnsi="Arial Narrow"/>
          <w:sz w:val="24"/>
          <w:szCs w:val="24"/>
          <w:u w:val="single"/>
        </w:rPr>
        <w:t xml:space="preserve"> z 15. októbra 2025</w:t>
      </w:r>
      <w:bookmarkEnd w:id="0"/>
    </w:p>
    <w:p w14:paraId="297C6AAD" w14:textId="4351FBA3" w:rsidR="005D0CFB" w:rsidRPr="007E1F0F" w:rsidRDefault="00FA5451" w:rsidP="003E7C2A">
      <w:pPr>
        <w:spacing w:before="120" w:after="120"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Všetci členovia </w:t>
      </w:r>
      <w:r w:rsidR="009B2729">
        <w:rPr>
          <w:rFonts w:ascii="Arial Narrow" w:hAnsi="Arial Narrow"/>
          <w:sz w:val="24"/>
          <w:szCs w:val="24"/>
        </w:rPr>
        <w:t xml:space="preserve">medzirezortnej kontrolnej skupiny </w:t>
      </w:r>
      <w:r>
        <w:rPr>
          <w:rFonts w:ascii="Arial Narrow" w:hAnsi="Arial Narrow"/>
          <w:sz w:val="24"/>
          <w:szCs w:val="24"/>
        </w:rPr>
        <w:t>mali zabezpečiť paralelnú nezávislú kontrolu</w:t>
      </w:r>
      <w:r w:rsidR="009B2729">
        <w:rPr>
          <w:rFonts w:ascii="Arial Narrow" w:hAnsi="Arial Narrow"/>
          <w:sz w:val="24"/>
          <w:szCs w:val="24"/>
        </w:rPr>
        <w:t xml:space="preserve"> s cieľom identifikovať duplicitné alebo neoprávnené čerpanie dotačných alebo grantových finančných prostriedkov</w:t>
      </w:r>
      <w:r w:rsidR="00A83B18">
        <w:rPr>
          <w:rFonts w:ascii="Arial Narrow" w:hAnsi="Arial Narrow"/>
          <w:sz w:val="24"/>
          <w:szCs w:val="24"/>
        </w:rPr>
        <w:t>;</w:t>
      </w:r>
      <w:r>
        <w:rPr>
          <w:rFonts w:ascii="Arial Narrow" w:hAnsi="Arial Narrow"/>
          <w:sz w:val="24"/>
          <w:szCs w:val="24"/>
        </w:rPr>
        <w:t xml:space="preserve"> </w:t>
      </w:r>
      <w:r w:rsidR="00A07178">
        <w:rPr>
          <w:rFonts w:ascii="Arial Narrow" w:hAnsi="Arial Narrow"/>
          <w:sz w:val="24"/>
          <w:szCs w:val="24"/>
        </w:rPr>
        <w:t xml:space="preserve">poskytovateľ verených financií má možnosť overiť duplicitné financovanie </w:t>
      </w:r>
      <w:r w:rsidR="00A07178" w:rsidRPr="007E1F0F">
        <w:rPr>
          <w:rFonts w:ascii="Arial Narrow" w:hAnsi="Arial Narrow"/>
          <w:b/>
          <w:bCs/>
          <w:sz w:val="24"/>
          <w:szCs w:val="24"/>
        </w:rPr>
        <w:t>len v rámci svojho rozpočtu a rozpočtu jeho podriadených organizácií, z dôvodu kompetencií, ktoré sú mu zverené príslušnými právnymi predpismi.</w:t>
      </w:r>
    </w:p>
    <w:p w14:paraId="1377D5CB" w14:textId="680FB8EA" w:rsidR="00A17F8A" w:rsidRDefault="00A83B18" w:rsidP="003E7C2A">
      <w:pPr>
        <w:spacing w:before="120" w:after="12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Kontrola pozostávala z dvoch fáz – v prvej fáze bola vykonaná kontrola dát, ktorej cieľom bolo identifikovať možné duplicitné financovanie na základe kritérií ako </w:t>
      </w:r>
      <w:r w:rsidR="00220D7A">
        <w:rPr>
          <w:rFonts w:ascii="Arial Narrow" w:hAnsi="Arial Narrow"/>
          <w:sz w:val="24"/>
          <w:szCs w:val="24"/>
        </w:rPr>
        <w:t xml:space="preserve">je </w:t>
      </w:r>
      <w:r>
        <w:rPr>
          <w:rFonts w:ascii="Arial Narrow" w:hAnsi="Arial Narrow"/>
          <w:sz w:val="24"/>
          <w:szCs w:val="24"/>
        </w:rPr>
        <w:t>poskytnutie verejných financií viacerými poskytovateľmi tomu istému prijímateľovi, poskytnutie verejných financií na rovnaký účel</w:t>
      </w:r>
      <w:r w:rsidR="007437D7">
        <w:rPr>
          <w:rFonts w:ascii="Arial Narrow" w:hAnsi="Arial Narrow"/>
          <w:sz w:val="24"/>
          <w:szCs w:val="24"/>
        </w:rPr>
        <w:t xml:space="preserve"> a pod</w:t>
      </w:r>
      <w:r>
        <w:rPr>
          <w:rFonts w:ascii="Arial Narrow" w:hAnsi="Arial Narrow"/>
          <w:sz w:val="24"/>
          <w:szCs w:val="24"/>
        </w:rPr>
        <w:t xml:space="preserve">. </w:t>
      </w:r>
      <w:r w:rsidR="00BF65D7">
        <w:rPr>
          <w:rFonts w:ascii="Arial Narrow" w:hAnsi="Arial Narrow"/>
          <w:sz w:val="24"/>
          <w:szCs w:val="24"/>
        </w:rPr>
        <w:t xml:space="preserve">V nadväznosti na vykonanú analýzu dát, bola v druhej fáze vykonaná kontrola zameraná </w:t>
      </w:r>
      <w:r w:rsidR="00CC750D">
        <w:rPr>
          <w:rFonts w:ascii="Arial Narrow" w:hAnsi="Arial Narrow"/>
          <w:sz w:val="24"/>
          <w:szCs w:val="24"/>
        </w:rPr>
        <w:t xml:space="preserve">už </w:t>
      </w:r>
      <w:r w:rsidR="00BF65D7">
        <w:rPr>
          <w:rFonts w:ascii="Arial Narrow" w:hAnsi="Arial Narrow"/>
          <w:sz w:val="24"/>
          <w:szCs w:val="24"/>
        </w:rPr>
        <w:t>na</w:t>
      </w:r>
      <w:r w:rsidR="00CC750D">
        <w:rPr>
          <w:rFonts w:ascii="Arial Narrow" w:hAnsi="Arial Narrow"/>
          <w:sz w:val="24"/>
          <w:szCs w:val="24"/>
        </w:rPr>
        <w:t> </w:t>
      </w:r>
      <w:r w:rsidR="00BF65D7">
        <w:rPr>
          <w:rFonts w:ascii="Arial Narrow" w:hAnsi="Arial Narrow"/>
          <w:sz w:val="24"/>
          <w:szCs w:val="24"/>
        </w:rPr>
        <w:t>overovanie konkrétnych prijímateľov</w:t>
      </w:r>
      <w:r w:rsidR="00CC750D">
        <w:rPr>
          <w:rFonts w:ascii="Arial Narrow" w:hAnsi="Arial Narrow"/>
          <w:sz w:val="24"/>
          <w:szCs w:val="24"/>
        </w:rPr>
        <w:t>,</w:t>
      </w:r>
      <w:r w:rsidR="00BF65D7">
        <w:rPr>
          <w:rFonts w:ascii="Arial Narrow" w:hAnsi="Arial Narrow"/>
          <w:sz w:val="24"/>
          <w:szCs w:val="24"/>
        </w:rPr>
        <w:t xml:space="preserve"> pri ktorých bol</w:t>
      </w:r>
      <w:r w:rsidR="00220D7A">
        <w:rPr>
          <w:rFonts w:ascii="Arial Narrow" w:hAnsi="Arial Narrow"/>
          <w:sz w:val="24"/>
          <w:szCs w:val="24"/>
        </w:rPr>
        <w:t>a</w:t>
      </w:r>
      <w:r w:rsidR="00BF65D7">
        <w:rPr>
          <w:rFonts w:ascii="Arial Narrow" w:hAnsi="Arial Narrow"/>
          <w:sz w:val="24"/>
          <w:szCs w:val="24"/>
        </w:rPr>
        <w:t xml:space="preserve"> v prvej fáze identifikovan</w:t>
      </w:r>
      <w:r w:rsidR="00220D7A">
        <w:rPr>
          <w:rFonts w:ascii="Arial Narrow" w:hAnsi="Arial Narrow"/>
          <w:sz w:val="24"/>
          <w:szCs w:val="24"/>
        </w:rPr>
        <w:t>á pravdepodobnosť</w:t>
      </w:r>
      <w:r w:rsidR="00BF65D7">
        <w:rPr>
          <w:rFonts w:ascii="Arial Narrow" w:hAnsi="Arial Narrow"/>
          <w:sz w:val="24"/>
          <w:szCs w:val="24"/>
        </w:rPr>
        <w:t xml:space="preserve">  duplicitné</w:t>
      </w:r>
      <w:r w:rsidR="00220D7A">
        <w:rPr>
          <w:rFonts w:ascii="Arial Narrow" w:hAnsi="Arial Narrow"/>
          <w:sz w:val="24"/>
          <w:szCs w:val="24"/>
        </w:rPr>
        <w:t>ho</w:t>
      </w:r>
      <w:r w:rsidR="00BF65D7">
        <w:rPr>
          <w:rFonts w:ascii="Arial Narrow" w:hAnsi="Arial Narrow"/>
          <w:sz w:val="24"/>
          <w:szCs w:val="24"/>
        </w:rPr>
        <w:t xml:space="preserve"> financovani</w:t>
      </w:r>
      <w:r w:rsidR="00220D7A">
        <w:rPr>
          <w:rFonts w:ascii="Arial Narrow" w:hAnsi="Arial Narrow"/>
          <w:sz w:val="24"/>
          <w:szCs w:val="24"/>
        </w:rPr>
        <w:t>a</w:t>
      </w:r>
      <w:r w:rsidR="00BF65D7">
        <w:rPr>
          <w:rFonts w:ascii="Arial Narrow" w:hAnsi="Arial Narrow"/>
          <w:sz w:val="24"/>
          <w:szCs w:val="24"/>
        </w:rPr>
        <w:t>.</w:t>
      </w:r>
      <w:r w:rsidR="00665541">
        <w:rPr>
          <w:rFonts w:ascii="Arial Narrow" w:hAnsi="Arial Narrow"/>
          <w:sz w:val="24"/>
          <w:szCs w:val="24"/>
        </w:rPr>
        <w:t xml:space="preserve"> </w:t>
      </w:r>
    </w:p>
    <w:p w14:paraId="797E2B46" w14:textId="223BFF9F" w:rsidR="00665541" w:rsidRPr="00665541" w:rsidRDefault="00665541" w:rsidP="003E7C2A">
      <w:pPr>
        <w:spacing w:before="120" w:after="120"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665541">
        <w:rPr>
          <w:rFonts w:ascii="Arial Narrow" w:hAnsi="Arial Narrow"/>
          <w:b/>
          <w:bCs/>
          <w:sz w:val="24"/>
          <w:szCs w:val="24"/>
        </w:rPr>
        <w:t xml:space="preserve">V rámci paralelnej kontroly vykonanej </w:t>
      </w:r>
      <w:r w:rsidR="005303F3">
        <w:rPr>
          <w:rFonts w:ascii="Arial Narrow" w:hAnsi="Arial Narrow"/>
          <w:b/>
          <w:bCs/>
          <w:sz w:val="24"/>
          <w:szCs w:val="24"/>
        </w:rPr>
        <w:t>zamestnancami jednotlivých ústredných orgánov štátnej správy</w:t>
      </w:r>
      <w:r w:rsidRPr="00665541">
        <w:rPr>
          <w:rFonts w:ascii="Arial Narrow" w:hAnsi="Arial Narrow"/>
          <w:sz w:val="24"/>
          <w:szCs w:val="24"/>
        </w:rPr>
        <w:t xml:space="preserve"> v</w:t>
      </w:r>
      <w:r>
        <w:rPr>
          <w:rFonts w:ascii="Arial Narrow" w:hAnsi="Arial Narrow"/>
          <w:sz w:val="24"/>
          <w:szCs w:val="24"/>
        </w:rPr>
        <w:t> </w:t>
      </w:r>
      <w:r w:rsidRPr="00665541">
        <w:rPr>
          <w:rFonts w:ascii="Arial Narrow" w:hAnsi="Arial Narrow"/>
          <w:sz w:val="24"/>
          <w:szCs w:val="24"/>
        </w:rPr>
        <w:t>rámci ich rezortu a </w:t>
      </w:r>
      <w:r>
        <w:rPr>
          <w:rFonts w:ascii="Arial Narrow" w:hAnsi="Arial Narrow"/>
          <w:sz w:val="24"/>
          <w:szCs w:val="24"/>
        </w:rPr>
        <w:t>ich</w:t>
      </w:r>
      <w:r w:rsidRPr="00665541">
        <w:rPr>
          <w:rFonts w:ascii="Arial Narrow" w:hAnsi="Arial Narrow"/>
          <w:sz w:val="24"/>
          <w:szCs w:val="24"/>
        </w:rPr>
        <w:t xml:space="preserve"> podriadených organizácií</w:t>
      </w:r>
      <w:r>
        <w:rPr>
          <w:rFonts w:ascii="Arial Narrow" w:hAnsi="Arial Narrow"/>
          <w:sz w:val="24"/>
          <w:szCs w:val="24"/>
        </w:rPr>
        <w:t xml:space="preserve"> za obdobie </w:t>
      </w:r>
      <w:r w:rsidR="00BC23B8">
        <w:rPr>
          <w:rFonts w:ascii="Arial Narrow" w:hAnsi="Arial Narrow"/>
          <w:sz w:val="24"/>
          <w:szCs w:val="24"/>
        </w:rPr>
        <w:t>od 1. 1.</w:t>
      </w:r>
      <w:r>
        <w:rPr>
          <w:rFonts w:ascii="Arial Narrow" w:hAnsi="Arial Narrow"/>
          <w:sz w:val="24"/>
          <w:szCs w:val="24"/>
        </w:rPr>
        <w:t xml:space="preserve"> 2020 </w:t>
      </w:r>
      <w:r w:rsidR="00BC23B8">
        <w:rPr>
          <w:rFonts w:ascii="Arial Narrow" w:hAnsi="Arial Narrow"/>
          <w:sz w:val="24"/>
          <w:szCs w:val="24"/>
        </w:rPr>
        <w:t xml:space="preserve">do </w:t>
      </w:r>
      <w:r>
        <w:rPr>
          <w:rFonts w:ascii="Arial Narrow" w:hAnsi="Arial Narrow"/>
          <w:sz w:val="24"/>
          <w:szCs w:val="24"/>
        </w:rPr>
        <w:t xml:space="preserve">30. 9. 2025 </w:t>
      </w:r>
      <w:r w:rsidRPr="00665541">
        <w:rPr>
          <w:rFonts w:ascii="Arial Narrow" w:hAnsi="Arial Narrow"/>
          <w:b/>
          <w:bCs/>
          <w:sz w:val="24"/>
          <w:szCs w:val="24"/>
        </w:rPr>
        <w:t xml:space="preserve">nebolo </w:t>
      </w:r>
      <w:r w:rsidR="002073E5">
        <w:rPr>
          <w:rFonts w:ascii="Arial Narrow" w:hAnsi="Arial Narrow"/>
          <w:b/>
          <w:bCs/>
          <w:sz w:val="24"/>
          <w:szCs w:val="24"/>
        </w:rPr>
        <w:t>zistené</w:t>
      </w:r>
      <w:r w:rsidRPr="00665541">
        <w:rPr>
          <w:rFonts w:ascii="Arial Narrow" w:hAnsi="Arial Narrow"/>
          <w:b/>
          <w:bCs/>
          <w:sz w:val="24"/>
          <w:szCs w:val="24"/>
        </w:rPr>
        <w:t xml:space="preserve"> </w:t>
      </w:r>
      <w:r w:rsidR="00A17F8A">
        <w:rPr>
          <w:rFonts w:ascii="Arial Narrow" w:hAnsi="Arial Narrow"/>
          <w:b/>
          <w:bCs/>
          <w:sz w:val="24"/>
          <w:szCs w:val="24"/>
        </w:rPr>
        <w:t xml:space="preserve">žiadne </w:t>
      </w:r>
      <w:r w:rsidRPr="00665541">
        <w:rPr>
          <w:rFonts w:ascii="Arial Narrow" w:hAnsi="Arial Narrow"/>
          <w:b/>
          <w:bCs/>
          <w:sz w:val="24"/>
          <w:szCs w:val="24"/>
        </w:rPr>
        <w:t>duplicitné financovanie</w:t>
      </w:r>
      <w:r>
        <w:rPr>
          <w:rFonts w:ascii="Arial Narrow" w:hAnsi="Arial Narrow"/>
          <w:b/>
          <w:bCs/>
          <w:sz w:val="24"/>
          <w:szCs w:val="24"/>
        </w:rPr>
        <w:t>.</w:t>
      </w:r>
    </w:p>
    <w:p w14:paraId="57B839E9" w14:textId="633D6A49" w:rsidR="005D0CFB" w:rsidRPr="002E0F8E" w:rsidRDefault="005D0CFB" w:rsidP="003E7C2A">
      <w:pPr>
        <w:pStyle w:val="Odsekzoznamu"/>
        <w:numPr>
          <w:ilvl w:val="0"/>
          <w:numId w:val="3"/>
        </w:numPr>
        <w:spacing w:before="360" w:after="360"/>
        <w:ind w:left="714" w:hanging="357"/>
        <w:jc w:val="both"/>
        <w:rPr>
          <w:rFonts w:ascii="Arial Narrow" w:hAnsi="Arial Narrow"/>
          <w:sz w:val="24"/>
          <w:szCs w:val="24"/>
          <w:u w:val="single"/>
        </w:rPr>
      </w:pPr>
      <w:r w:rsidRPr="002E0F8E">
        <w:rPr>
          <w:rFonts w:ascii="Arial Narrow" w:hAnsi="Arial Narrow"/>
          <w:sz w:val="24"/>
          <w:szCs w:val="24"/>
          <w:u w:val="single"/>
        </w:rPr>
        <w:lastRenderedPageBreak/>
        <w:t xml:space="preserve">Výsledky </w:t>
      </w:r>
      <w:r w:rsidR="006E59FE" w:rsidRPr="002E0F8E">
        <w:rPr>
          <w:rFonts w:ascii="Arial Narrow" w:hAnsi="Arial Narrow"/>
          <w:sz w:val="24"/>
          <w:szCs w:val="24"/>
          <w:u w:val="single"/>
        </w:rPr>
        <w:t xml:space="preserve">komparatívnej kontroly MF SR v zmysle </w:t>
      </w:r>
      <w:r w:rsidR="00B24F70" w:rsidRPr="002E0F8E">
        <w:rPr>
          <w:rFonts w:ascii="Arial Narrow" w:hAnsi="Arial Narrow"/>
          <w:sz w:val="24"/>
          <w:szCs w:val="24"/>
          <w:u w:val="single"/>
        </w:rPr>
        <w:t>bodu</w:t>
      </w:r>
      <w:r w:rsidR="006E59FE" w:rsidRPr="002E0F8E">
        <w:rPr>
          <w:rFonts w:ascii="Arial Narrow" w:hAnsi="Arial Narrow"/>
          <w:sz w:val="24"/>
          <w:szCs w:val="24"/>
          <w:u w:val="single"/>
        </w:rPr>
        <w:t xml:space="preserve"> B.1</w:t>
      </w:r>
      <w:r w:rsidR="00F41A9D">
        <w:rPr>
          <w:rFonts w:ascii="Arial Narrow" w:hAnsi="Arial Narrow"/>
          <w:sz w:val="24"/>
          <w:szCs w:val="24"/>
          <w:u w:val="single"/>
        </w:rPr>
        <w:t>.</w:t>
      </w:r>
      <w:r w:rsidR="006E59FE" w:rsidRPr="002E0F8E">
        <w:rPr>
          <w:rFonts w:ascii="Arial Narrow" w:hAnsi="Arial Narrow"/>
          <w:sz w:val="24"/>
          <w:szCs w:val="24"/>
          <w:u w:val="single"/>
        </w:rPr>
        <w:t xml:space="preserve"> </w:t>
      </w:r>
      <w:r w:rsidR="00B24F70" w:rsidRPr="002E0F8E">
        <w:rPr>
          <w:rFonts w:ascii="Arial Narrow" w:hAnsi="Arial Narrow"/>
          <w:sz w:val="24"/>
          <w:szCs w:val="24"/>
          <w:u w:val="single"/>
        </w:rPr>
        <w:t>uznesenia vlády č. 508</w:t>
      </w:r>
      <w:r w:rsidR="00782F52">
        <w:rPr>
          <w:rFonts w:ascii="Arial Narrow" w:hAnsi="Arial Narrow"/>
          <w:sz w:val="24"/>
          <w:szCs w:val="24"/>
          <w:u w:val="single"/>
        </w:rPr>
        <w:t xml:space="preserve"> z 15. októbra</w:t>
      </w:r>
      <w:r w:rsidR="004716B9">
        <w:rPr>
          <w:rFonts w:ascii="Arial Narrow" w:hAnsi="Arial Narrow"/>
          <w:sz w:val="24"/>
          <w:szCs w:val="24"/>
          <w:u w:val="single"/>
        </w:rPr>
        <w:t xml:space="preserve"> 2025</w:t>
      </w:r>
    </w:p>
    <w:p w14:paraId="5B0B219C" w14:textId="640C92AB" w:rsidR="0059749A" w:rsidRDefault="0059749A" w:rsidP="003E7C2A">
      <w:pPr>
        <w:spacing w:before="120" w:after="12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Po získaní dát od všetkých členov medzirezortnej kontrolnej skupiny, </w:t>
      </w:r>
      <w:r w:rsidRPr="00B212CF">
        <w:rPr>
          <w:rFonts w:ascii="Arial Narrow" w:hAnsi="Arial Narrow"/>
          <w:sz w:val="24"/>
          <w:szCs w:val="24"/>
        </w:rPr>
        <w:t>MF SR vynaložilo maximálne úsilie</w:t>
      </w:r>
      <w:r>
        <w:rPr>
          <w:rFonts w:ascii="Arial Narrow" w:hAnsi="Arial Narrow"/>
          <w:sz w:val="24"/>
          <w:szCs w:val="24"/>
        </w:rPr>
        <w:t xml:space="preserve">, aby boli </w:t>
      </w:r>
      <w:r w:rsidR="008811FA">
        <w:rPr>
          <w:rFonts w:ascii="Arial Narrow" w:hAnsi="Arial Narrow"/>
          <w:sz w:val="24"/>
          <w:szCs w:val="24"/>
        </w:rPr>
        <w:t xml:space="preserve">poskytnuté </w:t>
      </w:r>
      <w:r>
        <w:rPr>
          <w:rFonts w:ascii="Arial Narrow" w:hAnsi="Arial Narrow"/>
          <w:sz w:val="24"/>
          <w:szCs w:val="24"/>
        </w:rPr>
        <w:t>dáta skonsolidované do jedného súboru</w:t>
      </w:r>
      <w:r w:rsidR="00B64B63">
        <w:rPr>
          <w:rFonts w:ascii="Arial Narrow" w:hAnsi="Arial Narrow"/>
          <w:sz w:val="24"/>
          <w:szCs w:val="24"/>
        </w:rPr>
        <w:t xml:space="preserve"> </w:t>
      </w:r>
      <w:r w:rsidR="00B64B63" w:rsidRPr="00B212CF">
        <w:rPr>
          <w:rFonts w:ascii="Arial Narrow" w:hAnsi="Arial Narrow"/>
          <w:sz w:val="24"/>
          <w:szCs w:val="24"/>
        </w:rPr>
        <w:t>za účelom zistenia, či niektorý prijímateľ nedostal verejné financie od viacero poskytovateľov, a ak áno, či neboli tieto finančné prostriedky určené na ten istý účel</w:t>
      </w:r>
      <w:r>
        <w:rPr>
          <w:rFonts w:ascii="Arial Narrow" w:hAnsi="Arial Narrow"/>
          <w:sz w:val="24"/>
          <w:szCs w:val="24"/>
        </w:rPr>
        <w:t xml:space="preserve">. </w:t>
      </w:r>
      <w:r w:rsidRPr="00B212CF">
        <w:rPr>
          <w:rFonts w:ascii="Arial Narrow" w:hAnsi="Arial Narrow"/>
          <w:sz w:val="24"/>
          <w:szCs w:val="24"/>
        </w:rPr>
        <w:t xml:space="preserve">Celkovo zamestnanci MF SR </w:t>
      </w:r>
      <w:r w:rsidRPr="00710E45">
        <w:rPr>
          <w:rFonts w:ascii="Arial Narrow" w:hAnsi="Arial Narrow"/>
          <w:sz w:val="24"/>
          <w:szCs w:val="24"/>
        </w:rPr>
        <w:t xml:space="preserve">analyzovali </w:t>
      </w:r>
      <w:r w:rsidRPr="00710E45">
        <w:rPr>
          <w:rFonts w:ascii="Arial Narrow" w:hAnsi="Arial Narrow"/>
          <w:b/>
          <w:bCs/>
          <w:sz w:val="24"/>
          <w:szCs w:val="24"/>
        </w:rPr>
        <w:t>7</w:t>
      </w:r>
      <w:r w:rsidR="00610F90" w:rsidRPr="00710E45">
        <w:rPr>
          <w:rFonts w:ascii="Arial Narrow" w:hAnsi="Arial Narrow"/>
          <w:b/>
          <w:bCs/>
          <w:sz w:val="24"/>
          <w:szCs w:val="24"/>
        </w:rPr>
        <w:t>12 5</w:t>
      </w:r>
      <w:r w:rsidRPr="00710E45">
        <w:rPr>
          <w:rFonts w:ascii="Arial Narrow" w:hAnsi="Arial Narrow"/>
          <w:b/>
          <w:bCs/>
          <w:sz w:val="24"/>
          <w:szCs w:val="24"/>
        </w:rPr>
        <w:t>0</w:t>
      </w:r>
      <w:r w:rsidR="00FD05F2">
        <w:rPr>
          <w:rFonts w:ascii="Arial Narrow" w:hAnsi="Arial Narrow"/>
          <w:b/>
          <w:bCs/>
          <w:sz w:val="24"/>
          <w:szCs w:val="24"/>
        </w:rPr>
        <w:t>6</w:t>
      </w:r>
      <w:r w:rsidRPr="00710E45">
        <w:rPr>
          <w:rFonts w:ascii="Arial Narrow" w:hAnsi="Arial Narrow"/>
          <w:b/>
          <w:bCs/>
          <w:sz w:val="24"/>
          <w:szCs w:val="24"/>
        </w:rPr>
        <w:t xml:space="preserve">  </w:t>
      </w:r>
      <w:r w:rsidRPr="00710E45">
        <w:rPr>
          <w:rFonts w:ascii="Arial Narrow" w:hAnsi="Arial Narrow"/>
          <w:sz w:val="24"/>
          <w:szCs w:val="24"/>
        </w:rPr>
        <w:t>riadkov</w:t>
      </w:r>
      <w:r w:rsidRPr="00B212CF">
        <w:rPr>
          <w:rFonts w:ascii="Arial Narrow" w:hAnsi="Arial Narrow"/>
          <w:sz w:val="24"/>
          <w:szCs w:val="24"/>
        </w:rPr>
        <w:t xml:space="preserve"> v</w:t>
      </w:r>
      <w:r w:rsidR="00C825AC">
        <w:rPr>
          <w:rFonts w:ascii="Arial Narrow" w:hAnsi="Arial Narrow"/>
          <w:sz w:val="24"/>
          <w:szCs w:val="24"/>
        </w:rPr>
        <w:t> </w:t>
      </w:r>
      <w:r w:rsidRPr="00B212CF">
        <w:rPr>
          <w:rFonts w:ascii="Arial Narrow" w:hAnsi="Arial Narrow"/>
          <w:sz w:val="24"/>
          <w:szCs w:val="24"/>
        </w:rPr>
        <w:t xml:space="preserve">MS Excel predstavujúcich poskytnutie verejných financií vo výške </w:t>
      </w:r>
      <w:r w:rsidRPr="00B212CF">
        <w:rPr>
          <w:rFonts w:ascii="Arial Narrow" w:hAnsi="Arial Narrow"/>
          <w:b/>
          <w:bCs/>
          <w:sz w:val="24"/>
          <w:szCs w:val="24"/>
        </w:rPr>
        <w:t>23</w:t>
      </w:r>
      <w:r w:rsidR="00610F90">
        <w:rPr>
          <w:rFonts w:ascii="Arial Narrow" w:hAnsi="Arial Narrow"/>
          <w:b/>
          <w:bCs/>
          <w:sz w:val="24"/>
          <w:szCs w:val="24"/>
        </w:rPr>
        <w:t>,7</w:t>
      </w:r>
      <w:r w:rsidRPr="00B212CF">
        <w:rPr>
          <w:rFonts w:ascii="Arial Narrow" w:hAnsi="Arial Narrow"/>
          <w:b/>
          <w:bCs/>
          <w:sz w:val="24"/>
          <w:szCs w:val="24"/>
        </w:rPr>
        <w:t xml:space="preserve"> miliárd </w:t>
      </w:r>
      <w:r w:rsidR="00BE251A">
        <w:rPr>
          <w:rFonts w:ascii="Arial Narrow" w:hAnsi="Arial Narrow"/>
          <w:b/>
          <w:bCs/>
          <w:sz w:val="24"/>
          <w:szCs w:val="24"/>
        </w:rPr>
        <w:t>E</w:t>
      </w:r>
      <w:r w:rsidRPr="00B212CF">
        <w:rPr>
          <w:rFonts w:ascii="Arial Narrow" w:hAnsi="Arial Narrow"/>
          <w:b/>
          <w:bCs/>
          <w:sz w:val="24"/>
          <w:szCs w:val="24"/>
        </w:rPr>
        <w:t>ur</w:t>
      </w:r>
      <w:r w:rsidRPr="00B212CF">
        <w:rPr>
          <w:rFonts w:ascii="Arial Narrow" w:hAnsi="Arial Narrow"/>
          <w:sz w:val="24"/>
          <w:szCs w:val="24"/>
        </w:rPr>
        <w:t>.</w:t>
      </w:r>
      <w:r w:rsidR="00C347D1">
        <w:rPr>
          <w:rFonts w:ascii="Arial Narrow" w:hAnsi="Arial Narrow"/>
          <w:sz w:val="24"/>
          <w:szCs w:val="24"/>
        </w:rPr>
        <w:t xml:space="preserve"> </w:t>
      </w:r>
    </w:p>
    <w:p w14:paraId="24A0C486" w14:textId="033EFA06" w:rsidR="00D24910" w:rsidRPr="00C70655" w:rsidRDefault="002310C4" w:rsidP="003E7C2A">
      <w:pPr>
        <w:spacing w:before="120" w:after="120" w:line="360" w:lineRule="auto"/>
        <w:jc w:val="both"/>
        <w:rPr>
          <w:rFonts w:ascii="Arial Narrow" w:hAnsi="Arial Narrow"/>
          <w:sz w:val="24"/>
          <w:szCs w:val="24"/>
        </w:rPr>
      </w:pPr>
      <w:r w:rsidRPr="00C70655">
        <w:rPr>
          <w:rFonts w:ascii="Arial Narrow" w:hAnsi="Arial Narrow"/>
          <w:sz w:val="24"/>
          <w:szCs w:val="24"/>
        </w:rPr>
        <w:t xml:space="preserve">Vzhľadom k veľkému počtu dát komparatívna kontrola zo strany MF SR prebiehala v prvej fáze ako analýza poskytnutých dát. </w:t>
      </w:r>
      <w:r w:rsidR="00A978C1">
        <w:rPr>
          <w:rFonts w:ascii="Arial Narrow" w:hAnsi="Arial Narrow"/>
          <w:sz w:val="24"/>
          <w:szCs w:val="24"/>
        </w:rPr>
        <w:t>Populácia celého súboru</w:t>
      </w:r>
      <w:r w:rsidR="002073E5">
        <w:rPr>
          <w:rFonts w:ascii="Arial Narrow" w:hAnsi="Arial Narrow"/>
          <w:sz w:val="24"/>
          <w:szCs w:val="24"/>
        </w:rPr>
        <w:t xml:space="preserve"> poskytnutých</w:t>
      </w:r>
      <w:r w:rsidR="00A978C1">
        <w:rPr>
          <w:rFonts w:ascii="Arial Narrow" w:hAnsi="Arial Narrow"/>
          <w:sz w:val="24"/>
          <w:szCs w:val="24"/>
        </w:rPr>
        <w:t xml:space="preserve"> dát bola rozdelená</w:t>
      </w:r>
      <w:r w:rsidR="00252D0D" w:rsidRPr="00C70655">
        <w:rPr>
          <w:rFonts w:ascii="Arial Narrow" w:hAnsi="Arial Narrow"/>
          <w:sz w:val="24"/>
          <w:szCs w:val="24"/>
        </w:rPr>
        <w:t xml:space="preserve"> </w:t>
      </w:r>
      <w:r w:rsidR="00A978C1">
        <w:rPr>
          <w:rFonts w:ascii="Arial Narrow" w:hAnsi="Arial Narrow"/>
          <w:sz w:val="24"/>
          <w:szCs w:val="24"/>
        </w:rPr>
        <w:t>do skupín prijímateľov</w:t>
      </w:r>
      <w:r w:rsidR="00D24910" w:rsidRPr="00C70655">
        <w:rPr>
          <w:rFonts w:ascii="Arial Narrow" w:hAnsi="Arial Narrow"/>
          <w:sz w:val="24"/>
          <w:szCs w:val="24"/>
        </w:rPr>
        <w:t xml:space="preserve"> na:</w:t>
      </w:r>
    </w:p>
    <w:p w14:paraId="0786CB22" w14:textId="044652E3" w:rsidR="00D24910" w:rsidRPr="003E7C2A" w:rsidRDefault="00D24910" w:rsidP="003E7C2A">
      <w:pPr>
        <w:pStyle w:val="Odsekzoznamu"/>
        <w:numPr>
          <w:ilvl w:val="0"/>
          <w:numId w:val="8"/>
        </w:numPr>
        <w:spacing w:before="120" w:after="120" w:line="360" w:lineRule="auto"/>
        <w:jc w:val="both"/>
        <w:rPr>
          <w:rFonts w:ascii="Arial Narrow" w:hAnsi="Arial Narrow"/>
          <w:sz w:val="24"/>
          <w:szCs w:val="24"/>
        </w:rPr>
      </w:pPr>
      <w:r w:rsidRPr="00C70655">
        <w:rPr>
          <w:rFonts w:ascii="Arial Narrow" w:hAnsi="Arial Narrow"/>
          <w:sz w:val="24"/>
          <w:szCs w:val="24"/>
        </w:rPr>
        <w:t>t</w:t>
      </w:r>
      <w:r w:rsidRPr="003E7C2A">
        <w:rPr>
          <w:rFonts w:ascii="Arial Narrow" w:hAnsi="Arial Narrow"/>
          <w:sz w:val="24"/>
          <w:szCs w:val="24"/>
        </w:rPr>
        <w:t>uzemské právnické osoby</w:t>
      </w:r>
    </w:p>
    <w:p w14:paraId="22B9C6CB" w14:textId="35A566D4" w:rsidR="00D24910" w:rsidRPr="003E7C2A" w:rsidRDefault="00D24910" w:rsidP="003E7C2A">
      <w:pPr>
        <w:pStyle w:val="Odsekzoznamu"/>
        <w:numPr>
          <w:ilvl w:val="0"/>
          <w:numId w:val="8"/>
        </w:numPr>
        <w:spacing w:before="120" w:after="120" w:line="360" w:lineRule="auto"/>
        <w:jc w:val="both"/>
        <w:rPr>
          <w:rFonts w:ascii="Arial Narrow" w:hAnsi="Arial Narrow"/>
          <w:sz w:val="24"/>
          <w:szCs w:val="24"/>
        </w:rPr>
      </w:pPr>
      <w:r w:rsidRPr="00C70655">
        <w:rPr>
          <w:rFonts w:ascii="Arial Narrow" w:hAnsi="Arial Narrow"/>
          <w:sz w:val="24"/>
          <w:szCs w:val="24"/>
        </w:rPr>
        <w:t>z</w:t>
      </w:r>
      <w:r w:rsidRPr="003E7C2A">
        <w:rPr>
          <w:rFonts w:ascii="Arial Narrow" w:hAnsi="Arial Narrow"/>
          <w:sz w:val="24"/>
          <w:szCs w:val="24"/>
        </w:rPr>
        <w:t>ahraničné právnické osoby</w:t>
      </w:r>
      <w:r w:rsidRPr="002073E5">
        <w:rPr>
          <w:sz w:val="24"/>
          <w:szCs w:val="24"/>
          <w:vertAlign w:val="superscript"/>
        </w:rPr>
        <w:footnoteReference w:id="2"/>
      </w:r>
    </w:p>
    <w:p w14:paraId="3172D44E" w14:textId="0EBBBE9A" w:rsidR="00D24910" w:rsidRPr="003E7C2A" w:rsidRDefault="00D24910" w:rsidP="003E7C2A">
      <w:pPr>
        <w:pStyle w:val="Odsekzoznamu"/>
        <w:numPr>
          <w:ilvl w:val="0"/>
          <w:numId w:val="8"/>
        </w:numPr>
        <w:spacing w:before="120" w:after="120" w:line="360" w:lineRule="auto"/>
        <w:jc w:val="both"/>
        <w:rPr>
          <w:rFonts w:ascii="Arial Narrow" w:hAnsi="Arial Narrow"/>
          <w:sz w:val="24"/>
          <w:szCs w:val="24"/>
        </w:rPr>
      </w:pPr>
      <w:r w:rsidRPr="003E7C2A">
        <w:rPr>
          <w:rFonts w:ascii="Arial Narrow" w:hAnsi="Arial Narrow"/>
          <w:sz w:val="24"/>
          <w:szCs w:val="24"/>
        </w:rPr>
        <w:t>fyzické osoby s IČO</w:t>
      </w:r>
      <w:r w:rsidRPr="002073E5">
        <w:rPr>
          <w:sz w:val="24"/>
          <w:szCs w:val="24"/>
          <w:vertAlign w:val="superscript"/>
        </w:rPr>
        <w:footnoteReference w:id="3"/>
      </w:r>
    </w:p>
    <w:p w14:paraId="2F287D01" w14:textId="73487FF4" w:rsidR="00D24910" w:rsidRDefault="00D24910" w:rsidP="002073E5">
      <w:pPr>
        <w:pStyle w:val="Odsekzoznamu"/>
        <w:numPr>
          <w:ilvl w:val="0"/>
          <w:numId w:val="8"/>
        </w:numPr>
        <w:spacing w:before="120" w:after="360" w:line="360" w:lineRule="auto"/>
        <w:ind w:left="714" w:hanging="357"/>
        <w:jc w:val="both"/>
        <w:rPr>
          <w:rFonts w:ascii="Arial Narrow" w:hAnsi="Arial Narrow"/>
          <w:sz w:val="24"/>
          <w:szCs w:val="24"/>
        </w:rPr>
      </w:pPr>
      <w:r w:rsidRPr="003E7C2A">
        <w:rPr>
          <w:rFonts w:ascii="Arial Narrow" w:hAnsi="Arial Narrow"/>
          <w:sz w:val="24"/>
          <w:szCs w:val="24"/>
        </w:rPr>
        <w:t>fyzické osoby ostatné</w:t>
      </w:r>
      <w:r w:rsidRPr="002073E5">
        <w:rPr>
          <w:sz w:val="24"/>
          <w:szCs w:val="24"/>
          <w:vertAlign w:val="superscript"/>
        </w:rPr>
        <w:footnoteReference w:id="4"/>
      </w:r>
    </w:p>
    <w:p w14:paraId="22907762" w14:textId="29EDA02D" w:rsidR="00FA5451" w:rsidRPr="00BE251A" w:rsidRDefault="00FA5451" w:rsidP="003E7C2A">
      <w:pPr>
        <w:pStyle w:val="Odsekzoznamu"/>
        <w:spacing w:before="120" w:after="120"/>
        <w:ind w:left="0"/>
        <w:jc w:val="both"/>
        <w:rPr>
          <w:rFonts w:ascii="Arial Narrow" w:hAnsi="Arial Narrow"/>
          <w:sz w:val="20"/>
          <w:szCs w:val="20"/>
        </w:rPr>
      </w:pPr>
      <w:r w:rsidRPr="00BE251A">
        <w:rPr>
          <w:rFonts w:ascii="Arial Narrow" w:hAnsi="Arial Narrow"/>
          <w:b/>
          <w:bCs/>
          <w:sz w:val="20"/>
          <w:szCs w:val="20"/>
        </w:rPr>
        <w:t xml:space="preserve">Tabuľka č. </w:t>
      </w:r>
      <w:r w:rsidR="00665541">
        <w:rPr>
          <w:rFonts w:ascii="Arial Narrow" w:hAnsi="Arial Narrow"/>
          <w:b/>
          <w:bCs/>
          <w:sz w:val="20"/>
          <w:szCs w:val="20"/>
        </w:rPr>
        <w:t>2</w:t>
      </w:r>
      <w:r w:rsidRPr="00BE251A">
        <w:rPr>
          <w:rFonts w:ascii="Arial Narrow" w:hAnsi="Arial Narrow"/>
          <w:b/>
          <w:bCs/>
          <w:sz w:val="20"/>
          <w:szCs w:val="20"/>
        </w:rPr>
        <w:t xml:space="preserve"> – Prehľad skupín prijímateľov, ktorým boli poskytnuté verejné financie v období </w:t>
      </w:r>
      <w:r w:rsidR="00BC23B8">
        <w:rPr>
          <w:rFonts w:ascii="Arial Narrow" w:hAnsi="Arial Narrow"/>
          <w:b/>
          <w:bCs/>
          <w:sz w:val="20"/>
          <w:szCs w:val="20"/>
        </w:rPr>
        <w:t xml:space="preserve">od 1. 1. </w:t>
      </w:r>
      <w:r w:rsidRPr="00BE251A">
        <w:rPr>
          <w:rFonts w:ascii="Arial Narrow" w:hAnsi="Arial Narrow"/>
          <w:b/>
          <w:bCs/>
          <w:sz w:val="20"/>
          <w:szCs w:val="20"/>
        </w:rPr>
        <w:t xml:space="preserve">2020 </w:t>
      </w:r>
      <w:r w:rsidR="00BC23B8">
        <w:rPr>
          <w:rFonts w:ascii="Arial Narrow" w:hAnsi="Arial Narrow"/>
          <w:b/>
          <w:bCs/>
          <w:sz w:val="20"/>
          <w:szCs w:val="20"/>
        </w:rPr>
        <w:t>do</w:t>
      </w:r>
      <w:r w:rsidRPr="00BE251A">
        <w:rPr>
          <w:rFonts w:ascii="Arial Narrow" w:hAnsi="Arial Narrow"/>
          <w:b/>
          <w:bCs/>
          <w:sz w:val="20"/>
          <w:szCs w:val="20"/>
        </w:rPr>
        <w:t xml:space="preserve"> 30.</w:t>
      </w:r>
      <w:r w:rsidR="00710E45">
        <w:rPr>
          <w:rFonts w:ascii="Arial Narrow" w:hAnsi="Arial Narrow"/>
          <w:b/>
          <w:bCs/>
          <w:sz w:val="20"/>
          <w:szCs w:val="20"/>
        </w:rPr>
        <w:t> </w:t>
      </w:r>
      <w:r w:rsidRPr="00BE251A">
        <w:rPr>
          <w:rFonts w:ascii="Arial Narrow" w:hAnsi="Arial Narrow"/>
          <w:b/>
          <w:bCs/>
          <w:sz w:val="20"/>
          <w:szCs w:val="20"/>
        </w:rPr>
        <w:t>09.</w:t>
      </w:r>
      <w:r w:rsidR="00710E45">
        <w:rPr>
          <w:rFonts w:ascii="Arial Narrow" w:hAnsi="Arial Narrow"/>
          <w:b/>
          <w:bCs/>
          <w:sz w:val="20"/>
          <w:szCs w:val="20"/>
        </w:rPr>
        <w:t> </w:t>
      </w:r>
      <w:r w:rsidRPr="00BE251A">
        <w:rPr>
          <w:rFonts w:ascii="Arial Narrow" w:hAnsi="Arial Narrow"/>
          <w:b/>
          <w:bCs/>
          <w:sz w:val="20"/>
          <w:szCs w:val="20"/>
        </w:rPr>
        <w:t>2025 po</w:t>
      </w:r>
      <w:r w:rsidR="000C5AC9">
        <w:rPr>
          <w:rFonts w:ascii="Arial Narrow" w:hAnsi="Arial Narrow"/>
          <w:b/>
          <w:bCs/>
          <w:sz w:val="20"/>
          <w:szCs w:val="20"/>
        </w:rPr>
        <w:t> </w:t>
      </w:r>
      <w:r w:rsidRPr="00BE251A">
        <w:rPr>
          <w:rFonts w:ascii="Arial Narrow" w:hAnsi="Arial Narrow"/>
          <w:b/>
          <w:bCs/>
          <w:sz w:val="20"/>
          <w:szCs w:val="20"/>
        </w:rPr>
        <w:t xml:space="preserve">ich skonsolidovaní do jednotného dátového súboru  </w:t>
      </w:r>
    </w:p>
    <w:tbl>
      <w:tblPr>
        <w:tblW w:w="89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659"/>
        <w:gridCol w:w="1725"/>
        <w:gridCol w:w="2427"/>
        <w:gridCol w:w="1560"/>
      </w:tblGrid>
      <w:tr w:rsidR="0010775F" w:rsidRPr="007437D7" w14:paraId="0B9EB2B7" w14:textId="77777777" w:rsidTr="00710E45">
        <w:trPr>
          <w:trHeight w:val="896"/>
          <w:tblHeader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1F96E333" w14:textId="77777777" w:rsidR="0010775F" w:rsidRPr="00BE251A" w:rsidRDefault="0010775F" w:rsidP="003E7C2A">
            <w:pPr>
              <w:spacing w:before="120" w:after="12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Skupina prijímateľov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A96E28E" w14:textId="69433ED2" w:rsidR="0010775F" w:rsidRPr="00BE251A" w:rsidRDefault="0010775F" w:rsidP="003E7C2A">
            <w:pPr>
              <w:spacing w:before="120" w:after="12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Počet poskytnu</w:t>
            </w:r>
            <w:r w:rsidR="002C1587" w:rsidRPr="00BE251A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tí</w:t>
            </w:r>
            <w:r w:rsidR="00460391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vertAlign w:val="superscript"/>
                <w:lang w:eastAsia="sk-SK"/>
                <w14:ligatures w14:val="none"/>
              </w:rPr>
              <w:t>1</w:t>
            </w:r>
            <w:r w:rsidR="002C1587" w:rsidRPr="00BE251A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verejných financií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97E6949" w14:textId="77777777" w:rsidR="0010775F" w:rsidRPr="00BE251A" w:rsidRDefault="0010775F" w:rsidP="003E7C2A">
            <w:pPr>
              <w:spacing w:before="120" w:after="12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Počet rôznych prijímateľov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199C732" w14:textId="447A8E03" w:rsidR="0010775F" w:rsidRPr="00BE251A" w:rsidRDefault="0010775F" w:rsidP="003E7C2A">
            <w:pPr>
              <w:spacing w:before="120" w:after="12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Suma poskytnutých </w:t>
            </w:r>
            <w:r w:rsidR="002C1587" w:rsidRPr="00BE251A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verejných financií</w:t>
            </w:r>
            <w:r w:rsidRPr="00BE251A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(</w:t>
            </w:r>
            <w:r w:rsidR="00BE251A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E</w:t>
            </w:r>
            <w:r w:rsidRPr="00BE251A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ur)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37BB36A" w14:textId="35E256FB" w:rsidR="0010775F" w:rsidRPr="00BE251A" w:rsidRDefault="0010775F" w:rsidP="003E7C2A">
            <w:pPr>
              <w:spacing w:before="120" w:after="12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Počet prijímateľov, ktorým bol</w:t>
            </w:r>
            <w:r w:rsidR="002C1587" w:rsidRPr="00BE251A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</w:t>
            </w:r>
            <w:r w:rsidRPr="00BE251A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poskytnut</w:t>
            </w:r>
            <w:r w:rsidR="002C1587" w:rsidRPr="00BE251A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é</w:t>
            </w:r>
            <w:r w:rsidRPr="00BE251A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r w:rsidR="002C1587" w:rsidRPr="00BE251A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verejné financie</w:t>
            </w:r>
            <w:r w:rsidRPr="00BE251A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od 2 a viac poskytovateľov</w:t>
            </w:r>
          </w:p>
        </w:tc>
      </w:tr>
      <w:tr w:rsidR="0010775F" w:rsidRPr="007437D7" w14:paraId="7A4DA984" w14:textId="77777777" w:rsidTr="005B07DE">
        <w:trPr>
          <w:trHeight w:val="34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ADBB6" w14:textId="5163847C" w:rsidR="0010775F" w:rsidRPr="00BE251A" w:rsidRDefault="00D24910" w:rsidP="003E7C2A">
            <w:pPr>
              <w:spacing w:before="120" w:after="12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t</w:t>
            </w:r>
            <w:r w:rsidR="0010775F" w:rsidRPr="00BE251A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uzemské právnické osoby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BCF08" w14:textId="4973A163" w:rsidR="0010775F" w:rsidRPr="00BE251A" w:rsidRDefault="0010775F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522 995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20752" w14:textId="74033DCF" w:rsidR="0010775F" w:rsidRPr="00BE251A" w:rsidRDefault="0010775F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45 418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FD571" w14:textId="0088B5E0" w:rsidR="0010775F" w:rsidRPr="00BE251A" w:rsidRDefault="0010775F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22 878 943 643,14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C253E" w14:textId="17B60986" w:rsidR="0010775F" w:rsidRPr="00BE251A" w:rsidRDefault="0010775F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7 658</w:t>
            </w:r>
          </w:p>
        </w:tc>
      </w:tr>
      <w:tr w:rsidR="0010775F" w:rsidRPr="007437D7" w14:paraId="3781EF3F" w14:textId="77777777" w:rsidTr="005B07DE">
        <w:trPr>
          <w:trHeight w:val="34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D1FAC" w14:textId="0520E249" w:rsidR="0010775F" w:rsidRPr="002073E5" w:rsidRDefault="00D24910" w:rsidP="003E7C2A">
            <w:pPr>
              <w:spacing w:before="120" w:after="12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vertAlign w:val="superscript"/>
                <w:lang w:eastAsia="sk-SK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z</w:t>
            </w:r>
            <w:r w:rsidR="0010775F" w:rsidRPr="00BE251A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ahraničné právnické osoby</w:t>
            </w:r>
            <w:r w:rsidR="002073E5">
              <w:rPr>
                <w:vertAlign w:val="superscript"/>
              </w:rPr>
              <w:t>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4C08F" w14:textId="3D982788" w:rsidR="0010775F" w:rsidRPr="00BE251A" w:rsidRDefault="0010775F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5 064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BF4D5" w14:textId="1131672F" w:rsidR="0010775F" w:rsidRPr="00BE251A" w:rsidRDefault="0010775F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1 084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C62C7" w14:textId="348A130A" w:rsidR="0010775F" w:rsidRPr="00BE251A" w:rsidRDefault="0010775F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150 568 926,36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62623" w14:textId="3009286C" w:rsidR="0010775F" w:rsidRPr="00BE251A" w:rsidRDefault="0010775F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</w:t>
            </w:r>
          </w:p>
        </w:tc>
      </w:tr>
      <w:tr w:rsidR="0010775F" w:rsidRPr="007437D7" w14:paraId="5802FE07" w14:textId="77777777" w:rsidTr="005B07DE">
        <w:trPr>
          <w:trHeight w:val="34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41842" w14:textId="376C92E9" w:rsidR="0010775F" w:rsidRPr="00BE251A" w:rsidRDefault="0010775F" w:rsidP="003E7C2A">
            <w:pPr>
              <w:spacing w:before="120" w:after="12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fyzické osoby s</w:t>
            </w:r>
            <w:r w:rsidR="002073E5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  <w:r w:rsidRPr="00BE251A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IČO</w:t>
            </w:r>
            <w:r w:rsidR="002073E5" w:rsidRPr="002073E5">
              <w:rPr>
                <w:vertAlign w:val="superscript"/>
              </w:rPr>
              <w:t>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363B0" w14:textId="6A607D24" w:rsidR="0010775F" w:rsidRPr="00BE251A" w:rsidRDefault="0010775F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63 624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403E6" w14:textId="12ADB9FA" w:rsidR="0010775F" w:rsidRPr="00BE251A" w:rsidRDefault="0010775F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15 320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6416F" w14:textId="64C49309" w:rsidR="0010775F" w:rsidRPr="00BE251A" w:rsidRDefault="0010775F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190 924 977,37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8FF9D" w14:textId="77777777" w:rsidR="0010775F" w:rsidRPr="00BE251A" w:rsidRDefault="0010775F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896</w:t>
            </w:r>
          </w:p>
        </w:tc>
      </w:tr>
      <w:tr w:rsidR="0010775F" w:rsidRPr="007437D7" w14:paraId="3A51DD13" w14:textId="77777777" w:rsidTr="005B07DE">
        <w:trPr>
          <w:trHeight w:val="34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84423" w14:textId="293623C7" w:rsidR="0010775F" w:rsidRPr="002073E5" w:rsidRDefault="0010775F" w:rsidP="003E7C2A">
            <w:pPr>
              <w:spacing w:before="120" w:after="12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vertAlign w:val="superscript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fyzické osoby ostatné</w:t>
            </w:r>
            <w:r w:rsidR="002073E5">
              <w:rPr>
                <w:vertAlign w:val="superscript"/>
              </w:rPr>
              <w:t>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AB447" w14:textId="64499C0E" w:rsidR="0010775F" w:rsidRPr="00BE251A" w:rsidRDefault="0010775F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120 817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DF29" w14:textId="77777777" w:rsidR="0010775F" w:rsidRPr="00BE251A" w:rsidRDefault="0010775F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7F9CB" w14:textId="246FFA04" w:rsidR="0010775F" w:rsidRPr="00BE251A" w:rsidRDefault="0010775F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495 687 415,09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6A8AE" w14:textId="77777777" w:rsidR="0010775F" w:rsidRPr="00BE251A" w:rsidRDefault="0010775F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</w:t>
            </w:r>
          </w:p>
        </w:tc>
      </w:tr>
      <w:tr w:rsidR="0010775F" w:rsidRPr="007437D7" w14:paraId="39A75B1D" w14:textId="77777777" w:rsidTr="005B07DE">
        <w:trPr>
          <w:trHeight w:val="34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AEEC7" w14:textId="77777777" w:rsidR="0010775F" w:rsidRPr="00BE251A" w:rsidRDefault="0010775F" w:rsidP="003E7C2A">
            <w:pPr>
              <w:spacing w:before="120" w:after="12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Spolu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74712" w14:textId="7BDAAC41" w:rsidR="0010775F" w:rsidRPr="00FD05F2" w:rsidRDefault="0010775F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vertAlign w:val="superscript"/>
                <w:lang w:eastAsia="sk-SK"/>
                <w14:ligatures w14:val="none"/>
              </w:rPr>
            </w:pPr>
            <w:r w:rsidRPr="00710E45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712</w:t>
            </w:r>
            <w:r w:rsidR="00FD05F2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  <w:r w:rsidRPr="00710E45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500</w:t>
            </w:r>
            <w:r w:rsidR="00FD05F2" w:rsidRPr="003E7C2A">
              <w:rPr>
                <w:rStyle w:val="Odkaznapoznmkupodiarou"/>
                <w:rFonts w:ascii="Arial Narrow" w:hAnsi="Arial Narrow"/>
                <w:sz w:val="20"/>
                <w:szCs w:val="20"/>
              </w:rPr>
              <w:footnoteReference w:id="5"/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E6443" w14:textId="3B452306" w:rsidR="0010775F" w:rsidRPr="00BE251A" w:rsidRDefault="0010775F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61 822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95FAB" w14:textId="4E69E07F" w:rsidR="0010775F" w:rsidRPr="003E7C2A" w:rsidRDefault="0010775F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vertAlign w:val="superscript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23 716 124 961,96</w:t>
            </w:r>
            <w:r w:rsidR="00F41A9D" w:rsidRPr="00F41A9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vertAlign w:val="superscript"/>
                <w:lang w:eastAsia="sk-SK"/>
                <w14:ligatures w14:val="none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7EA60" w14:textId="283368F1" w:rsidR="0010775F" w:rsidRPr="00BE251A" w:rsidRDefault="0010775F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8 556</w:t>
            </w:r>
          </w:p>
        </w:tc>
      </w:tr>
    </w:tbl>
    <w:p w14:paraId="6CAA796F" w14:textId="77777777" w:rsidR="0010775F" w:rsidRDefault="0010775F" w:rsidP="003E7C2A">
      <w:pPr>
        <w:spacing w:before="120" w:after="120"/>
        <w:jc w:val="both"/>
        <w:rPr>
          <w:rFonts w:ascii="Arial Narrow" w:hAnsi="Arial Narrow"/>
          <w:sz w:val="24"/>
          <w:szCs w:val="24"/>
        </w:rPr>
      </w:pPr>
    </w:p>
    <w:p w14:paraId="229DC7A0" w14:textId="7845DDFA" w:rsidR="00A978C1" w:rsidRDefault="00862B73" w:rsidP="003E7C2A">
      <w:pPr>
        <w:spacing w:before="120" w:after="12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Analýza poskytnutých dát ukázala, ž</w:t>
      </w:r>
      <w:r w:rsidR="00C70655">
        <w:rPr>
          <w:rFonts w:ascii="Arial Narrow" w:hAnsi="Arial Narrow"/>
          <w:sz w:val="24"/>
          <w:szCs w:val="24"/>
        </w:rPr>
        <w:t>e</w:t>
      </w:r>
      <w:r w:rsidR="00C70655" w:rsidRPr="002310C4">
        <w:rPr>
          <w:rFonts w:ascii="Arial Narrow" w:hAnsi="Arial Narrow"/>
          <w:sz w:val="24"/>
          <w:szCs w:val="24"/>
        </w:rPr>
        <w:t xml:space="preserve"> </w:t>
      </w:r>
      <w:r w:rsidR="00C70655" w:rsidRPr="00FD05F2">
        <w:rPr>
          <w:rFonts w:ascii="Arial Narrow" w:hAnsi="Arial Narrow"/>
          <w:b/>
          <w:bCs/>
          <w:sz w:val="24"/>
          <w:szCs w:val="24"/>
        </w:rPr>
        <w:t xml:space="preserve">tuzemským právnickým osobám bolo poskytnutých </w:t>
      </w:r>
      <w:r w:rsidR="00A978C1">
        <w:rPr>
          <w:rFonts w:ascii="Arial Narrow" w:hAnsi="Arial Narrow"/>
          <w:b/>
          <w:bCs/>
          <w:sz w:val="24"/>
          <w:szCs w:val="24"/>
        </w:rPr>
        <w:t xml:space="preserve">až </w:t>
      </w:r>
      <w:r w:rsidR="00C70655" w:rsidRPr="00FD05F2">
        <w:rPr>
          <w:rFonts w:ascii="Arial Narrow" w:hAnsi="Arial Narrow"/>
          <w:b/>
          <w:bCs/>
          <w:sz w:val="24"/>
          <w:szCs w:val="24"/>
        </w:rPr>
        <w:t>96,47 % verejných financií</w:t>
      </w:r>
      <w:r w:rsidR="00C70655">
        <w:rPr>
          <w:rFonts w:ascii="Arial Narrow" w:hAnsi="Arial Narrow"/>
          <w:sz w:val="24"/>
          <w:szCs w:val="24"/>
        </w:rPr>
        <w:t xml:space="preserve"> z celkového objemu poskytnutých verejných financií za sledované obdobie. </w:t>
      </w:r>
      <w:r w:rsidR="00A978C1">
        <w:rPr>
          <w:rFonts w:ascii="Arial Narrow" w:hAnsi="Arial Narrow"/>
          <w:sz w:val="24"/>
          <w:szCs w:val="24"/>
        </w:rPr>
        <w:t>Keďže t</w:t>
      </w:r>
      <w:r>
        <w:rPr>
          <w:rFonts w:ascii="Arial Narrow" w:hAnsi="Arial Narrow"/>
          <w:sz w:val="24"/>
          <w:szCs w:val="24"/>
        </w:rPr>
        <w:t>á</w:t>
      </w:r>
      <w:r w:rsidR="00A978C1">
        <w:rPr>
          <w:rFonts w:ascii="Arial Narrow" w:hAnsi="Arial Narrow"/>
          <w:sz w:val="24"/>
          <w:szCs w:val="24"/>
        </w:rPr>
        <w:t>to položka predstavuje významnú časť celej populácie poskytnutých dát,</w:t>
      </w:r>
      <w:r>
        <w:rPr>
          <w:rFonts w:ascii="Arial Narrow" w:hAnsi="Arial Narrow"/>
          <w:sz w:val="24"/>
          <w:szCs w:val="24"/>
        </w:rPr>
        <w:t xml:space="preserve"> následný výber vzorky bol orientovaný práve na tuzemské právnické osoby.</w:t>
      </w:r>
      <w:r w:rsidR="002820E7">
        <w:rPr>
          <w:rFonts w:ascii="Arial Narrow" w:hAnsi="Arial Narrow"/>
          <w:sz w:val="24"/>
          <w:szCs w:val="24"/>
        </w:rPr>
        <w:t xml:space="preserve"> Populácia tuzemských právnických osôb bola na základe právnej formy stratifikovaná na menšie </w:t>
      </w:r>
      <w:proofErr w:type="spellStart"/>
      <w:r w:rsidR="002820E7">
        <w:rPr>
          <w:rFonts w:ascii="Arial Narrow" w:hAnsi="Arial Narrow"/>
          <w:sz w:val="24"/>
          <w:szCs w:val="24"/>
        </w:rPr>
        <w:t>subpolulácie</w:t>
      </w:r>
      <w:proofErr w:type="spellEnd"/>
      <w:r w:rsidR="002820E7">
        <w:rPr>
          <w:rFonts w:ascii="Arial Narrow" w:hAnsi="Arial Narrow"/>
          <w:sz w:val="24"/>
          <w:szCs w:val="24"/>
        </w:rPr>
        <w:t xml:space="preserve">, pričom z každej </w:t>
      </w:r>
      <w:proofErr w:type="spellStart"/>
      <w:r w:rsidR="002820E7">
        <w:rPr>
          <w:rFonts w:ascii="Arial Narrow" w:hAnsi="Arial Narrow"/>
          <w:sz w:val="24"/>
          <w:szCs w:val="24"/>
        </w:rPr>
        <w:t>subpopulácie</w:t>
      </w:r>
      <w:proofErr w:type="spellEnd"/>
      <w:r w:rsidR="002820E7">
        <w:rPr>
          <w:rFonts w:ascii="Arial Narrow" w:hAnsi="Arial Narrow"/>
          <w:sz w:val="24"/>
          <w:szCs w:val="24"/>
        </w:rPr>
        <w:t xml:space="preserve"> bola vybraná vzorka subjektov na overenie.</w:t>
      </w:r>
      <w:r>
        <w:rPr>
          <w:rFonts w:ascii="Arial Narrow" w:hAnsi="Arial Narrow"/>
          <w:sz w:val="24"/>
          <w:szCs w:val="24"/>
        </w:rPr>
        <w:t xml:space="preserve"> </w:t>
      </w:r>
      <w:r w:rsidR="00A978C1">
        <w:rPr>
          <w:rFonts w:ascii="Arial Narrow" w:hAnsi="Arial Narrow"/>
          <w:sz w:val="24"/>
          <w:szCs w:val="24"/>
        </w:rPr>
        <w:t>Prehľad tuzemských právnických osôb rozdelených podľa právnej formy poskytuje tabuľka č. 3.</w:t>
      </w:r>
    </w:p>
    <w:p w14:paraId="19FFF96D" w14:textId="77777777" w:rsidR="00A978C1" w:rsidRDefault="00A978C1" w:rsidP="003E7C2A">
      <w:pPr>
        <w:spacing w:before="120" w:after="120"/>
        <w:jc w:val="both"/>
        <w:rPr>
          <w:rFonts w:ascii="Arial Narrow" w:hAnsi="Arial Narrow"/>
          <w:b/>
          <w:bCs/>
          <w:sz w:val="20"/>
          <w:szCs w:val="20"/>
        </w:rPr>
      </w:pPr>
      <w:r w:rsidRPr="00BE251A">
        <w:rPr>
          <w:rFonts w:ascii="Arial Narrow" w:hAnsi="Arial Narrow"/>
          <w:b/>
          <w:bCs/>
          <w:sz w:val="20"/>
          <w:szCs w:val="20"/>
        </w:rPr>
        <w:t xml:space="preserve">Tabuľka č. </w:t>
      </w:r>
      <w:r>
        <w:rPr>
          <w:rFonts w:ascii="Arial Narrow" w:hAnsi="Arial Narrow"/>
          <w:b/>
          <w:bCs/>
          <w:sz w:val="20"/>
          <w:szCs w:val="20"/>
        </w:rPr>
        <w:t>3</w:t>
      </w:r>
      <w:r w:rsidRPr="00BE251A">
        <w:rPr>
          <w:rFonts w:ascii="Arial Narrow" w:hAnsi="Arial Narrow"/>
          <w:b/>
          <w:bCs/>
          <w:sz w:val="20"/>
          <w:szCs w:val="20"/>
        </w:rPr>
        <w:t xml:space="preserve"> Prehľad poskytnutí verejných financií tuzemským právnickým osobám v období </w:t>
      </w:r>
      <w:r>
        <w:rPr>
          <w:rFonts w:ascii="Arial Narrow" w:hAnsi="Arial Narrow"/>
          <w:b/>
          <w:bCs/>
          <w:sz w:val="20"/>
          <w:szCs w:val="20"/>
        </w:rPr>
        <w:t xml:space="preserve">od 1. 1. </w:t>
      </w:r>
      <w:r w:rsidRPr="00BE251A">
        <w:rPr>
          <w:rFonts w:ascii="Arial Narrow" w:hAnsi="Arial Narrow"/>
          <w:b/>
          <w:bCs/>
          <w:sz w:val="20"/>
          <w:szCs w:val="20"/>
        </w:rPr>
        <w:t xml:space="preserve">2020 </w:t>
      </w:r>
      <w:r>
        <w:rPr>
          <w:rFonts w:ascii="Arial Narrow" w:hAnsi="Arial Narrow"/>
          <w:b/>
          <w:bCs/>
          <w:sz w:val="20"/>
          <w:szCs w:val="20"/>
        </w:rPr>
        <w:t>do</w:t>
      </w:r>
      <w:r w:rsidRPr="00BE251A">
        <w:rPr>
          <w:rFonts w:ascii="Arial Narrow" w:hAnsi="Arial Narrow"/>
          <w:b/>
          <w:bCs/>
          <w:sz w:val="20"/>
          <w:szCs w:val="20"/>
        </w:rPr>
        <w:t xml:space="preserve"> 30.</w:t>
      </w:r>
      <w:r>
        <w:rPr>
          <w:rFonts w:ascii="Arial Narrow" w:hAnsi="Arial Narrow"/>
          <w:b/>
          <w:bCs/>
          <w:sz w:val="20"/>
          <w:szCs w:val="20"/>
        </w:rPr>
        <w:t> </w:t>
      </w:r>
      <w:r w:rsidRPr="00BE251A">
        <w:rPr>
          <w:rFonts w:ascii="Arial Narrow" w:hAnsi="Arial Narrow"/>
          <w:b/>
          <w:bCs/>
          <w:sz w:val="20"/>
          <w:szCs w:val="20"/>
        </w:rPr>
        <w:t>09.</w:t>
      </w:r>
      <w:r>
        <w:rPr>
          <w:rFonts w:ascii="Arial Narrow" w:hAnsi="Arial Narrow"/>
          <w:b/>
          <w:bCs/>
          <w:sz w:val="20"/>
          <w:szCs w:val="20"/>
        </w:rPr>
        <w:t> </w:t>
      </w:r>
      <w:r w:rsidRPr="00BE251A">
        <w:rPr>
          <w:rFonts w:ascii="Arial Narrow" w:hAnsi="Arial Narrow"/>
          <w:b/>
          <w:bCs/>
          <w:sz w:val="20"/>
          <w:szCs w:val="20"/>
        </w:rPr>
        <w:t>2025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701"/>
        <w:gridCol w:w="2268"/>
        <w:gridCol w:w="2410"/>
      </w:tblGrid>
      <w:tr w:rsidR="00A978C1" w:rsidRPr="007437D7" w14:paraId="47FC1B06" w14:textId="77777777" w:rsidTr="004E7995">
        <w:trPr>
          <w:trHeight w:val="330"/>
          <w:tblHeader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</w:tcPr>
          <w:p w14:paraId="7444FC95" w14:textId="77777777" w:rsidR="00A978C1" w:rsidRPr="00460391" w:rsidRDefault="00A978C1" w:rsidP="003E7C2A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60391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Právna forma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</w:tcPr>
          <w:p w14:paraId="159AD8D7" w14:textId="77777777" w:rsidR="00A978C1" w:rsidRPr="00460391" w:rsidRDefault="00A978C1" w:rsidP="003E7C2A">
            <w:pPr>
              <w:spacing w:before="120" w:after="1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60391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Počet prijímateľov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</w:tcPr>
          <w:p w14:paraId="707D7B8E" w14:textId="77777777" w:rsidR="00A978C1" w:rsidRPr="00460391" w:rsidRDefault="00A978C1" w:rsidP="003E7C2A">
            <w:pPr>
              <w:spacing w:before="120" w:after="1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60391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Počet poskytnutí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  <w:lang w:eastAsia="sk-SK"/>
                <w14:ligatures w14:val="none"/>
              </w:rPr>
              <w:t xml:space="preserve">1 </w:t>
            </w:r>
            <w:r w:rsidRPr="00460391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verejných financií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</w:tcPr>
          <w:p w14:paraId="18F9F36B" w14:textId="77777777" w:rsidR="00A978C1" w:rsidRPr="00460391" w:rsidRDefault="00A978C1" w:rsidP="003E7C2A">
            <w:pPr>
              <w:spacing w:before="120" w:after="1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60391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Poskytnutá suma (Eur)</w:t>
            </w:r>
          </w:p>
        </w:tc>
      </w:tr>
      <w:tr w:rsidR="00A978C1" w:rsidRPr="007437D7" w14:paraId="51D900D5" w14:textId="77777777" w:rsidTr="004E7995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59623" w14:textId="77777777" w:rsidR="00A978C1" w:rsidRPr="00BE251A" w:rsidRDefault="00A978C1" w:rsidP="003E7C2A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štátna správa a samospráva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D9834" w14:textId="77777777" w:rsidR="00A978C1" w:rsidRPr="00BE251A" w:rsidRDefault="00A978C1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6 606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4D46A" w14:textId="77777777" w:rsidR="00A978C1" w:rsidRPr="00BE251A" w:rsidRDefault="00A978C1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177 911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5B1F5" w14:textId="77777777" w:rsidR="00A978C1" w:rsidRPr="00BE251A" w:rsidRDefault="00A978C1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10 455 303 108,66</w:t>
            </w:r>
          </w:p>
        </w:tc>
      </w:tr>
      <w:tr w:rsidR="00A978C1" w:rsidRPr="007437D7" w14:paraId="19680349" w14:textId="77777777" w:rsidTr="004E7995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1DCC0" w14:textId="77777777" w:rsidR="00A978C1" w:rsidRPr="00BE251A" w:rsidRDefault="00A978C1" w:rsidP="003E7C2A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podnikateľský sektor</w:t>
            </w:r>
            <w:r w:rsidRPr="00BE251A">
              <w:rPr>
                <w:rStyle w:val="Odkaznapoznmkupodiarou"/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footnoteReference w:id="6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E5E69" w14:textId="77777777" w:rsidR="00A978C1" w:rsidRPr="00BE251A" w:rsidRDefault="00A978C1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30 670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89F82" w14:textId="77777777" w:rsidR="00A978C1" w:rsidRPr="00BE251A" w:rsidRDefault="00A978C1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261 962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C355D" w14:textId="77777777" w:rsidR="00A978C1" w:rsidRPr="00BE251A" w:rsidRDefault="00A978C1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9 152 058 842,37</w:t>
            </w:r>
          </w:p>
        </w:tc>
      </w:tr>
      <w:tr w:rsidR="00A978C1" w:rsidRPr="007437D7" w14:paraId="6C1B6E0A" w14:textId="77777777" w:rsidTr="004E7995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2BA79" w14:textId="77777777" w:rsidR="00A978C1" w:rsidRPr="00BE251A" w:rsidRDefault="00A978C1" w:rsidP="003E7C2A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neziskový sektor</w:t>
            </w:r>
            <w:r w:rsidRPr="00BE251A">
              <w:rPr>
                <w:rStyle w:val="Odkaznapoznmkupodiarou"/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footnoteReference w:id="7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87B36" w14:textId="77777777" w:rsidR="00A978C1" w:rsidRPr="00BE251A" w:rsidRDefault="00A978C1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5 418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BBCDB" w14:textId="77777777" w:rsidR="00A978C1" w:rsidRPr="00BE251A" w:rsidRDefault="00A978C1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27 776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8E94F" w14:textId="77777777" w:rsidR="00A978C1" w:rsidRPr="00BE251A" w:rsidRDefault="00A978C1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1 186 530 923,14</w:t>
            </w:r>
          </w:p>
        </w:tc>
      </w:tr>
      <w:tr w:rsidR="00A978C1" w:rsidRPr="007437D7" w14:paraId="1F79AE44" w14:textId="77777777" w:rsidTr="004E7995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95683" w14:textId="77777777" w:rsidR="00A978C1" w:rsidRPr="00BE251A" w:rsidRDefault="00A978C1" w:rsidP="003E7C2A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verejnoprávny sektor</w:t>
            </w:r>
            <w:r w:rsidRPr="00BE251A">
              <w:rPr>
                <w:rStyle w:val="Odkaznapoznmkupodiarou"/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footnoteReference w:id="8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8DA8C" w14:textId="77777777" w:rsidR="00A978C1" w:rsidRPr="00BE251A" w:rsidRDefault="00A978C1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5098B" w14:textId="77777777" w:rsidR="00A978C1" w:rsidRPr="00BE251A" w:rsidRDefault="00A978C1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10 640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C0DC9" w14:textId="77777777" w:rsidR="00A978C1" w:rsidRPr="00BE251A" w:rsidRDefault="00A978C1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1 702 993 031,89</w:t>
            </w:r>
          </w:p>
        </w:tc>
      </w:tr>
      <w:tr w:rsidR="00A978C1" w:rsidRPr="007437D7" w14:paraId="0BFEA22C" w14:textId="77777777" w:rsidTr="004E7995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F1CCE" w14:textId="77777777" w:rsidR="00A978C1" w:rsidRPr="00BE251A" w:rsidRDefault="00A978C1" w:rsidP="003E7C2A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cirkevné organizácie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0C3DB" w14:textId="77777777" w:rsidR="00A978C1" w:rsidRPr="00BE251A" w:rsidRDefault="00A978C1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823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68B2A" w14:textId="77777777" w:rsidR="00A978C1" w:rsidRPr="00BE251A" w:rsidRDefault="00A978C1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9 033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5A598" w14:textId="77777777" w:rsidR="00A978C1" w:rsidRPr="00BE251A" w:rsidRDefault="00A978C1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71 077 239,62</w:t>
            </w:r>
          </w:p>
        </w:tc>
      </w:tr>
      <w:tr w:rsidR="00A978C1" w:rsidRPr="007437D7" w14:paraId="4E6061C7" w14:textId="77777777" w:rsidTr="004E7995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01F51" w14:textId="77777777" w:rsidR="00A978C1" w:rsidRPr="00BE251A" w:rsidRDefault="00A978C1" w:rsidP="003E7C2A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ostatné</w:t>
            </w:r>
            <w:r w:rsidRPr="00BE251A">
              <w:rPr>
                <w:rStyle w:val="Odkaznapoznmkupodiarou"/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footnoteReference w:id="9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E3C26" w14:textId="77777777" w:rsidR="00A978C1" w:rsidRPr="00BE251A" w:rsidRDefault="00A978C1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1 622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6297D" w14:textId="77777777" w:rsidR="00A978C1" w:rsidRPr="00BE251A" w:rsidRDefault="00A978C1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35 673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27648" w14:textId="77777777" w:rsidR="00A978C1" w:rsidRPr="00BE251A" w:rsidRDefault="00A978C1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310 980 497,46</w:t>
            </w:r>
          </w:p>
        </w:tc>
      </w:tr>
      <w:tr w:rsidR="00A978C1" w:rsidRPr="007437D7" w14:paraId="4AB9304F" w14:textId="77777777" w:rsidTr="004E7995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3DCEB" w14:textId="77777777" w:rsidR="00A978C1" w:rsidRPr="00BE251A" w:rsidRDefault="00A978C1" w:rsidP="003E7C2A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SPOLU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F041A" w14:textId="77777777" w:rsidR="00A978C1" w:rsidRPr="00BE251A" w:rsidRDefault="00A978C1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45 418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D4664" w14:textId="77777777" w:rsidR="00A978C1" w:rsidRPr="00BE251A" w:rsidRDefault="00A978C1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522 995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24836" w14:textId="77777777" w:rsidR="00A978C1" w:rsidRPr="00BE251A" w:rsidRDefault="00A978C1" w:rsidP="003E7C2A">
            <w:pPr>
              <w:spacing w:before="120" w:after="12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251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22 878 943 643,14</w:t>
            </w:r>
          </w:p>
        </w:tc>
      </w:tr>
    </w:tbl>
    <w:p w14:paraId="1D1E8F86" w14:textId="77777777" w:rsidR="00C70655" w:rsidRDefault="00C70655" w:rsidP="003E7C2A">
      <w:pPr>
        <w:spacing w:before="120" w:after="120"/>
        <w:jc w:val="both"/>
        <w:rPr>
          <w:rFonts w:ascii="Arial Narrow" w:hAnsi="Arial Narrow"/>
          <w:sz w:val="24"/>
          <w:szCs w:val="24"/>
        </w:rPr>
      </w:pPr>
    </w:p>
    <w:p w14:paraId="36E36DF3" w14:textId="12FB7D75" w:rsidR="00252D0D" w:rsidRPr="007E3712" w:rsidRDefault="00686DAF" w:rsidP="003E7C2A">
      <w:pPr>
        <w:spacing w:before="120" w:after="120" w:line="360" w:lineRule="auto"/>
        <w:jc w:val="both"/>
        <w:rPr>
          <w:rFonts w:ascii="Arial Narrow" w:hAnsi="Arial Narrow"/>
          <w:sz w:val="24"/>
          <w:szCs w:val="24"/>
        </w:rPr>
      </w:pPr>
      <w:r w:rsidRPr="002E0F8E">
        <w:rPr>
          <w:rFonts w:ascii="Arial Narrow" w:hAnsi="Arial Narrow"/>
          <w:sz w:val="24"/>
          <w:szCs w:val="24"/>
        </w:rPr>
        <w:t>V</w:t>
      </w:r>
      <w:r>
        <w:rPr>
          <w:rFonts w:ascii="Arial Narrow" w:hAnsi="Arial Narrow"/>
          <w:sz w:val="24"/>
          <w:szCs w:val="24"/>
        </w:rPr>
        <w:t xml:space="preserve"> súlade s medzinárodne uznávanými audítorskými štandardami bol výber vzorky realizovaný neštatistickým, rizikovo orientovaným prístupom so </w:t>
      </w:r>
      <w:r w:rsidR="002820E7">
        <w:rPr>
          <w:rFonts w:ascii="Arial Narrow" w:hAnsi="Arial Narrow"/>
          <w:sz w:val="24"/>
          <w:szCs w:val="24"/>
        </w:rPr>
        <w:t>zohľa</w:t>
      </w:r>
      <w:r>
        <w:rPr>
          <w:rFonts w:ascii="Arial Narrow" w:hAnsi="Arial Narrow"/>
          <w:sz w:val="24"/>
          <w:szCs w:val="24"/>
        </w:rPr>
        <w:t>dnením</w:t>
      </w:r>
      <w:r w:rsidR="002820E7">
        <w:rPr>
          <w:rFonts w:ascii="Arial Narrow" w:hAnsi="Arial Narrow"/>
          <w:sz w:val="24"/>
          <w:szCs w:val="24"/>
        </w:rPr>
        <w:t xml:space="preserve"> </w:t>
      </w:r>
      <w:r w:rsidR="00252D0D">
        <w:rPr>
          <w:rFonts w:ascii="Arial Narrow" w:hAnsi="Arial Narrow"/>
          <w:sz w:val="24"/>
          <w:szCs w:val="24"/>
        </w:rPr>
        <w:t>nasledovn</w:t>
      </w:r>
      <w:r>
        <w:rPr>
          <w:rFonts w:ascii="Arial Narrow" w:hAnsi="Arial Narrow"/>
          <w:sz w:val="24"/>
          <w:szCs w:val="24"/>
        </w:rPr>
        <w:t>ých</w:t>
      </w:r>
      <w:r w:rsidR="00252D0D">
        <w:rPr>
          <w:rFonts w:ascii="Arial Narrow" w:hAnsi="Arial Narrow"/>
          <w:sz w:val="24"/>
          <w:szCs w:val="24"/>
        </w:rPr>
        <w:t xml:space="preserve"> indikátor</w:t>
      </w:r>
      <w:r>
        <w:rPr>
          <w:rFonts w:ascii="Arial Narrow" w:hAnsi="Arial Narrow"/>
          <w:sz w:val="24"/>
          <w:szCs w:val="24"/>
        </w:rPr>
        <w:t>ov</w:t>
      </w:r>
      <w:r w:rsidR="00252D0D" w:rsidRPr="007E3712">
        <w:rPr>
          <w:rFonts w:ascii="Arial Narrow" w:hAnsi="Arial Narrow"/>
          <w:sz w:val="24"/>
          <w:szCs w:val="24"/>
        </w:rPr>
        <w:t>:</w:t>
      </w:r>
    </w:p>
    <w:p w14:paraId="4DFDC60A" w14:textId="5508B47D" w:rsidR="00252D0D" w:rsidRPr="007E3712" w:rsidRDefault="00252D0D" w:rsidP="003E7C2A">
      <w:pPr>
        <w:pStyle w:val="Odsekzoznamu"/>
        <w:numPr>
          <w:ilvl w:val="0"/>
          <w:numId w:val="8"/>
        </w:numPr>
        <w:spacing w:before="120" w:after="12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</w:t>
      </w:r>
      <w:r w:rsidRPr="007E3712">
        <w:rPr>
          <w:rFonts w:ascii="Arial Narrow" w:hAnsi="Arial Narrow"/>
          <w:sz w:val="24"/>
          <w:szCs w:val="24"/>
        </w:rPr>
        <w:t>oče</w:t>
      </w:r>
      <w:r>
        <w:rPr>
          <w:rFonts w:ascii="Arial Narrow" w:hAnsi="Arial Narrow"/>
          <w:sz w:val="24"/>
          <w:szCs w:val="24"/>
        </w:rPr>
        <w:t>t</w:t>
      </w:r>
      <w:r w:rsidRPr="007E3712">
        <w:rPr>
          <w:rFonts w:ascii="Arial Narrow" w:hAnsi="Arial Narrow"/>
          <w:sz w:val="24"/>
          <w:szCs w:val="24"/>
        </w:rPr>
        <w:t xml:space="preserve"> rôznych poskytovateľov</w:t>
      </w:r>
      <w:r w:rsidR="002820E7">
        <w:rPr>
          <w:rFonts w:ascii="Arial Narrow" w:hAnsi="Arial Narrow"/>
          <w:sz w:val="24"/>
          <w:szCs w:val="24"/>
        </w:rPr>
        <w:t xml:space="preserve"> </w:t>
      </w:r>
      <w:r w:rsidRPr="007E3712">
        <w:rPr>
          <w:rFonts w:ascii="Arial Narrow" w:hAnsi="Arial Narrow"/>
          <w:sz w:val="24"/>
          <w:szCs w:val="24"/>
        </w:rPr>
        <w:t>verejných financií</w:t>
      </w:r>
      <w:r>
        <w:rPr>
          <w:rFonts w:ascii="Arial Narrow" w:hAnsi="Arial Narrow"/>
          <w:sz w:val="24"/>
          <w:szCs w:val="24"/>
        </w:rPr>
        <w:t xml:space="preserve"> (čím vyšší počet poskytovateľov jednému prijímateľovi </w:t>
      </w:r>
      <w:r w:rsidR="002820E7">
        <w:rPr>
          <w:rFonts w:ascii="Arial Narrow" w:hAnsi="Arial Narrow"/>
          <w:sz w:val="24"/>
          <w:szCs w:val="24"/>
        </w:rPr>
        <w:t>predstavuje</w:t>
      </w:r>
      <w:r>
        <w:rPr>
          <w:rFonts w:ascii="Arial Narrow" w:hAnsi="Arial Narrow"/>
          <w:sz w:val="24"/>
          <w:szCs w:val="24"/>
        </w:rPr>
        <w:t xml:space="preserve"> väčšie riziko, že dôjde k duplicitnému financovaniu)</w:t>
      </w:r>
      <w:r w:rsidRPr="007E3712">
        <w:rPr>
          <w:rFonts w:ascii="Arial Narrow" w:hAnsi="Arial Narrow"/>
          <w:sz w:val="24"/>
          <w:szCs w:val="24"/>
        </w:rPr>
        <w:t xml:space="preserve">, </w:t>
      </w:r>
    </w:p>
    <w:p w14:paraId="1BA34168" w14:textId="33B3874C" w:rsidR="00252D0D" w:rsidRPr="007E3712" w:rsidRDefault="00252D0D" w:rsidP="003E7C2A">
      <w:pPr>
        <w:pStyle w:val="Odsekzoznamu"/>
        <w:numPr>
          <w:ilvl w:val="0"/>
          <w:numId w:val="8"/>
        </w:numPr>
        <w:spacing w:before="120" w:after="120" w:line="360" w:lineRule="auto"/>
        <w:jc w:val="both"/>
        <w:rPr>
          <w:rFonts w:ascii="Arial Narrow" w:hAnsi="Arial Narrow"/>
          <w:sz w:val="24"/>
          <w:szCs w:val="24"/>
        </w:rPr>
      </w:pPr>
      <w:r w:rsidRPr="007E3712">
        <w:rPr>
          <w:rFonts w:ascii="Arial Narrow" w:hAnsi="Arial Narrow"/>
          <w:sz w:val="24"/>
          <w:szCs w:val="24"/>
        </w:rPr>
        <w:t>početnosť poskytnutí verejných financií na základe titulu poskytnutia verejných financií (</w:t>
      </w:r>
      <w:r>
        <w:rPr>
          <w:rFonts w:ascii="Arial Narrow" w:hAnsi="Arial Narrow"/>
          <w:sz w:val="24"/>
          <w:szCs w:val="24"/>
        </w:rPr>
        <w:t xml:space="preserve">v prípade, ak prijímateľ získal verejné financie na základe viacerých titulov poskytnutia verejných financií, hrozí </w:t>
      </w:r>
      <w:r w:rsidRPr="005204E6">
        <w:rPr>
          <w:rFonts w:ascii="Arial Narrow" w:hAnsi="Arial Narrow"/>
          <w:sz w:val="24"/>
          <w:szCs w:val="24"/>
        </w:rPr>
        <w:t>väčšie riziko, že dôjde k duplicitnému financovaniu</w:t>
      </w:r>
      <w:r>
        <w:rPr>
          <w:rFonts w:ascii="Arial Narrow" w:hAnsi="Arial Narrow"/>
          <w:sz w:val="24"/>
          <w:szCs w:val="24"/>
        </w:rPr>
        <w:t xml:space="preserve">; </w:t>
      </w:r>
      <w:r w:rsidRPr="007E3712">
        <w:rPr>
          <w:rFonts w:ascii="Arial Narrow" w:hAnsi="Arial Narrow"/>
          <w:sz w:val="24"/>
          <w:szCs w:val="24"/>
        </w:rPr>
        <w:t>titulom, na základe ktorého boli poskytnuté verejné financie, sa rozumie napríklad zmluva, rozhodnutie, oznámenie</w:t>
      </w:r>
      <w:r w:rsidR="002820E7">
        <w:rPr>
          <w:rFonts w:ascii="Arial Narrow" w:hAnsi="Arial Narrow"/>
          <w:sz w:val="24"/>
          <w:szCs w:val="24"/>
        </w:rPr>
        <w:t xml:space="preserve"> a podobne</w:t>
      </w:r>
      <w:r w:rsidRPr="007E3712">
        <w:rPr>
          <w:rFonts w:ascii="Arial Narrow" w:hAnsi="Arial Narrow"/>
          <w:sz w:val="24"/>
          <w:szCs w:val="24"/>
        </w:rPr>
        <w:t>),</w:t>
      </w:r>
    </w:p>
    <w:p w14:paraId="6110E91A" w14:textId="1DD117EC" w:rsidR="00252D0D" w:rsidRPr="007E3712" w:rsidRDefault="00252D0D" w:rsidP="003E7C2A">
      <w:pPr>
        <w:pStyle w:val="Odsekzoznamu"/>
        <w:numPr>
          <w:ilvl w:val="0"/>
          <w:numId w:val="8"/>
        </w:numPr>
        <w:spacing w:before="120" w:after="120" w:line="360" w:lineRule="auto"/>
        <w:jc w:val="both"/>
        <w:rPr>
          <w:rFonts w:ascii="Arial Narrow" w:hAnsi="Arial Narrow"/>
          <w:sz w:val="24"/>
          <w:szCs w:val="24"/>
        </w:rPr>
      </w:pPr>
      <w:r w:rsidRPr="007E3712">
        <w:rPr>
          <w:rFonts w:ascii="Arial Narrow" w:hAnsi="Arial Narrow"/>
          <w:sz w:val="24"/>
          <w:szCs w:val="24"/>
        </w:rPr>
        <w:lastRenderedPageBreak/>
        <w:t>rozloženie poskytnutých verejných financií v čase (</w:t>
      </w:r>
      <w:r>
        <w:rPr>
          <w:rFonts w:ascii="Arial Narrow" w:hAnsi="Arial Narrow"/>
          <w:sz w:val="24"/>
          <w:szCs w:val="24"/>
        </w:rPr>
        <w:t>väčšie</w:t>
      </w:r>
      <w:r w:rsidRPr="007E3712">
        <w:rPr>
          <w:rFonts w:ascii="Arial Narrow" w:hAnsi="Arial Narrow"/>
          <w:sz w:val="24"/>
          <w:szCs w:val="24"/>
        </w:rPr>
        <w:t xml:space="preserve"> riziko duplicitného financovania </w:t>
      </w:r>
      <w:r>
        <w:rPr>
          <w:rFonts w:ascii="Arial Narrow" w:hAnsi="Arial Narrow"/>
          <w:sz w:val="24"/>
          <w:szCs w:val="24"/>
        </w:rPr>
        <w:t>existuje v prípade, ak došlo k</w:t>
      </w:r>
      <w:r w:rsidRPr="007E3712">
        <w:rPr>
          <w:rFonts w:ascii="Arial Narrow" w:hAnsi="Arial Narrow"/>
          <w:sz w:val="24"/>
          <w:szCs w:val="24"/>
        </w:rPr>
        <w:t xml:space="preserve"> poskytnuti</w:t>
      </w:r>
      <w:r>
        <w:rPr>
          <w:rFonts w:ascii="Arial Narrow" w:hAnsi="Arial Narrow"/>
          <w:sz w:val="24"/>
          <w:szCs w:val="24"/>
        </w:rPr>
        <w:t>u</w:t>
      </w:r>
      <w:r w:rsidRPr="007E3712">
        <w:rPr>
          <w:rFonts w:ascii="Arial Narrow" w:hAnsi="Arial Narrow"/>
          <w:sz w:val="24"/>
          <w:szCs w:val="24"/>
        </w:rPr>
        <w:t xml:space="preserve"> verejných financií viacerými poskytovateľmi </w:t>
      </w:r>
      <w:r>
        <w:rPr>
          <w:rFonts w:ascii="Arial Narrow" w:hAnsi="Arial Narrow"/>
          <w:sz w:val="24"/>
          <w:szCs w:val="24"/>
        </w:rPr>
        <w:t xml:space="preserve">tomu istému prijímateľovi </w:t>
      </w:r>
      <w:r w:rsidRPr="007E3712">
        <w:rPr>
          <w:rFonts w:ascii="Arial Narrow" w:hAnsi="Arial Narrow"/>
          <w:sz w:val="24"/>
          <w:szCs w:val="24"/>
        </w:rPr>
        <w:t>v rámci jedného kalendárneho roka alebo dvoch bezprostredne po sebe nasledujúcich kalendárnych rokov),</w:t>
      </w:r>
    </w:p>
    <w:p w14:paraId="60CB7EBB" w14:textId="7CB4CFA7" w:rsidR="00252D0D" w:rsidRPr="00D257AA" w:rsidRDefault="00252D0D" w:rsidP="003E7C2A">
      <w:pPr>
        <w:pStyle w:val="Odsekzoznamu"/>
        <w:numPr>
          <w:ilvl w:val="0"/>
          <w:numId w:val="8"/>
        </w:numPr>
        <w:spacing w:before="120" w:after="120" w:line="360" w:lineRule="auto"/>
        <w:jc w:val="both"/>
        <w:rPr>
          <w:rFonts w:ascii="Arial Narrow" w:hAnsi="Arial Narrow"/>
          <w:sz w:val="24"/>
          <w:szCs w:val="24"/>
        </w:rPr>
      </w:pPr>
      <w:r w:rsidRPr="00D257AA">
        <w:rPr>
          <w:rFonts w:ascii="Arial Narrow" w:hAnsi="Arial Narrow"/>
          <w:sz w:val="24"/>
          <w:szCs w:val="24"/>
        </w:rPr>
        <w:t>medializované informácie (</w:t>
      </w:r>
      <w:r w:rsidR="00EC4D02" w:rsidRPr="00D257AA">
        <w:rPr>
          <w:rFonts w:ascii="Arial Narrow" w:hAnsi="Arial Narrow"/>
          <w:sz w:val="24"/>
          <w:szCs w:val="24"/>
        </w:rPr>
        <w:t xml:space="preserve">v zmysle </w:t>
      </w:r>
      <w:r w:rsidR="009E7C84" w:rsidRPr="00D257AA">
        <w:rPr>
          <w:rFonts w:ascii="Arial Narrow" w:hAnsi="Arial Narrow"/>
          <w:sz w:val="24"/>
          <w:szCs w:val="24"/>
        </w:rPr>
        <w:t xml:space="preserve">audítorských štandardov </w:t>
      </w:r>
      <w:r w:rsidR="00D257AA" w:rsidRPr="00D257AA">
        <w:rPr>
          <w:rFonts w:ascii="Arial Narrow" w:hAnsi="Arial Narrow"/>
          <w:sz w:val="24"/>
          <w:szCs w:val="24"/>
        </w:rPr>
        <w:t xml:space="preserve">sú medializované prípady </w:t>
      </w:r>
      <w:r w:rsidR="00D257AA">
        <w:rPr>
          <w:rFonts w:ascii="Arial Narrow" w:hAnsi="Arial Narrow"/>
          <w:sz w:val="24"/>
          <w:szCs w:val="24"/>
        </w:rPr>
        <w:t>považované za</w:t>
      </w:r>
      <w:r w:rsidR="00D257AA" w:rsidRPr="00D257AA">
        <w:rPr>
          <w:rFonts w:ascii="Arial Narrow" w:hAnsi="Arial Narrow"/>
          <w:sz w:val="24"/>
          <w:szCs w:val="24"/>
        </w:rPr>
        <w:t xml:space="preserve"> faktory vysokého rizika</w:t>
      </w:r>
      <w:r w:rsidRPr="00D257AA">
        <w:rPr>
          <w:rFonts w:ascii="Arial Narrow" w:hAnsi="Arial Narrow"/>
          <w:sz w:val="24"/>
          <w:szCs w:val="24"/>
        </w:rPr>
        <w:t>).</w:t>
      </w:r>
    </w:p>
    <w:p w14:paraId="267AAC97" w14:textId="0AB6AF29" w:rsidR="00815374" w:rsidRPr="00986646" w:rsidRDefault="000C5AC9" w:rsidP="003E7C2A">
      <w:pPr>
        <w:spacing w:before="120" w:after="12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 nadväznosti na </w:t>
      </w:r>
      <w:r w:rsidR="00686DAF">
        <w:rPr>
          <w:rFonts w:ascii="Arial Narrow" w:hAnsi="Arial Narrow"/>
          <w:sz w:val="24"/>
          <w:szCs w:val="24"/>
        </w:rPr>
        <w:t xml:space="preserve">neštatistický, </w:t>
      </w:r>
      <w:r w:rsidR="00C70655">
        <w:rPr>
          <w:rFonts w:ascii="Arial Narrow" w:hAnsi="Arial Narrow"/>
          <w:sz w:val="24"/>
          <w:szCs w:val="24"/>
        </w:rPr>
        <w:t>rizikovo orientovaný prístup výberu vzorky</w:t>
      </w:r>
      <w:r w:rsidR="005204E6">
        <w:rPr>
          <w:rFonts w:ascii="Arial Narrow" w:hAnsi="Arial Narrow"/>
          <w:sz w:val="24"/>
          <w:szCs w:val="24"/>
        </w:rPr>
        <w:t>,</w:t>
      </w:r>
      <w:r w:rsidR="00E527FC">
        <w:rPr>
          <w:rFonts w:ascii="Arial Narrow" w:hAnsi="Arial Narrow"/>
          <w:sz w:val="24"/>
          <w:szCs w:val="24"/>
        </w:rPr>
        <w:t xml:space="preserve"> </w:t>
      </w:r>
      <w:r w:rsidR="000E40FA">
        <w:rPr>
          <w:rFonts w:ascii="Arial Narrow" w:hAnsi="Arial Narrow"/>
          <w:sz w:val="24"/>
          <w:szCs w:val="24"/>
        </w:rPr>
        <w:t xml:space="preserve">boli </w:t>
      </w:r>
      <w:r w:rsidR="005204E6" w:rsidRPr="005204E6">
        <w:rPr>
          <w:rFonts w:ascii="Arial Narrow" w:hAnsi="Arial Narrow"/>
          <w:sz w:val="24"/>
          <w:szCs w:val="24"/>
        </w:rPr>
        <w:t>s ohľadom na dostupné administratíve kapacity a čas potrebný na výkon vládneho auditu a</w:t>
      </w:r>
      <w:r w:rsidR="005204E6">
        <w:rPr>
          <w:rFonts w:ascii="Arial Narrow" w:hAnsi="Arial Narrow"/>
          <w:sz w:val="24"/>
          <w:szCs w:val="24"/>
        </w:rPr>
        <w:t>ko aj</w:t>
      </w:r>
      <w:r w:rsidR="005204E6" w:rsidRPr="005204E6">
        <w:rPr>
          <w:rFonts w:ascii="Arial Narrow" w:hAnsi="Arial Narrow"/>
          <w:sz w:val="24"/>
          <w:szCs w:val="24"/>
        </w:rPr>
        <w:t xml:space="preserve"> termín na predloženie tejto informácie vláde SR</w:t>
      </w:r>
      <w:r w:rsidR="005204E6">
        <w:rPr>
          <w:rFonts w:ascii="Arial Narrow" w:hAnsi="Arial Narrow"/>
          <w:sz w:val="24"/>
          <w:szCs w:val="24"/>
        </w:rPr>
        <w:t xml:space="preserve"> </w:t>
      </w:r>
      <w:r w:rsidR="000E40FA">
        <w:rPr>
          <w:rFonts w:ascii="Arial Narrow" w:hAnsi="Arial Narrow"/>
          <w:sz w:val="24"/>
          <w:szCs w:val="24"/>
        </w:rPr>
        <w:t xml:space="preserve">vybrané </w:t>
      </w:r>
      <w:r w:rsidR="005204E6">
        <w:rPr>
          <w:rFonts w:ascii="Arial Narrow" w:hAnsi="Arial Narrow"/>
          <w:sz w:val="24"/>
          <w:szCs w:val="24"/>
        </w:rPr>
        <w:t xml:space="preserve">na overenie </w:t>
      </w:r>
      <w:r w:rsidR="000E40FA">
        <w:rPr>
          <w:rFonts w:ascii="Arial Narrow" w:hAnsi="Arial Narrow"/>
          <w:sz w:val="24"/>
          <w:szCs w:val="24"/>
        </w:rPr>
        <w:t>subjekty uvedené v tabuľke č. 4.</w:t>
      </w:r>
      <w:r w:rsidR="00686DAF">
        <w:rPr>
          <w:rFonts w:ascii="Arial Narrow" w:hAnsi="Arial Narrow"/>
          <w:sz w:val="24"/>
          <w:szCs w:val="24"/>
        </w:rPr>
        <w:t xml:space="preserve"> </w:t>
      </w:r>
    </w:p>
    <w:p w14:paraId="71405FFF" w14:textId="2F63DCDA" w:rsidR="00BD0207" w:rsidRDefault="001B0A3E" w:rsidP="003E7C2A">
      <w:pPr>
        <w:spacing w:before="120" w:after="120"/>
        <w:jc w:val="both"/>
        <w:rPr>
          <w:rFonts w:ascii="Arial Narrow" w:hAnsi="Arial Narrow"/>
          <w:b/>
          <w:bCs/>
          <w:sz w:val="20"/>
          <w:szCs w:val="20"/>
        </w:rPr>
      </w:pPr>
      <w:r w:rsidRPr="00C75C0D">
        <w:rPr>
          <w:rFonts w:ascii="Arial Narrow" w:hAnsi="Arial Narrow"/>
          <w:b/>
          <w:bCs/>
          <w:sz w:val="20"/>
          <w:szCs w:val="20"/>
        </w:rPr>
        <w:t xml:space="preserve">Tabuľka č. </w:t>
      </w:r>
      <w:r w:rsidR="00665541">
        <w:rPr>
          <w:rFonts w:ascii="Arial Narrow" w:hAnsi="Arial Narrow"/>
          <w:b/>
          <w:bCs/>
          <w:sz w:val="20"/>
          <w:szCs w:val="20"/>
        </w:rPr>
        <w:t>4</w:t>
      </w:r>
      <w:r w:rsidR="006B317E" w:rsidRPr="00C75C0D">
        <w:rPr>
          <w:rFonts w:ascii="Arial Narrow" w:hAnsi="Arial Narrow"/>
          <w:b/>
          <w:bCs/>
          <w:sz w:val="20"/>
          <w:szCs w:val="20"/>
        </w:rPr>
        <w:t xml:space="preserve"> Zoznam s</w:t>
      </w:r>
      <w:r w:rsidR="00BD0207" w:rsidRPr="00C75C0D">
        <w:rPr>
          <w:rFonts w:ascii="Arial Narrow" w:hAnsi="Arial Narrow"/>
          <w:b/>
          <w:bCs/>
          <w:sz w:val="20"/>
          <w:szCs w:val="20"/>
        </w:rPr>
        <w:t>ubjekt</w:t>
      </w:r>
      <w:r w:rsidR="006B317E" w:rsidRPr="00C75C0D">
        <w:rPr>
          <w:rFonts w:ascii="Arial Narrow" w:hAnsi="Arial Narrow"/>
          <w:b/>
          <w:bCs/>
          <w:sz w:val="20"/>
          <w:szCs w:val="20"/>
        </w:rPr>
        <w:t>ov</w:t>
      </w:r>
      <w:r w:rsidR="00BD0207" w:rsidRPr="00C75C0D">
        <w:rPr>
          <w:rFonts w:ascii="Arial Narrow" w:hAnsi="Arial Narrow"/>
          <w:b/>
          <w:bCs/>
          <w:sz w:val="20"/>
          <w:szCs w:val="20"/>
        </w:rPr>
        <w:t xml:space="preserve"> </w:t>
      </w:r>
      <w:r w:rsidR="006B317E" w:rsidRPr="00C75C0D">
        <w:rPr>
          <w:rFonts w:ascii="Arial Narrow" w:hAnsi="Arial Narrow"/>
          <w:b/>
          <w:bCs/>
          <w:sz w:val="20"/>
          <w:szCs w:val="20"/>
        </w:rPr>
        <w:t xml:space="preserve">vybratých </w:t>
      </w:r>
      <w:r w:rsidR="00AC7D24">
        <w:rPr>
          <w:rFonts w:ascii="Arial Narrow" w:hAnsi="Arial Narrow"/>
          <w:b/>
          <w:bCs/>
          <w:sz w:val="20"/>
          <w:szCs w:val="20"/>
        </w:rPr>
        <w:t xml:space="preserve">do vzorky </w:t>
      </w:r>
    </w:p>
    <w:tbl>
      <w:tblPr>
        <w:tblStyle w:val="Mriekatabuky"/>
        <w:tblW w:w="9493" w:type="dxa"/>
        <w:tblLayout w:type="fixed"/>
        <w:tblLook w:val="04A0" w:firstRow="1" w:lastRow="0" w:firstColumn="1" w:lastColumn="0" w:noHBand="0" w:noVBand="1"/>
      </w:tblPr>
      <w:tblGrid>
        <w:gridCol w:w="586"/>
        <w:gridCol w:w="2372"/>
        <w:gridCol w:w="636"/>
        <w:gridCol w:w="3195"/>
        <w:gridCol w:w="1402"/>
        <w:gridCol w:w="1302"/>
      </w:tblGrid>
      <w:tr w:rsidR="00EA3EC8" w:rsidRPr="007E3712" w14:paraId="61B6FDE0" w14:textId="77777777" w:rsidTr="00686DAF">
        <w:trPr>
          <w:tblHeader/>
        </w:trPr>
        <w:tc>
          <w:tcPr>
            <w:tcW w:w="586" w:type="dxa"/>
            <w:vMerge w:val="restart"/>
            <w:shd w:val="clear" w:color="auto" w:fill="E8E8E8" w:themeFill="background2"/>
            <w:vAlign w:val="center"/>
          </w:tcPr>
          <w:p w14:paraId="28BE5331" w14:textId="1FB274B1" w:rsidR="00EA3EC8" w:rsidRPr="00C75C0D" w:rsidRDefault="00EA3EC8" w:rsidP="00686DA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Por. č.</w:t>
            </w:r>
          </w:p>
        </w:tc>
        <w:tc>
          <w:tcPr>
            <w:tcW w:w="2372" w:type="dxa"/>
            <w:vMerge w:val="restart"/>
            <w:shd w:val="clear" w:color="auto" w:fill="E8E8E8" w:themeFill="background2"/>
            <w:vAlign w:val="center"/>
          </w:tcPr>
          <w:p w14:paraId="77343417" w14:textId="772A319D" w:rsidR="00EA3EC8" w:rsidRPr="00C75C0D" w:rsidRDefault="00EA3EC8" w:rsidP="00686DAF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5C0D">
              <w:rPr>
                <w:rFonts w:ascii="Arial Narrow" w:hAnsi="Arial Narrow"/>
                <w:b/>
                <w:bCs/>
                <w:sz w:val="20"/>
                <w:szCs w:val="20"/>
              </w:rPr>
              <w:t>Povinná osoba – názov prijímateľa</w:t>
            </w:r>
          </w:p>
        </w:tc>
        <w:tc>
          <w:tcPr>
            <w:tcW w:w="3831" w:type="dxa"/>
            <w:gridSpan w:val="2"/>
            <w:shd w:val="clear" w:color="auto" w:fill="E8E8E8" w:themeFill="background2"/>
            <w:vAlign w:val="center"/>
          </w:tcPr>
          <w:p w14:paraId="62355773" w14:textId="2A5569A0" w:rsidR="00EA3EC8" w:rsidRPr="00866CA6" w:rsidRDefault="00EA3EC8" w:rsidP="00686DA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</w:t>
            </w:r>
            <w:r w:rsidRPr="00866CA6">
              <w:rPr>
                <w:rFonts w:ascii="Arial Narrow" w:hAnsi="Arial Narrow"/>
                <w:b/>
                <w:bCs/>
                <w:sz w:val="20"/>
                <w:szCs w:val="20"/>
              </w:rPr>
              <w:t>oskytovatelia</w:t>
            </w:r>
          </w:p>
          <w:p w14:paraId="147F8AFE" w14:textId="1053FB5C" w:rsidR="00EA3EC8" w:rsidRPr="00C75C0D" w:rsidRDefault="00EA3EC8" w:rsidP="00686DA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A3EC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v období </w:t>
            </w:r>
            <w:r w:rsidR="00AC7D24">
              <w:rPr>
                <w:rFonts w:ascii="Arial Narrow" w:hAnsi="Arial Narrow"/>
                <w:b/>
                <w:bCs/>
                <w:sz w:val="20"/>
                <w:szCs w:val="20"/>
              </w:rPr>
              <w:t>od 1.1.</w:t>
            </w:r>
            <w:r w:rsidRPr="00EA3EC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2020 </w:t>
            </w:r>
            <w:r w:rsidR="00AC7D24">
              <w:rPr>
                <w:rFonts w:ascii="Arial Narrow" w:hAnsi="Arial Narrow"/>
                <w:b/>
                <w:bCs/>
                <w:sz w:val="20"/>
                <w:szCs w:val="20"/>
              </w:rPr>
              <w:t>do</w:t>
            </w:r>
            <w:r w:rsidRPr="00EA3EC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30.09.2025</w:t>
            </w:r>
          </w:p>
        </w:tc>
        <w:tc>
          <w:tcPr>
            <w:tcW w:w="1402" w:type="dxa"/>
            <w:shd w:val="clear" w:color="auto" w:fill="E8E8E8" w:themeFill="background2"/>
            <w:vAlign w:val="center"/>
          </w:tcPr>
          <w:p w14:paraId="72BB30EA" w14:textId="7C7205D3" w:rsidR="00EA3EC8" w:rsidRPr="00C75C0D" w:rsidRDefault="00EA3EC8" w:rsidP="00686DA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5C0D">
              <w:rPr>
                <w:rFonts w:ascii="Arial Narrow" w:hAnsi="Arial Narrow"/>
                <w:b/>
                <w:bCs/>
                <w:sz w:val="20"/>
                <w:szCs w:val="20"/>
              </w:rPr>
              <w:t>Počet poskytnutí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v období </w:t>
            </w:r>
            <w:r w:rsidR="00AC7D24">
              <w:rPr>
                <w:rFonts w:ascii="Arial Narrow" w:hAnsi="Arial Narrow"/>
                <w:b/>
                <w:bCs/>
                <w:sz w:val="20"/>
                <w:szCs w:val="20"/>
              </w:rPr>
              <w:t>od 1.1.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2020 </w:t>
            </w:r>
            <w:r w:rsidR="00AC7D24">
              <w:rPr>
                <w:rFonts w:ascii="Arial Narrow" w:hAnsi="Arial Narrow"/>
                <w:b/>
                <w:bCs/>
                <w:sz w:val="20"/>
                <w:szCs w:val="20"/>
              </w:rPr>
              <w:t>do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30.09.2025</w:t>
            </w:r>
          </w:p>
        </w:tc>
        <w:tc>
          <w:tcPr>
            <w:tcW w:w="1302" w:type="dxa"/>
            <w:shd w:val="clear" w:color="auto" w:fill="E8E8E8" w:themeFill="background2"/>
            <w:vAlign w:val="center"/>
          </w:tcPr>
          <w:p w14:paraId="125072FA" w14:textId="7F40B7C3" w:rsidR="00EA3EC8" w:rsidRPr="00C75C0D" w:rsidRDefault="00EA3EC8" w:rsidP="00686DAF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75C0D">
              <w:rPr>
                <w:rFonts w:ascii="Arial Narrow" w:hAnsi="Arial Narrow"/>
                <w:b/>
                <w:bCs/>
                <w:sz w:val="20"/>
                <w:szCs w:val="20"/>
              </w:rPr>
              <w:t>Suma v Eur</w:t>
            </w:r>
          </w:p>
        </w:tc>
      </w:tr>
      <w:tr w:rsidR="00EA3EC8" w:rsidRPr="007E3712" w14:paraId="2998857C" w14:textId="77777777" w:rsidTr="00866CA6">
        <w:trPr>
          <w:tblHeader/>
        </w:trPr>
        <w:tc>
          <w:tcPr>
            <w:tcW w:w="586" w:type="dxa"/>
            <w:vMerge/>
            <w:shd w:val="clear" w:color="auto" w:fill="E8E8E8" w:themeFill="background2"/>
          </w:tcPr>
          <w:p w14:paraId="673A77D7" w14:textId="77777777" w:rsidR="00EA3EC8" w:rsidRDefault="00EA3EC8" w:rsidP="00686DA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E8E8E8" w:themeFill="background2"/>
            <w:vAlign w:val="center"/>
          </w:tcPr>
          <w:p w14:paraId="4914617A" w14:textId="77777777" w:rsidR="00EA3EC8" w:rsidRPr="00C75C0D" w:rsidRDefault="00EA3EC8" w:rsidP="00686DAF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E8E8E8" w:themeFill="background2"/>
          </w:tcPr>
          <w:p w14:paraId="2DEC4E27" w14:textId="508A4769" w:rsidR="00EA3EC8" w:rsidRPr="00C75C0D" w:rsidRDefault="00EA3EC8" w:rsidP="00686D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Počet</w:t>
            </w:r>
          </w:p>
        </w:tc>
        <w:tc>
          <w:tcPr>
            <w:tcW w:w="3195" w:type="dxa"/>
            <w:shd w:val="clear" w:color="auto" w:fill="E8E8E8" w:themeFill="background2"/>
          </w:tcPr>
          <w:p w14:paraId="5D7EF6EC" w14:textId="361A2E73" w:rsidR="00EA3EC8" w:rsidRPr="00866CA6" w:rsidRDefault="007721E5" w:rsidP="00686DAF">
            <w:pPr>
              <w:rPr>
                <w:rFonts w:ascii="Arial Narrow" w:hAnsi="Arial Narrow"/>
                <w:sz w:val="20"/>
                <w:szCs w:val="20"/>
              </w:rPr>
            </w:pPr>
            <w:r w:rsidRPr="00866CA6">
              <w:rPr>
                <w:rFonts w:ascii="Arial Narrow" w:hAnsi="Arial Narrow"/>
                <w:sz w:val="20"/>
                <w:szCs w:val="20"/>
              </w:rPr>
              <w:t>Názov poskytovateľa</w:t>
            </w:r>
          </w:p>
        </w:tc>
        <w:tc>
          <w:tcPr>
            <w:tcW w:w="1402" w:type="dxa"/>
            <w:shd w:val="clear" w:color="auto" w:fill="E8E8E8" w:themeFill="background2"/>
            <w:vAlign w:val="center"/>
          </w:tcPr>
          <w:p w14:paraId="6AD3A3E2" w14:textId="77777777" w:rsidR="00EA3EC8" w:rsidRPr="00C75C0D" w:rsidRDefault="00EA3EC8" w:rsidP="00686DA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E8E8E8" w:themeFill="background2"/>
            <w:vAlign w:val="center"/>
          </w:tcPr>
          <w:p w14:paraId="5443015F" w14:textId="77777777" w:rsidR="00EA3EC8" w:rsidRPr="00C75C0D" w:rsidRDefault="00EA3EC8" w:rsidP="00686DAF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EA3EC8" w:rsidRPr="007E3712" w14:paraId="79AA8D99" w14:textId="77777777" w:rsidTr="00686DAF">
        <w:tc>
          <w:tcPr>
            <w:tcW w:w="586" w:type="dxa"/>
            <w:vAlign w:val="center"/>
          </w:tcPr>
          <w:p w14:paraId="5A21CF2B" w14:textId="345A9FF1" w:rsidR="00EA3EC8" w:rsidRPr="00C75C0D" w:rsidRDefault="00EA3EC8" w:rsidP="00686D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2372" w:type="dxa"/>
            <w:vAlign w:val="center"/>
          </w:tcPr>
          <w:p w14:paraId="4906C937" w14:textId="288A3BB8" w:rsidR="00EA3EC8" w:rsidRPr="00C75C0D" w:rsidRDefault="00EA3EC8" w:rsidP="00686D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Slovenský zväz protifašistických bojovníkov</w:t>
            </w:r>
          </w:p>
        </w:tc>
        <w:tc>
          <w:tcPr>
            <w:tcW w:w="636" w:type="dxa"/>
          </w:tcPr>
          <w:p w14:paraId="63FB2A52" w14:textId="3DF32B20" w:rsidR="00EA3EC8" w:rsidRPr="00C75C0D" w:rsidRDefault="00EA3EC8" w:rsidP="00686D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195" w:type="dxa"/>
          </w:tcPr>
          <w:p w14:paraId="3FAE0499" w14:textId="4FAB3002" w:rsidR="00EA3EC8" w:rsidRPr="00C75C0D" w:rsidRDefault="000B02B0" w:rsidP="00686DAF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MŠVVaM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SR, MK SR, MPSV</w:t>
            </w:r>
            <w:r w:rsidR="00024245">
              <w:rPr>
                <w:rFonts w:ascii="Arial Narrow" w:hAnsi="Arial Narrow"/>
                <w:sz w:val="20"/>
                <w:szCs w:val="20"/>
              </w:rPr>
              <w:t>a</w:t>
            </w:r>
            <w:r>
              <w:rPr>
                <w:rFonts w:ascii="Arial Narrow" w:hAnsi="Arial Narrow"/>
                <w:sz w:val="20"/>
                <w:szCs w:val="20"/>
              </w:rPr>
              <w:t>R SR, MF SR, MV SR</w:t>
            </w:r>
          </w:p>
        </w:tc>
        <w:tc>
          <w:tcPr>
            <w:tcW w:w="1402" w:type="dxa"/>
            <w:vAlign w:val="center"/>
          </w:tcPr>
          <w:p w14:paraId="359371EB" w14:textId="7C03FA80" w:rsidR="00EA3EC8" w:rsidRPr="00C75C0D" w:rsidRDefault="00EA3EC8" w:rsidP="00686DA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1302" w:type="dxa"/>
            <w:vAlign w:val="center"/>
          </w:tcPr>
          <w:p w14:paraId="74860DF3" w14:textId="421F2667" w:rsidR="00EA3EC8" w:rsidRPr="00C75C0D" w:rsidRDefault="00EA3EC8" w:rsidP="00686DA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1 608 589,57</w:t>
            </w:r>
          </w:p>
        </w:tc>
      </w:tr>
      <w:tr w:rsidR="00EA3EC8" w:rsidRPr="007E3712" w14:paraId="1C896270" w14:textId="77777777" w:rsidTr="00686DAF">
        <w:tc>
          <w:tcPr>
            <w:tcW w:w="586" w:type="dxa"/>
            <w:vAlign w:val="center"/>
          </w:tcPr>
          <w:p w14:paraId="7C3C2888" w14:textId="376A9957" w:rsidR="00EA3EC8" w:rsidRPr="00C75C0D" w:rsidRDefault="00EA3EC8" w:rsidP="00686D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2372" w:type="dxa"/>
            <w:vAlign w:val="center"/>
          </w:tcPr>
          <w:p w14:paraId="417115BF" w14:textId="5E158FD8" w:rsidR="00EA3EC8" w:rsidRPr="00C75C0D" w:rsidRDefault="00EA3EC8" w:rsidP="00686D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"Projekt Fórum"</w:t>
            </w:r>
          </w:p>
        </w:tc>
        <w:tc>
          <w:tcPr>
            <w:tcW w:w="636" w:type="dxa"/>
          </w:tcPr>
          <w:p w14:paraId="28812A9A" w14:textId="29C1D719" w:rsidR="00EA3EC8" w:rsidRPr="00C75C0D" w:rsidRDefault="00EA3EC8" w:rsidP="00686D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195" w:type="dxa"/>
          </w:tcPr>
          <w:p w14:paraId="3C946063" w14:textId="1B7FD01C" w:rsidR="00EA3EC8" w:rsidRPr="00C75C0D" w:rsidRDefault="00EA3EC8" w:rsidP="00686DA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MK SR, MS SR, F</w:t>
            </w:r>
            <w:r w:rsidR="00C864B8">
              <w:rPr>
                <w:rFonts w:ascii="Arial Narrow" w:hAnsi="Arial Narrow"/>
                <w:sz w:val="20"/>
                <w:szCs w:val="20"/>
              </w:rPr>
              <w:t>ond na podporu umenia (F</w:t>
            </w:r>
            <w:r>
              <w:rPr>
                <w:rFonts w:ascii="Arial Narrow" w:hAnsi="Arial Narrow"/>
                <w:sz w:val="20"/>
                <w:szCs w:val="20"/>
              </w:rPr>
              <w:t>PU</w:t>
            </w:r>
            <w:r w:rsidR="00C864B8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1402" w:type="dxa"/>
            <w:vAlign w:val="center"/>
          </w:tcPr>
          <w:p w14:paraId="7E4C0EE3" w14:textId="11F3446A" w:rsidR="00EA3EC8" w:rsidRPr="00C75C0D" w:rsidRDefault="00EA3EC8" w:rsidP="00686DA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302" w:type="dxa"/>
            <w:vAlign w:val="center"/>
          </w:tcPr>
          <w:p w14:paraId="46E41C77" w14:textId="40110234" w:rsidR="00EA3EC8" w:rsidRPr="00C75C0D" w:rsidRDefault="00EA3EC8" w:rsidP="00686DA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314 917,00</w:t>
            </w:r>
          </w:p>
        </w:tc>
      </w:tr>
      <w:tr w:rsidR="00EA3EC8" w:rsidRPr="007E3712" w14:paraId="0BD0FB31" w14:textId="77777777" w:rsidTr="00686DAF">
        <w:tc>
          <w:tcPr>
            <w:tcW w:w="586" w:type="dxa"/>
            <w:vAlign w:val="center"/>
          </w:tcPr>
          <w:p w14:paraId="37CF9306" w14:textId="30C4A1A7" w:rsidR="00EA3EC8" w:rsidRPr="00C75C0D" w:rsidRDefault="00EA3EC8" w:rsidP="00686D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2372" w:type="dxa"/>
            <w:vAlign w:val="center"/>
          </w:tcPr>
          <w:p w14:paraId="27E53C1C" w14:textId="2AEBEC28" w:rsidR="00EA3EC8" w:rsidRPr="00C75C0D" w:rsidRDefault="00EA3EC8" w:rsidP="00686DAF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75C0D">
              <w:rPr>
                <w:rFonts w:ascii="Arial Narrow" w:hAnsi="Arial Narrow"/>
                <w:sz w:val="20"/>
                <w:szCs w:val="20"/>
              </w:rPr>
              <w:t>Globsec</w:t>
            </w:r>
            <w:proofErr w:type="spellEnd"/>
            <w:r w:rsidRPr="00C75C0D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C75C0D">
              <w:rPr>
                <w:rFonts w:ascii="Arial Narrow" w:hAnsi="Arial Narrow"/>
                <w:sz w:val="20"/>
                <w:szCs w:val="20"/>
              </w:rPr>
              <w:t>o.z</w:t>
            </w:r>
            <w:proofErr w:type="spellEnd"/>
            <w:r w:rsidRPr="00C75C0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636" w:type="dxa"/>
          </w:tcPr>
          <w:p w14:paraId="489467B3" w14:textId="509FC4A8" w:rsidR="00EA3EC8" w:rsidRPr="00C75C0D" w:rsidRDefault="00EA3EC8" w:rsidP="00686D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195" w:type="dxa"/>
          </w:tcPr>
          <w:p w14:paraId="4C235D0B" w14:textId="182BC789" w:rsidR="00EA3EC8" w:rsidRPr="00C75C0D" w:rsidRDefault="001D5FE3" w:rsidP="00686DAF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MZV</w:t>
            </w:r>
            <w:r w:rsidR="00085D44">
              <w:rPr>
                <w:rFonts w:ascii="Arial Narrow" w:hAnsi="Arial Narrow"/>
                <w:sz w:val="20"/>
                <w:szCs w:val="20"/>
              </w:rPr>
              <w:t>aEZ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SR, MF SR, MO SR, MV SR</w:t>
            </w:r>
          </w:p>
        </w:tc>
        <w:tc>
          <w:tcPr>
            <w:tcW w:w="1402" w:type="dxa"/>
            <w:vAlign w:val="center"/>
          </w:tcPr>
          <w:p w14:paraId="005B0A89" w14:textId="2342938D" w:rsidR="00EA3EC8" w:rsidRPr="00C75C0D" w:rsidRDefault="00EA3EC8" w:rsidP="00686DA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1302" w:type="dxa"/>
            <w:vAlign w:val="center"/>
          </w:tcPr>
          <w:p w14:paraId="3FAFC857" w14:textId="678E54FD" w:rsidR="00EA3EC8" w:rsidRPr="00C75C0D" w:rsidRDefault="00EA3EC8" w:rsidP="00686DA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3 026 991,95</w:t>
            </w:r>
          </w:p>
        </w:tc>
      </w:tr>
      <w:tr w:rsidR="00EA3EC8" w:rsidRPr="007E3712" w14:paraId="0873A84A" w14:textId="77777777" w:rsidTr="00686DAF">
        <w:tc>
          <w:tcPr>
            <w:tcW w:w="586" w:type="dxa"/>
            <w:vAlign w:val="center"/>
          </w:tcPr>
          <w:p w14:paraId="3547BC6F" w14:textId="46576B05" w:rsidR="00EA3EC8" w:rsidRPr="00C75C0D" w:rsidRDefault="00EA3EC8" w:rsidP="00686D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2372" w:type="dxa"/>
            <w:vAlign w:val="center"/>
          </w:tcPr>
          <w:p w14:paraId="214D9588" w14:textId="31481483" w:rsidR="00EA3EC8" w:rsidRPr="00C75C0D" w:rsidRDefault="00EA3EC8" w:rsidP="00686D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75C0D">
              <w:rPr>
                <w:rFonts w:ascii="Arial Narrow" w:hAnsi="Arial Narrow"/>
                <w:sz w:val="20"/>
                <w:szCs w:val="20"/>
              </w:rPr>
              <w:t>Pôtoň</w:t>
            </w:r>
            <w:proofErr w:type="spellEnd"/>
          </w:p>
        </w:tc>
        <w:tc>
          <w:tcPr>
            <w:tcW w:w="636" w:type="dxa"/>
          </w:tcPr>
          <w:p w14:paraId="76DC735B" w14:textId="1C484E81" w:rsidR="00EA3EC8" w:rsidRPr="00C75C0D" w:rsidRDefault="00EA3EC8" w:rsidP="00686D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195" w:type="dxa"/>
          </w:tcPr>
          <w:p w14:paraId="5A84A4C3" w14:textId="13B6B7FF" w:rsidR="00EA3EC8" w:rsidRPr="00C75C0D" w:rsidRDefault="007721E5" w:rsidP="00686DA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MS SR, MIRRI SR, ÚV SR, FPU, N</w:t>
            </w:r>
            <w:r w:rsidR="00C864B8">
              <w:rPr>
                <w:rFonts w:ascii="Arial Narrow" w:hAnsi="Arial Narrow"/>
                <w:sz w:val="20"/>
                <w:szCs w:val="20"/>
              </w:rPr>
              <w:t>árodný inštitút vzdelávania a mládeže (NIVAM)</w:t>
            </w:r>
          </w:p>
        </w:tc>
        <w:tc>
          <w:tcPr>
            <w:tcW w:w="1402" w:type="dxa"/>
            <w:vAlign w:val="center"/>
          </w:tcPr>
          <w:p w14:paraId="02426F83" w14:textId="03B53A27" w:rsidR="00EA3EC8" w:rsidRPr="00C75C0D" w:rsidRDefault="00EA3EC8" w:rsidP="00686DA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1302" w:type="dxa"/>
            <w:vAlign w:val="center"/>
          </w:tcPr>
          <w:p w14:paraId="49BC9509" w14:textId="5A5F4E6B" w:rsidR="00EA3EC8" w:rsidRPr="00C75C0D" w:rsidRDefault="00EA3EC8" w:rsidP="00686DA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968 959,18</w:t>
            </w:r>
          </w:p>
        </w:tc>
      </w:tr>
      <w:tr w:rsidR="00EA3EC8" w:rsidRPr="007E3712" w14:paraId="71AC9561" w14:textId="77777777" w:rsidTr="00686DAF">
        <w:tc>
          <w:tcPr>
            <w:tcW w:w="586" w:type="dxa"/>
            <w:vAlign w:val="center"/>
          </w:tcPr>
          <w:p w14:paraId="618F849D" w14:textId="45AF2240" w:rsidR="00EA3EC8" w:rsidRPr="00C75C0D" w:rsidRDefault="00EA3EC8" w:rsidP="00686D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2372" w:type="dxa"/>
            <w:vAlign w:val="center"/>
          </w:tcPr>
          <w:p w14:paraId="189349B0" w14:textId="1C14B5CF" w:rsidR="00EA3EC8" w:rsidRPr="00C75C0D" w:rsidRDefault="00EA3EC8" w:rsidP="00686D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POST BELLUM SK</w:t>
            </w:r>
          </w:p>
        </w:tc>
        <w:tc>
          <w:tcPr>
            <w:tcW w:w="636" w:type="dxa"/>
          </w:tcPr>
          <w:p w14:paraId="468156F8" w14:textId="0C65A7DC" w:rsidR="00EA3EC8" w:rsidRPr="00C75C0D" w:rsidRDefault="007721E5" w:rsidP="00686D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195" w:type="dxa"/>
          </w:tcPr>
          <w:p w14:paraId="1393700A" w14:textId="7C4E3496" w:rsidR="00EA3EC8" w:rsidRPr="00C75C0D" w:rsidRDefault="00EA3EC8" w:rsidP="00686DA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MK SR, MS SR,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MŠVVaM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SR, ÚV SR, FPU, F</w:t>
            </w:r>
            <w:r w:rsidR="00C864B8">
              <w:rPr>
                <w:rFonts w:ascii="Arial Narrow" w:hAnsi="Arial Narrow"/>
                <w:sz w:val="20"/>
                <w:szCs w:val="20"/>
              </w:rPr>
              <w:t>ond na podporu kultúry národnostných menšín (F</w:t>
            </w:r>
            <w:r>
              <w:rPr>
                <w:rFonts w:ascii="Arial Narrow" w:hAnsi="Arial Narrow"/>
                <w:sz w:val="20"/>
                <w:szCs w:val="20"/>
              </w:rPr>
              <w:t>PKNM</w:t>
            </w:r>
            <w:r w:rsidR="00C864B8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1402" w:type="dxa"/>
            <w:vAlign w:val="center"/>
          </w:tcPr>
          <w:p w14:paraId="6AF2502B" w14:textId="2DB1A854" w:rsidR="00EA3EC8" w:rsidRPr="00C75C0D" w:rsidRDefault="00EA3EC8" w:rsidP="00686DA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47</w:t>
            </w:r>
          </w:p>
        </w:tc>
        <w:tc>
          <w:tcPr>
            <w:tcW w:w="1302" w:type="dxa"/>
            <w:vAlign w:val="center"/>
          </w:tcPr>
          <w:p w14:paraId="6CFA66EC" w14:textId="155036EA" w:rsidR="00EA3EC8" w:rsidRPr="00C75C0D" w:rsidRDefault="00EA3EC8" w:rsidP="00686DA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979 186,96</w:t>
            </w:r>
          </w:p>
        </w:tc>
      </w:tr>
      <w:tr w:rsidR="00EA3EC8" w:rsidRPr="007E3712" w14:paraId="1C1E2F95" w14:textId="77777777" w:rsidTr="00686DAF">
        <w:tc>
          <w:tcPr>
            <w:tcW w:w="586" w:type="dxa"/>
            <w:vAlign w:val="center"/>
          </w:tcPr>
          <w:p w14:paraId="698B32BE" w14:textId="78918CB5" w:rsidR="00EA3EC8" w:rsidRPr="00C75C0D" w:rsidRDefault="00EA3EC8" w:rsidP="00686D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6.</w:t>
            </w:r>
          </w:p>
        </w:tc>
        <w:tc>
          <w:tcPr>
            <w:tcW w:w="2372" w:type="dxa"/>
            <w:vAlign w:val="center"/>
          </w:tcPr>
          <w:p w14:paraId="676E9CFF" w14:textId="59DF60A3" w:rsidR="00EA3EC8" w:rsidRPr="00C75C0D" w:rsidRDefault="00EA3EC8" w:rsidP="00686D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 xml:space="preserve">TENENET </w:t>
            </w:r>
            <w:proofErr w:type="spellStart"/>
            <w:r w:rsidRPr="00C75C0D">
              <w:rPr>
                <w:rFonts w:ascii="Arial Narrow" w:hAnsi="Arial Narrow"/>
                <w:sz w:val="20"/>
                <w:szCs w:val="20"/>
              </w:rPr>
              <w:t>o.z</w:t>
            </w:r>
            <w:proofErr w:type="spellEnd"/>
            <w:r w:rsidRPr="00C75C0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636" w:type="dxa"/>
          </w:tcPr>
          <w:p w14:paraId="59E16300" w14:textId="0172C852" w:rsidR="00EA3EC8" w:rsidRPr="00C75C0D" w:rsidRDefault="00EA3EC8" w:rsidP="00686D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195" w:type="dxa"/>
          </w:tcPr>
          <w:p w14:paraId="56D65175" w14:textId="73B77CE3" w:rsidR="00EA3EC8" w:rsidRPr="00C75C0D" w:rsidRDefault="00F64790" w:rsidP="00686DA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MPSVaR SR,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MŠVVaM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SR, NIVAM, MS SR, MZ SR,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MZV</w:t>
            </w:r>
            <w:r w:rsidR="00024245">
              <w:rPr>
                <w:rFonts w:ascii="Arial Narrow" w:hAnsi="Arial Narrow"/>
                <w:sz w:val="20"/>
                <w:szCs w:val="20"/>
              </w:rPr>
              <w:t>aEZ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SR</w:t>
            </w:r>
            <w:r w:rsidR="00C864B8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>S</w:t>
            </w:r>
            <w:r w:rsidR="00C864B8">
              <w:rPr>
                <w:rFonts w:ascii="Arial Narrow" w:hAnsi="Arial Narrow"/>
                <w:sz w:val="20"/>
                <w:szCs w:val="20"/>
              </w:rPr>
              <w:t>lovenská</w:t>
            </w:r>
            <w:proofErr w:type="spellEnd"/>
            <w:r w:rsidR="00C864B8">
              <w:rPr>
                <w:rFonts w:ascii="Arial Narrow" w:hAnsi="Arial Narrow"/>
                <w:sz w:val="20"/>
                <w:szCs w:val="20"/>
              </w:rPr>
              <w:t xml:space="preserve"> agentúra pre medzinárodnú </w:t>
            </w:r>
            <w:proofErr w:type="spellStart"/>
            <w:r w:rsidR="00C864B8">
              <w:rPr>
                <w:rFonts w:ascii="Arial Narrow" w:hAnsi="Arial Narrow"/>
                <w:sz w:val="20"/>
                <w:szCs w:val="20"/>
              </w:rPr>
              <w:t>rozvojpvú</w:t>
            </w:r>
            <w:proofErr w:type="spellEnd"/>
            <w:r w:rsidR="00C864B8">
              <w:rPr>
                <w:rFonts w:ascii="Arial Narrow" w:hAnsi="Arial Narrow"/>
                <w:sz w:val="20"/>
                <w:szCs w:val="20"/>
              </w:rPr>
              <w:t xml:space="preserve"> spoluprácu (S</w:t>
            </w:r>
            <w:r>
              <w:rPr>
                <w:rFonts w:ascii="Arial Narrow" w:hAnsi="Arial Narrow"/>
                <w:sz w:val="20"/>
                <w:szCs w:val="20"/>
              </w:rPr>
              <w:t>AMRS</w:t>
            </w:r>
            <w:r w:rsidR="00C864B8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1402" w:type="dxa"/>
            <w:vAlign w:val="center"/>
          </w:tcPr>
          <w:p w14:paraId="369FDE07" w14:textId="1A3DFB17" w:rsidR="00EA3EC8" w:rsidRPr="00C75C0D" w:rsidRDefault="00EA3EC8" w:rsidP="00686DA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51</w:t>
            </w:r>
          </w:p>
        </w:tc>
        <w:tc>
          <w:tcPr>
            <w:tcW w:w="1302" w:type="dxa"/>
            <w:vAlign w:val="center"/>
          </w:tcPr>
          <w:p w14:paraId="2E158304" w14:textId="415772E5" w:rsidR="00EA3EC8" w:rsidRPr="00C75C0D" w:rsidRDefault="00EA3EC8" w:rsidP="00686DA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5 062 319,82</w:t>
            </w:r>
          </w:p>
        </w:tc>
      </w:tr>
      <w:tr w:rsidR="00EA3EC8" w:rsidRPr="007E3712" w14:paraId="35C1411F" w14:textId="77777777" w:rsidTr="00686DAF">
        <w:tc>
          <w:tcPr>
            <w:tcW w:w="586" w:type="dxa"/>
            <w:vAlign w:val="center"/>
          </w:tcPr>
          <w:p w14:paraId="0C4613D0" w14:textId="70E16B06" w:rsidR="00EA3EC8" w:rsidRPr="00C75C0D" w:rsidRDefault="00EA3EC8" w:rsidP="00686D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7.</w:t>
            </w:r>
          </w:p>
        </w:tc>
        <w:tc>
          <w:tcPr>
            <w:tcW w:w="2372" w:type="dxa"/>
            <w:vAlign w:val="center"/>
          </w:tcPr>
          <w:p w14:paraId="43756B50" w14:textId="1C268196" w:rsidR="00EA3EC8" w:rsidRPr="00C75C0D" w:rsidRDefault="00EA3EC8" w:rsidP="00686D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 xml:space="preserve">Človek v ohrození, </w:t>
            </w:r>
            <w:proofErr w:type="spellStart"/>
            <w:r w:rsidRPr="00C75C0D">
              <w:rPr>
                <w:rFonts w:ascii="Arial Narrow" w:hAnsi="Arial Narrow"/>
                <w:sz w:val="20"/>
                <w:szCs w:val="20"/>
              </w:rPr>
              <w:t>n.o</w:t>
            </w:r>
            <w:proofErr w:type="spellEnd"/>
            <w:r w:rsidRPr="00C75C0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636" w:type="dxa"/>
          </w:tcPr>
          <w:p w14:paraId="1D4C060F" w14:textId="2B7BAF15" w:rsidR="00EA3EC8" w:rsidRPr="00C75C0D" w:rsidRDefault="00EA3EC8" w:rsidP="00686D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3195" w:type="dxa"/>
          </w:tcPr>
          <w:p w14:paraId="5248CC08" w14:textId="5396E0C0" w:rsidR="00EA3EC8" w:rsidRPr="00C75C0D" w:rsidRDefault="001D5FE3" w:rsidP="00686DA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MPSVaR SR,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MŠVVaM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SR, SAMRS, MV SR, MS SR, Audiovizuálny fond, ÚV SR, MIRRI SR</w:t>
            </w:r>
          </w:p>
        </w:tc>
        <w:tc>
          <w:tcPr>
            <w:tcW w:w="1402" w:type="dxa"/>
            <w:vAlign w:val="center"/>
          </w:tcPr>
          <w:p w14:paraId="08914066" w14:textId="76FFE6DE" w:rsidR="00EA3EC8" w:rsidRPr="00C75C0D" w:rsidRDefault="00EA3EC8" w:rsidP="00686DA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63</w:t>
            </w:r>
          </w:p>
        </w:tc>
        <w:tc>
          <w:tcPr>
            <w:tcW w:w="1302" w:type="dxa"/>
            <w:vAlign w:val="center"/>
          </w:tcPr>
          <w:p w14:paraId="47603F74" w14:textId="52DF8465" w:rsidR="00EA3EC8" w:rsidRPr="00C75C0D" w:rsidRDefault="00EA3EC8" w:rsidP="00686DA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4 817 008,93</w:t>
            </w:r>
          </w:p>
        </w:tc>
      </w:tr>
      <w:tr w:rsidR="00EA3EC8" w:rsidRPr="007E3712" w14:paraId="0B3E5427" w14:textId="77777777" w:rsidTr="00686DAF">
        <w:tc>
          <w:tcPr>
            <w:tcW w:w="586" w:type="dxa"/>
            <w:vAlign w:val="center"/>
          </w:tcPr>
          <w:p w14:paraId="0A6910B2" w14:textId="215B10A0" w:rsidR="00EA3EC8" w:rsidRPr="00C75C0D" w:rsidRDefault="00EA3EC8" w:rsidP="00686D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8.</w:t>
            </w:r>
          </w:p>
        </w:tc>
        <w:tc>
          <w:tcPr>
            <w:tcW w:w="2372" w:type="dxa"/>
            <w:vAlign w:val="center"/>
          </w:tcPr>
          <w:p w14:paraId="0CF28CB9" w14:textId="7772CE81" w:rsidR="00EA3EC8" w:rsidRPr="00C75C0D" w:rsidRDefault="00EA3EC8" w:rsidP="00686D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75C0D">
              <w:rPr>
                <w:rFonts w:ascii="Arial Narrow" w:hAnsi="Arial Narrow"/>
                <w:sz w:val="20"/>
                <w:szCs w:val="20"/>
              </w:rPr>
              <w:t>Impact</w:t>
            </w:r>
            <w:proofErr w:type="spellEnd"/>
            <w:r w:rsidRPr="00C75C0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C75C0D">
              <w:rPr>
                <w:rFonts w:ascii="Arial Narrow" w:hAnsi="Arial Narrow"/>
                <w:sz w:val="20"/>
                <w:szCs w:val="20"/>
              </w:rPr>
              <w:t>Games</w:t>
            </w:r>
            <w:proofErr w:type="spellEnd"/>
          </w:p>
        </w:tc>
        <w:tc>
          <w:tcPr>
            <w:tcW w:w="636" w:type="dxa"/>
          </w:tcPr>
          <w:p w14:paraId="28E69088" w14:textId="42F8826F" w:rsidR="00EA3EC8" w:rsidRPr="00C75C0D" w:rsidRDefault="00EA3EC8" w:rsidP="00686D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195" w:type="dxa"/>
          </w:tcPr>
          <w:p w14:paraId="144B67FE" w14:textId="47E5CA88" w:rsidR="00EA3EC8" w:rsidRPr="00C75C0D" w:rsidRDefault="00EA3EC8" w:rsidP="00686DAF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66CA6">
              <w:rPr>
                <w:rFonts w:ascii="Arial Narrow" w:hAnsi="Arial Narrow"/>
                <w:sz w:val="20"/>
                <w:szCs w:val="20"/>
              </w:rPr>
              <w:t>MŠVVaM</w:t>
            </w:r>
            <w:proofErr w:type="spellEnd"/>
            <w:r w:rsidRPr="00866CA6">
              <w:rPr>
                <w:rFonts w:ascii="Arial Narrow" w:hAnsi="Arial Narrow"/>
                <w:sz w:val="20"/>
                <w:szCs w:val="20"/>
              </w:rPr>
              <w:t xml:space="preserve"> SR</w:t>
            </w:r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866CA6">
              <w:rPr>
                <w:rFonts w:ascii="Arial Narrow" w:hAnsi="Arial Narrow"/>
                <w:sz w:val="20"/>
                <w:szCs w:val="20"/>
              </w:rPr>
              <w:t>MS SR</w:t>
            </w:r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866CA6">
              <w:rPr>
                <w:rFonts w:ascii="Arial Narrow" w:hAnsi="Arial Narrow"/>
                <w:sz w:val="20"/>
                <w:szCs w:val="20"/>
              </w:rPr>
              <w:t>MZV</w:t>
            </w:r>
            <w:r w:rsidR="00024245">
              <w:rPr>
                <w:rFonts w:ascii="Arial Narrow" w:hAnsi="Arial Narrow"/>
                <w:sz w:val="20"/>
                <w:szCs w:val="20"/>
              </w:rPr>
              <w:t>aEZ</w:t>
            </w:r>
            <w:proofErr w:type="spellEnd"/>
            <w:r w:rsidRPr="00866CA6">
              <w:rPr>
                <w:rFonts w:ascii="Arial Narrow" w:hAnsi="Arial Narrow"/>
                <w:sz w:val="20"/>
                <w:szCs w:val="20"/>
              </w:rPr>
              <w:t xml:space="preserve"> SR</w:t>
            </w:r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866CA6">
              <w:rPr>
                <w:rFonts w:ascii="Arial Narrow" w:hAnsi="Arial Narrow"/>
                <w:sz w:val="20"/>
                <w:szCs w:val="20"/>
              </w:rPr>
              <w:t>FPU</w:t>
            </w:r>
          </w:p>
        </w:tc>
        <w:tc>
          <w:tcPr>
            <w:tcW w:w="1402" w:type="dxa"/>
            <w:vAlign w:val="center"/>
          </w:tcPr>
          <w:p w14:paraId="304380FB" w14:textId="4DC832A3" w:rsidR="00EA3EC8" w:rsidRPr="00C75C0D" w:rsidRDefault="00EA3EC8" w:rsidP="00686DA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1302" w:type="dxa"/>
            <w:vAlign w:val="center"/>
          </w:tcPr>
          <w:p w14:paraId="28B7F347" w14:textId="63E70249" w:rsidR="00EA3EC8" w:rsidRPr="00C75C0D" w:rsidRDefault="00EA3EC8" w:rsidP="00686DA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293 225,21</w:t>
            </w:r>
          </w:p>
        </w:tc>
      </w:tr>
      <w:tr w:rsidR="00EA3EC8" w:rsidRPr="007E3712" w14:paraId="3056EA3F" w14:textId="77777777" w:rsidTr="00686DAF">
        <w:tc>
          <w:tcPr>
            <w:tcW w:w="586" w:type="dxa"/>
            <w:vAlign w:val="center"/>
          </w:tcPr>
          <w:p w14:paraId="7D133093" w14:textId="3BD68541" w:rsidR="00EA3EC8" w:rsidRPr="00C75C0D" w:rsidRDefault="00EA3EC8" w:rsidP="00686D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</w:t>
            </w:r>
          </w:p>
        </w:tc>
        <w:tc>
          <w:tcPr>
            <w:tcW w:w="2372" w:type="dxa"/>
            <w:vAlign w:val="center"/>
          </w:tcPr>
          <w:p w14:paraId="6B8A3FC1" w14:textId="7BB22A71" w:rsidR="00EA3EC8" w:rsidRPr="00C75C0D" w:rsidRDefault="00EA3EC8" w:rsidP="00686D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 xml:space="preserve">Rock Pop Bratislava </w:t>
            </w:r>
            <w:proofErr w:type="spellStart"/>
            <w:r w:rsidRPr="00C75C0D">
              <w:rPr>
                <w:rFonts w:ascii="Arial Narrow" w:hAnsi="Arial Narrow"/>
                <w:sz w:val="20"/>
                <w:szCs w:val="20"/>
              </w:rPr>
              <w:t>s.r.o</w:t>
            </w:r>
            <w:proofErr w:type="spellEnd"/>
            <w:r w:rsidRPr="00C75C0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636" w:type="dxa"/>
          </w:tcPr>
          <w:p w14:paraId="2EA47F36" w14:textId="52B0BE71" w:rsidR="00EA3EC8" w:rsidRPr="00C75C0D" w:rsidRDefault="00EA3EC8" w:rsidP="00686D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195" w:type="dxa"/>
          </w:tcPr>
          <w:p w14:paraId="77B19A18" w14:textId="5A7A77A8" w:rsidR="00EA3EC8" w:rsidRPr="00C75C0D" w:rsidRDefault="00EA3EC8" w:rsidP="00686DA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MK SR, MH SR, FPU</w:t>
            </w:r>
          </w:p>
        </w:tc>
        <w:tc>
          <w:tcPr>
            <w:tcW w:w="1402" w:type="dxa"/>
            <w:vAlign w:val="center"/>
          </w:tcPr>
          <w:p w14:paraId="77B114AE" w14:textId="2BE12768" w:rsidR="00EA3EC8" w:rsidRPr="00C75C0D" w:rsidRDefault="00EA3EC8" w:rsidP="00686DA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1302" w:type="dxa"/>
            <w:vAlign w:val="center"/>
          </w:tcPr>
          <w:p w14:paraId="5F733DC9" w14:textId="304FA46E" w:rsidR="00EA3EC8" w:rsidRPr="00C75C0D" w:rsidRDefault="00EA3EC8" w:rsidP="00686DA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532 199,75</w:t>
            </w:r>
          </w:p>
        </w:tc>
      </w:tr>
      <w:tr w:rsidR="00EA3EC8" w:rsidRPr="007E3712" w14:paraId="2481C4E3" w14:textId="77777777" w:rsidTr="00686DAF">
        <w:tc>
          <w:tcPr>
            <w:tcW w:w="586" w:type="dxa"/>
            <w:vAlign w:val="center"/>
          </w:tcPr>
          <w:p w14:paraId="594E3CB5" w14:textId="4F3A65C5" w:rsidR="00EA3EC8" w:rsidRPr="00C75C0D" w:rsidRDefault="00EA3EC8" w:rsidP="00686D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10.</w:t>
            </w:r>
          </w:p>
        </w:tc>
        <w:tc>
          <w:tcPr>
            <w:tcW w:w="2372" w:type="dxa"/>
            <w:vAlign w:val="center"/>
          </w:tcPr>
          <w:p w14:paraId="35072328" w14:textId="643B7D99" w:rsidR="00EA3EC8" w:rsidRPr="00C75C0D" w:rsidRDefault="00EA3EC8" w:rsidP="00686D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75C0D">
              <w:rPr>
                <w:rFonts w:ascii="Arial Narrow" w:hAnsi="Arial Narrow"/>
                <w:sz w:val="20"/>
                <w:szCs w:val="20"/>
              </w:rPr>
              <w:t>Music</w:t>
            </w:r>
            <w:proofErr w:type="spellEnd"/>
            <w:r w:rsidRPr="00C75C0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C75C0D">
              <w:rPr>
                <w:rFonts w:ascii="Arial Narrow" w:hAnsi="Arial Narrow"/>
                <w:sz w:val="20"/>
                <w:szCs w:val="20"/>
              </w:rPr>
              <w:t>Gallery</w:t>
            </w:r>
            <w:proofErr w:type="spellEnd"/>
            <w:r w:rsidRPr="00C75C0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C75C0D">
              <w:rPr>
                <w:rFonts w:ascii="Arial Narrow" w:hAnsi="Arial Narrow"/>
                <w:sz w:val="20"/>
                <w:szCs w:val="20"/>
              </w:rPr>
              <w:t>s.r.o</w:t>
            </w:r>
            <w:proofErr w:type="spellEnd"/>
            <w:r w:rsidRPr="00C75C0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636" w:type="dxa"/>
          </w:tcPr>
          <w:p w14:paraId="3E4A65A7" w14:textId="6186DC9A" w:rsidR="00EA3EC8" w:rsidRPr="00C75C0D" w:rsidRDefault="00EA3EC8" w:rsidP="00686D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195" w:type="dxa"/>
          </w:tcPr>
          <w:p w14:paraId="6322718D" w14:textId="63BE598A" w:rsidR="00EA3EC8" w:rsidRPr="00C75C0D" w:rsidRDefault="00EA3EC8" w:rsidP="00686DA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MK SR, MH SR, FPU</w:t>
            </w:r>
          </w:p>
        </w:tc>
        <w:tc>
          <w:tcPr>
            <w:tcW w:w="1402" w:type="dxa"/>
            <w:vAlign w:val="center"/>
          </w:tcPr>
          <w:p w14:paraId="472A9C4C" w14:textId="73717856" w:rsidR="00EA3EC8" w:rsidRPr="00C75C0D" w:rsidRDefault="00EA3EC8" w:rsidP="00686DA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1302" w:type="dxa"/>
            <w:vAlign w:val="center"/>
          </w:tcPr>
          <w:p w14:paraId="48BAE746" w14:textId="7A63D7BD" w:rsidR="00EA3EC8" w:rsidRPr="00C75C0D" w:rsidRDefault="00EA3EC8" w:rsidP="00686DA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568 229,28</w:t>
            </w:r>
          </w:p>
        </w:tc>
      </w:tr>
      <w:tr w:rsidR="00EA3EC8" w:rsidRPr="007E3712" w14:paraId="72D67A7F" w14:textId="77777777" w:rsidTr="00686DAF">
        <w:tc>
          <w:tcPr>
            <w:tcW w:w="586" w:type="dxa"/>
            <w:vAlign w:val="center"/>
          </w:tcPr>
          <w:p w14:paraId="0FA823BE" w14:textId="0EF47661" w:rsidR="00EA3EC8" w:rsidRPr="00C75C0D" w:rsidRDefault="00EA3EC8" w:rsidP="00686D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</w:t>
            </w:r>
          </w:p>
        </w:tc>
        <w:tc>
          <w:tcPr>
            <w:tcW w:w="2372" w:type="dxa"/>
            <w:vAlign w:val="center"/>
          </w:tcPr>
          <w:p w14:paraId="57131C9F" w14:textId="297BDBB3" w:rsidR="00EA3EC8" w:rsidRPr="00C75C0D" w:rsidRDefault="00EA3EC8" w:rsidP="00686D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 xml:space="preserve">Divadlo Viola </w:t>
            </w:r>
            <w:proofErr w:type="spellStart"/>
            <w:r w:rsidRPr="00C75C0D">
              <w:rPr>
                <w:rFonts w:ascii="Arial Narrow" w:hAnsi="Arial Narrow"/>
                <w:sz w:val="20"/>
                <w:szCs w:val="20"/>
              </w:rPr>
              <w:t>s.r.o</w:t>
            </w:r>
            <w:proofErr w:type="spellEnd"/>
            <w:r w:rsidRPr="00C75C0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636" w:type="dxa"/>
          </w:tcPr>
          <w:p w14:paraId="48E86290" w14:textId="32E56B3B" w:rsidR="00EA3EC8" w:rsidRPr="00C75C0D" w:rsidRDefault="00876398" w:rsidP="00686D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195" w:type="dxa"/>
          </w:tcPr>
          <w:p w14:paraId="18CCE9B0" w14:textId="491CC913" w:rsidR="00EA3EC8" w:rsidRPr="00C75C0D" w:rsidRDefault="00876398" w:rsidP="00686DA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MK SR,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MŠVVaM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SR, FPU, FPKNM</w:t>
            </w:r>
          </w:p>
        </w:tc>
        <w:tc>
          <w:tcPr>
            <w:tcW w:w="1402" w:type="dxa"/>
            <w:vAlign w:val="center"/>
          </w:tcPr>
          <w:p w14:paraId="161A0874" w14:textId="3B6B273C" w:rsidR="00EA3EC8" w:rsidRPr="00C75C0D" w:rsidRDefault="00EA3EC8" w:rsidP="00686DA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47</w:t>
            </w:r>
          </w:p>
        </w:tc>
        <w:tc>
          <w:tcPr>
            <w:tcW w:w="1302" w:type="dxa"/>
            <w:vAlign w:val="center"/>
          </w:tcPr>
          <w:p w14:paraId="7FC31152" w14:textId="63586E4F" w:rsidR="00EA3EC8" w:rsidRPr="00C75C0D" w:rsidRDefault="00EA3EC8" w:rsidP="00686DA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392 287,00</w:t>
            </w:r>
          </w:p>
        </w:tc>
      </w:tr>
      <w:tr w:rsidR="00EA3EC8" w:rsidRPr="007E3712" w14:paraId="73CBB1AA" w14:textId="77777777" w:rsidTr="00686DAF">
        <w:tc>
          <w:tcPr>
            <w:tcW w:w="586" w:type="dxa"/>
            <w:vAlign w:val="center"/>
          </w:tcPr>
          <w:p w14:paraId="212F4363" w14:textId="0EADB77F" w:rsidR="00EA3EC8" w:rsidRPr="00C75C0D" w:rsidRDefault="00EA3EC8" w:rsidP="00686D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</w:t>
            </w:r>
          </w:p>
        </w:tc>
        <w:tc>
          <w:tcPr>
            <w:tcW w:w="2372" w:type="dxa"/>
            <w:vAlign w:val="center"/>
          </w:tcPr>
          <w:p w14:paraId="62275489" w14:textId="406FEEF7" w:rsidR="00EA3EC8" w:rsidRPr="00C75C0D" w:rsidRDefault="00EA3EC8" w:rsidP="00686D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Hlavné mesto Slovenskej republiky Bratislava</w:t>
            </w:r>
          </w:p>
        </w:tc>
        <w:tc>
          <w:tcPr>
            <w:tcW w:w="636" w:type="dxa"/>
          </w:tcPr>
          <w:p w14:paraId="321931A1" w14:textId="13DD03E2" w:rsidR="00EA3EC8" w:rsidRPr="00C75C0D" w:rsidRDefault="00EA3EC8" w:rsidP="00686D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195" w:type="dxa"/>
          </w:tcPr>
          <w:p w14:paraId="5EC33843" w14:textId="315A7146" w:rsidR="00EA3EC8" w:rsidRPr="00C75C0D" w:rsidRDefault="00EA3EC8" w:rsidP="00686DA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MF SR, MV SR, ÚV SR</w:t>
            </w:r>
          </w:p>
        </w:tc>
        <w:tc>
          <w:tcPr>
            <w:tcW w:w="1402" w:type="dxa"/>
            <w:vAlign w:val="center"/>
          </w:tcPr>
          <w:p w14:paraId="0B91AB62" w14:textId="082DC3F5" w:rsidR="00EA3EC8" w:rsidRPr="00C75C0D" w:rsidRDefault="00EA3EC8" w:rsidP="00686DA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1302" w:type="dxa"/>
            <w:vAlign w:val="center"/>
          </w:tcPr>
          <w:p w14:paraId="6E68836C" w14:textId="528CC841" w:rsidR="00EA3EC8" w:rsidRPr="00C75C0D" w:rsidRDefault="00EA3EC8" w:rsidP="00686DA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1 435 514,70</w:t>
            </w:r>
          </w:p>
        </w:tc>
      </w:tr>
      <w:tr w:rsidR="00EA3EC8" w:rsidRPr="007E3712" w14:paraId="00CC5003" w14:textId="77777777" w:rsidTr="00686DAF">
        <w:trPr>
          <w:trHeight w:val="234"/>
        </w:trPr>
        <w:tc>
          <w:tcPr>
            <w:tcW w:w="586" w:type="dxa"/>
            <w:vAlign w:val="center"/>
          </w:tcPr>
          <w:p w14:paraId="7D349C1F" w14:textId="1CD34818" w:rsidR="00EA3EC8" w:rsidRPr="00C75C0D" w:rsidRDefault="00EA3EC8" w:rsidP="00686D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13.</w:t>
            </w:r>
          </w:p>
        </w:tc>
        <w:tc>
          <w:tcPr>
            <w:tcW w:w="2372" w:type="dxa"/>
            <w:vAlign w:val="center"/>
          </w:tcPr>
          <w:p w14:paraId="11C6FE2C" w14:textId="2D38F5A6" w:rsidR="00EA3EC8" w:rsidRPr="00C75C0D" w:rsidRDefault="00EA3EC8" w:rsidP="00686D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Rímskokatolícka cirkev, Bratislavská arcidiecéza</w:t>
            </w:r>
          </w:p>
        </w:tc>
        <w:tc>
          <w:tcPr>
            <w:tcW w:w="636" w:type="dxa"/>
          </w:tcPr>
          <w:p w14:paraId="2EC130A5" w14:textId="20EABB29" w:rsidR="00EA3EC8" w:rsidRPr="00C75C0D" w:rsidRDefault="00EA3EC8" w:rsidP="00686D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195" w:type="dxa"/>
          </w:tcPr>
          <w:p w14:paraId="2A6AE4E6" w14:textId="0554F72F" w:rsidR="00EA3EC8" w:rsidRPr="00C75C0D" w:rsidRDefault="000B02B0" w:rsidP="00686DA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MF SR, Fond na podporu športu, MIRRI SR, MK SR,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MŠVVaM</w:t>
            </w:r>
            <w:proofErr w:type="spellEnd"/>
            <w:r w:rsidR="004F39C6">
              <w:rPr>
                <w:rFonts w:ascii="Arial Narrow" w:hAnsi="Arial Narrow"/>
                <w:sz w:val="20"/>
                <w:szCs w:val="20"/>
              </w:rPr>
              <w:t xml:space="preserve"> SR</w:t>
            </w:r>
            <w:r>
              <w:rPr>
                <w:rFonts w:ascii="Arial Narrow" w:hAnsi="Arial Narrow"/>
                <w:sz w:val="20"/>
                <w:szCs w:val="20"/>
              </w:rPr>
              <w:t>, ÚV SR,</w:t>
            </w:r>
          </w:p>
        </w:tc>
        <w:tc>
          <w:tcPr>
            <w:tcW w:w="1402" w:type="dxa"/>
            <w:vAlign w:val="center"/>
          </w:tcPr>
          <w:p w14:paraId="4473F325" w14:textId="02524D44" w:rsidR="00EA3EC8" w:rsidRPr="00C75C0D" w:rsidRDefault="00EA3EC8" w:rsidP="00686DA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1302" w:type="dxa"/>
            <w:vAlign w:val="center"/>
          </w:tcPr>
          <w:p w14:paraId="2F43BE0A" w14:textId="7DEB539B" w:rsidR="00EA3EC8" w:rsidRPr="00C75C0D" w:rsidRDefault="00EA3EC8" w:rsidP="00686DA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2 791 498,62</w:t>
            </w:r>
          </w:p>
        </w:tc>
      </w:tr>
      <w:tr w:rsidR="00EA3EC8" w:rsidRPr="007E3712" w14:paraId="2FF046C1" w14:textId="77777777" w:rsidTr="00686DAF">
        <w:tc>
          <w:tcPr>
            <w:tcW w:w="586" w:type="dxa"/>
            <w:vAlign w:val="center"/>
          </w:tcPr>
          <w:p w14:paraId="16218F31" w14:textId="31CDA313" w:rsidR="00EA3EC8" w:rsidRPr="00C75C0D" w:rsidRDefault="00EA3EC8" w:rsidP="00686D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14.</w:t>
            </w:r>
          </w:p>
        </w:tc>
        <w:tc>
          <w:tcPr>
            <w:tcW w:w="2372" w:type="dxa"/>
            <w:vAlign w:val="center"/>
          </w:tcPr>
          <w:p w14:paraId="0554BE58" w14:textId="665641A7" w:rsidR="00EA3EC8" w:rsidRPr="00C75C0D" w:rsidRDefault="00EA3EC8" w:rsidP="00686D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Ústav zoológie Slovenskej akadémie vied</w:t>
            </w:r>
          </w:p>
        </w:tc>
        <w:tc>
          <w:tcPr>
            <w:tcW w:w="636" w:type="dxa"/>
          </w:tcPr>
          <w:p w14:paraId="4C4E945D" w14:textId="681AE75D" w:rsidR="00EA3EC8" w:rsidRPr="00C75C0D" w:rsidRDefault="00EA3EC8" w:rsidP="00686D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195" w:type="dxa"/>
          </w:tcPr>
          <w:p w14:paraId="52ADDDBB" w14:textId="4139B228" w:rsidR="00EA3EC8" w:rsidRPr="00C75C0D" w:rsidRDefault="000B02B0" w:rsidP="00686DAF">
            <w:pPr>
              <w:tabs>
                <w:tab w:val="left" w:pos="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MH SR,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MŠVVaM</w:t>
            </w:r>
            <w:proofErr w:type="spellEnd"/>
            <w:r w:rsidR="00C70F30">
              <w:rPr>
                <w:rFonts w:ascii="Arial Narrow" w:hAnsi="Arial Narrow"/>
                <w:sz w:val="20"/>
                <w:szCs w:val="20"/>
              </w:rPr>
              <w:t xml:space="preserve"> SR</w:t>
            </w:r>
            <w:r>
              <w:rPr>
                <w:rFonts w:ascii="Arial Narrow" w:hAnsi="Arial Narrow"/>
                <w:sz w:val="20"/>
                <w:szCs w:val="20"/>
              </w:rPr>
              <w:t>, ÚV SR</w:t>
            </w:r>
          </w:p>
        </w:tc>
        <w:tc>
          <w:tcPr>
            <w:tcW w:w="1402" w:type="dxa"/>
            <w:vAlign w:val="center"/>
          </w:tcPr>
          <w:p w14:paraId="7D9E8860" w14:textId="61DC1210" w:rsidR="00EA3EC8" w:rsidRPr="00C75C0D" w:rsidRDefault="00EA3EC8" w:rsidP="00686DA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1302" w:type="dxa"/>
            <w:vAlign w:val="center"/>
          </w:tcPr>
          <w:p w14:paraId="45E2CDDA" w14:textId="47F35406" w:rsidR="00EA3EC8" w:rsidRPr="00C75C0D" w:rsidRDefault="00EA3EC8" w:rsidP="00686DA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1 854 307,82</w:t>
            </w:r>
          </w:p>
        </w:tc>
      </w:tr>
      <w:tr w:rsidR="00EA3EC8" w:rsidRPr="007E3712" w14:paraId="62E3F352" w14:textId="77777777" w:rsidTr="00686DAF">
        <w:tc>
          <w:tcPr>
            <w:tcW w:w="586" w:type="dxa"/>
            <w:vAlign w:val="center"/>
          </w:tcPr>
          <w:p w14:paraId="46B0B024" w14:textId="249C78D0" w:rsidR="00EA3EC8" w:rsidRPr="00C75C0D" w:rsidRDefault="00EA3EC8" w:rsidP="00686D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</w:t>
            </w:r>
          </w:p>
        </w:tc>
        <w:tc>
          <w:tcPr>
            <w:tcW w:w="2372" w:type="dxa"/>
            <w:vAlign w:val="center"/>
          </w:tcPr>
          <w:p w14:paraId="330C9A26" w14:textId="207F1761" w:rsidR="00EA3EC8" w:rsidRPr="00C75C0D" w:rsidRDefault="00EA3EC8" w:rsidP="00686D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 xml:space="preserve">TEKMAR SLOVENSKO, </w:t>
            </w:r>
            <w:proofErr w:type="spellStart"/>
            <w:r w:rsidRPr="00C75C0D">
              <w:rPr>
                <w:rFonts w:ascii="Arial Narrow" w:hAnsi="Arial Narrow"/>
                <w:sz w:val="20"/>
                <w:szCs w:val="20"/>
              </w:rPr>
              <w:t>s.r.o</w:t>
            </w:r>
            <w:proofErr w:type="spellEnd"/>
            <w:r w:rsidRPr="00C75C0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636" w:type="dxa"/>
          </w:tcPr>
          <w:p w14:paraId="7ACD2C97" w14:textId="264F74C7" w:rsidR="00EA3EC8" w:rsidRPr="00C75C0D" w:rsidRDefault="001D5FE3" w:rsidP="00686D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195" w:type="dxa"/>
          </w:tcPr>
          <w:p w14:paraId="367806B2" w14:textId="33787712" w:rsidR="00EA3EC8" w:rsidRPr="00C75C0D" w:rsidRDefault="001D5FE3" w:rsidP="00686DA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MH SR, S</w:t>
            </w:r>
            <w:r w:rsidR="00C864B8">
              <w:rPr>
                <w:rFonts w:ascii="Arial Narrow" w:hAnsi="Arial Narrow"/>
                <w:sz w:val="20"/>
                <w:szCs w:val="20"/>
              </w:rPr>
              <w:t>lovenská agentúra pre rozvoj investícii a obchodu</w:t>
            </w:r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MŠVVaM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SR, P</w:t>
            </w:r>
            <w:r w:rsidR="00C864B8">
              <w:rPr>
                <w:rFonts w:ascii="Arial Narrow" w:hAnsi="Arial Narrow"/>
                <w:sz w:val="20"/>
                <w:szCs w:val="20"/>
              </w:rPr>
              <w:t>ôdohospodárska platobná agentúra</w:t>
            </w:r>
          </w:p>
        </w:tc>
        <w:tc>
          <w:tcPr>
            <w:tcW w:w="1402" w:type="dxa"/>
            <w:vAlign w:val="center"/>
          </w:tcPr>
          <w:p w14:paraId="2C34A9A6" w14:textId="73203AAD" w:rsidR="00EA3EC8" w:rsidRPr="00C75C0D" w:rsidRDefault="00EA3EC8" w:rsidP="00686DA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302" w:type="dxa"/>
            <w:vAlign w:val="center"/>
          </w:tcPr>
          <w:p w14:paraId="7B5D0477" w14:textId="5CEB479D" w:rsidR="00EA3EC8" w:rsidRPr="00C75C0D" w:rsidRDefault="00EA3EC8" w:rsidP="00686DA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1 981 427,91</w:t>
            </w:r>
          </w:p>
        </w:tc>
      </w:tr>
      <w:tr w:rsidR="00EA3EC8" w:rsidRPr="007E3712" w14:paraId="0108338E" w14:textId="77777777" w:rsidTr="00686DAF">
        <w:tc>
          <w:tcPr>
            <w:tcW w:w="586" w:type="dxa"/>
            <w:vAlign w:val="center"/>
          </w:tcPr>
          <w:p w14:paraId="68B19EE9" w14:textId="442D7033" w:rsidR="00EA3EC8" w:rsidRPr="00C75C0D" w:rsidRDefault="00EA3EC8" w:rsidP="00686D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16.</w:t>
            </w:r>
          </w:p>
        </w:tc>
        <w:tc>
          <w:tcPr>
            <w:tcW w:w="2372" w:type="dxa"/>
            <w:vAlign w:val="center"/>
          </w:tcPr>
          <w:p w14:paraId="54594601" w14:textId="03622EFF" w:rsidR="00EA3EC8" w:rsidRPr="00C75C0D" w:rsidRDefault="00EA3EC8" w:rsidP="00686D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Asociácia pre mládež, vedu a techniku</w:t>
            </w:r>
          </w:p>
        </w:tc>
        <w:tc>
          <w:tcPr>
            <w:tcW w:w="636" w:type="dxa"/>
          </w:tcPr>
          <w:p w14:paraId="3B9BDB28" w14:textId="625FD8C6" w:rsidR="00EA3EC8" w:rsidRPr="00C75C0D" w:rsidRDefault="00EA3EC8" w:rsidP="00686D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195" w:type="dxa"/>
          </w:tcPr>
          <w:p w14:paraId="2D1C77CD" w14:textId="5E2154BF" w:rsidR="00EA3EC8" w:rsidRPr="00C75C0D" w:rsidRDefault="008C54F7" w:rsidP="00686DA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MCR</w:t>
            </w:r>
            <w:r w:rsidR="00C70F30">
              <w:rPr>
                <w:rFonts w:ascii="Arial Narrow" w:hAnsi="Arial Narrow"/>
                <w:sz w:val="20"/>
                <w:szCs w:val="20"/>
              </w:rPr>
              <w:t>a</w:t>
            </w:r>
            <w:r>
              <w:rPr>
                <w:rFonts w:ascii="Arial Narrow" w:hAnsi="Arial Narrow"/>
                <w:sz w:val="20"/>
                <w:szCs w:val="20"/>
              </w:rPr>
              <w:t>Š SR, MPSV</w:t>
            </w:r>
            <w:r w:rsidR="00024245">
              <w:rPr>
                <w:rFonts w:ascii="Arial Narrow" w:hAnsi="Arial Narrow"/>
                <w:sz w:val="20"/>
                <w:szCs w:val="20"/>
              </w:rPr>
              <w:t>a</w:t>
            </w:r>
            <w:r>
              <w:rPr>
                <w:rFonts w:ascii="Arial Narrow" w:hAnsi="Arial Narrow"/>
                <w:sz w:val="20"/>
                <w:szCs w:val="20"/>
              </w:rPr>
              <w:t xml:space="preserve">R SR,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MŠVVaM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SR, MV SR, ÚV SR</w:t>
            </w:r>
          </w:p>
        </w:tc>
        <w:tc>
          <w:tcPr>
            <w:tcW w:w="1402" w:type="dxa"/>
            <w:vAlign w:val="center"/>
          </w:tcPr>
          <w:p w14:paraId="653355FC" w14:textId="35A59A47" w:rsidR="00EA3EC8" w:rsidRPr="00C75C0D" w:rsidRDefault="00EA3EC8" w:rsidP="00686DA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1302" w:type="dxa"/>
            <w:vAlign w:val="center"/>
          </w:tcPr>
          <w:p w14:paraId="7D76972F" w14:textId="49273F48" w:rsidR="00EA3EC8" w:rsidRPr="00C75C0D" w:rsidRDefault="00EA3EC8" w:rsidP="00686DA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1 943 032,64</w:t>
            </w:r>
          </w:p>
        </w:tc>
      </w:tr>
      <w:tr w:rsidR="00EA3EC8" w:rsidRPr="007E3712" w14:paraId="4CD40AB5" w14:textId="77777777" w:rsidTr="00686DAF">
        <w:tc>
          <w:tcPr>
            <w:tcW w:w="586" w:type="dxa"/>
            <w:vAlign w:val="center"/>
          </w:tcPr>
          <w:p w14:paraId="4EBD0E64" w14:textId="4258F772" w:rsidR="00EA3EC8" w:rsidRPr="00C75C0D" w:rsidRDefault="00EA3EC8" w:rsidP="00686D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372" w:type="dxa"/>
            <w:vAlign w:val="center"/>
          </w:tcPr>
          <w:p w14:paraId="73F5A24D" w14:textId="012A4C48" w:rsidR="00EA3EC8" w:rsidRPr="00C75C0D" w:rsidRDefault="00EA3EC8" w:rsidP="00686D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ETP Slovensko-Centrum pre udržateľný rozvoj (Stará Ľubovňa)</w:t>
            </w:r>
          </w:p>
        </w:tc>
        <w:tc>
          <w:tcPr>
            <w:tcW w:w="636" w:type="dxa"/>
          </w:tcPr>
          <w:p w14:paraId="57D37C68" w14:textId="120C1F0A" w:rsidR="00EA3EC8" w:rsidRPr="00C75C0D" w:rsidRDefault="00EA3EC8" w:rsidP="00686D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195" w:type="dxa"/>
          </w:tcPr>
          <w:p w14:paraId="276BE327" w14:textId="10D884D3" w:rsidR="00EA3EC8" w:rsidRPr="00C75C0D" w:rsidRDefault="00A63738" w:rsidP="00686DA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ÚV SR, MV SR, MPSVaR SR, MIRRI SR, FPKNM</w:t>
            </w:r>
          </w:p>
        </w:tc>
        <w:tc>
          <w:tcPr>
            <w:tcW w:w="1402" w:type="dxa"/>
            <w:vAlign w:val="center"/>
          </w:tcPr>
          <w:p w14:paraId="675889A1" w14:textId="382CBD6D" w:rsidR="00EA3EC8" w:rsidRPr="00C75C0D" w:rsidRDefault="00EA3EC8" w:rsidP="00686DA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1302" w:type="dxa"/>
            <w:vAlign w:val="center"/>
          </w:tcPr>
          <w:p w14:paraId="4AA4DC40" w14:textId="01B3808E" w:rsidR="00EA3EC8" w:rsidRPr="00C75C0D" w:rsidRDefault="00EA3EC8" w:rsidP="00686DA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874 289,21</w:t>
            </w:r>
          </w:p>
        </w:tc>
      </w:tr>
      <w:tr w:rsidR="00EA3EC8" w:rsidRPr="007E3712" w14:paraId="221B4743" w14:textId="77777777" w:rsidTr="00686DAF">
        <w:tc>
          <w:tcPr>
            <w:tcW w:w="586" w:type="dxa"/>
            <w:vAlign w:val="center"/>
          </w:tcPr>
          <w:p w14:paraId="70D646EE" w14:textId="1722F595" w:rsidR="00EA3EC8" w:rsidRPr="00C75C0D" w:rsidRDefault="00EA3EC8" w:rsidP="00686D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18.</w:t>
            </w:r>
          </w:p>
        </w:tc>
        <w:tc>
          <w:tcPr>
            <w:tcW w:w="2372" w:type="dxa"/>
            <w:vAlign w:val="center"/>
          </w:tcPr>
          <w:p w14:paraId="0F9924A0" w14:textId="45DE00EC" w:rsidR="00EA3EC8" w:rsidRPr="00C75C0D" w:rsidRDefault="00EA3EC8" w:rsidP="00686D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V.I.A.C. – Inštitút pre podporu a rozvoj mládeže</w:t>
            </w:r>
          </w:p>
        </w:tc>
        <w:tc>
          <w:tcPr>
            <w:tcW w:w="636" w:type="dxa"/>
          </w:tcPr>
          <w:p w14:paraId="169F43F8" w14:textId="760F86D1" w:rsidR="00EA3EC8" w:rsidRPr="00C75C0D" w:rsidRDefault="00EA3EC8" w:rsidP="00686D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195" w:type="dxa"/>
          </w:tcPr>
          <w:p w14:paraId="2D31532D" w14:textId="6E684C38" w:rsidR="00EA3EC8" w:rsidRPr="00C75C0D" w:rsidRDefault="00F20173" w:rsidP="00686DAF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MŠVVaM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SR, MPSVaR SR, MIRRI SR, ÚV SR, MH SR</w:t>
            </w:r>
          </w:p>
        </w:tc>
        <w:tc>
          <w:tcPr>
            <w:tcW w:w="1402" w:type="dxa"/>
            <w:vAlign w:val="center"/>
          </w:tcPr>
          <w:p w14:paraId="76FF48E0" w14:textId="70F61FDD" w:rsidR="00EA3EC8" w:rsidRPr="00C75C0D" w:rsidRDefault="00EA3EC8" w:rsidP="00686DA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54</w:t>
            </w:r>
          </w:p>
        </w:tc>
        <w:tc>
          <w:tcPr>
            <w:tcW w:w="1302" w:type="dxa"/>
            <w:vAlign w:val="center"/>
          </w:tcPr>
          <w:p w14:paraId="3A9B9F2A" w14:textId="5E57816E" w:rsidR="00EA3EC8" w:rsidRPr="00C75C0D" w:rsidRDefault="00EA3EC8" w:rsidP="00686DA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4 055 120,43</w:t>
            </w:r>
          </w:p>
        </w:tc>
      </w:tr>
      <w:tr w:rsidR="00EA3EC8" w:rsidRPr="007E3712" w14:paraId="4DE08909" w14:textId="77777777" w:rsidTr="00686DAF">
        <w:tc>
          <w:tcPr>
            <w:tcW w:w="586" w:type="dxa"/>
            <w:vAlign w:val="center"/>
          </w:tcPr>
          <w:p w14:paraId="391D81F4" w14:textId="4CB69B96" w:rsidR="00EA3EC8" w:rsidRPr="00C75C0D" w:rsidRDefault="00EA3EC8" w:rsidP="00686D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19.</w:t>
            </w:r>
          </w:p>
        </w:tc>
        <w:tc>
          <w:tcPr>
            <w:tcW w:w="2372" w:type="dxa"/>
            <w:vAlign w:val="center"/>
          </w:tcPr>
          <w:p w14:paraId="4853C17F" w14:textId="676C198F" w:rsidR="00EA3EC8" w:rsidRPr="00C75C0D" w:rsidRDefault="00EA3EC8" w:rsidP="00686D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 xml:space="preserve">ELEKTRO RECYCLING, </w:t>
            </w:r>
            <w:proofErr w:type="spellStart"/>
            <w:r w:rsidRPr="00C75C0D">
              <w:rPr>
                <w:rFonts w:ascii="Arial Narrow" w:hAnsi="Arial Narrow"/>
                <w:sz w:val="20"/>
                <w:szCs w:val="20"/>
              </w:rPr>
              <w:t>s.r.o</w:t>
            </w:r>
            <w:proofErr w:type="spellEnd"/>
            <w:r w:rsidRPr="00C75C0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636" w:type="dxa"/>
          </w:tcPr>
          <w:p w14:paraId="501EC679" w14:textId="513FAE90" w:rsidR="00EA3EC8" w:rsidRPr="00C75C0D" w:rsidRDefault="00A63738" w:rsidP="00686D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195" w:type="dxa"/>
          </w:tcPr>
          <w:p w14:paraId="2D4D5FE7" w14:textId="2F7CB612" w:rsidR="00EA3EC8" w:rsidRPr="00C75C0D" w:rsidRDefault="00A63738" w:rsidP="00686DA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MŽP SR, MH SR, Ú</w:t>
            </w:r>
            <w:r w:rsidR="00C864B8">
              <w:rPr>
                <w:rFonts w:ascii="Arial Narrow" w:hAnsi="Arial Narrow"/>
                <w:sz w:val="20"/>
                <w:szCs w:val="20"/>
              </w:rPr>
              <w:t>stredia práce sociálnych vecí a rodiny SR</w:t>
            </w:r>
            <w:r>
              <w:rPr>
                <w:rFonts w:ascii="Arial Narrow" w:hAnsi="Arial Narrow"/>
                <w:sz w:val="20"/>
                <w:szCs w:val="20"/>
              </w:rPr>
              <w:t>, MŠVVaŠ SR</w:t>
            </w:r>
          </w:p>
        </w:tc>
        <w:tc>
          <w:tcPr>
            <w:tcW w:w="1402" w:type="dxa"/>
            <w:vAlign w:val="center"/>
          </w:tcPr>
          <w:p w14:paraId="47B0F662" w14:textId="5850C2C8" w:rsidR="00EA3EC8" w:rsidRPr="00C75C0D" w:rsidRDefault="00EA3EC8" w:rsidP="00686DA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1302" w:type="dxa"/>
            <w:vAlign w:val="center"/>
          </w:tcPr>
          <w:p w14:paraId="6AE8F30D" w14:textId="5E0D3B7E" w:rsidR="00EA3EC8" w:rsidRPr="00C75C0D" w:rsidRDefault="00EA3EC8" w:rsidP="00686DA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1 758 417,78</w:t>
            </w:r>
          </w:p>
        </w:tc>
      </w:tr>
      <w:tr w:rsidR="00EA3EC8" w:rsidRPr="007E3712" w14:paraId="174A6B10" w14:textId="77777777" w:rsidTr="00686DAF">
        <w:tc>
          <w:tcPr>
            <w:tcW w:w="586" w:type="dxa"/>
            <w:vAlign w:val="center"/>
          </w:tcPr>
          <w:p w14:paraId="3086B33F" w14:textId="0943A74D" w:rsidR="00EA3EC8" w:rsidRPr="00C75C0D" w:rsidRDefault="00EA3EC8" w:rsidP="00686D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20.</w:t>
            </w:r>
          </w:p>
        </w:tc>
        <w:tc>
          <w:tcPr>
            <w:tcW w:w="2372" w:type="dxa"/>
            <w:vAlign w:val="center"/>
          </w:tcPr>
          <w:p w14:paraId="7AD68CCA" w14:textId="3C0F42E9" w:rsidR="00EA3EC8" w:rsidRPr="00C75C0D" w:rsidRDefault="00EA3EC8" w:rsidP="00686D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 xml:space="preserve">CHIRANA </w:t>
            </w:r>
            <w:proofErr w:type="spellStart"/>
            <w:r w:rsidRPr="00C75C0D">
              <w:rPr>
                <w:rFonts w:ascii="Arial Narrow" w:hAnsi="Arial Narrow"/>
                <w:sz w:val="20"/>
                <w:szCs w:val="20"/>
              </w:rPr>
              <w:t>Medical</w:t>
            </w:r>
            <w:proofErr w:type="spellEnd"/>
            <w:r w:rsidRPr="00C75C0D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C75C0D">
              <w:rPr>
                <w:rFonts w:ascii="Arial Narrow" w:hAnsi="Arial Narrow"/>
                <w:sz w:val="20"/>
                <w:szCs w:val="20"/>
              </w:rPr>
              <w:t>a.s</w:t>
            </w:r>
            <w:proofErr w:type="spellEnd"/>
            <w:r w:rsidRPr="00C75C0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636" w:type="dxa"/>
          </w:tcPr>
          <w:p w14:paraId="2E938FBA" w14:textId="1318B3F7" w:rsidR="00EA3EC8" w:rsidRPr="00C75C0D" w:rsidRDefault="00F20173" w:rsidP="00686D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195" w:type="dxa"/>
          </w:tcPr>
          <w:p w14:paraId="17FD8146" w14:textId="7CC37411" w:rsidR="00EA3EC8" w:rsidRPr="00C75C0D" w:rsidRDefault="00F20173" w:rsidP="00686DAF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MŠVVaM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SR, MPSVaR SR, MH SR, Štátny inštitút pre odborné vzdelávanie, Úrad EU pre duševné vlastníctvo</w:t>
            </w:r>
          </w:p>
        </w:tc>
        <w:tc>
          <w:tcPr>
            <w:tcW w:w="1402" w:type="dxa"/>
            <w:vAlign w:val="center"/>
          </w:tcPr>
          <w:p w14:paraId="6DFD8FDC" w14:textId="0C64F451" w:rsidR="00EA3EC8" w:rsidRPr="00C75C0D" w:rsidRDefault="00EA3EC8" w:rsidP="00686DA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1302" w:type="dxa"/>
            <w:vAlign w:val="center"/>
          </w:tcPr>
          <w:p w14:paraId="3384DB17" w14:textId="3CB03C25" w:rsidR="00EA3EC8" w:rsidRPr="00C75C0D" w:rsidRDefault="00EA3EC8" w:rsidP="00686DA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2 470 358,13</w:t>
            </w:r>
          </w:p>
        </w:tc>
      </w:tr>
      <w:tr w:rsidR="00EA3EC8" w:rsidRPr="007E3712" w14:paraId="441BB7AA" w14:textId="77777777" w:rsidTr="00686DAF">
        <w:tc>
          <w:tcPr>
            <w:tcW w:w="586" w:type="dxa"/>
            <w:vAlign w:val="center"/>
          </w:tcPr>
          <w:p w14:paraId="57839CA2" w14:textId="5E61A3C8" w:rsidR="00EA3EC8" w:rsidRPr="00C75C0D" w:rsidRDefault="00EA3EC8" w:rsidP="00686D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</w:t>
            </w:r>
            <w:r w:rsidR="00EE5B04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372" w:type="dxa"/>
            <w:vAlign w:val="center"/>
          </w:tcPr>
          <w:p w14:paraId="2330DB6D" w14:textId="3A97401E" w:rsidR="00EA3EC8" w:rsidRPr="00C75C0D" w:rsidRDefault="00EA3EC8" w:rsidP="00686D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 xml:space="preserve">EVPÚ, </w:t>
            </w:r>
            <w:proofErr w:type="spellStart"/>
            <w:r w:rsidRPr="00C75C0D">
              <w:rPr>
                <w:rFonts w:ascii="Arial Narrow" w:hAnsi="Arial Narrow"/>
                <w:sz w:val="20"/>
                <w:szCs w:val="20"/>
              </w:rPr>
              <w:t>a.s</w:t>
            </w:r>
            <w:proofErr w:type="spellEnd"/>
            <w:r w:rsidRPr="00C75C0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636" w:type="dxa"/>
          </w:tcPr>
          <w:p w14:paraId="5E5E4728" w14:textId="4151273C" w:rsidR="00EA3EC8" w:rsidRPr="00C75C0D" w:rsidRDefault="00EA3EC8" w:rsidP="00686D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195" w:type="dxa"/>
          </w:tcPr>
          <w:p w14:paraId="2250BFF4" w14:textId="72435E9A" w:rsidR="00EA3EC8" w:rsidRPr="00C75C0D" w:rsidRDefault="007721E5" w:rsidP="00686DA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MH SR, MO SR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MŠVVaM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SR</w:t>
            </w:r>
          </w:p>
        </w:tc>
        <w:tc>
          <w:tcPr>
            <w:tcW w:w="1402" w:type="dxa"/>
            <w:vAlign w:val="center"/>
          </w:tcPr>
          <w:p w14:paraId="61DCAB9C" w14:textId="73551698" w:rsidR="00EA3EC8" w:rsidRPr="00C75C0D" w:rsidRDefault="00EA3EC8" w:rsidP="00686DA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302" w:type="dxa"/>
            <w:vAlign w:val="center"/>
          </w:tcPr>
          <w:p w14:paraId="69B076F5" w14:textId="50003C72" w:rsidR="00EA3EC8" w:rsidRPr="00C75C0D" w:rsidRDefault="00EA3EC8" w:rsidP="00686DA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1 716 737,82</w:t>
            </w:r>
          </w:p>
        </w:tc>
      </w:tr>
      <w:tr w:rsidR="00EA3EC8" w:rsidRPr="007E3712" w14:paraId="0ED7721E" w14:textId="77777777" w:rsidTr="00686DAF">
        <w:tc>
          <w:tcPr>
            <w:tcW w:w="586" w:type="dxa"/>
            <w:vAlign w:val="center"/>
          </w:tcPr>
          <w:p w14:paraId="403B8495" w14:textId="62D5284A" w:rsidR="00EA3EC8" w:rsidRPr="00C75C0D" w:rsidRDefault="00EA3EC8" w:rsidP="00686D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</w:t>
            </w:r>
            <w:r w:rsidR="00EE5B04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372" w:type="dxa"/>
            <w:vAlign w:val="center"/>
          </w:tcPr>
          <w:p w14:paraId="057CA10E" w14:textId="6F1CD59B" w:rsidR="00EA3EC8" w:rsidRPr="00C75C0D" w:rsidRDefault="00EA3EC8" w:rsidP="00686D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Asociácia pre kultúru, vzdelávanie a komunikáciu (ACEC)</w:t>
            </w:r>
          </w:p>
        </w:tc>
        <w:tc>
          <w:tcPr>
            <w:tcW w:w="636" w:type="dxa"/>
          </w:tcPr>
          <w:p w14:paraId="12B2C8CA" w14:textId="615B04BB" w:rsidR="00EA3EC8" w:rsidRPr="00C75C0D" w:rsidRDefault="00EA3EC8" w:rsidP="00686D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3195" w:type="dxa"/>
          </w:tcPr>
          <w:p w14:paraId="5E85D864" w14:textId="4C46228A" w:rsidR="00EA3EC8" w:rsidRPr="00C75C0D" w:rsidRDefault="00F20173" w:rsidP="00686DA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MS SR, MPSVaR SR,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MŠVVaM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SR, FPKNM, MK SR, MV SR,MIRRI SR,MH SR</w:t>
            </w:r>
          </w:p>
        </w:tc>
        <w:tc>
          <w:tcPr>
            <w:tcW w:w="1402" w:type="dxa"/>
            <w:vAlign w:val="center"/>
          </w:tcPr>
          <w:p w14:paraId="6FCDA713" w14:textId="0EE0BB80" w:rsidR="00EA3EC8" w:rsidRPr="00C75C0D" w:rsidRDefault="00EA3EC8" w:rsidP="00686DA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34</w:t>
            </w:r>
          </w:p>
        </w:tc>
        <w:tc>
          <w:tcPr>
            <w:tcW w:w="1302" w:type="dxa"/>
            <w:vAlign w:val="center"/>
          </w:tcPr>
          <w:p w14:paraId="3F8F7EDC" w14:textId="341BB58F" w:rsidR="00EA3EC8" w:rsidRPr="00C75C0D" w:rsidRDefault="00EA3EC8" w:rsidP="00686DA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2 527 943,56</w:t>
            </w:r>
          </w:p>
        </w:tc>
      </w:tr>
      <w:tr w:rsidR="00EA3EC8" w:rsidRPr="007E3712" w14:paraId="3B386E42" w14:textId="77777777" w:rsidTr="00686DAF">
        <w:tc>
          <w:tcPr>
            <w:tcW w:w="586" w:type="dxa"/>
            <w:vAlign w:val="center"/>
          </w:tcPr>
          <w:p w14:paraId="0C06AB0F" w14:textId="267789A8" w:rsidR="00EA3EC8" w:rsidRPr="00C75C0D" w:rsidRDefault="00EA3EC8" w:rsidP="00686D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</w:t>
            </w:r>
            <w:r w:rsidR="00EE5B04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372" w:type="dxa"/>
            <w:vAlign w:val="center"/>
          </w:tcPr>
          <w:p w14:paraId="357989D7" w14:textId="465A29E9" w:rsidR="00EA3EC8" w:rsidRPr="00C75C0D" w:rsidRDefault="00EA3EC8" w:rsidP="00686D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Fórum života</w:t>
            </w:r>
          </w:p>
        </w:tc>
        <w:tc>
          <w:tcPr>
            <w:tcW w:w="636" w:type="dxa"/>
          </w:tcPr>
          <w:p w14:paraId="16D348AB" w14:textId="7BD17543" w:rsidR="00EA3EC8" w:rsidRPr="00C75C0D" w:rsidRDefault="00EA3EC8" w:rsidP="00686D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195" w:type="dxa"/>
          </w:tcPr>
          <w:p w14:paraId="49EF2657" w14:textId="2A08C53B" w:rsidR="00EA3EC8" w:rsidRPr="00C75C0D" w:rsidRDefault="00A63738" w:rsidP="00686DA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MV SR, MPSVaR SR, MH SR, MIRRI SR, ÚV SR</w:t>
            </w:r>
          </w:p>
        </w:tc>
        <w:tc>
          <w:tcPr>
            <w:tcW w:w="1402" w:type="dxa"/>
            <w:vAlign w:val="center"/>
          </w:tcPr>
          <w:p w14:paraId="42978EB4" w14:textId="4FCB6BB0" w:rsidR="00EA3EC8" w:rsidRPr="00C75C0D" w:rsidRDefault="00EA3EC8" w:rsidP="00686DA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1302" w:type="dxa"/>
            <w:vAlign w:val="center"/>
          </w:tcPr>
          <w:p w14:paraId="4B4A6D47" w14:textId="2611081E" w:rsidR="00EA3EC8" w:rsidRPr="00C75C0D" w:rsidRDefault="00EA3EC8" w:rsidP="00686DA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536 555,90</w:t>
            </w:r>
          </w:p>
        </w:tc>
      </w:tr>
      <w:tr w:rsidR="00EA3EC8" w:rsidRPr="007E3712" w14:paraId="68048C46" w14:textId="77777777" w:rsidTr="00686DAF">
        <w:tc>
          <w:tcPr>
            <w:tcW w:w="586" w:type="dxa"/>
            <w:vAlign w:val="center"/>
          </w:tcPr>
          <w:p w14:paraId="1D7ADAF1" w14:textId="52E8C5A7" w:rsidR="00EA3EC8" w:rsidRPr="00C75C0D" w:rsidRDefault="00EA3EC8" w:rsidP="00686D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  <w:r w:rsidR="00EE5B04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372" w:type="dxa"/>
            <w:vAlign w:val="center"/>
          </w:tcPr>
          <w:p w14:paraId="1F574A4E" w14:textId="76DD2900" w:rsidR="00EA3EC8" w:rsidRPr="00C75C0D" w:rsidRDefault="00EA3EC8" w:rsidP="00686D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OZ ŽENA V TIESNI</w:t>
            </w:r>
          </w:p>
        </w:tc>
        <w:tc>
          <w:tcPr>
            <w:tcW w:w="636" w:type="dxa"/>
          </w:tcPr>
          <w:p w14:paraId="59B636C1" w14:textId="2D8C8ACB" w:rsidR="00EA3EC8" w:rsidRPr="00C75C0D" w:rsidRDefault="00EA3EC8" w:rsidP="00686D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195" w:type="dxa"/>
          </w:tcPr>
          <w:p w14:paraId="3F1BCA55" w14:textId="403539CD" w:rsidR="00EA3EC8" w:rsidRPr="00C75C0D" w:rsidRDefault="00876398" w:rsidP="00686DA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MS SR, MV SR, MRRI SR, MPSVaR SR,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MŠVVaM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SR</w:t>
            </w:r>
          </w:p>
        </w:tc>
        <w:tc>
          <w:tcPr>
            <w:tcW w:w="1402" w:type="dxa"/>
            <w:vAlign w:val="center"/>
          </w:tcPr>
          <w:p w14:paraId="3E5F605B" w14:textId="769EA48E" w:rsidR="00EA3EC8" w:rsidRPr="00C75C0D" w:rsidRDefault="00EA3EC8" w:rsidP="00686DA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1302" w:type="dxa"/>
            <w:vAlign w:val="center"/>
          </w:tcPr>
          <w:p w14:paraId="6C005F85" w14:textId="76712037" w:rsidR="00EA3EC8" w:rsidRPr="00C75C0D" w:rsidRDefault="00EA3EC8" w:rsidP="00686DA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1 493 543,95</w:t>
            </w:r>
          </w:p>
        </w:tc>
      </w:tr>
      <w:tr w:rsidR="00EA3EC8" w:rsidRPr="007E3712" w14:paraId="547020D5" w14:textId="77777777" w:rsidTr="00686DAF">
        <w:tc>
          <w:tcPr>
            <w:tcW w:w="586" w:type="dxa"/>
            <w:vAlign w:val="center"/>
          </w:tcPr>
          <w:p w14:paraId="38ACFB6C" w14:textId="46F3666B" w:rsidR="00EA3EC8" w:rsidRPr="00C75C0D" w:rsidRDefault="00EA3EC8" w:rsidP="00686D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  <w:r w:rsidR="00EE5B04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372" w:type="dxa"/>
            <w:vAlign w:val="center"/>
          </w:tcPr>
          <w:p w14:paraId="6C1DF407" w14:textId="0D2DFF6F" w:rsidR="00EA3EC8" w:rsidRPr="00C75C0D" w:rsidRDefault="00EA3EC8" w:rsidP="00686D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75C0D">
              <w:rPr>
                <w:rFonts w:ascii="Arial Narrow" w:hAnsi="Arial Narrow"/>
                <w:sz w:val="20"/>
                <w:szCs w:val="20"/>
              </w:rPr>
              <w:t>MyMamy</w:t>
            </w:r>
            <w:proofErr w:type="spellEnd"/>
          </w:p>
        </w:tc>
        <w:tc>
          <w:tcPr>
            <w:tcW w:w="636" w:type="dxa"/>
          </w:tcPr>
          <w:p w14:paraId="0E6D06E6" w14:textId="03B5668A" w:rsidR="00EA3EC8" w:rsidRPr="00C75C0D" w:rsidRDefault="00EA3EC8" w:rsidP="00686D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195" w:type="dxa"/>
          </w:tcPr>
          <w:p w14:paraId="039D9FB2" w14:textId="6473270E" w:rsidR="00EA3EC8" w:rsidRPr="00C75C0D" w:rsidRDefault="00A63738" w:rsidP="00686DA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MPSVaR SR, MH SR, MIRRI SR, MS SR, ÚV SR</w:t>
            </w:r>
          </w:p>
        </w:tc>
        <w:tc>
          <w:tcPr>
            <w:tcW w:w="1402" w:type="dxa"/>
            <w:vAlign w:val="center"/>
          </w:tcPr>
          <w:p w14:paraId="07AE6DA4" w14:textId="282DE457" w:rsidR="00EA3EC8" w:rsidRPr="00C75C0D" w:rsidRDefault="00EA3EC8" w:rsidP="00686DA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1302" w:type="dxa"/>
            <w:vAlign w:val="center"/>
          </w:tcPr>
          <w:p w14:paraId="49B0D603" w14:textId="6CEDDC75" w:rsidR="00EA3EC8" w:rsidRPr="00C75C0D" w:rsidRDefault="00EA3EC8" w:rsidP="00686DA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1 320 318,96</w:t>
            </w:r>
          </w:p>
        </w:tc>
      </w:tr>
      <w:tr w:rsidR="00EA3EC8" w:rsidRPr="007E3712" w14:paraId="7686BAC2" w14:textId="77777777" w:rsidTr="00686DAF">
        <w:tc>
          <w:tcPr>
            <w:tcW w:w="586" w:type="dxa"/>
            <w:vAlign w:val="center"/>
          </w:tcPr>
          <w:p w14:paraId="3EE6B901" w14:textId="02ACED0B" w:rsidR="00EA3EC8" w:rsidRPr="00C75C0D" w:rsidRDefault="00EA3EC8" w:rsidP="00686D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</w:t>
            </w:r>
            <w:r w:rsidR="00EE5B04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372" w:type="dxa"/>
            <w:vAlign w:val="center"/>
          </w:tcPr>
          <w:p w14:paraId="1031A14D" w14:textId="5F363D9E" w:rsidR="00EA3EC8" w:rsidRPr="00C75C0D" w:rsidRDefault="00EA3EC8" w:rsidP="00686D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Centrum Slniečko</w:t>
            </w:r>
          </w:p>
        </w:tc>
        <w:tc>
          <w:tcPr>
            <w:tcW w:w="636" w:type="dxa"/>
          </w:tcPr>
          <w:p w14:paraId="0516A7BB" w14:textId="612B78F9" w:rsidR="00EA3EC8" w:rsidRPr="00C75C0D" w:rsidRDefault="00EA3EC8" w:rsidP="00686D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195" w:type="dxa"/>
          </w:tcPr>
          <w:p w14:paraId="27F5A00B" w14:textId="0B664B41" w:rsidR="00EA3EC8" w:rsidRPr="00C75C0D" w:rsidRDefault="00876398" w:rsidP="00686DA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MS SR, MPSVaR SR, ÚV SR,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MŠVVaM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SR, MIRRI SR</w:t>
            </w:r>
          </w:p>
        </w:tc>
        <w:tc>
          <w:tcPr>
            <w:tcW w:w="1402" w:type="dxa"/>
            <w:vAlign w:val="center"/>
          </w:tcPr>
          <w:p w14:paraId="512D5F2A" w14:textId="51042B15" w:rsidR="00EA3EC8" w:rsidRPr="00C75C0D" w:rsidRDefault="00EA3EC8" w:rsidP="00686DA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31</w:t>
            </w:r>
          </w:p>
        </w:tc>
        <w:tc>
          <w:tcPr>
            <w:tcW w:w="1302" w:type="dxa"/>
            <w:vAlign w:val="center"/>
          </w:tcPr>
          <w:p w14:paraId="54A8AADE" w14:textId="7C2F65B8" w:rsidR="00EA3EC8" w:rsidRPr="00C75C0D" w:rsidRDefault="00EA3EC8" w:rsidP="00686DA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75C0D">
              <w:rPr>
                <w:rFonts w:ascii="Arial Narrow" w:hAnsi="Arial Narrow"/>
                <w:sz w:val="20"/>
                <w:szCs w:val="20"/>
              </w:rPr>
              <w:t>2 092 937,24</w:t>
            </w:r>
          </w:p>
        </w:tc>
      </w:tr>
      <w:tr w:rsidR="00FA2333" w:rsidRPr="0009314F" w14:paraId="231058E5" w14:textId="77777777" w:rsidTr="003856E4">
        <w:tc>
          <w:tcPr>
            <w:tcW w:w="8191" w:type="dxa"/>
            <w:gridSpan w:val="5"/>
          </w:tcPr>
          <w:p w14:paraId="24CBB24D" w14:textId="1509908D" w:rsidR="00FA2333" w:rsidRPr="00866CA6" w:rsidRDefault="00FA2333" w:rsidP="00686DAF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66CA6">
              <w:rPr>
                <w:rFonts w:ascii="Arial Narrow" w:hAnsi="Arial Narrow"/>
                <w:b/>
                <w:bCs/>
                <w:sz w:val="20"/>
                <w:szCs w:val="20"/>
              </w:rPr>
              <w:t>SPOLU:</w:t>
            </w:r>
          </w:p>
        </w:tc>
        <w:tc>
          <w:tcPr>
            <w:tcW w:w="1302" w:type="dxa"/>
            <w:vAlign w:val="center"/>
          </w:tcPr>
          <w:p w14:paraId="3583F9BB" w14:textId="7A43E838" w:rsidR="00FA2333" w:rsidRPr="00866CA6" w:rsidRDefault="00FA2333" w:rsidP="00686DAF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66CA6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47 415 919,32</w:t>
            </w:r>
          </w:p>
        </w:tc>
      </w:tr>
    </w:tbl>
    <w:p w14:paraId="4B5CDC47" w14:textId="3FD6757E" w:rsidR="00C75C0D" w:rsidRDefault="00C75C0D" w:rsidP="003E7C2A">
      <w:pPr>
        <w:spacing w:before="120" w:after="120"/>
        <w:jc w:val="both"/>
        <w:rPr>
          <w:rFonts w:ascii="Arial Narrow" w:hAnsi="Arial Narrow"/>
          <w:sz w:val="24"/>
          <w:szCs w:val="24"/>
        </w:rPr>
      </w:pPr>
    </w:p>
    <w:p w14:paraId="216C8C70" w14:textId="04206507" w:rsidR="00E70A48" w:rsidRPr="005B07DE" w:rsidRDefault="00686DAF" w:rsidP="003E7C2A">
      <w:pPr>
        <w:spacing w:before="120" w:after="120" w:line="360" w:lineRule="auto"/>
        <w:jc w:val="both"/>
        <w:rPr>
          <w:rFonts w:ascii="Arial Narrow" w:hAnsi="Arial Narrow"/>
          <w:sz w:val="24"/>
          <w:szCs w:val="24"/>
        </w:rPr>
      </w:pPr>
      <w:bookmarkStart w:id="1" w:name="_Hlk219332108"/>
      <w:r>
        <w:rPr>
          <w:rFonts w:ascii="Arial Narrow" w:hAnsi="Arial Narrow"/>
          <w:sz w:val="24"/>
          <w:szCs w:val="24"/>
        </w:rPr>
        <w:t xml:space="preserve">Výkon vládneho auditu prebiehal </w:t>
      </w:r>
      <w:r w:rsidRPr="005204E6">
        <w:rPr>
          <w:rFonts w:ascii="Arial Narrow" w:hAnsi="Arial Narrow"/>
          <w:sz w:val="24"/>
          <w:szCs w:val="24"/>
        </w:rPr>
        <w:t>v zmysle zákona č. 357/2015 Z. z. o finančnej kontrole a</w:t>
      </w:r>
      <w:r>
        <w:rPr>
          <w:rFonts w:ascii="Arial Narrow" w:hAnsi="Arial Narrow"/>
          <w:sz w:val="24"/>
          <w:szCs w:val="24"/>
        </w:rPr>
        <w:t> </w:t>
      </w:r>
      <w:r w:rsidRPr="005204E6">
        <w:rPr>
          <w:rFonts w:ascii="Arial Narrow" w:hAnsi="Arial Narrow"/>
          <w:sz w:val="24"/>
          <w:szCs w:val="24"/>
        </w:rPr>
        <w:t>audite</w:t>
      </w:r>
      <w:r>
        <w:rPr>
          <w:rFonts w:ascii="Arial Narrow" w:hAnsi="Arial Narrow"/>
          <w:sz w:val="24"/>
          <w:szCs w:val="24"/>
        </w:rPr>
        <w:t xml:space="preserve">. </w:t>
      </w:r>
      <w:r w:rsidR="00F20C8F" w:rsidRPr="005B07DE">
        <w:rPr>
          <w:rFonts w:ascii="Arial Narrow" w:hAnsi="Arial Narrow"/>
          <w:sz w:val="24"/>
          <w:szCs w:val="24"/>
        </w:rPr>
        <w:t>V</w:t>
      </w:r>
      <w:r w:rsidR="00820B97" w:rsidRPr="005B07DE">
        <w:rPr>
          <w:rFonts w:ascii="Arial Narrow" w:hAnsi="Arial Narrow"/>
          <w:sz w:val="24"/>
          <w:szCs w:val="24"/>
        </w:rPr>
        <w:t xml:space="preserve"> rámci 26 vykonaných vládnych auditov </w:t>
      </w:r>
      <w:r w:rsidR="006F068D" w:rsidRPr="005B07DE">
        <w:rPr>
          <w:rFonts w:ascii="Arial Narrow" w:hAnsi="Arial Narrow"/>
          <w:b/>
          <w:bCs/>
          <w:sz w:val="24"/>
          <w:szCs w:val="24"/>
        </w:rPr>
        <w:t>bolo overených 47 415 919,32 Eur</w:t>
      </w:r>
      <w:r w:rsidR="0023558D">
        <w:rPr>
          <w:rFonts w:ascii="Arial Narrow" w:hAnsi="Arial Narrow"/>
          <w:b/>
          <w:bCs/>
          <w:sz w:val="24"/>
          <w:szCs w:val="24"/>
        </w:rPr>
        <w:t xml:space="preserve">, </w:t>
      </w:r>
      <w:r w:rsidR="0023558D" w:rsidRPr="0023558D">
        <w:rPr>
          <w:rFonts w:ascii="Arial Narrow" w:hAnsi="Arial Narrow"/>
          <w:sz w:val="24"/>
          <w:szCs w:val="24"/>
        </w:rPr>
        <w:t xml:space="preserve">čo predstavuje </w:t>
      </w:r>
      <w:r w:rsidR="0023558D">
        <w:rPr>
          <w:rFonts w:ascii="Arial Narrow" w:hAnsi="Arial Narrow"/>
          <w:sz w:val="24"/>
          <w:szCs w:val="24"/>
        </w:rPr>
        <w:t xml:space="preserve">približne </w:t>
      </w:r>
      <w:r w:rsidR="0023558D" w:rsidRPr="0023558D">
        <w:rPr>
          <w:rFonts w:ascii="Arial Narrow" w:hAnsi="Arial Narrow"/>
          <w:sz w:val="24"/>
          <w:szCs w:val="24"/>
        </w:rPr>
        <w:t xml:space="preserve">0,2% z celej </w:t>
      </w:r>
      <w:r w:rsidR="00DB519E">
        <w:rPr>
          <w:rFonts w:ascii="Arial Narrow" w:hAnsi="Arial Narrow"/>
          <w:sz w:val="24"/>
          <w:szCs w:val="24"/>
        </w:rPr>
        <w:t xml:space="preserve">hodnoty </w:t>
      </w:r>
      <w:r w:rsidR="0023558D" w:rsidRPr="0023558D">
        <w:rPr>
          <w:rFonts w:ascii="Arial Narrow" w:hAnsi="Arial Narrow"/>
          <w:sz w:val="24"/>
          <w:szCs w:val="24"/>
        </w:rPr>
        <w:t>populácie</w:t>
      </w:r>
      <w:r w:rsidR="00E70A48" w:rsidRPr="0023558D">
        <w:rPr>
          <w:rFonts w:ascii="Arial Narrow" w:hAnsi="Arial Narrow"/>
          <w:sz w:val="24"/>
          <w:szCs w:val="24"/>
        </w:rPr>
        <w:t>.</w:t>
      </w:r>
      <w:r w:rsidR="00E70A48">
        <w:rPr>
          <w:rFonts w:ascii="Arial Narrow" w:hAnsi="Arial Narrow"/>
          <w:b/>
          <w:bCs/>
          <w:sz w:val="24"/>
          <w:szCs w:val="24"/>
        </w:rPr>
        <w:t xml:space="preserve"> </w:t>
      </w:r>
      <w:r w:rsidR="00727D37">
        <w:rPr>
          <w:rFonts w:ascii="Arial Narrow" w:hAnsi="Arial Narrow"/>
          <w:b/>
          <w:bCs/>
          <w:sz w:val="24"/>
          <w:szCs w:val="24"/>
        </w:rPr>
        <w:t>Nedostatky boli identifikované u 6 prijímateľo</w:t>
      </w:r>
      <w:r w:rsidR="005902BA">
        <w:rPr>
          <w:rFonts w:ascii="Arial Narrow" w:hAnsi="Arial Narrow"/>
          <w:b/>
          <w:bCs/>
          <w:sz w:val="24"/>
          <w:szCs w:val="24"/>
        </w:rPr>
        <w:t>v</w:t>
      </w:r>
      <w:r w:rsidR="0023558D">
        <w:rPr>
          <w:rFonts w:ascii="Arial Narrow" w:hAnsi="Arial Narrow"/>
          <w:b/>
          <w:bCs/>
          <w:sz w:val="24"/>
          <w:szCs w:val="24"/>
        </w:rPr>
        <w:t>,</w:t>
      </w:r>
      <w:r w:rsidR="0023558D" w:rsidRPr="0023558D">
        <w:rPr>
          <w:rFonts w:ascii="Arial Narrow" w:hAnsi="Arial Narrow"/>
          <w:sz w:val="24"/>
          <w:szCs w:val="24"/>
        </w:rPr>
        <w:t xml:space="preserve"> čo predstavujte 23% z celkového počtu overovaných prijímateľov.</w:t>
      </w:r>
      <w:r w:rsidR="0023558D">
        <w:rPr>
          <w:rFonts w:ascii="Arial Narrow" w:hAnsi="Arial Narrow"/>
          <w:b/>
          <w:bCs/>
          <w:sz w:val="24"/>
          <w:szCs w:val="24"/>
        </w:rPr>
        <w:t xml:space="preserve"> </w:t>
      </w:r>
      <w:r w:rsidR="00727D37">
        <w:rPr>
          <w:rFonts w:ascii="Arial Narrow" w:hAnsi="Arial Narrow"/>
          <w:b/>
          <w:bCs/>
          <w:sz w:val="24"/>
          <w:szCs w:val="24"/>
        </w:rPr>
        <w:t xml:space="preserve">Spolu išlo o </w:t>
      </w:r>
      <w:r w:rsidR="00820B97" w:rsidRPr="005B07DE">
        <w:rPr>
          <w:rFonts w:ascii="Arial Narrow" w:hAnsi="Arial Narrow"/>
          <w:b/>
          <w:bCs/>
          <w:sz w:val="24"/>
          <w:szCs w:val="24"/>
        </w:rPr>
        <w:t>22 nedostatkov</w:t>
      </w:r>
      <w:r w:rsidR="00820B97" w:rsidRPr="005B07DE">
        <w:rPr>
          <w:rFonts w:ascii="Arial Narrow" w:hAnsi="Arial Narrow"/>
          <w:sz w:val="24"/>
          <w:szCs w:val="24"/>
        </w:rPr>
        <w:t xml:space="preserve">, z toho 17 finančných s vysokou závažnosťou </w:t>
      </w:r>
      <w:r w:rsidR="00820B97" w:rsidRPr="005B07DE">
        <w:rPr>
          <w:rFonts w:ascii="Arial Narrow" w:hAnsi="Arial Narrow"/>
          <w:b/>
          <w:bCs/>
          <w:sz w:val="24"/>
          <w:szCs w:val="24"/>
        </w:rPr>
        <w:t xml:space="preserve">v sume </w:t>
      </w:r>
      <w:r w:rsidR="008C6561">
        <w:rPr>
          <w:rFonts w:ascii="Arial Narrow" w:hAnsi="Arial Narrow"/>
          <w:b/>
          <w:bCs/>
          <w:sz w:val="24"/>
          <w:szCs w:val="24"/>
        </w:rPr>
        <w:t>236 837,13</w:t>
      </w:r>
      <w:r w:rsidR="00820B97" w:rsidRPr="005B07DE">
        <w:rPr>
          <w:rFonts w:ascii="Arial Narrow" w:hAnsi="Arial Narrow"/>
          <w:b/>
          <w:bCs/>
          <w:sz w:val="24"/>
          <w:szCs w:val="24"/>
        </w:rPr>
        <w:t xml:space="preserve"> Eur</w:t>
      </w:r>
      <w:r w:rsidR="00820B97" w:rsidRPr="005B07DE">
        <w:rPr>
          <w:rFonts w:ascii="Arial Narrow" w:hAnsi="Arial Narrow"/>
          <w:sz w:val="24"/>
          <w:szCs w:val="24"/>
        </w:rPr>
        <w:t>, čo predstavuje</w:t>
      </w:r>
      <w:r w:rsidR="000B02B0">
        <w:rPr>
          <w:rFonts w:ascii="Arial Narrow" w:hAnsi="Arial Narrow"/>
          <w:sz w:val="24"/>
          <w:szCs w:val="24"/>
        </w:rPr>
        <w:t xml:space="preserve"> </w:t>
      </w:r>
      <w:r w:rsidR="000B02B0" w:rsidRPr="0023558D">
        <w:rPr>
          <w:rFonts w:ascii="Arial Narrow" w:hAnsi="Arial Narrow"/>
          <w:sz w:val="24"/>
          <w:szCs w:val="24"/>
        </w:rPr>
        <w:t>približne</w:t>
      </w:r>
      <w:r w:rsidR="00820B97" w:rsidRPr="0023558D">
        <w:rPr>
          <w:rFonts w:ascii="Arial Narrow" w:hAnsi="Arial Narrow"/>
          <w:sz w:val="24"/>
          <w:szCs w:val="24"/>
        </w:rPr>
        <w:t xml:space="preserve"> 0,5% z celkových overených výdavkov</w:t>
      </w:r>
      <w:r w:rsidR="00820B97" w:rsidRPr="005B07DE">
        <w:rPr>
          <w:rFonts w:ascii="Arial Narrow" w:hAnsi="Arial Narrow"/>
          <w:sz w:val="24"/>
          <w:szCs w:val="24"/>
        </w:rPr>
        <w:t xml:space="preserve">. </w:t>
      </w:r>
      <w:r w:rsidR="00727D37">
        <w:rPr>
          <w:rFonts w:ascii="Arial Narrow" w:hAnsi="Arial Narrow"/>
          <w:sz w:val="24"/>
          <w:szCs w:val="24"/>
        </w:rPr>
        <w:t xml:space="preserve">V rámci vládnych auditov bolo konštatované </w:t>
      </w:r>
      <w:r w:rsidR="00686D2B" w:rsidRPr="005B07DE">
        <w:rPr>
          <w:rFonts w:ascii="Arial Narrow" w:hAnsi="Arial Narrow"/>
          <w:sz w:val="24"/>
          <w:szCs w:val="24"/>
        </w:rPr>
        <w:t>porušenie finančnej disciplíny spočívajúce v duplicitnom a</w:t>
      </w:r>
      <w:r w:rsidR="00727D37">
        <w:rPr>
          <w:rFonts w:ascii="Arial Narrow" w:hAnsi="Arial Narrow"/>
          <w:sz w:val="24"/>
          <w:szCs w:val="24"/>
        </w:rPr>
        <w:t> </w:t>
      </w:r>
      <w:r w:rsidR="00686D2B" w:rsidRPr="005B07DE">
        <w:rPr>
          <w:rFonts w:ascii="Arial Narrow" w:hAnsi="Arial Narrow"/>
          <w:sz w:val="24"/>
          <w:szCs w:val="24"/>
        </w:rPr>
        <w:t>neoprávnenom čerpaní finančných prostriedkov, ako aj v nedodržaní podmienok dohodnutých v</w:t>
      </w:r>
      <w:r w:rsidR="00727D37">
        <w:rPr>
          <w:rFonts w:ascii="Arial Narrow" w:hAnsi="Arial Narrow"/>
          <w:sz w:val="24"/>
          <w:szCs w:val="24"/>
        </w:rPr>
        <w:t> </w:t>
      </w:r>
      <w:r w:rsidR="00686D2B" w:rsidRPr="005B07DE">
        <w:rPr>
          <w:rFonts w:ascii="Arial Narrow" w:hAnsi="Arial Narrow"/>
          <w:sz w:val="24"/>
          <w:szCs w:val="24"/>
        </w:rPr>
        <w:t xml:space="preserve">zmluvách o poskytnutí </w:t>
      </w:r>
      <w:r w:rsidR="00727D37">
        <w:rPr>
          <w:rFonts w:ascii="Arial Narrow" w:hAnsi="Arial Narrow"/>
          <w:sz w:val="24"/>
          <w:szCs w:val="24"/>
        </w:rPr>
        <w:t>verejných financií</w:t>
      </w:r>
      <w:r w:rsidR="00686D2B" w:rsidRPr="005B07DE">
        <w:rPr>
          <w:rFonts w:ascii="Arial Narrow" w:hAnsi="Arial Narrow"/>
          <w:sz w:val="24"/>
          <w:szCs w:val="24"/>
        </w:rPr>
        <w:t xml:space="preserve"> </w:t>
      </w:r>
      <w:bookmarkEnd w:id="1"/>
      <w:r w:rsidR="00686D2B" w:rsidRPr="005B07DE">
        <w:rPr>
          <w:rFonts w:ascii="Arial Narrow" w:hAnsi="Arial Narrow"/>
          <w:sz w:val="24"/>
          <w:szCs w:val="24"/>
        </w:rPr>
        <w:t>u</w:t>
      </w:r>
      <w:r w:rsidR="00E70A48" w:rsidRPr="005B07DE">
        <w:rPr>
          <w:rFonts w:ascii="Arial Narrow" w:hAnsi="Arial Narrow"/>
          <w:sz w:val="24"/>
          <w:szCs w:val="24"/>
        </w:rPr>
        <w:t> </w:t>
      </w:r>
      <w:r w:rsidR="00686D2B" w:rsidRPr="005B07DE">
        <w:rPr>
          <w:rFonts w:ascii="Arial Narrow" w:hAnsi="Arial Narrow"/>
          <w:sz w:val="24"/>
          <w:szCs w:val="24"/>
        </w:rPr>
        <w:t>nasled</w:t>
      </w:r>
      <w:r w:rsidR="00E70A48" w:rsidRPr="005B07DE">
        <w:rPr>
          <w:rFonts w:ascii="Arial Narrow" w:hAnsi="Arial Narrow"/>
          <w:sz w:val="24"/>
          <w:szCs w:val="24"/>
        </w:rPr>
        <w:t>ovných prijímateľo</w:t>
      </w:r>
      <w:r w:rsidR="00727D37">
        <w:rPr>
          <w:rFonts w:ascii="Arial Narrow" w:hAnsi="Arial Narrow"/>
          <w:sz w:val="24"/>
          <w:szCs w:val="24"/>
        </w:rPr>
        <w:t>ch</w:t>
      </w:r>
      <w:r w:rsidR="00686D2B" w:rsidRPr="005B07DE">
        <w:rPr>
          <w:rFonts w:ascii="Arial Narrow" w:hAnsi="Arial Narrow"/>
          <w:sz w:val="24"/>
          <w:szCs w:val="24"/>
        </w:rPr>
        <w:t>:</w:t>
      </w:r>
      <w:r w:rsidR="00E70A48" w:rsidRPr="005B07DE">
        <w:rPr>
          <w:rFonts w:ascii="Arial Narrow" w:hAnsi="Arial Narrow"/>
          <w:sz w:val="24"/>
          <w:szCs w:val="24"/>
        </w:rPr>
        <w:t xml:space="preserve"> </w:t>
      </w:r>
    </w:p>
    <w:p w14:paraId="320E9CB5" w14:textId="29D9FD06" w:rsidR="008E042B" w:rsidRDefault="00820B97" w:rsidP="003E7C2A">
      <w:pPr>
        <w:pStyle w:val="Odsekzoznamu"/>
        <w:numPr>
          <w:ilvl w:val="0"/>
          <w:numId w:val="13"/>
        </w:numPr>
        <w:spacing w:before="120" w:after="120" w:line="360" w:lineRule="auto"/>
        <w:jc w:val="both"/>
        <w:rPr>
          <w:rFonts w:ascii="Arial Narrow" w:hAnsi="Arial Narrow"/>
          <w:bCs/>
          <w:sz w:val="24"/>
          <w:szCs w:val="24"/>
        </w:rPr>
      </w:pPr>
      <w:proofErr w:type="spellStart"/>
      <w:r w:rsidRPr="005B07DE">
        <w:rPr>
          <w:rFonts w:ascii="Arial Narrow" w:hAnsi="Arial Narrow"/>
          <w:b/>
          <w:bCs/>
          <w:sz w:val="24"/>
          <w:szCs w:val="24"/>
          <w:u w:val="single"/>
        </w:rPr>
        <w:t>Music</w:t>
      </w:r>
      <w:proofErr w:type="spellEnd"/>
      <w:r w:rsidRPr="005B07DE">
        <w:rPr>
          <w:rFonts w:ascii="Arial Narrow" w:hAnsi="Arial Narrow"/>
          <w:b/>
          <w:bCs/>
          <w:sz w:val="24"/>
          <w:szCs w:val="24"/>
          <w:u w:val="single"/>
        </w:rPr>
        <w:t xml:space="preserve"> </w:t>
      </w:r>
      <w:proofErr w:type="spellStart"/>
      <w:r w:rsidRPr="005B07DE">
        <w:rPr>
          <w:rFonts w:ascii="Arial Narrow" w:hAnsi="Arial Narrow"/>
          <w:b/>
          <w:bCs/>
          <w:sz w:val="24"/>
          <w:szCs w:val="24"/>
          <w:u w:val="single"/>
        </w:rPr>
        <w:t>Gallery</w:t>
      </w:r>
      <w:proofErr w:type="spellEnd"/>
      <w:r w:rsidRPr="005B07DE">
        <w:rPr>
          <w:rFonts w:ascii="Arial Narrow" w:hAnsi="Arial Narrow"/>
          <w:b/>
          <w:bCs/>
          <w:sz w:val="24"/>
          <w:szCs w:val="24"/>
          <w:u w:val="single"/>
        </w:rPr>
        <w:t xml:space="preserve"> </w:t>
      </w:r>
      <w:proofErr w:type="spellStart"/>
      <w:r w:rsidRPr="005B07DE">
        <w:rPr>
          <w:rFonts w:ascii="Arial Narrow" w:hAnsi="Arial Narrow"/>
          <w:b/>
          <w:bCs/>
          <w:sz w:val="24"/>
          <w:szCs w:val="24"/>
          <w:u w:val="single"/>
        </w:rPr>
        <w:t>s.r.o</w:t>
      </w:r>
      <w:proofErr w:type="spellEnd"/>
      <w:r w:rsidRPr="005B07DE">
        <w:rPr>
          <w:rFonts w:ascii="Arial Narrow" w:hAnsi="Arial Narrow"/>
          <w:b/>
          <w:bCs/>
          <w:sz w:val="24"/>
          <w:szCs w:val="24"/>
          <w:u w:val="single"/>
        </w:rPr>
        <w:t>.</w:t>
      </w:r>
      <w:r w:rsidR="00D95019" w:rsidRPr="005B07DE">
        <w:rPr>
          <w:rFonts w:ascii="Arial Narrow" w:hAnsi="Arial Narrow"/>
          <w:b/>
          <w:bCs/>
          <w:sz w:val="24"/>
          <w:szCs w:val="24"/>
          <w:u w:val="single"/>
        </w:rPr>
        <w:t>, Senec</w:t>
      </w:r>
      <w:r w:rsidR="00E70A48" w:rsidRPr="005B07DE">
        <w:rPr>
          <w:rFonts w:ascii="Arial Narrow" w:hAnsi="Arial Narrow"/>
          <w:bCs/>
          <w:sz w:val="24"/>
          <w:szCs w:val="24"/>
        </w:rPr>
        <w:t xml:space="preserve"> - vládny audit</w:t>
      </w:r>
      <w:r w:rsidRPr="005B07DE">
        <w:rPr>
          <w:rFonts w:ascii="Arial Narrow" w:hAnsi="Arial Narrow"/>
          <w:bCs/>
          <w:sz w:val="24"/>
          <w:szCs w:val="24"/>
        </w:rPr>
        <w:t xml:space="preserve"> identifikoval </w:t>
      </w:r>
      <w:r w:rsidR="00FD1BDA" w:rsidRPr="005B07DE">
        <w:rPr>
          <w:rFonts w:ascii="Arial Narrow" w:hAnsi="Arial Narrow"/>
          <w:bCs/>
          <w:sz w:val="24"/>
          <w:szCs w:val="24"/>
        </w:rPr>
        <w:t>3</w:t>
      </w:r>
      <w:r w:rsidRPr="005B07DE">
        <w:rPr>
          <w:rFonts w:ascii="Arial Narrow" w:hAnsi="Arial Narrow"/>
          <w:bCs/>
          <w:sz w:val="24"/>
          <w:szCs w:val="24"/>
        </w:rPr>
        <w:t xml:space="preserve"> finančn</w:t>
      </w:r>
      <w:r w:rsidR="00FD1BDA" w:rsidRPr="005B07DE">
        <w:rPr>
          <w:rFonts w:ascii="Arial Narrow" w:hAnsi="Arial Narrow"/>
          <w:bCs/>
          <w:sz w:val="24"/>
          <w:szCs w:val="24"/>
        </w:rPr>
        <w:t>é</w:t>
      </w:r>
      <w:r w:rsidRPr="005B07DE">
        <w:rPr>
          <w:rFonts w:ascii="Arial Narrow" w:hAnsi="Arial Narrow"/>
          <w:bCs/>
          <w:sz w:val="24"/>
          <w:szCs w:val="24"/>
        </w:rPr>
        <w:t xml:space="preserve"> nedostatk</w:t>
      </w:r>
      <w:r w:rsidR="00FD1BDA" w:rsidRPr="005B07DE">
        <w:rPr>
          <w:rFonts w:ascii="Arial Narrow" w:hAnsi="Arial Narrow"/>
          <w:bCs/>
          <w:sz w:val="24"/>
          <w:szCs w:val="24"/>
        </w:rPr>
        <w:t>y</w:t>
      </w:r>
      <w:r w:rsidRPr="005B07DE">
        <w:rPr>
          <w:rFonts w:ascii="Arial Narrow" w:hAnsi="Arial Narrow"/>
          <w:bCs/>
          <w:sz w:val="24"/>
          <w:szCs w:val="24"/>
        </w:rPr>
        <w:t xml:space="preserve"> s vysokou závažnosťou </w:t>
      </w:r>
      <w:r w:rsidRPr="005B07DE">
        <w:rPr>
          <w:rFonts w:ascii="Arial Narrow" w:hAnsi="Arial Narrow"/>
          <w:b/>
          <w:sz w:val="24"/>
          <w:szCs w:val="24"/>
        </w:rPr>
        <w:t xml:space="preserve">v celkovej sume </w:t>
      </w:r>
      <w:r w:rsidR="00FD1BDA" w:rsidRPr="005B07DE">
        <w:rPr>
          <w:rFonts w:ascii="Arial Narrow" w:hAnsi="Arial Narrow"/>
          <w:b/>
          <w:sz w:val="24"/>
          <w:szCs w:val="24"/>
        </w:rPr>
        <w:t>15 216,71</w:t>
      </w:r>
      <w:r w:rsidRPr="005B07DE">
        <w:rPr>
          <w:rFonts w:ascii="Arial Narrow" w:hAnsi="Arial Narrow"/>
          <w:b/>
          <w:sz w:val="24"/>
          <w:szCs w:val="24"/>
        </w:rPr>
        <w:t xml:space="preserve"> Eur</w:t>
      </w:r>
      <w:r w:rsidR="00E70A48" w:rsidRPr="005B07DE">
        <w:rPr>
          <w:rFonts w:ascii="Arial Narrow" w:hAnsi="Arial Narrow"/>
          <w:bCs/>
          <w:sz w:val="24"/>
          <w:szCs w:val="24"/>
        </w:rPr>
        <w:t>;</w:t>
      </w:r>
      <w:r w:rsidRPr="005B07DE">
        <w:rPr>
          <w:rFonts w:ascii="Arial Narrow" w:hAnsi="Arial Narrow"/>
          <w:bCs/>
          <w:sz w:val="24"/>
          <w:szCs w:val="24"/>
        </w:rPr>
        <w:t xml:space="preserve"> </w:t>
      </w:r>
      <w:r w:rsidR="00D95019" w:rsidRPr="005B07DE">
        <w:rPr>
          <w:rFonts w:ascii="Arial Narrow" w:hAnsi="Arial Narrow"/>
          <w:bCs/>
          <w:sz w:val="24"/>
          <w:szCs w:val="24"/>
        </w:rPr>
        <w:t xml:space="preserve">čiastka </w:t>
      </w:r>
      <w:r w:rsidR="00820C51" w:rsidRPr="005B07DE">
        <w:rPr>
          <w:rFonts w:ascii="Arial Narrow" w:hAnsi="Arial Narrow"/>
          <w:bCs/>
          <w:sz w:val="24"/>
          <w:szCs w:val="24"/>
        </w:rPr>
        <w:t xml:space="preserve">10 795,48 Eur </w:t>
      </w:r>
      <w:r w:rsidR="00686D2B" w:rsidRPr="005B07DE">
        <w:rPr>
          <w:rFonts w:ascii="Arial Narrow" w:hAnsi="Arial Narrow"/>
          <w:bCs/>
          <w:sz w:val="24"/>
          <w:szCs w:val="24"/>
        </w:rPr>
        <w:t xml:space="preserve">predstavuje </w:t>
      </w:r>
      <w:r w:rsidR="00820C51" w:rsidRPr="005B07DE">
        <w:rPr>
          <w:rFonts w:ascii="Arial Narrow" w:hAnsi="Arial Narrow"/>
          <w:bCs/>
          <w:sz w:val="24"/>
          <w:szCs w:val="24"/>
        </w:rPr>
        <w:t xml:space="preserve">duplicitné čerpanie finančných prostriedkov </w:t>
      </w:r>
      <w:r w:rsidR="00D95019" w:rsidRPr="005B07DE">
        <w:rPr>
          <w:rFonts w:ascii="Arial Narrow" w:hAnsi="Arial Narrow"/>
          <w:bCs/>
          <w:sz w:val="24"/>
          <w:szCs w:val="24"/>
        </w:rPr>
        <w:t xml:space="preserve">a zvyšná suma </w:t>
      </w:r>
      <w:r w:rsidR="00820C51" w:rsidRPr="005B07DE">
        <w:rPr>
          <w:rFonts w:ascii="Arial Narrow" w:hAnsi="Arial Narrow"/>
          <w:bCs/>
          <w:sz w:val="24"/>
          <w:szCs w:val="24"/>
        </w:rPr>
        <w:t>4 421,23 Eur predstavuje neoprávnené čerpanie finančných prostriedkov</w:t>
      </w:r>
      <w:r w:rsidR="00BD69F4">
        <w:rPr>
          <w:rFonts w:ascii="Arial Narrow" w:hAnsi="Arial Narrow"/>
          <w:bCs/>
          <w:sz w:val="24"/>
          <w:szCs w:val="24"/>
        </w:rPr>
        <w:t xml:space="preserve"> na financovanie neoprávnených výdavkov a na výdavok</w:t>
      </w:r>
      <w:r w:rsidR="008E7B04">
        <w:rPr>
          <w:rFonts w:ascii="Arial Narrow" w:hAnsi="Arial Narrow"/>
          <w:bCs/>
          <w:sz w:val="24"/>
          <w:szCs w:val="24"/>
        </w:rPr>
        <w:t>,</w:t>
      </w:r>
      <w:r w:rsidR="00820C51" w:rsidRPr="005B07DE">
        <w:rPr>
          <w:rFonts w:ascii="Arial Narrow" w:hAnsi="Arial Narrow"/>
          <w:bCs/>
          <w:sz w:val="24"/>
          <w:szCs w:val="24"/>
        </w:rPr>
        <w:t xml:space="preserve"> </w:t>
      </w:r>
      <w:r w:rsidR="008E7B04">
        <w:rPr>
          <w:rFonts w:ascii="Arial Narrow" w:hAnsi="Arial Narrow"/>
          <w:bCs/>
          <w:sz w:val="24"/>
          <w:szCs w:val="24"/>
        </w:rPr>
        <w:t>ktor</w:t>
      </w:r>
      <w:r w:rsidR="00BD69F4">
        <w:rPr>
          <w:rFonts w:ascii="Arial Narrow" w:hAnsi="Arial Narrow"/>
          <w:bCs/>
          <w:sz w:val="24"/>
          <w:szCs w:val="24"/>
        </w:rPr>
        <w:t>ý</w:t>
      </w:r>
      <w:r w:rsidR="008E7B04">
        <w:rPr>
          <w:rFonts w:ascii="Arial Narrow" w:hAnsi="Arial Narrow"/>
          <w:bCs/>
          <w:sz w:val="24"/>
          <w:szCs w:val="24"/>
        </w:rPr>
        <w:t xml:space="preserve"> </w:t>
      </w:r>
      <w:r w:rsidR="00820C51" w:rsidRPr="005B07DE">
        <w:rPr>
          <w:rFonts w:ascii="Arial Narrow" w:hAnsi="Arial Narrow"/>
          <w:bCs/>
          <w:sz w:val="24"/>
          <w:szCs w:val="24"/>
        </w:rPr>
        <w:t>nebol uhraden</w:t>
      </w:r>
      <w:r w:rsidR="00BD69F4">
        <w:rPr>
          <w:rFonts w:ascii="Arial Narrow" w:hAnsi="Arial Narrow"/>
          <w:bCs/>
          <w:sz w:val="24"/>
          <w:szCs w:val="24"/>
        </w:rPr>
        <w:t>ý</w:t>
      </w:r>
      <w:r w:rsidR="00820C51" w:rsidRPr="005B07DE">
        <w:rPr>
          <w:rFonts w:ascii="Arial Narrow" w:hAnsi="Arial Narrow"/>
          <w:bCs/>
          <w:sz w:val="24"/>
          <w:szCs w:val="24"/>
        </w:rPr>
        <w:t xml:space="preserve"> príjemcom dotácie</w:t>
      </w:r>
      <w:r w:rsidR="008E7B04">
        <w:rPr>
          <w:rFonts w:ascii="Arial Narrow" w:hAnsi="Arial Narrow"/>
          <w:bCs/>
          <w:sz w:val="24"/>
          <w:szCs w:val="24"/>
        </w:rPr>
        <w:t xml:space="preserve"> ale nárokovan</w:t>
      </w:r>
      <w:r w:rsidR="00BD69F4">
        <w:rPr>
          <w:rFonts w:ascii="Arial Narrow" w:hAnsi="Arial Narrow"/>
          <w:bCs/>
          <w:sz w:val="24"/>
          <w:szCs w:val="24"/>
        </w:rPr>
        <w:t>ý</w:t>
      </w:r>
      <w:r w:rsidR="008E7B04">
        <w:rPr>
          <w:rFonts w:ascii="Arial Narrow" w:hAnsi="Arial Narrow"/>
          <w:bCs/>
          <w:sz w:val="24"/>
          <w:szCs w:val="24"/>
        </w:rPr>
        <w:t xml:space="preserve"> na preplatenie</w:t>
      </w:r>
      <w:r w:rsidR="0059185E">
        <w:rPr>
          <w:rFonts w:ascii="Arial Narrow" w:hAnsi="Arial Narrow"/>
          <w:bCs/>
          <w:sz w:val="24"/>
          <w:szCs w:val="24"/>
        </w:rPr>
        <w:t xml:space="preserve">. </w:t>
      </w:r>
      <w:bookmarkStart w:id="2" w:name="_Hlk219204640"/>
    </w:p>
    <w:p w14:paraId="2B720FB7" w14:textId="29A7B415" w:rsidR="00373BB5" w:rsidRDefault="0059185E" w:rsidP="003E7C2A">
      <w:pPr>
        <w:pStyle w:val="Odsekzoznamu"/>
        <w:spacing w:before="120" w:after="120" w:line="360" w:lineRule="auto"/>
        <w:contextualSpacing w:val="0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lastRenderedPageBreak/>
        <w:t xml:space="preserve">V nadväznosti na </w:t>
      </w:r>
      <w:r w:rsidR="008E042B">
        <w:rPr>
          <w:rFonts w:ascii="Arial Narrow" w:hAnsi="Arial Narrow"/>
          <w:bCs/>
          <w:sz w:val="24"/>
          <w:szCs w:val="24"/>
        </w:rPr>
        <w:t>zistené skutočnosti,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="008E042B">
        <w:rPr>
          <w:rFonts w:ascii="Arial Narrow" w:hAnsi="Arial Narrow"/>
          <w:bCs/>
          <w:sz w:val="24"/>
          <w:szCs w:val="24"/>
        </w:rPr>
        <w:t xml:space="preserve">bude podaný podnet </w:t>
      </w:r>
      <w:r>
        <w:rPr>
          <w:rFonts w:ascii="Arial Narrow" w:hAnsi="Arial Narrow"/>
          <w:bCs/>
          <w:sz w:val="24"/>
          <w:szCs w:val="24"/>
        </w:rPr>
        <w:t xml:space="preserve">príslušnému správnemu orgánu na začatie správneho konania vo veci porušenia finančnej disciplíny </w:t>
      </w:r>
      <w:r w:rsidR="008E7B04">
        <w:rPr>
          <w:rFonts w:ascii="Arial Narrow" w:hAnsi="Arial Narrow"/>
          <w:bCs/>
          <w:sz w:val="24"/>
          <w:szCs w:val="24"/>
        </w:rPr>
        <w:t xml:space="preserve">v zmysle § 31 zákona </w:t>
      </w:r>
      <w:r w:rsidR="004240F3">
        <w:rPr>
          <w:rFonts w:ascii="Arial Narrow" w:hAnsi="Arial Narrow"/>
          <w:bCs/>
          <w:sz w:val="24"/>
          <w:szCs w:val="24"/>
        </w:rPr>
        <w:br/>
      </w:r>
      <w:r w:rsidR="008E7B04">
        <w:rPr>
          <w:rFonts w:ascii="Arial Narrow" w:hAnsi="Arial Narrow"/>
          <w:bCs/>
          <w:sz w:val="24"/>
          <w:szCs w:val="24"/>
        </w:rPr>
        <w:t xml:space="preserve">č. 523/2004 o rozpočtových pravidlách </w:t>
      </w:r>
      <w:r w:rsidR="008E7B04" w:rsidRPr="008E7B04">
        <w:rPr>
          <w:rFonts w:ascii="Arial Narrow" w:hAnsi="Arial Narrow"/>
          <w:sz w:val="24"/>
          <w:szCs w:val="24"/>
        </w:rPr>
        <w:t xml:space="preserve">verejnej správy </w:t>
      </w:r>
      <w:r w:rsidRPr="008E7B04">
        <w:rPr>
          <w:rFonts w:ascii="Arial Narrow" w:hAnsi="Arial Narrow"/>
          <w:sz w:val="24"/>
          <w:szCs w:val="24"/>
        </w:rPr>
        <w:t>za účelo</w:t>
      </w:r>
      <w:r>
        <w:rPr>
          <w:rFonts w:ascii="Arial Narrow" w:hAnsi="Arial Narrow"/>
          <w:bCs/>
          <w:sz w:val="24"/>
          <w:szCs w:val="24"/>
        </w:rPr>
        <w:t xml:space="preserve">m </w:t>
      </w:r>
      <w:r w:rsidRPr="003B0D0F">
        <w:rPr>
          <w:rFonts w:ascii="Arial Narrow" w:hAnsi="Arial Narrow"/>
          <w:bCs/>
          <w:sz w:val="24"/>
          <w:szCs w:val="24"/>
        </w:rPr>
        <w:t>uloženi</w:t>
      </w:r>
      <w:r w:rsidR="008E7B04" w:rsidRPr="003B0D0F">
        <w:rPr>
          <w:rFonts w:ascii="Arial Narrow" w:hAnsi="Arial Narrow"/>
          <w:bCs/>
          <w:sz w:val="24"/>
          <w:szCs w:val="24"/>
        </w:rPr>
        <w:t>a</w:t>
      </w:r>
      <w:r w:rsidRPr="003B0D0F">
        <w:rPr>
          <w:rFonts w:ascii="Arial Narrow" w:hAnsi="Arial Narrow"/>
          <w:bCs/>
          <w:sz w:val="24"/>
          <w:szCs w:val="24"/>
        </w:rPr>
        <w:t xml:space="preserve"> </w:t>
      </w:r>
      <w:r w:rsidR="004240F3" w:rsidRPr="003B0D0F">
        <w:rPr>
          <w:rFonts w:ascii="Arial Narrow" w:hAnsi="Arial Narrow"/>
          <w:bCs/>
          <w:sz w:val="24"/>
          <w:szCs w:val="24"/>
        </w:rPr>
        <w:t>sankcie</w:t>
      </w:r>
      <w:r w:rsidRPr="003B0D0F">
        <w:rPr>
          <w:rFonts w:ascii="Arial Narrow" w:hAnsi="Arial Narrow"/>
          <w:bCs/>
          <w:sz w:val="24"/>
          <w:szCs w:val="24"/>
        </w:rPr>
        <w:t>.</w:t>
      </w:r>
    </w:p>
    <w:bookmarkEnd w:id="2"/>
    <w:p w14:paraId="74DC3F96" w14:textId="013403C5" w:rsidR="00F7082C" w:rsidRDefault="00E70A48" w:rsidP="00E97B7B">
      <w:pPr>
        <w:pStyle w:val="Odsekzoznamu"/>
        <w:numPr>
          <w:ilvl w:val="0"/>
          <w:numId w:val="13"/>
        </w:numPr>
        <w:spacing w:before="360" w:after="120" w:line="360" w:lineRule="auto"/>
        <w:ind w:left="714" w:hanging="357"/>
        <w:jc w:val="both"/>
        <w:rPr>
          <w:rFonts w:ascii="Arial Narrow" w:hAnsi="Arial Narrow"/>
          <w:bCs/>
          <w:sz w:val="24"/>
          <w:szCs w:val="24"/>
        </w:rPr>
      </w:pPr>
      <w:r w:rsidRPr="005B07DE">
        <w:rPr>
          <w:rFonts w:ascii="Arial Narrow" w:hAnsi="Arial Narrow"/>
          <w:b/>
          <w:sz w:val="24"/>
          <w:szCs w:val="24"/>
          <w:u w:val="single"/>
        </w:rPr>
        <w:t>občianske združenie</w:t>
      </w:r>
      <w:r w:rsidR="00D95019" w:rsidRPr="005B07DE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820B97" w:rsidRPr="005B07DE">
        <w:rPr>
          <w:rFonts w:ascii="Arial Narrow" w:hAnsi="Arial Narrow"/>
          <w:b/>
          <w:sz w:val="24"/>
          <w:szCs w:val="24"/>
          <w:u w:val="single"/>
        </w:rPr>
        <w:t xml:space="preserve">Post </w:t>
      </w:r>
      <w:proofErr w:type="spellStart"/>
      <w:r w:rsidR="00820B97" w:rsidRPr="005B07DE">
        <w:rPr>
          <w:rFonts w:ascii="Arial Narrow" w:hAnsi="Arial Narrow"/>
          <w:b/>
          <w:sz w:val="24"/>
          <w:szCs w:val="24"/>
          <w:u w:val="single"/>
        </w:rPr>
        <w:t>Bellum</w:t>
      </w:r>
      <w:proofErr w:type="spellEnd"/>
      <w:r w:rsidR="00820B97" w:rsidRPr="005B07DE">
        <w:rPr>
          <w:rFonts w:ascii="Arial Narrow" w:hAnsi="Arial Narrow"/>
          <w:b/>
          <w:sz w:val="24"/>
          <w:szCs w:val="24"/>
          <w:u w:val="single"/>
        </w:rPr>
        <w:t xml:space="preserve"> SK</w:t>
      </w:r>
      <w:r w:rsidR="00D95019" w:rsidRPr="005B07DE">
        <w:rPr>
          <w:rFonts w:ascii="Arial Narrow" w:hAnsi="Arial Narrow"/>
          <w:b/>
          <w:sz w:val="24"/>
          <w:szCs w:val="24"/>
        </w:rPr>
        <w:t>,</w:t>
      </w:r>
      <w:r w:rsidR="00820B97" w:rsidRPr="005B07DE">
        <w:rPr>
          <w:rFonts w:ascii="Arial Narrow" w:hAnsi="Arial Narrow"/>
          <w:sz w:val="24"/>
          <w:szCs w:val="24"/>
        </w:rPr>
        <w:t xml:space="preserve"> Bratislav</w:t>
      </w:r>
      <w:r w:rsidR="00D95019" w:rsidRPr="005B07DE">
        <w:rPr>
          <w:rFonts w:ascii="Arial Narrow" w:hAnsi="Arial Narrow"/>
          <w:sz w:val="24"/>
          <w:szCs w:val="24"/>
        </w:rPr>
        <w:t>a</w:t>
      </w:r>
      <w:r w:rsidRPr="005B07DE">
        <w:rPr>
          <w:rFonts w:ascii="Arial Narrow" w:hAnsi="Arial Narrow"/>
          <w:sz w:val="24"/>
          <w:szCs w:val="24"/>
        </w:rPr>
        <w:t xml:space="preserve"> - vládny audit</w:t>
      </w:r>
      <w:r w:rsidR="00820B97" w:rsidRPr="005B07DE">
        <w:rPr>
          <w:rFonts w:ascii="Arial Narrow" w:hAnsi="Arial Narrow"/>
          <w:sz w:val="24"/>
          <w:szCs w:val="24"/>
        </w:rPr>
        <w:t xml:space="preserve"> identifikoval 6 nedostatkov s vysokou závažnosťou z toho 3 finančné v celkovej sume </w:t>
      </w:r>
      <w:r w:rsidR="006F3DFE">
        <w:rPr>
          <w:rFonts w:ascii="Arial Narrow" w:hAnsi="Arial Narrow"/>
          <w:b/>
          <w:bCs/>
          <w:sz w:val="24"/>
          <w:szCs w:val="24"/>
        </w:rPr>
        <w:t>53 638,04</w:t>
      </w:r>
      <w:r w:rsidR="00820B97" w:rsidRPr="005B07DE">
        <w:rPr>
          <w:rFonts w:ascii="Arial Narrow" w:hAnsi="Arial Narrow"/>
          <w:b/>
          <w:bCs/>
          <w:sz w:val="24"/>
          <w:szCs w:val="24"/>
        </w:rPr>
        <w:t xml:space="preserve"> Eur</w:t>
      </w:r>
      <w:r w:rsidRPr="005B07DE">
        <w:rPr>
          <w:rFonts w:ascii="Arial Narrow" w:hAnsi="Arial Narrow"/>
          <w:b/>
          <w:bCs/>
          <w:sz w:val="24"/>
          <w:szCs w:val="24"/>
        </w:rPr>
        <w:t>;</w:t>
      </w:r>
      <w:r w:rsidRPr="005B07DE">
        <w:rPr>
          <w:rFonts w:ascii="Arial Narrow" w:hAnsi="Arial Narrow"/>
          <w:sz w:val="24"/>
          <w:szCs w:val="24"/>
        </w:rPr>
        <w:t xml:space="preserve"> </w:t>
      </w:r>
      <w:r w:rsidR="00D95019" w:rsidRPr="005B07DE">
        <w:rPr>
          <w:rFonts w:ascii="Arial Narrow" w:hAnsi="Arial Narrow"/>
          <w:sz w:val="24"/>
          <w:szCs w:val="24"/>
        </w:rPr>
        <w:t xml:space="preserve">čiastka 958,04 Eur </w:t>
      </w:r>
      <w:r w:rsidR="00004754" w:rsidRPr="005B07DE">
        <w:rPr>
          <w:rFonts w:ascii="Arial Narrow" w:hAnsi="Arial Narrow"/>
          <w:sz w:val="24"/>
          <w:szCs w:val="24"/>
        </w:rPr>
        <w:t xml:space="preserve">predstavuje </w:t>
      </w:r>
      <w:r w:rsidR="00D95019" w:rsidRPr="005B07DE">
        <w:rPr>
          <w:rFonts w:ascii="Arial Narrow" w:hAnsi="Arial Narrow"/>
          <w:sz w:val="24"/>
          <w:szCs w:val="24"/>
        </w:rPr>
        <w:t>duplicitné čerpanie finančných prostriedkov</w:t>
      </w:r>
      <w:r w:rsidR="00B84E5E" w:rsidRPr="005B07DE">
        <w:rPr>
          <w:rFonts w:ascii="Arial Narrow" w:hAnsi="Arial Narrow"/>
          <w:sz w:val="24"/>
          <w:szCs w:val="24"/>
        </w:rPr>
        <w:t xml:space="preserve"> a zvyšná suma predstavuje neoprávnené čerpanie finančných prostriedkov </w:t>
      </w:r>
      <w:r w:rsidR="008E7B04">
        <w:rPr>
          <w:rFonts w:ascii="Arial Narrow" w:hAnsi="Arial Narrow"/>
          <w:sz w:val="24"/>
          <w:szCs w:val="24"/>
        </w:rPr>
        <w:t xml:space="preserve">z dôvodu </w:t>
      </w:r>
      <w:r w:rsidR="00B84E5E" w:rsidRPr="005B07DE">
        <w:rPr>
          <w:rFonts w:ascii="Arial Narrow" w:hAnsi="Arial Narrow"/>
          <w:sz w:val="24"/>
          <w:szCs w:val="24"/>
        </w:rPr>
        <w:t>nedodržani</w:t>
      </w:r>
      <w:r w:rsidR="008E7B04">
        <w:rPr>
          <w:rFonts w:ascii="Arial Narrow" w:hAnsi="Arial Narrow"/>
          <w:sz w:val="24"/>
          <w:szCs w:val="24"/>
        </w:rPr>
        <w:t>a</w:t>
      </w:r>
      <w:r w:rsidR="00B84E5E" w:rsidRPr="005B07DE">
        <w:rPr>
          <w:rFonts w:ascii="Arial Narrow" w:hAnsi="Arial Narrow"/>
          <w:sz w:val="24"/>
          <w:szCs w:val="24"/>
        </w:rPr>
        <w:t xml:space="preserve"> zmluvných podmienok</w:t>
      </w:r>
      <w:r w:rsidR="00F7082C">
        <w:rPr>
          <w:rFonts w:ascii="Arial Narrow" w:hAnsi="Arial Narrow"/>
          <w:sz w:val="24"/>
          <w:szCs w:val="24"/>
        </w:rPr>
        <w:t xml:space="preserve">, </w:t>
      </w:r>
      <w:r w:rsidR="00F7082C" w:rsidRPr="005B07DE">
        <w:rPr>
          <w:rFonts w:ascii="Arial Narrow" w:hAnsi="Arial Narrow"/>
          <w:sz w:val="24"/>
          <w:szCs w:val="24"/>
        </w:rPr>
        <w:t>ktor</w:t>
      </w:r>
      <w:r w:rsidR="00F7082C">
        <w:rPr>
          <w:rFonts w:ascii="Arial Narrow" w:hAnsi="Arial Narrow"/>
          <w:sz w:val="24"/>
          <w:szCs w:val="24"/>
        </w:rPr>
        <w:t>ých nedodržanie</w:t>
      </w:r>
      <w:r w:rsidR="00F7082C" w:rsidRPr="005B07DE">
        <w:rPr>
          <w:rFonts w:ascii="Arial Narrow" w:hAnsi="Arial Narrow"/>
          <w:sz w:val="24"/>
          <w:szCs w:val="24"/>
        </w:rPr>
        <w:t xml:space="preserve"> </w:t>
      </w:r>
      <w:r w:rsidR="00F7082C">
        <w:rPr>
          <w:rFonts w:ascii="Arial Narrow" w:hAnsi="Arial Narrow"/>
          <w:sz w:val="24"/>
          <w:szCs w:val="24"/>
        </w:rPr>
        <w:t>bude mať</w:t>
      </w:r>
      <w:r w:rsidR="00F7082C" w:rsidRPr="005B07DE">
        <w:rPr>
          <w:rFonts w:ascii="Arial Narrow" w:hAnsi="Arial Narrow"/>
          <w:sz w:val="24"/>
          <w:szCs w:val="24"/>
        </w:rPr>
        <w:t xml:space="preserve"> za následok vrátenie poskytnu</w:t>
      </w:r>
      <w:r w:rsidR="00ED5B01">
        <w:rPr>
          <w:rFonts w:ascii="Arial Narrow" w:hAnsi="Arial Narrow"/>
          <w:sz w:val="24"/>
          <w:szCs w:val="24"/>
        </w:rPr>
        <w:t>tých verejných financií</w:t>
      </w:r>
      <w:r w:rsidR="00F7082C">
        <w:rPr>
          <w:rFonts w:ascii="Arial Narrow" w:hAnsi="Arial Narrow"/>
          <w:sz w:val="24"/>
          <w:szCs w:val="24"/>
        </w:rPr>
        <w:t xml:space="preserve">. Porušený bol zákaz </w:t>
      </w:r>
      <w:r w:rsidR="00B84E5E" w:rsidRPr="005B07DE">
        <w:rPr>
          <w:rFonts w:ascii="Arial Narrow" w:hAnsi="Arial Narrow"/>
          <w:sz w:val="24"/>
          <w:szCs w:val="24"/>
        </w:rPr>
        <w:t>financovani</w:t>
      </w:r>
      <w:r w:rsidR="00F7082C">
        <w:rPr>
          <w:rFonts w:ascii="Arial Narrow" w:hAnsi="Arial Narrow"/>
          <w:sz w:val="24"/>
          <w:szCs w:val="24"/>
        </w:rPr>
        <w:t>a</w:t>
      </w:r>
      <w:r w:rsidR="00B84E5E" w:rsidRPr="005B07DE">
        <w:rPr>
          <w:rFonts w:ascii="Arial Narrow" w:hAnsi="Arial Narrow"/>
          <w:sz w:val="24"/>
          <w:szCs w:val="24"/>
        </w:rPr>
        <w:t xml:space="preserve"> jedného projektu </w:t>
      </w:r>
      <w:r w:rsidR="00820C51" w:rsidRPr="005B07DE">
        <w:rPr>
          <w:rFonts w:ascii="Arial Narrow" w:hAnsi="Arial Narrow"/>
          <w:sz w:val="24"/>
          <w:szCs w:val="24"/>
        </w:rPr>
        <w:t xml:space="preserve">z dotácie </w:t>
      </w:r>
      <w:r w:rsidR="00B84E5E" w:rsidRPr="005B07DE">
        <w:rPr>
          <w:rFonts w:ascii="Arial Narrow" w:hAnsi="Arial Narrow"/>
          <w:sz w:val="24"/>
          <w:szCs w:val="24"/>
        </w:rPr>
        <w:t xml:space="preserve">od </w:t>
      </w:r>
      <w:r w:rsidR="00F7082C">
        <w:rPr>
          <w:rFonts w:ascii="Arial Narrow" w:hAnsi="Arial Narrow"/>
          <w:sz w:val="24"/>
          <w:szCs w:val="24"/>
        </w:rPr>
        <w:t>iných</w:t>
      </w:r>
      <w:r w:rsidR="00B84E5E" w:rsidRPr="005B07DE">
        <w:rPr>
          <w:rFonts w:ascii="Arial Narrow" w:hAnsi="Arial Narrow"/>
          <w:sz w:val="24"/>
          <w:szCs w:val="24"/>
        </w:rPr>
        <w:t xml:space="preserve"> poskytovateľov</w:t>
      </w:r>
      <w:r w:rsidR="00820C51" w:rsidRPr="005B07DE">
        <w:rPr>
          <w:rFonts w:ascii="Arial Narrow" w:hAnsi="Arial Narrow"/>
          <w:sz w:val="24"/>
          <w:szCs w:val="24"/>
        </w:rPr>
        <w:t xml:space="preserve"> </w:t>
      </w:r>
      <w:r w:rsidR="00B84E5E" w:rsidRPr="005B07DE">
        <w:rPr>
          <w:rFonts w:ascii="Arial Narrow" w:hAnsi="Arial Narrow"/>
          <w:sz w:val="24"/>
          <w:szCs w:val="24"/>
        </w:rPr>
        <w:t>a nezabezpečeni</w:t>
      </w:r>
      <w:r w:rsidR="00F7082C">
        <w:rPr>
          <w:rFonts w:ascii="Arial Narrow" w:hAnsi="Arial Narrow"/>
          <w:sz w:val="24"/>
          <w:szCs w:val="24"/>
        </w:rPr>
        <w:t>e</w:t>
      </w:r>
      <w:r w:rsidR="00B84E5E" w:rsidRPr="005B07DE">
        <w:rPr>
          <w:rFonts w:ascii="Arial Narrow" w:hAnsi="Arial Narrow"/>
          <w:sz w:val="24"/>
          <w:szCs w:val="24"/>
        </w:rPr>
        <w:t xml:space="preserve"> povinného spolufinancovania.</w:t>
      </w:r>
      <w:r w:rsidR="00820B97" w:rsidRPr="005B07DE">
        <w:rPr>
          <w:rFonts w:ascii="Arial Narrow" w:hAnsi="Arial Narrow"/>
          <w:sz w:val="24"/>
          <w:szCs w:val="24"/>
        </w:rPr>
        <w:t xml:space="preserve"> </w:t>
      </w:r>
      <w:r w:rsidR="008204B7" w:rsidRPr="005B07DE">
        <w:rPr>
          <w:rFonts w:ascii="Arial Narrow" w:hAnsi="Arial Narrow"/>
          <w:sz w:val="24"/>
          <w:szCs w:val="24"/>
        </w:rPr>
        <w:t>Predmetný audit bol v časti týkajúcej sa overenia čerpania dotácie za rok 2022 ukončený čiastkovou správou; výkon auditu však pokračuje v overovaní čerpania dotácií v</w:t>
      </w:r>
      <w:r w:rsidR="00F7082C">
        <w:rPr>
          <w:rFonts w:ascii="Arial Narrow" w:hAnsi="Arial Narrow"/>
          <w:sz w:val="24"/>
          <w:szCs w:val="24"/>
        </w:rPr>
        <w:t> </w:t>
      </w:r>
      <w:r w:rsidR="008204B7" w:rsidRPr="005B07DE">
        <w:rPr>
          <w:rFonts w:ascii="Arial Narrow" w:hAnsi="Arial Narrow"/>
          <w:sz w:val="24"/>
          <w:szCs w:val="24"/>
        </w:rPr>
        <w:t>rokoch</w:t>
      </w:r>
      <w:r w:rsidR="00F7082C">
        <w:rPr>
          <w:rFonts w:ascii="Arial Narrow" w:hAnsi="Arial Narrow"/>
          <w:sz w:val="24"/>
          <w:szCs w:val="24"/>
        </w:rPr>
        <w:t xml:space="preserve"> 2023 až 2025</w:t>
      </w:r>
      <w:r w:rsidR="0059185E">
        <w:rPr>
          <w:rFonts w:ascii="Arial Narrow" w:hAnsi="Arial Narrow"/>
          <w:sz w:val="24"/>
          <w:szCs w:val="24"/>
        </w:rPr>
        <w:t>.</w:t>
      </w:r>
      <w:r w:rsidR="0059185E" w:rsidRPr="0059185E">
        <w:rPr>
          <w:rFonts w:ascii="Arial Narrow" w:hAnsi="Arial Narrow"/>
          <w:bCs/>
          <w:sz w:val="24"/>
          <w:szCs w:val="24"/>
        </w:rPr>
        <w:t xml:space="preserve"> </w:t>
      </w:r>
    </w:p>
    <w:p w14:paraId="4C76EDE9" w14:textId="2B8F0BF2" w:rsidR="00BD0D68" w:rsidRPr="00BD0D68" w:rsidRDefault="008E042B" w:rsidP="00BD0D68">
      <w:pPr>
        <w:pStyle w:val="Odsekzoznamu"/>
        <w:spacing w:before="120" w:after="120" w:line="360" w:lineRule="auto"/>
        <w:contextualSpacing w:val="0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V nadväznosti na zistené skutočnosti, bude podaný podnet príslušnému správnemu orgánu na začatie správneho konania vo veci porušenia finančnej disciplíny v zmysle § 31 zákona </w:t>
      </w:r>
      <w:r w:rsidR="004240F3">
        <w:rPr>
          <w:rFonts w:ascii="Arial Narrow" w:hAnsi="Arial Narrow"/>
          <w:bCs/>
          <w:sz w:val="24"/>
          <w:szCs w:val="24"/>
        </w:rPr>
        <w:br/>
      </w:r>
      <w:r>
        <w:rPr>
          <w:rFonts w:ascii="Arial Narrow" w:hAnsi="Arial Narrow"/>
          <w:bCs/>
          <w:sz w:val="24"/>
          <w:szCs w:val="24"/>
        </w:rPr>
        <w:t xml:space="preserve">č. 523/2004 o rozpočtových pravidlách </w:t>
      </w:r>
      <w:r w:rsidRPr="008E7B04">
        <w:rPr>
          <w:rFonts w:ascii="Arial Narrow" w:hAnsi="Arial Narrow"/>
          <w:sz w:val="24"/>
          <w:szCs w:val="24"/>
        </w:rPr>
        <w:t>verejnej správy za účelo</w:t>
      </w:r>
      <w:r>
        <w:rPr>
          <w:rFonts w:ascii="Arial Narrow" w:hAnsi="Arial Narrow"/>
          <w:bCs/>
          <w:sz w:val="24"/>
          <w:szCs w:val="24"/>
        </w:rPr>
        <w:t xml:space="preserve">m </w:t>
      </w:r>
      <w:r w:rsidRPr="003B0D0F">
        <w:rPr>
          <w:rFonts w:ascii="Arial Narrow" w:hAnsi="Arial Narrow"/>
          <w:bCs/>
          <w:sz w:val="24"/>
          <w:szCs w:val="24"/>
        </w:rPr>
        <w:t xml:space="preserve">uloženia </w:t>
      </w:r>
      <w:r w:rsidR="004240F3" w:rsidRPr="003B0D0F">
        <w:rPr>
          <w:rFonts w:ascii="Arial Narrow" w:hAnsi="Arial Narrow"/>
          <w:bCs/>
          <w:sz w:val="24"/>
          <w:szCs w:val="24"/>
        </w:rPr>
        <w:t>sankcie</w:t>
      </w:r>
      <w:r w:rsidR="004240F3">
        <w:rPr>
          <w:rFonts w:ascii="Arial Narrow" w:hAnsi="Arial Narrow"/>
          <w:bCs/>
          <w:sz w:val="24"/>
          <w:szCs w:val="24"/>
        </w:rPr>
        <w:t>.</w:t>
      </w:r>
    </w:p>
    <w:p w14:paraId="4ADB2B69" w14:textId="68703028" w:rsidR="008E042B" w:rsidRDefault="003F41BD" w:rsidP="003E7C2A">
      <w:pPr>
        <w:pStyle w:val="Odsekzoznamu"/>
        <w:numPr>
          <w:ilvl w:val="0"/>
          <w:numId w:val="13"/>
        </w:numPr>
        <w:spacing w:before="120" w:after="120" w:line="360" w:lineRule="auto"/>
        <w:jc w:val="both"/>
        <w:rPr>
          <w:rFonts w:ascii="Arial Narrow" w:hAnsi="Arial Narrow"/>
          <w:sz w:val="24"/>
          <w:szCs w:val="24"/>
        </w:rPr>
      </w:pPr>
      <w:r w:rsidRPr="005B07DE">
        <w:rPr>
          <w:rFonts w:ascii="Arial Narrow" w:hAnsi="Arial Narrow"/>
          <w:b/>
          <w:bCs/>
          <w:sz w:val="24"/>
          <w:szCs w:val="24"/>
          <w:u w:val="single"/>
        </w:rPr>
        <w:t>občianske združenie „Projekt Fórum“, Bratislava</w:t>
      </w:r>
      <w:r w:rsidRPr="005B07DE">
        <w:rPr>
          <w:rFonts w:ascii="Arial Narrow" w:hAnsi="Arial Narrow"/>
          <w:sz w:val="24"/>
          <w:szCs w:val="24"/>
        </w:rPr>
        <w:t xml:space="preserve"> - vládny audit identifikoval 6 finančných nedostatkov s vysokou závažnosťou </w:t>
      </w:r>
      <w:r w:rsidRPr="005B07DE">
        <w:rPr>
          <w:rFonts w:ascii="Arial Narrow" w:hAnsi="Arial Narrow"/>
          <w:b/>
          <w:bCs/>
          <w:sz w:val="24"/>
          <w:szCs w:val="24"/>
        </w:rPr>
        <w:t>v celkovej sume 133 844,60 Eur</w:t>
      </w:r>
      <w:r w:rsidRPr="005B07DE">
        <w:rPr>
          <w:rFonts w:ascii="Arial Narrow" w:hAnsi="Arial Narrow"/>
          <w:sz w:val="24"/>
          <w:szCs w:val="24"/>
        </w:rPr>
        <w:t xml:space="preserve">; čiastka </w:t>
      </w:r>
      <w:r w:rsidR="00652174">
        <w:rPr>
          <w:rFonts w:ascii="Arial Narrow" w:hAnsi="Arial Narrow"/>
          <w:sz w:val="24"/>
          <w:szCs w:val="24"/>
        </w:rPr>
        <w:t>69 638,96</w:t>
      </w:r>
      <w:r w:rsidR="00652174" w:rsidRPr="005B07DE">
        <w:rPr>
          <w:rFonts w:ascii="Arial Narrow" w:hAnsi="Arial Narrow"/>
          <w:sz w:val="24"/>
          <w:szCs w:val="24"/>
        </w:rPr>
        <w:t xml:space="preserve"> </w:t>
      </w:r>
      <w:r w:rsidR="00652174">
        <w:rPr>
          <w:rFonts w:ascii="Arial Narrow" w:hAnsi="Arial Narrow"/>
          <w:sz w:val="24"/>
          <w:szCs w:val="24"/>
        </w:rPr>
        <w:t xml:space="preserve">Eur </w:t>
      </w:r>
      <w:r w:rsidRPr="005B07DE">
        <w:rPr>
          <w:rFonts w:ascii="Arial Narrow" w:hAnsi="Arial Narrow"/>
          <w:sz w:val="24"/>
          <w:szCs w:val="24"/>
        </w:rPr>
        <w:t>predstavuje duplicitné čerpanie finančných prostriedkov</w:t>
      </w:r>
      <w:r w:rsidRPr="005B07DE" w:rsidDel="00B84E5E">
        <w:rPr>
          <w:rFonts w:ascii="Arial Narrow" w:hAnsi="Arial Narrow"/>
          <w:sz w:val="24"/>
          <w:szCs w:val="24"/>
        </w:rPr>
        <w:t xml:space="preserve"> </w:t>
      </w:r>
      <w:r w:rsidRPr="005B07DE">
        <w:rPr>
          <w:rFonts w:ascii="Arial Narrow" w:hAnsi="Arial Narrow"/>
          <w:sz w:val="24"/>
          <w:szCs w:val="24"/>
        </w:rPr>
        <w:t xml:space="preserve">a zvyšná suma </w:t>
      </w:r>
      <w:r w:rsidR="00652174">
        <w:rPr>
          <w:rFonts w:ascii="Arial Narrow" w:hAnsi="Arial Narrow"/>
          <w:sz w:val="24"/>
          <w:szCs w:val="24"/>
        </w:rPr>
        <w:t xml:space="preserve">64 205,64 </w:t>
      </w:r>
      <w:r w:rsidRPr="005B07DE">
        <w:rPr>
          <w:rFonts w:ascii="Arial Narrow" w:hAnsi="Arial Narrow"/>
          <w:sz w:val="24"/>
          <w:szCs w:val="24"/>
        </w:rPr>
        <w:t>Eur predstavuje neoprávnené čerpanie finančných prostriedkov</w:t>
      </w:r>
      <w:r w:rsidR="009C13E0">
        <w:rPr>
          <w:rFonts w:ascii="Arial Narrow" w:hAnsi="Arial Narrow"/>
          <w:sz w:val="24"/>
          <w:szCs w:val="24"/>
        </w:rPr>
        <w:t xml:space="preserve"> z dôvodu </w:t>
      </w:r>
      <w:r w:rsidRPr="005B07DE">
        <w:rPr>
          <w:rFonts w:ascii="Arial Narrow" w:hAnsi="Arial Narrow"/>
          <w:sz w:val="24"/>
          <w:szCs w:val="24"/>
        </w:rPr>
        <w:t>nárokovani</w:t>
      </w:r>
      <w:r w:rsidR="009C13E0">
        <w:rPr>
          <w:rFonts w:ascii="Arial Narrow" w:hAnsi="Arial Narrow"/>
          <w:sz w:val="24"/>
          <w:szCs w:val="24"/>
        </w:rPr>
        <w:t>a</w:t>
      </w:r>
      <w:r w:rsidRPr="005B07DE">
        <w:rPr>
          <w:rFonts w:ascii="Arial Narrow" w:hAnsi="Arial Narrow"/>
          <w:sz w:val="24"/>
          <w:szCs w:val="24"/>
        </w:rPr>
        <w:t xml:space="preserve"> si vyššej sumy</w:t>
      </w:r>
      <w:r w:rsidR="009C13E0">
        <w:rPr>
          <w:rFonts w:ascii="Arial Narrow" w:hAnsi="Arial Narrow"/>
          <w:sz w:val="24"/>
          <w:szCs w:val="24"/>
        </w:rPr>
        <w:t xml:space="preserve"> na preplatenie,</w:t>
      </w:r>
      <w:r w:rsidRPr="005B07DE">
        <w:rPr>
          <w:rFonts w:ascii="Arial Narrow" w:hAnsi="Arial Narrow"/>
          <w:sz w:val="24"/>
          <w:szCs w:val="24"/>
        </w:rPr>
        <w:t xml:space="preserve"> ako bol</w:t>
      </w:r>
      <w:r w:rsidR="009C13E0">
        <w:rPr>
          <w:rFonts w:ascii="Arial Narrow" w:hAnsi="Arial Narrow"/>
          <w:sz w:val="24"/>
          <w:szCs w:val="24"/>
        </w:rPr>
        <w:t>a výška sumy skutočne vynaložená prijímateľom</w:t>
      </w:r>
      <w:r w:rsidR="00652174">
        <w:rPr>
          <w:rFonts w:ascii="Arial Narrow" w:hAnsi="Arial Narrow"/>
          <w:sz w:val="24"/>
          <w:szCs w:val="24"/>
        </w:rPr>
        <w:t xml:space="preserve"> a z dôvodu </w:t>
      </w:r>
      <w:r w:rsidR="00652174" w:rsidRPr="005B07DE">
        <w:rPr>
          <w:rFonts w:ascii="Arial Narrow" w:hAnsi="Arial Narrow"/>
          <w:sz w:val="24"/>
          <w:szCs w:val="24"/>
        </w:rPr>
        <w:t>nedodržani</w:t>
      </w:r>
      <w:r w:rsidR="00652174">
        <w:rPr>
          <w:rFonts w:ascii="Arial Narrow" w:hAnsi="Arial Narrow"/>
          <w:sz w:val="24"/>
          <w:szCs w:val="24"/>
        </w:rPr>
        <w:t>a</w:t>
      </w:r>
      <w:r w:rsidR="00652174" w:rsidRPr="005B07DE">
        <w:rPr>
          <w:rFonts w:ascii="Arial Narrow" w:hAnsi="Arial Narrow"/>
          <w:sz w:val="24"/>
          <w:szCs w:val="24"/>
        </w:rPr>
        <w:t xml:space="preserve"> zmluvných podmienok</w:t>
      </w:r>
      <w:r w:rsidR="00652174">
        <w:rPr>
          <w:rFonts w:ascii="Arial Narrow" w:hAnsi="Arial Narrow"/>
          <w:sz w:val="24"/>
          <w:szCs w:val="24"/>
        </w:rPr>
        <w:t xml:space="preserve">, </w:t>
      </w:r>
      <w:r w:rsidR="00652174" w:rsidRPr="005B07DE">
        <w:rPr>
          <w:rFonts w:ascii="Arial Narrow" w:hAnsi="Arial Narrow"/>
          <w:sz w:val="24"/>
          <w:szCs w:val="24"/>
        </w:rPr>
        <w:t>ktor</w:t>
      </w:r>
      <w:r w:rsidR="00652174">
        <w:rPr>
          <w:rFonts w:ascii="Arial Narrow" w:hAnsi="Arial Narrow"/>
          <w:sz w:val="24"/>
          <w:szCs w:val="24"/>
        </w:rPr>
        <w:t>ých nedodržanie</w:t>
      </w:r>
      <w:r w:rsidR="00652174" w:rsidRPr="005B07DE">
        <w:rPr>
          <w:rFonts w:ascii="Arial Narrow" w:hAnsi="Arial Narrow"/>
          <w:sz w:val="24"/>
          <w:szCs w:val="24"/>
        </w:rPr>
        <w:t xml:space="preserve"> </w:t>
      </w:r>
      <w:r w:rsidR="00652174">
        <w:rPr>
          <w:rFonts w:ascii="Arial Narrow" w:hAnsi="Arial Narrow"/>
          <w:sz w:val="24"/>
          <w:szCs w:val="24"/>
        </w:rPr>
        <w:t>bude mať</w:t>
      </w:r>
      <w:r w:rsidR="00652174" w:rsidRPr="005B07DE">
        <w:rPr>
          <w:rFonts w:ascii="Arial Narrow" w:hAnsi="Arial Narrow"/>
          <w:sz w:val="24"/>
          <w:szCs w:val="24"/>
        </w:rPr>
        <w:t xml:space="preserve"> za následok vrátenie </w:t>
      </w:r>
      <w:r w:rsidR="00ED5B01">
        <w:rPr>
          <w:rFonts w:ascii="Arial Narrow" w:hAnsi="Arial Narrow"/>
          <w:sz w:val="24"/>
          <w:szCs w:val="24"/>
        </w:rPr>
        <w:t>poskytnutých verejných financií</w:t>
      </w:r>
      <w:r w:rsidR="00652174">
        <w:rPr>
          <w:rFonts w:ascii="Arial Narrow" w:hAnsi="Arial Narrow"/>
          <w:sz w:val="24"/>
          <w:szCs w:val="24"/>
        </w:rPr>
        <w:t>.</w:t>
      </w:r>
      <w:r w:rsidR="00FA309D" w:rsidRPr="00FA309D">
        <w:rPr>
          <w:rFonts w:ascii="Arial Narrow" w:hAnsi="Arial Narrow"/>
          <w:sz w:val="24"/>
          <w:szCs w:val="24"/>
        </w:rPr>
        <w:t xml:space="preserve"> </w:t>
      </w:r>
    </w:p>
    <w:p w14:paraId="5CB77A98" w14:textId="07994991" w:rsidR="004240F3" w:rsidRDefault="008E042B" w:rsidP="004240F3">
      <w:pPr>
        <w:pStyle w:val="Odsekzoznamu"/>
        <w:spacing w:before="120" w:after="120" w:line="360" w:lineRule="auto"/>
        <w:contextualSpacing w:val="0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V nadväznosti na zistené skutočnosti, bude podaný podnet príslušnému správnemu orgánu na začatie správneho konania vo veci porušenia finančnej disciplíny v zmysle § 31 zákona </w:t>
      </w:r>
      <w:r w:rsidR="004240F3">
        <w:rPr>
          <w:rFonts w:ascii="Arial Narrow" w:hAnsi="Arial Narrow"/>
          <w:bCs/>
          <w:sz w:val="24"/>
          <w:szCs w:val="24"/>
        </w:rPr>
        <w:br/>
      </w:r>
      <w:r>
        <w:rPr>
          <w:rFonts w:ascii="Arial Narrow" w:hAnsi="Arial Narrow"/>
          <w:bCs/>
          <w:sz w:val="24"/>
          <w:szCs w:val="24"/>
        </w:rPr>
        <w:t xml:space="preserve">č. 523/2004 o rozpočtových pravidlách </w:t>
      </w:r>
      <w:r w:rsidRPr="008E7B04">
        <w:rPr>
          <w:rFonts w:ascii="Arial Narrow" w:hAnsi="Arial Narrow"/>
          <w:sz w:val="24"/>
          <w:szCs w:val="24"/>
        </w:rPr>
        <w:t>verejnej správy za účelo</w:t>
      </w:r>
      <w:r>
        <w:rPr>
          <w:rFonts w:ascii="Arial Narrow" w:hAnsi="Arial Narrow"/>
          <w:bCs/>
          <w:sz w:val="24"/>
          <w:szCs w:val="24"/>
        </w:rPr>
        <w:t xml:space="preserve">m uloženia </w:t>
      </w:r>
      <w:r w:rsidR="004240F3" w:rsidRPr="003B0D0F">
        <w:rPr>
          <w:rFonts w:ascii="Arial Narrow" w:hAnsi="Arial Narrow"/>
          <w:bCs/>
          <w:sz w:val="24"/>
          <w:szCs w:val="24"/>
        </w:rPr>
        <w:t>sankcie.</w:t>
      </w:r>
    </w:p>
    <w:p w14:paraId="0E7FE50C" w14:textId="2490BC8C" w:rsidR="008E042B" w:rsidRDefault="00820B97" w:rsidP="003E7C2A">
      <w:pPr>
        <w:pStyle w:val="Odsekzoznamu"/>
        <w:numPr>
          <w:ilvl w:val="0"/>
          <w:numId w:val="13"/>
        </w:numPr>
        <w:spacing w:before="120" w:after="120" w:line="360" w:lineRule="auto"/>
        <w:jc w:val="both"/>
        <w:rPr>
          <w:rFonts w:ascii="Arial Narrow" w:hAnsi="Arial Narrow"/>
          <w:bCs/>
          <w:sz w:val="24"/>
          <w:szCs w:val="24"/>
        </w:rPr>
      </w:pPr>
      <w:r w:rsidRPr="005B07DE">
        <w:rPr>
          <w:rFonts w:ascii="Arial Narrow" w:hAnsi="Arial Narrow"/>
          <w:b/>
          <w:sz w:val="24"/>
          <w:szCs w:val="24"/>
          <w:u w:val="single"/>
        </w:rPr>
        <w:t>divadl</w:t>
      </w:r>
      <w:r w:rsidR="00E70A48" w:rsidRPr="005B07DE">
        <w:rPr>
          <w:rFonts w:ascii="Arial Narrow" w:hAnsi="Arial Narrow"/>
          <w:b/>
          <w:sz w:val="24"/>
          <w:szCs w:val="24"/>
          <w:u w:val="single"/>
        </w:rPr>
        <w:t>o</w:t>
      </w:r>
      <w:r w:rsidRPr="005B07DE">
        <w:rPr>
          <w:rFonts w:ascii="Arial Narrow" w:hAnsi="Arial Narrow"/>
          <w:b/>
          <w:sz w:val="24"/>
          <w:szCs w:val="24"/>
          <w:u w:val="single"/>
        </w:rPr>
        <w:t xml:space="preserve"> </w:t>
      </w:r>
      <w:proofErr w:type="spellStart"/>
      <w:r w:rsidRPr="005B07DE">
        <w:rPr>
          <w:rFonts w:ascii="Arial Narrow" w:hAnsi="Arial Narrow"/>
          <w:b/>
          <w:sz w:val="24"/>
          <w:szCs w:val="24"/>
          <w:u w:val="single"/>
        </w:rPr>
        <w:t>Pôtoň</w:t>
      </w:r>
      <w:proofErr w:type="spellEnd"/>
      <w:r w:rsidRPr="005B07DE">
        <w:rPr>
          <w:rFonts w:ascii="Arial Narrow" w:hAnsi="Arial Narrow"/>
          <w:b/>
          <w:sz w:val="24"/>
          <w:szCs w:val="24"/>
          <w:u w:val="single"/>
        </w:rPr>
        <w:t xml:space="preserve">, </w:t>
      </w:r>
      <w:proofErr w:type="spellStart"/>
      <w:r w:rsidRPr="005B07DE">
        <w:rPr>
          <w:rFonts w:ascii="Arial Narrow" w:hAnsi="Arial Narrow"/>
          <w:b/>
          <w:sz w:val="24"/>
          <w:szCs w:val="24"/>
          <w:u w:val="single"/>
        </w:rPr>
        <w:t>o.z</w:t>
      </w:r>
      <w:proofErr w:type="spellEnd"/>
      <w:r w:rsidRPr="005B07DE">
        <w:rPr>
          <w:rFonts w:ascii="Arial Narrow" w:hAnsi="Arial Narrow"/>
          <w:b/>
          <w:sz w:val="24"/>
          <w:szCs w:val="24"/>
          <w:u w:val="single"/>
        </w:rPr>
        <w:t>. Bátovc</w:t>
      </w:r>
      <w:r w:rsidR="00820C51" w:rsidRPr="005B07DE">
        <w:rPr>
          <w:rFonts w:ascii="Arial Narrow" w:hAnsi="Arial Narrow"/>
          <w:b/>
          <w:sz w:val="24"/>
          <w:szCs w:val="24"/>
          <w:u w:val="single"/>
        </w:rPr>
        <w:t>e</w:t>
      </w:r>
      <w:r w:rsidR="00E70A48" w:rsidRPr="005B07DE">
        <w:rPr>
          <w:rFonts w:ascii="Arial Narrow" w:hAnsi="Arial Narrow"/>
          <w:bCs/>
          <w:sz w:val="24"/>
          <w:szCs w:val="24"/>
        </w:rPr>
        <w:t xml:space="preserve"> – vládny audit</w:t>
      </w:r>
      <w:r w:rsidRPr="005B07DE">
        <w:rPr>
          <w:rFonts w:ascii="Arial Narrow" w:hAnsi="Arial Narrow"/>
          <w:bCs/>
          <w:sz w:val="24"/>
          <w:szCs w:val="24"/>
        </w:rPr>
        <w:t xml:space="preserve"> identifikoval 2 finančné nedostatky s vysokou závažnosťou </w:t>
      </w:r>
      <w:r w:rsidRPr="005B07DE">
        <w:rPr>
          <w:rFonts w:ascii="Arial Narrow" w:hAnsi="Arial Narrow"/>
          <w:b/>
          <w:sz w:val="24"/>
          <w:szCs w:val="24"/>
        </w:rPr>
        <w:t xml:space="preserve">v celkovej sume </w:t>
      </w:r>
      <w:bookmarkStart w:id="3" w:name="_Hlk219204846"/>
      <w:r w:rsidRPr="005B07DE">
        <w:rPr>
          <w:rFonts w:ascii="Arial Narrow" w:hAnsi="Arial Narrow"/>
          <w:b/>
          <w:sz w:val="24"/>
          <w:szCs w:val="24"/>
        </w:rPr>
        <w:t>27 789,73 Eur</w:t>
      </w:r>
      <w:bookmarkEnd w:id="3"/>
      <w:r w:rsidR="00004754" w:rsidRPr="005B07DE">
        <w:rPr>
          <w:rFonts w:ascii="Arial Narrow" w:hAnsi="Arial Narrow"/>
          <w:bCs/>
          <w:sz w:val="24"/>
          <w:szCs w:val="24"/>
        </w:rPr>
        <w:t>, a to v dôsledku</w:t>
      </w:r>
      <w:r w:rsidR="00820C51" w:rsidRPr="005B07DE">
        <w:rPr>
          <w:rFonts w:ascii="Arial Narrow" w:hAnsi="Arial Narrow"/>
          <w:bCs/>
          <w:sz w:val="24"/>
          <w:szCs w:val="24"/>
        </w:rPr>
        <w:t> </w:t>
      </w:r>
      <w:r w:rsidRPr="005B07DE">
        <w:rPr>
          <w:rFonts w:ascii="Arial Narrow" w:hAnsi="Arial Narrow"/>
          <w:bCs/>
          <w:sz w:val="24"/>
          <w:szCs w:val="24"/>
        </w:rPr>
        <w:t>nedodržani</w:t>
      </w:r>
      <w:r w:rsidR="00532CD9" w:rsidRPr="005B07DE">
        <w:rPr>
          <w:rFonts w:ascii="Arial Narrow" w:hAnsi="Arial Narrow"/>
          <w:bCs/>
          <w:sz w:val="24"/>
          <w:szCs w:val="24"/>
        </w:rPr>
        <w:t>a</w:t>
      </w:r>
      <w:r w:rsidRPr="005B07DE">
        <w:rPr>
          <w:rFonts w:ascii="Arial Narrow" w:hAnsi="Arial Narrow"/>
          <w:bCs/>
          <w:sz w:val="24"/>
          <w:szCs w:val="24"/>
        </w:rPr>
        <w:t xml:space="preserve"> zmluvných podmienok týkajúcich sa povinného spolufinancovania dotácie z vlastných zdrojov</w:t>
      </w:r>
      <w:r w:rsidR="00004754" w:rsidRPr="005B07DE">
        <w:rPr>
          <w:rFonts w:ascii="Arial Narrow" w:hAnsi="Arial Narrow"/>
          <w:bCs/>
          <w:sz w:val="24"/>
          <w:szCs w:val="24"/>
        </w:rPr>
        <w:t>,</w:t>
      </w:r>
      <w:r w:rsidRPr="005B07DE">
        <w:rPr>
          <w:rFonts w:ascii="Arial Narrow" w:hAnsi="Arial Narrow"/>
          <w:bCs/>
          <w:sz w:val="24"/>
          <w:szCs w:val="24"/>
        </w:rPr>
        <w:t xml:space="preserve"> s následnou povinnosťou vrátenia </w:t>
      </w:r>
      <w:r w:rsidR="00820C51" w:rsidRPr="005B07DE">
        <w:rPr>
          <w:rFonts w:ascii="Arial Narrow" w:hAnsi="Arial Narrow"/>
          <w:bCs/>
          <w:sz w:val="24"/>
          <w:szCs w:val="24"/>
        </w:rPr>
        <w:t>poskytnu</w:t>
      </w:r>
      <w:r w:rsidR="00ED5B01">
        <w:rPr>
          <w:rFonts w:ascii="Arial Narrow" w:hAnsi="Arial Narrow"/>
          <w:bCs/>
          <w:sz w:val="24"/>
          <w:szCs w:val="24"/>
        </w:rPr>
        <w:t>tých</w:t>
      </w:r>
      <w:r w:rsidR="00820C51" w:rsidRPr="005B07DE">
        <w:rPr>
          <w:rFonts w:ascii="Arial Narrow" w:hAnsi="Arial Narrow"/>
          <w:bCs/>
          <w:sz w:val="24"/>
          <w:szCs w:val="24"/>
        </w:rPr>
        <w:t xml:space="preserve"> </w:t>
      </w:r>
      <w:r w:rsidR="00177B3D">
        <w:rPr>
          <w:rFonts w:ascii="Arial Narrow" w:hAnsi="Arial Narrow"/>
          <w:bCs/>
          <w:sz w:val="24"/>
          <w:szCs w:val="24"/>
        </w:rPr>
        <w:t>financií</w:t>
      </w:r>
      <w:r w:rsidRPr="005B07DE">
        <w:rPr>
          <w:rFonts w:ascii="Arial Narrow" w:hAnsi="Arial Narrow"/>
          <w:bCs/>
          <w:sz w:val="24"/>
          <w:szCs w:val="24"/>
        </w:rPr>
        <w:t xml:space="preserve">. </w:t>
      </w:r>
      <w:r w:rsidR="008204B7" w:rsidRPr="005B07DE">
        <w:rPr>
          <w:rFonts w:ascii="Arial Narrow" w:hAnsi="Arial Narrow"/>
          <w:bCs/>
          <w:sz w:val="24"/>
          <w:szCs w:val="24"/>
        </w:rPr>
        <w:t>Predmetný audit bol v časti týkajúcej sa overenia čerpania dotácie za rok 2020, 2022 a 2023 ukončený čiastkovou správou; výkon auditu však pokračuje v overovaní čerpania dotácií v</w:t>
      </w:r>
      <w:r w:rsidR="003F41BD" w:rsidRPr="0030712A">
        <w:rPr>
          <w:rFonts w:ascii="Arial Narrow" w:hAnsi="Arial Narrow"/>
          <w:bCs/>
          <w:sz w:val="24"/>
          <w:szCs w:val="24"/>
        </w:rPr>
        <w:t> </w:t>
      </w:r>
      <w:r w:rsidR="008204B7" w:rsidRPr="005B07DE">
        <w:rPr>
          <w:rFonts w:ascii="Arial Narrow" w:hAnsi="Arial Narrow"/>
          <w:bCs/>
          <w:sz w:val="24"/>
          <w:szCs w:val="24"/>
        </w:rPr>
        <w:t>ďalších rokoch</w:t>
      </w:r>
      <w:r w:rsidR="0030712A" w:rsidRPr="0030712A">
        <w:rPr>
          <w:rFonts w:ascii="Arial Narrow" w:hAnsi="Arial Narrow"/>
          <w:bCs/>
          <w:sz w:val="24"/>
          <w:szCs w:val="24"/>
        </w:rPr>
        <w:t xml:space="preserve">. </w:t>
      </w:r>
    </w:p>
    <w:p w14:paraId="43EE4DE4" w14:textId="2DDD59C2" w:rsidR="004240F3" w:rsidRDefault="008E042B" w:rsidP="00BD0D68">
      <w:pPr>
        <w:pStyle w:val="Odsekzoznamu"/>
        <w:spacing w:after="120" w:line="360" w:lineRule="auto"/>
        <w:contextualSpacing w:val="0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lastRenderedPageBreak/>
        <w:t xml:space="preserve">V nadväznosti na zistené skutočnosti, bude podaný podnet príslušnému správnemu orgánu na začatie správneho konania vo veci porušenia finančnej disciplíny v zmysle § 31 zákona </w:t>
      </w:r>
      <w:r w:rsidR="004240F3">
        <w:rPr>
          <w:rFonts w:ascii="Arial Narrow" w:hAnsi="Arial Narrow"/>
          <w:bCs/>
          <w:sz w:val="24"/>
          <w:szCs w:val="24"/>
        </w:rPr>
        <w:br/>
      </w:r>
      <w:r>
        <w:rPr>
          <w:rFonts w:ascii="Arial Narrow" w:hAnsi="Arial Narrow"/>
          <w:bCs/>
          <w:sz w:val="24"/>
          <w:szCs w:val="24"/>
        </w:rPr>
        <w:t xml:space="preserve">č. 523/2004 o rozpočtových pravidlách </w:t>
      </w:r>
      <w:r w:rsidRPr="008E7B04">
        <w:rPr>
          <w:rFonts w:ascii="Arial Narrow" w:hAnsi="Arial Narrow"/>
          <w:sz w:val="24"/>
          <w:szCs w:val="24"/>
        </w:rPr>
        <w:t>verejnej správy za účelo</w:t>
      </w:r>
      <w:r>
        <w:rPr>
          <w:rFonts w:ascii="Arial Narrow" w:hAnsi="Arial Narrow"/>
          <w:bCs/>
          <w:sz w:val="24"/>
          <w:szCs w:val="24"/>
        </w:rPr>
        <w:t xml:space="preserve">m uloženia </w:t>
      </w:r>
      <w:r w:rsidR="004240F3" w:rsidRPr="003B0D0F">
        <w:rPr>
          <w:rFonts w:ascii="Arial Narrow" w:hAnsi="Arial Narrow"/>
          <w:bCs/>
          <w:sz w:val="24"/>
          <w:szCs w:val="24"/>
        </w:rPr>
        <w:t>sankcie.</w:t>
      </w:r>
    </w:p>
    <w:p w14:paraId="138CE15E" w14:textId="36905ABA" w:rsidR="008E042B" w:rsidRPr="008E042B" w:rsidRDefault="00820B97" w:rsidP="003E7C2A">
      <w:pPr>
        <w:pStyle w:val="Odsekzoznamu"/>
        <w:numPr>
          <w:ilvl w:val="0"/>
          <w:numId w:val="13"/>
        </w:numPr>
        <w:spacing w:before="120" w:after="120" w:line="360" w:lineRule="auto"/>
        <w:jc w:val="both"/>
        <w:rPr>
          <w:rFonts w:ascii="Arial Narrow" w:hAnsi="Arial Narrow"/>
          <w:bCs/>
          <w:sz w:val="24"/>
          <w:szCs w:val="24"/>
        </w:rPr>
      </w:pPr>
      <w:r w:rsidRPr="005B07DE">
        <w:rPr>
          <w:rFonts w:ascii="Arial Narrow" w:hAnsi="Arial Narrow"/>
          <w:b/>
          <w:sz w:val="24"/>
          <w:szCs w:val="24"/>
          <w:u w:val="single"/>
        </w:rPr>
        <w:t>Elektrotechnický výskumný a projektový ústav (EVPÚ) a. s.</w:t>
      </w:r>
      <w:r w:rsidR="00820C51" w:rsidRPr="005B07DE">
        <w:rPr>
          <w:rFonts w:ascii="Arial Narrow" w:hAnsi="Arial Narrow"/>
          <w:b/>
          <w:sz w:val="24"/>
          <w:szCs w:val="24"/>
          <w:u w:val="single"/>
        </w:rPr>
        <w:t>,</w:t>
      </w:r>
      <w:r w:rsidRPr="005B07DE">
        <w:rPr>
          <w:rFonts w:ascii="Arial Narrow" w:hAnsi="Arial Narrow"/>
          <w:b/>
          <w:sz w:val="24"/>
          <w:szCs w:val="24"/>
          <w:u w:val="single"/>
        </w:rPr>
        <w:t xml:space="preserve"> Nov</w:t>
      </w:r>
      <w:r w:rsidR="00820C51" w:rsidRPr="005B07DE">
        <w:rPr>
          <w:rFonts w:ascii="Arial Narrow" w:hAnsi="Arial Narrow"/>
          <w:b/>
          <w:sz w:val="24"/>
          <w:szCs w:val="24"/>
          <w:u w:val="single"/>
        </w:rPr>
        <w:t>á</w:t>
      </w:r>
      <w:r w:rsidRPr="005B07DE">
        <w:rPr>
          <w:rFonts w:ascii="Arial Narrow" w:hAnsi="Arial Narrow"/>
          <w:b/>
          <w:sz w:val="24"/>
          <w:szCs w:val="24"/>
          <w:u w:val="single"/>
        </w:rPr>
        <w:t xml:space="preserve"> Dubnic</w:t>
      </w:r>
      <w:r w:rsidR="00820C51" w:rsidRPr="005B07DE">
        <w:rPr>
          <w:rFonts w:ascii="Arial Narrow" w:hAnsi="Arial Narrow"/>
          <w:b/>
          <w:sz w:val="24"/>
          <w:szCs w:val="24"/>
          <w:u w:val="single"/>
        </w:rPr>
        <w:t>a</w:t>
      </w:r>
      <w:r w:rsidR="00373BB5" w:rsidRPr="00F619D2">
        <w:rPr>
          <w:rFonts w:ascii="Arial Narrow" w:hAnsi="Arial Narrow"/>
          <w:bCs/>
          <w:sz w:val="24"/>
          <w:szCs w:val="24"/>
        </w:rPr>
        <w:t xml:space="preserve"> – vládny audit </w:t>
      </w:r>
      <w:r w:rsidRPr="005B07DE">
        <w:rPr>
          <w:rFonts w:ascii="Arial Narrow" w:hAnsi="Arial Narrow"/>
          <w:bCs/>
          <w:sz w:val="24"/>
          <w:szCs w:val="24"/>
        </w:rPr>
        <w:t xml:space="preserve">identifikoval 1 finančný nedostatok vysokej závažnosti </w:t>
      </w:r>
      <w:r w:rsidRPr="005B07DE">
        <w:rPr>
          <w:rFonts w:ascii="Arial Narrow" w:hAnsi="Arial Narrow"/>
          <w:b/>
          <w:sz w:val="24"/>
          <w:szCs w:val="24"/>
        </w:rPr>
        <w:t xml:space="preserve">v sume </w:t>
      </w:r>
      <w:bookmarkStart w:id="4" w:name="_Hlk219204963"/>
      <w:r w:rsidRPr="005B07DE">
        <w:rPr>
          <w:rFonts w:ascii="Arial Narrow" w:hAnsi="Arial Narrow"/>
          <w:b/>
          <w:sz w:val="24"/>
          <w:szCs w:val="24"/>
        </w:rPr>
        <w:t>6 348,05 Eur</w:t>
      </w:r>
      <w:bookmarkEnd w:id="4"/>
      <w:r w:rsidR="00004754" w:rsidRPr="005B07DE">
        <w:rPr>
          <w:rFonts w:ascii="Arial Narrow" w:hAnsi="Arial Narrow"/>
          <w:bCs/>
          <w:sz w:val="24"/>
          <w:szCs w:val="24"/>
        </w:rPr>
        <w:t>, a to v dôsledku</w:t>
      </w:r>
      <w:r w:rsidR="00686D2B" w:rsidRPr="005B07DE">
        <w:rPr>
          <w:rFonts w:ascii="Arial Narrow" w:hAnsi="Arial Narrow"/>
          <w:bCs/>
          <w:sz w:val="24"/>
          <w:szCs w:val="24"/>
        </w:rPr>
        <w:t xml:space="preserve"> neoprávneného čerpania finančných prostriedkov</w:t>
      </w:r>
      <w:r w:rsidR="00D41D6E">
        <w:rPr>
          <w:rFonts w:ascii="Arial Narrow" w:hAnsi="Arial Narrow"/>
          <w:bCs/>
          <w:sz w:val="24"/>
          <w:szCs w:val="24"/>
        </w:rPr>
        <w:t xml:space="preserve">, z dôvodu </w:t>
      </w:r>
      <w:r w:rsidRPr="005B07DE">
        <w:rPr>
          <w:rFonts w:ascii="Arial Narrow" w:hAnsi="Arial Narrow"/>
          <w:bCs/>
          <w:sz w:val="24"/>
          <w:szCs w:val="24"/>
        </w:rPr>
        <w:t>prekrývani</w:t>
      </w:r>
      <w:r w:rsidR="00D41D6E">
        <w:rPr>
          <w:rFonts w:ascii="Arial Narrow" w:hAnsi="Arial Narrow"/>
          <w:bCs/>
          <w:sz w:val="24"/>
          <w:szCs w:val="24"/>
        </w:rPr>
        <w:t>a sa</w:t>
      </w:r>
      <w:r w:rsidRPr="005B07DE">
        <w:rPr>
          <w:rFonts w:ascii="Arial Narrow" w:hAnsi="Arial Narrow"/>
          <w:bCs/>
          <w:sz w:val="24"/>
          <w:szCs w:val="24"/>
        </w:rPr>
        <w:t xml:space="preserve"> pracovného času na pozícii riešiteľa projektu s pracovným časom uvedeného riešiteľa na</w:t>
      </w:r>
      <w:r w:rsidR="00532CD9" w:rsidRPr="005B07DE">
        <w:rPr>
          <w:rFonts w:ascii="Arial Narrow" w:hAnsi="Arial Narrow"/>
          <w:bCs/>
          <w:sz w:val="24"/>
          <w:szCs w:val="24"/>
        </w:rPr>
        <w:t> </w:t>
      </w:r>
      <w:r w:rsidRPr="005B07DE">
        <w:rPr>
          <w:rFonts w:ascii="Arial Narrow" w:hAnsi="Arial Narrow"/>
          <w:bCs/>
          <w:sz w:val="24"/>
          <w:szCs w:val="24"/>
        </w:rPr>
        <w:t>inom projekte</w:t>
      </w:r>
      <w:r w:rsidR="00727D37" w:rsidRPr="00F619D2">
        <w:rPr>
          <w:rFonts w:ascii="Arial Narrow" w:hAnsi="Arial Narrow"/>
          <w:bCs/>
          <w:sz w:val="24"/>
          <w:szCs w:val="24"/>
        </w:rPr>
        <w:t>.</w:t>
      </w:r>
      <w:r w:rsidR="00F619D2" w:rsidRPr="00F619D2">
        <w:t xml:space="preserve"> </w:t>
      </w:r>
    </w:p>
    <w:p w14:paraId="5D891A19" w14:textId="77777777" w:rsidR="004240F3" w:rsidRDefault="008E042B" w:rsidP="004240F3">
      <w:pPr>
        <w:pStyle w:val="Odsekzoznamu"/>
        <w:spacing w:before="120" w:after="120" w:line="360" w:lineRule="auto"/>
        <w:jc w:val="both"/>
        <w:rPr>
          <w:rFonts w:ascii="Arial Narrow" w:hAnsi="Arial Narrow"/>
          <w:bCs/>
          <w:sz w:val="24"/>
          <w:szCs w:val="24"/>
        </w:rPr>
      </w:pPr>
      <w:bookmarkStart w:id="5" w:name="_Hlk219332209"/>
      <w:r>
        <w:rPr>
          <w:rFonts w:ascii="Arial Narrow" w:hAnsi="Arial Narrow"/>
          <w:bCs/>
          <w:sz w:val="24"/>
          <w:szCs w:val="24"/>
        </w:rPr>
        <w:t xml:space="preserve">V nadväznosti na zistené skutočnosti, bude podaný podnet príslušnému správnemu orgánu na začatie správneho konania vo veci porušenia finančnej disciplíny v zmysle § 31 zákona </w:t>
      </w:r>
      <w:r w:rsidR="004240F3">
        <w:rPr>
          <w:rFonts w:ascii="Arial Narrow" w:hAnsi="Arial Narrow"/>
          <w:bCs/>
          <w:sz w:val="24"/>
          <w:szCs w:val="24"/>
        </w:rPr>
        <w:br/>
      </w:r>
      <w:r>
        <w:rPr>
          <w:rFonts w:ascii="Arial Narrow" w:hAnsi="Arial Narrow"/>
          <w:bCs/>
          <w:sz w:val="24"/>
          <w:szCs w:val="24"/>
        </w:rPr>
        <w:t xml:space="preserve">č. 523/2004 o rozpočtových pravidlách </w:t>
      </w:r>
      <w:r w:rsidRPr="008E7B04">
        <w:rPr>
          <w:rFonts w:ascii="Arial Narrow" w:hAnsi="Arial Narrow"/>
          <w:sz w:val="24"/>
          <w:szCs w:val="24"/>
        </w:rPr>
        <w:t>verejnej správy za účelo</w:t>
      </w:r>
      <w:r>
        <w:rPr>
          <w:rFonts w:ascii="Arial Narrow" w:hAnsi="Arial Narrow"/>
          <w:bCs/>
          <w:sz w:val="24"/>
          <w:szCs w:val="24"/>
        </w:rPr>
        <w:t>m uloženia</w:t>
      </w:r>
      <w:r w:rsidR="004240F3">
        <w:rPr>
          <w:rFonts w:ascii="Arial Narrow" w:hAnsi="Arial Narrow"/>
          <w:bCs/>
          <w:sz w:val="24"/>
          <w:szCs w:val="24"/>
        </w:rPr>
        <w:t xml:space="preserve"> </w:t>
      </w:r>
      <w:r w:rsidR="004240F3" w:rsidRPr="003B0D0F">
        <w:rPr>
          <w:rFonts w:ascii="Arial Narrow" w:hAnsi="Arial Narrow"/>
          <w:bCs/>
          <w:sz w:val="24"/>
          <w:szCs w:val="24"/>
        </w:rPr>
        <w:t>sankcie.</w:t>
      </w:r>
    </w:p>
    <w:bookmarkEnd w:id="5"/>
    <w:p w14:paraId="2A08FBB2" w14:textId="58502519" w:rsidR="008E042B" w:rsidRPr="00A17F8A" w:rsidRDefault="008E042B" w:rsidP="003E7C2A">
      <w:pPr>
        <w:pStyle w:val="Default"/>
        <w:numPr>
          <w:ilvl w:val="0"/>
          <w:numId w:val="13"/>
        </w:numPr>
        <w:spacing w:before="120" w:after="120" w:line="360" w:lineRule="auto"/>
        <w:jc w:val="both"/>
      </w:pPr>
      <w:r w:rsidRPr="005B07DE">
        <w:rPr>
          <w:rFonts w:ascii="Arial Narrow" w:hAnsi="Arial Narrow"/>
          <w:b/>
          <w:u w:val="single"/>
        </w:rPr>
        <w:t>Hlavné mesto SR</w:t>
      </w:r>
      <w:r w:rsidRPr="0059185E">
        <w:rPr>
          <w:rFonts w:ascii="Arial Narrow" w:hAnsi="Arial Narrow"/>
          <w:bCs/>
        </w:rPr>
        <w:t xml:space="preserve"> – vládny audit identifikoval spolu 2 nedostatky, z toho jeden s vysokou závažnosťou. Zistenie sa týkalo</w:t>
      </w:r>
      <w:r w:rsidRPr="0059185E">
        <w:rPr>
          <w:rFonts w:ascii="Arial Narrow" w:hAnsi="Arial Narrow"/>
          <w:color w:val="auto"/>
        </w:rPr>
        <w:t xml:space="preserve"> </w:t>
      </w:r>
      <w:r w:rsidRPr="0059185E">
        <w:rPr>
          <w:rFonts w:ascii="Arial Narrow" w:hAnsi="Arial Narrow"/>
        </w:rPr>
        <w:t>prekročenia lehoty určenej na použitie verejných prostriedkov</w:t>
      </w:r>
      <w:r w:rsidR="00F82016">
        <w:rPr>
          <w:rFonts w:ascii="Arial Narrow" w:hAnsi="Arial Narrow"/>
        </w:rPr>
        <w:t>.</w:t>
      </w:r>
      <w:r w:rsidRPr="0059185E">
        <w:rPr>
          <w:rFonts w:ascii="Arial Narrow" w:hAnsi="Arial Narrow"/>
        </w:rPr>
        <w:t xml:space="preserve"> </w:t>
      </w:r>
      <w:r w:rsidR="00F82016">
        <w:rPr>
          <w:rFonts w:ascii="Arial Narrow" w:hAnsi="Arial Narrow"/>
        </w:rPr>
        <w:t>P</w:t>
      </w:r>
      <w:r w:rsidRPr="0059185E">
        <w:rPr>
          <w:rFonts w:ascii="Arial Narrow" w:hAnsi="Arial Narrow"/>
        </w:rPr>
        <w:t>enále za uvedené porušenie finančnej disciplíny nepresiahl</w:t>
      </w:r>
      <w:r w:rsidR="00F82016">
        <w:rPr>
          <w:rFonts w:ascii="Arial Narrow" w:hAnsi="Arial Narrow"/>
        </w:rPr>
        <w:t>o</w:t>
      </w:r>
      <w:r w:rsidRPr="0059185E">
        <w:rPr>
          <w:rFonts w:ascii="Arial Narrow" w:hAnsi="Arial Narrow"/>
        </w:rPr>
        <w:t xml:space="preserve"> sumu, za ktoré sa penále ukladá</w:t>
      </w:r>
      <w:r>
        <w:rPr>
          <w:rFonts w:ascii="Arial Narrow" w:hAnsi="Arial Narrow"/>
        </w:rPr>
        <w:t>, a preto nie je potrebné podať návrh na začatie správneho konania.</w:t>
      </w:r>
    </w:p>
    <w:p w14:paraId="3BECCD4B" w14:textId="77777777" w:rsidR="00537F7D" w:rsidRPr="002E0F8E" w:rsidRDefault="00537F7D" w:rsidP="003E7C2A">
      <w:pPr>
        <w:spacing w:before="120" w:after="120"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2E0F8E">
        <w:rPr>
          <w:rFonts w:ascii="Arial Narrow" w:hAnsi="Arial Narrow"/>
          <w:b/>
          <w:bCs/>
          <w:sz w:val="24"/>
          <w:szCs w:val="24"/>
        </w:rPr>
        <w:t>Záver</w:t>
      </w:r>
    </w:p>
    <w:p w14:paraId="06C8F162" w14:textId="6ED0DEA5" w:rsidR="006A32D0" w:rsidRDefault="00537F7D" w:rsidP="003E7C2A">
      <w:pPr>
        <w:spacing w:before="120" w:after="12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 základe </w:t>
      </w:r>
      <w:r w:rsidR="00F67BCF">
        <w:rPr>
          <w:rFonts w:ascii="Arial Narrow" w:hAnsi="Arial Narrow"/>
          <w:sz w:val="24"/>
          <w:szCs w:val="24"/>
        </w:rPr>
        <w:t>vykonan</w:t>
      </w:r>
      <w:r w:rsidR="000B7082">
        <w:rPr>
          <w:rFonts w:ascii="Arial Narrow" w:hAnsi="Arial Narrow"/>
          <w:sz w:val="24"/>
          <w:szCs w:val="24"/>
        </w:rPr>
        <w:t xml:space="preserve">ých činností v súvislosti s plnením úloh vyplývajúcich z uznesenia vlády SR </w:t>
      </w:r>
      <w:r w:rsidR="000B7082" w:rsidRPr="000B7082">
        <w:rPr>
          <w:rFonts w:ascii="Arial Narrow" w:hAnsi="Arial Narrow"/>
          <w:sz w:val="24"/>
          <w:szCs w:val="24"/>
        </w:rPr>
        <w:t>č. 508 z</w:t>
      </w:r>
      <w:r w:rsidR="000B7082">
        <w:rPr>
          <w:rFonts w:ascii="Arial Narrow" w:hAnsi="Arial Narrow"/>
          <w:sz w:val="24"/>
          <w:szCs w:val="24"/>
        </w:rPr>
        <w:t> </w:t>
      </w:r>
      <w:r w:rsidR="000B7082" w:rsidRPr="000B7082">
        <w:rPr>
          <w:rFonts w:ascii="Arial Narrow" w:hAnsi="Arial Narrow"/>
          <w:sz w:val="24"/>
          <w:szCs w:val="24"/>
        </w:rPr>
        <w:t>15. októbra 2025</w:t>
      </w:r>
      <w:r w:rsidR="00DB519E">
        <w:rPr>
          <w:rFonts w:ascii="Arial Narrow" w:hAnsi="Arial Narrow"/>
          <w:sz w:val="24"/>
          <w:szCs w:val="24"/>
        </w:rPr>
        <w:t xml:space="preserve"> </w:t>
      </w:r>
      <w:r w:rsidR="006A32D0" w:rsidRPr="006A32D0">
        <w:rPr>
          <w:rFonts w:ascii="Arial Narrow" w:hAnsi="Arial Narrow"/>
          <w:sz w:val="24"/>
          <w:szCs w:val="24"/>
        </w:rPr>
        <w:t>možno konštatovať, že existuje riziko  duplicitného financovania rovnakých položiek v rámci viacerých rezortov</w:t>
      </w:r>
      <w:r w:rsidR="006A32D0">
        <w:rPr>
          <w:rFonts w:ascii="Arial Narrow" w:hAnsi="Arial Narrow"/>
          <w:sz w:val="24"/>
          <w:szCs w:val="24"/>
        </w:rPr>
        <w:t xml:space="preserve">. </w:t>
      </w:r>
      <w:r w:rsidR="00B07F5E" w:rsidRPr="003E7C2A">
        <w:rPr>
          <w:rFonts w:ascii="Arial Narrow" w:hAnsi="Arial Narrow"/>
          <w:b/>
          <w:bCs/>
          <w:sz w:val="24"/>
          <w:szCs w:val="24"/>
        </w:rPr>
        <w:t>Za účelom ochrany verejných financií je preto nevyhnutné zlepšiť podmienky</w:t>
      </w:r>
      <w:r w:rsidR="00EC2C8D" w:rsidRPr="003E7C2A">
        <w:rPr>
          <w:rFonts w:ascii="Arial Narrow" w:hAnsi="Arial Narrow"/>
          <w:b/>
          <w:bCs/>
          <w:sz w:val="24"/>
          <w:szCs w:val="24"/>
        </w:rPr>
        <w:t xml:space="preserve"> </w:t>
      </w:r>
      <w:r w:rsidR="00B07F5E" w:rsidRPr="003E7C2A">
        <w:rPr>
          <w:rFonts w:ascii="Arial Narrow" w:hAnsi="Arial Narrow"/>
          <w:b/>
          <w:bCs/>
          <w:sz w:val="24"/>
          <w:szCs w:val="24"/>
        </w:rPr>
        <w:t>kontroly</w:t>
      </w:r>
      <w:r w:rsidR="00E97B7B">
        <w:rPr>
          <w:rFonts w:ascii="Arial Narrow" w:hAnsi="Arial Narrow"/>
          <w:b/>
          <w:bCs/>
          <w:sz w:val="24"/>
          <w:szCs w:val="24"/>
        </w:rPr>
        <w:t xml:space="preserve"> poskytovaných verejných financií</w:t>
      </w:r>
      <w:r w:rsidR="00EC2C8D" w:rsidRPr="003E7C2A">
        <w:rPr>
          <w:rFonts w:ascii="Arial Narrow" w:hAnsi="Arial Narrow"/>
          <w:b/>
          <w:bCs/>
          <w:sz w:val="24"/>
          <w:szCs w:val="24"/>
        </w:rPr>
        <w:t>,</w:t>
      </w:r>
      <w:r w:rsidR="00B07F5E" w:rsidRPr="003E7C2A">
        <w:rPr>
          <w:rFonts w:ascii="Arial Narrow" w:hAnsi="Arial Narrow"/>
          <w:b/>
          <w:bCs/>
          <w:sz w:val="24"/>
          <w:szCs w:val="24"/>
        </w:rPr>
        <w:t xml:space="preserve"> zavedením centrálnej evidencie </w:t>
      </w:r>
      <w:r w:rsidR="00E97B7B" w:rsidRPr="003E7C2A">
        <w:rPr>
          <w:rFonts w:ascii="Arial Narrow" w:hAnsi="Arial Narrow"/>
          <w:b/>
          <w:bCs/>
          <w:sz w:val="24"/>
          <w:szCs w:val="24"/>
        </w:rPr>
        <w:t>poskytov</w:t>
      </w:r>
      <w:r w:rsidR="00E97B7B">
        <w:rPr>
          <w:rFonts w:ascii="Arial Narrow" w:hAnsi="Arial Narrow"/>
          <w:b/>
          <w:bCs/>
          <w:sz w:val="24"/>
          <w:szCs w:val="24"/>
        </w:rPr>
        <w:t>aných</w:t>
      </w:r>
      <w:r w:rsidR="00B07F5E" w:rsidRPr="003E7C2A">
        <w:rPr>
          <w:rFonts w:ascii="Arial Narrow" w:hAnsi="Arial Narrow"/>
          <w:b/>
          <w:bCs/>
          <w:sz w:val="24"/>
          <w:szCs w:val="24"/>
        </w:rPr>
        <w:t xml:space="preserve"> verejných financií.</w:t>
      </w:r>
      <w:r w:rsidR="00B07F5E">
        <w:rPr>
          <w:rFonts w:ascii="Arial Narrow" w:hAnsi="Arial Narrow"/>
          <w:sz w:val="24"/>
          <w:szCs w:val="24"/>
        </w:rPr>
        <w:t xml:space="preserve"> </w:t>
      </w:r>
      <w:r w:rsidR="00EC2C8D">
        <w:rPr>
          <w:rFonts w:ascii="Arial Narrow" w:hAnsi="Arial Narrow"/>
          <w:sz w:val="24"/>
          <w:szCs w:val="24"/>
        </w:rPr>
        <w:t>C</w:t>
      </w:r>
      <w:r w:rsidR="00B07F5E">
        <w:rPr>
          <w:rFonts w:ascii="Arial Narrow" w:hAnsi="Arial Narrow"/>
          <w:sz w:val="24"/>
          <w:szCs w:val="24"/>
        </w:rPr>
        <w:t xml:space="preserve">entrálna evidencia </w:t>
      </w:r>
      <w:r w:rsidR="00E97B7B">
        <w:rPr>
          <w:rFonts w:ascii="Arial Narrow" w:hAnsi="Arial Narrow"/>
          <w:sz w:val="24"/>
          <w:szCs w:val="24"/>
        </w:rPr>
        <w:t xml:space="preserve">by mala pomôcť </w:t>
      </w:r>
      <w:r w:rsidR="00B07F5E">
        <w:rPr>
          <w:rFonts w:ascii="Arial Narrow" w:hAnsi="Arial Narrow"/>
          <w:sz w:val="24"/>
          <w:szCs w:val="24"/>
        </w:rPr>
        <w:t>zabezpeč</w:t>
      </w:r>
      <w:r w:rsidR="00E97B7B">
        <w:rPr>
          <w:rFonts w:ascii="Arial Narrow" w:hAnsi="Arial Narrow"/>
          <w:sz w:val="24"/>
          <w:szCs w:val="24"/>
        </w:rPr>
        <w:t>iť</w:t>
      </w:r>
      <w:r w:rsidR="00B07F5E">
        <w:rPr>
          <w:rFonts w:ascii="Arial Narrow" w:hAnsi="Arial Narrow"/>
          <w:sz w:val="24"/>
          <w:szCs w:val="24"/>
        </w:rPr>
        <w:t xml:space="preserve">, že k duplicitnému poskytovaniu verejných financií nedôjde (preventívna funkcia).a v prípade, že k dvojitému financovaniu predsa len dôjde, takéto prípady </w:t>
      </w:r>
      <w:r w:rsidR="00E97B7B">
        <w:rPr>
          <w:rFonts w:ascii="Arial Narrow" w:hAnsi="Arial Narrow"/>
          <w:sz w:val="24"/>
          <w:szCs w:val="24"/>
        </w:rPr>
        <w:t>by mali byť ľahšie a včas</w:t>
      </w:r>
      <w:r w:rsidR="00B07F5E">
        <w:rPr>
          <w:rFonts w:ascii="Arial Narrow" w:hAnsi="Arial Narrow"/>
          <w:sz w:val="24"/>
          <w:szCs w:val="24"/>
        </w:rPr>
        <w:t xml:space="preserve"> odhalené (detekčná funkcia) a</w:t>
      </w:r>
      <w:r w:rsidR="00E97B7B">
        <w:rPr>
          <w:rFonts w:ascii="Arial Narrow" w:hAnsi="Arial Narrow"/>
          <w:sz w:val="24"/>
          <w:szCs w:val="24"/>
        </w:rPr>
        <w:t xml:space="preserve"> následne </w:t>
      </w:r>
      <w:r w:rsidR="00B07F5E">
        <w:rPr>
          <w:rFonts w:ascii="Arial Narrow" w:hAnsi="Arial Narrow"/>
          <w:sz w:val="24"/>
          <w:szCs w:val="24"/>
        </w:rPr>
        <w:t>napravené (korekčná funkcia).</w:t>
      </w:r>
    </w:p>
    <w:p w14:paraId="6A172380" w14:textId="70B4FCEF" w:rsidR="00EC2C8D" w:rsidRDefault="00140637" w:rsidP="003E7C2A">
      <w:pPr>
        <w:spacing w:before="120" w:after="12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Okrem </w:t>
      </w:r>
      <w:r w:rsidR="00CB12CE">
        <w:rPr>
          <w:rFonts w:ascii="Arial Narrow" w:hAnsi="Arial Narrow"/>
          <w:sz w:val="24"/>
          <w:szCs w:val="24"/>
        </w:rPr>
        <w:t xml:space="preserve">centrálnej evidencie dát poskytnutých verejných financií, by </w:t>
      </w:r>
      <w:r>
        <w:rPr>
          <w:rFonts w:ascii="Arial Narrow" w:hAnsi="Arial Narrow"/>
          <w:sz w:val="24"/>
          <w:szCs w:val="24"/>
        </w:rPr>
        <w:t xml:space="preserve">mal </w:t>
      </w:r>
      <w:r w:rsidR="00CB12CE">
        <w:rPr>
          <w:rFonts w:ascii="Arial Narrow" w:hAnsi="Arial Narrow"/>
          <w:sz w:val="24"/>
          <w:szCs w:val="24"/>
        </w:rPr>
        <w:t xml:space="preserve">každý rezort </w:t>
      </w:r>
      <w:r>
        <w:rPr>
          <w:rFonts w:ascii="Arial Narrow" w:hAnsi="Arial Narrow"/>
          <w:sz w:val="24"/>
          <w:szCs w:val="24"/>
        </w:rPr>
        <w:t xml:space="preserve">vykonávať pravidelné kontroly/vnútorné audity v rámci svojho rezortu, vrátane svojich podriadených organizácií, </w:t>
      </w:r>
      <w:r w:rsidR="00CB12CE">
        <w:rPr>
          <w:rFonts w:ascii="Arial Narrow" w:hAnsi="Arial Narrow"/>
          <w:sz w:val="24"/>
          <w:szCs w:val="24"/>
        </w:rPr>
        <w:t>čo predpokladá aj uznesenie vlády SR č. 508</w:t>
      </w:r>
      <w:r>
        <w:rPr>
          <w:rFonts w:ascii="Arial Narrow" w:hAnsi="Arial Narrow"/>
          <w:sz w:val="24"/>
          <w:szCs w:val="24"/>
        </w:rPr>
        <w:t xml:space="preserve"> </w:t>
      </w:r>
      <w:r w:rsidR="00CB12CE" w:rsidRPr="000B7082">
        <w:rPr>
          <w:rFonts w:ascii="Arial Narrow" w:hAnsi="Arial Narrow"/>
          <w:sz w:val="24"/>
          <w:szCs w:val="24"/>
        </w:rPr>
        <w:t>z</w:t>
      </w:r>
      <w:r w:rsidR="00CB12CE">
        <w:rPr>
          <w:rFonts w:ascii="Arial Narrow" w:hAnsi="Arial Narrow"/>
          <w:sz w:val="24"/>
          <w:szCs w:val="24"/>
        </w:rPr>
        <w:t> </w:t>
      </w:r>
      <w:r w:rsidR="00CB12CE" w:rsidRPr="000B7082">
        <w:rPr>
          <w:rFonts w:ascii="Arial Narrow" w:hAnsi="Arial Narrow"/>
          <w:sz w:val="24"/>
          <w:szCs w:val="24"/>
        </w:rPr>
        <w:t>15. októbra 2025</w:t>
      </w:r>
      <w:r w:rsidR="00CB12CE">
        <w:rPr>
          <w:rFonts w:ascii="Arial Narrow" w:hAnsi="Arial Narrow"/>
          <w:sz w:val="24"/>
          <w:szCs w:val="24"/>
        </w:rPr>
        <w:t xml:space="preserve"> - </w:t>
      </w:r>
      <w:r w:rsidR="00537F7D" w:rsidRPr="002E0F8E">
        <w:rPr>
          <w:rFonts w:ascii="Arial Narrow" w:hAnsi="Arial Narrow"/>
          <w:b/>
          <w:bCs/>
          <w:sz w:val="24"/>
          <w:szCs w:val="24"/>
        </w:rPr>
        <w:t>v úlohe B.2.</w:t>
      </w:r>
      <w:r w:rsidR="00537F7D" w:rsidRPr="002E0F8E">
        <w:rPr>
          <w:rFonts w:ascii="Arial Narrow" w:hAnsi="Arial Narrow"/>
          <w:sz w:val="24"/>
          <w:szCs w:val="24"/>
        </w:rPr>
        <w:t xml:space="preserve"> stanovuje povinnosť ministr</w:t>
      </w:r>
      <w:r w:rsidR="00537F7D">
        <w:rPr>
          <w:rFonts w:ascii="Arial Narrow" w:hAnsi="Arial Narrow"/>
          <w:sz w:val="24"/>
          <w:szCs w:val="24"/>
        </w:rPr>
        <w:t>ovi</w:t>
      </w:r>
      <w:r w:rsidR="00537F7D" w:rsidRPr="002E0F8E">
        <w:rPr>
          <w:rFonts w:ascii="Arial Narrow" w:hAnsi="Arial Narrow"/>
          <w:sz w:val="24"/>
          <w:szCs w:val="24"/>
        </w:rPr>
        <w:t xml:space="preserve"> financií</w:t>
      </w:r>
      <w:r w:rsidR="00537F7D">
        <w:rPr>
          <w:rFonts w:ascii="Arial Narrow" w:hAnsi="Arial Narrow"/>
          <w:sz w:val="24"/>
          <w:szCs w:val="24"/>
        </w:rPr>
        <w:t xml:space="preserve"> </w:t>
      </w:r>
      <w:r w:rsidR="00537F7D" w:rsidRPr="002E0F8E">
        <w:rPr>
          <w:rFonts w:ascii="Arial Narrow" w:hAnsi="Arial Narrow"/>
          <w:b/>
          <w:bCs/>
          <w:sz w:val="24"/>
          <w:szCs w:val="24"/>
        </w:rPr>
        <w:t xml:space="preserve">predložiť na rokovanie vlády informáciu o výsledkoch vykonaného auditu a o stave plnenia prijatých opatrení za obdobie </w:t>
      </w:r>
      <w:r w:rsidR="00E527FC">
        <w:rPr>
          <w:rFonts w:ascii="Arial Narrow" w:hAnsi="Arial Narrow"/>
          <w:b/>
          <w:bCs/>
          <w:sz w:val="24"/>
          <w:szCs w:val="24"/>
        </w:rPr>
        <w:t xml:space="preserve">od 1. 1. </w:t>
      </w:r>
      <w:r w:rsidR="00537F7D" w:rsidRPr="002E0F8E">
        <w:rPr>
          <w:rFonts w:ascii="Arial Narrow" w:hAnsi="Arial Narrow"/>
          <w:b/>
          <w:bCs/>
          <w:sz w:val="24"/>
          <w:szCs w:val="24"/>
        </w:rPr>
        <w:t xml:space="preserve">2020 </w:t>
      </w:r>
      <w:r w:rsidR="00E527FC">
        <w:rPr>
          <w:rFonts w:ascii="Arial Narrow" w:hAnsi="Arial Narrow"/>
          <w:b/>
          <w:bCs/>
          <w:sz w:val="24"/>
          <w:szCs w:val="24"/>
        </w:rPr>
        <w:t>do</w:t>
      </w:r>
      <w:r w:rsidR="00537F7D" w:rsidRPr="002E0F8E">
        <w:rPr>
          <w:rFonts w:ascii="Arial Narrow" w:hAnsi="Arial Narrow"/>
          <w:b/>
          <w:bCs/>
          <w:sz w:val="24"/>
          <w:szCs w:val="24"/>
        </w:rPr>
        <w:t xml:space="preserve"> 30. 9. 2025</w:t>
      </w:r>
      <w:r w:rsidR="00537F7D" w:rsidRPr="002E0F8E">
        <w:rPr>
          <w:rFonts w:ascii="Arial Narrow" w:hAnsi="Arial Narrow"/>
          <w:sz w:val="24"/>
          <w:szCs w:val="24"/>
        </w:rPr>
        <w:t xml:space="preserve"> </w:t>
      </w:r>
      <w:r w:rsidR="00537F7D" w:rsidRPr="00294E47">
        <w:rPr>
          <w:rFonts w:ascii="Arial Narrow" w:hAnsi="Arial Narrow"/>
          <w:b/>
          <w:bCs/>
          <w:sz w:val="24"/>
          <w:szCs w:val="24"/>
          <w:u w:val="single"/>
        </w:rPr>
        <w:t>a následne za každý uplynulý kalendárny rok</w:t>
      </w:r>
      <w:r>
        <w:rPr>
          <w:rFonts w:ascii="Arial Narrow" w:hAnsi="Arial Narrow"/>
          <w:sz w:val="24"/>
          <w:szCs w:val="24"/>
        </w:rPr>
        <w:t>.</w:t>
      </w:r>
      <w:r w:rsidR="00EE5B04">
        <w:rPr>
          <w:rFonts w:ascii="Arial Narrow" w:hAnsi="Arial Narrow"/>
          <w:sz w:val="24"/>
          <w:szCs w:val="24"/>
        </w:rPr>
        <w:t xml:space="preserve"> </w:t>
      </w:r>
      <w:r w:rsidR="00CB12CE">
        <w:rPr>
          <w:rFonts w:ascii="Arial Narrow" w:hAnsi="Arial Narrow"/>
          <w:sz w:val="24"/>
          <w:szCs w:val="24"/>
        </w:rPr>
        <w:t xml:space="preserve">V prípade centrálnej evidencie dát poskytnutých verejných financií </w:t>
      </w:r>
      <w:r w:rsidR="00DF6DAE">
        <w:rPr>
          <w:rFonts w:ascii="Arial Narrow" w:hAnsi="Arial Narrow"/>
          <w:sz w:val="24"/>
          <w:szCs w:val="24"/>
        </w:rPr>
        <w:t>by</w:t>
      </w:r>
      <w:r>
        <w:rPr>
          <w:rFonts w:ascii="Arial Narrow" w:hAnsi="Arial Narrow"/>
          <w:sz w:val="24"/>
          <w:szCs w:val="24"/>
        </w:rPr>
        <w:t xml:space="preserve"> mohli byť kontroly</w:t>
      </w:r>
      <w:r w:rsidR="00E97B7B">
        <w:rPr>
          <w:rFonts w:ascii="Arial Narrow" w:hAnsi="Arial Narrow"/>
          <w:sz w:val="24"/>
          <w:szCs w:val="24"/>
        </w:rPr>
        <w:t xml:space="preserve"> alebo </w:t>
      </w:r>
      <w:r w:rsidR="00EE5B04">
        <w:rPr>
          <w:rFonts w:ascii="Arial Narrow" w:hAnsi="Arial Narrow"/>
          <w:sz w:val="24"/>
          <w:szCs w:val="24"/>
        </w:rPr>
        <w:t>audity</w:t>
      </w:r>
      <w:r>
        <w:rPr>
          <w:rFonts w:ascii="Arial Narrow" w:hAnsi="Arial Narrow"/>
          <w:sz w:val="24"/>
          <w:szCs w:val="24"/>
        </w:rPr>
        <w:t xml:space="preserve"> vykonávané efektívne</w:t>
      </w:r>
      <w:r w:rsidR="00DF6DAE">
        <w:rPr>
          <w:rFonts w:ascii="Arial Narrow" w:hAnsi="Arial Narrow"/>
          <w:sz w:val="24"/>
          <w:szCs w:val="24"/>
        </w:rPr>
        <w:t>, sčasti alebo aj úplne automaticky a </w:t>
      </w:r>
      <w:r>
        <w:rPr>
          <w:rFonts w:ascii="Arial Narrow" w:hAnsi="Arial Narrow"/>
          <w:sz w:val="24"/>
          <w:szCs w:val="24"/>
        </w:rPr>
        <w:t>nielen v rámci rezortu ale aj krížovo</w:t>
      </w:r>
      <w:r w:rsidR="00EC2C8D">
        <w:rPr>
          <w:rFonts w:ascii="Arial Narrow" w:hAnsi="Arial Narrow"/>
          <w:sz w:val="24"/>
          <w:szCs w:val="24"/>
        </w:rPr>
        <w:t xml:space="preserve"> medzirezortne</w:t>
      </w:r>
      <w:r w:rsidR="00DF6DAE">
        <w:rPr>
          <w:rFonts w:ascii="Arial Narrow" w:hAnsi="Arial Narrow"/>
          <w:sz w:val="24"/>
          <w:szCs w:val="24"/>
        </w:rPr>
        <w:t xml:space="preserve">. Uvedené by značným spôsobom posilnilo systém predchádzania vzniku dvojitého financovania a tým aj </w:t>
      </w:r>
      <w:r w:rsidR="00E97B7B">
        <w:rPr>
          <w:rFonts w:ascii="Arial Narrow" w:hAnsi="Arial Narrow"/>
          <w:sz w:val="24"/>
          <w:szCs w:val="24"/>
        </w:rPr>
        <w:t xml:space="preserve">zvýšilo </w:t>
      </w:r>
      <w:r w:rsidR="00DF6DAE">
        <w:rPr>
          <w:rFonts w:ascii="Arial Narrow" w:hAnsi="Arial Narrow"/>
          <w:sz w:val="24"/>
          <w:szCs w:val="24"/>
        </w:rPr>
        <w:t xml:space="preserve">ochranu verejných financií. </w:t>
      </w:r>
    </w:p>
    <w:p w14:paraId="2E22D213" w14:textId="77777777" w:rsidR="00C85D52" w:rsidRPr="00C85D52" w:rsidRDefault="00C85D52" w:rsidP="00C85D52">
      <w:pPr>
        <w:spacing w:before="120" w:after="120" w:line="360" w:lineRule="auto"/>
        <w:jc w:val="both"/>
        <w:rPr>
          <w:rFonts w:ascii="Arial Narrow" w:hAnsi="Arial Narrow"/>
          <w:sz w:val="24"/>
          <w:szCs w:val="24"/>
        </w:rPr>
      </w:pPr>
      <w:r w:rsidRPr="00C85D52">
        <w:rPr>
          <w:rFonts w:ascii="Arial Narrow" w:hAnsi="Arial Narrow"/>
          <w:sz w:val="24"/>
          <w:szCs w:val="24"/>
        </w:rPr>
        <w:lastRenderedPageBreak/>
        <w:t>Vzhľadom na skutočnosť, že väčšina vládnych auditov bola ukončená v januári 2026, tento dokument neobsahuje informácie o stave plnenia prijatých opatrení za obdobie rokov 2020 – 2025. Uvedené informácie budú poskytnuté v nasledujúcej informácii, ktorá sa má v zmysle úlohy B.2. uznesenia vlády SR č. 508 z 15. októbra 2025 predkladať každoročne.</w:t>
      </w:r>
    </w:p>
    <w:p w14:paraId="712A3203" w14:textId="77777777" w:rsidR="00C85D52" w:rsidRDefault="00C85D52" w:rsidP="003E7C2A">
      <w:pPr>
        <w:spacing w:before="120" w:after="120" w:line="360" w:lineRule="auto"/>
        <w:jc w:val="both"/>
        <w:rPr>
          <w:rFonts w:ascii="Arial Narrow" w:hAnsi="Arial Narrow"/>
          <w:sz w:val="24"/>
          <w:szCs w:val="24"/>
        </w:rPr>
      </w:pPr>
    </w:p>
    <w:sectPr w:rsidR="00C85D52" w:rsidSect="0030143D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B8826" w14:textId="77777777" w:rsidR="00B87218" w:rsidRDefault="00B87218" w:rsidP="002E65EC">
      <w:pPr>
        <w:spacing w:after="0" w:line="240" w:lineRule="auto"/>
      </w:pPr>
      <w:r>
        <w:separator/>
      </w:r>
    </w:p>
  </w:endnote>
  <w:endnote w:type="continuationSeparator" w:id="0">
    <w:p w14:paraId="3C4764B8" w14:textId="77777777" w:rsidR="00B87218" w:rsidRDefault="00B87218" w:rsidP="002E6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DB8EE" w14:textId="7D60BF81" w:rsidR="002E65EC" w:rsidRDefault="002E65EC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9FAE8E" wp14:editId="737CC51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0555" cy="357505"/>
              <wp:effectExtent l="0" t="0" r="17145" b="0"/>
              <wp:wrapNone/>
              <wp:docPr id="1534383043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5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40522F" w14:textId="319D93B7" w:rsidR="002E65EC" w:rsidRPr="002E65EC" w:rsidRDefault="002E65EC" w:rsidP="002E65E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E65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9FAE8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0;margin-top:0;width:49.6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" filled="f" stroked="f">
              <v:textbox style="mso-fit-shape-to-text:t" inset="20pt,0,0,15pt">
                <w:txbxContent>
                  <w:p w14:paraId="0F40522F" w14:textId="319D93B7" w:rsidR="002E65EC" w:rsidRPr="002E65EC" w:rsidRDefault="002E65EC" w:rsidP="002E65E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E65E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9546542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2CDF5A50" w14:textId="0ACFED2A" w:rsidR="00971E0F" w:rsidRPr="00971E0F" w:rsidRDefault="00971E0F">
        <w:pPr>
          <w:pStyle w:val="Pta"/>
          <w:jc w:val="center"/>
          <w:rPr>
            <w:rFonts w:ascii="Arial Narrow" w:hAnsi="Arial Narrow"/>
          </w:rPr>
        </w:pPr>
        <w:r w:rsidRPr="00971E0F">
          <w:rPr>
            <w:rFonts w:ascii="Arial Narrow" w:hAnsi="Arial Narrow"/>
          </w:rPr>
          <w:fldChar w:fldCharType="begin"/>
        </w:r>
        <w:r w:rsidRPr="00971E0F">
          <w:rPr>
            <w:rFonts w:ascii="Arial Narrow" w:hAnsi="Arial Narrow"/>
          </w:rPr>
          <w:instrText>PAGE   \* MERGEFORMAT</w:instrText>
        </w:r>
        <w:r w:rsidRPr="00971E0F">
          <w:rPr>
            <w:rFonts w:ascii="Arial Narrow" w:hAnsi="Arial Narrow"/>
          </w:rPr>
          <w:fldChar w:fldCharType="separate"/>
        </w:r>
        <w:r w:rsidRPr="00971E0F">
          <w:rPr>
            <w:rFonts w:ascii="Arial Narrow" w:hAnsi="Arial Narrow"/>
          </w:rPr>
          <w:t>2</w:t>
        </w:r>
        <w:r w:rsidRPr="00971E0F">
          <w:rPr>
            <w:rFonts w:ascii="Arial Narrow" w:hAnsi="Arial Narrow"/>
          </w:rPr>
          <w:fldChar w:fldCharType="end"/>
        </w:r>
      </w:p>
    </w:sdtContent>
  </w:sdt>
  <w:p w14:paraId="3ACBD1E1" w14:textId="381188C0" w:rsidR="002E65EC" w:rsidRDefault="002E65E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E3219" w14:textId="2B0BBEC2" w:rsidR="002E65EC" w:rsidRDefault="002E65EC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CA1F010" wp14:editId="2D48BF8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0555" cy="357505"/>
              <wp:effectExtent l="0" t="0" r="17145" b="0"/>
              <wp:wrapNone/>
              <wp:docPr id="830050361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5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77D92C" w14:textId="1BFA746B" w:rsidR="002E65EC" w:rsidRPr="002E65EC" w:rsidRDefault="002E65EC" w:rsidP="002E65E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A1F01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Interné" style="position:absolute;margin-left:0;margin-top:0;width:49.6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" filled="f" stroked="f">
              <v:textbox style="mso-fit-shape-to-text:t" inset="20pt,0,0,15pt">
                <w:txbxContent>
                  <w:p w14:paraId="6C77D92C" w14:textId="1BFA746B" w:rsidR="002E65EC" w:rsidRPr="002E65EC" w:rsidRDefault="002E65EC" w:rsidP="002E65E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F2CA6" w14:textId="77777777" w:rsidR="00B87218" w:rsidRDefault="00B87218" w:rsidP="002E65EC">
      <w:pPr>
        <w:spacing w:after="0" w:line="240" w:lineRule="auto"/>
      </w:pPr>
      <w:r>
        <w:separator/>
      </w:r>
    </w:p>
  </w:footnote>
  <w:footnote w:type="continuationSeparator" w:id="0">
    <w:p w14:paraId="62729603" w14:textId="77777777" w:rsidR="00B87218" w:rsidRDefault="00B87218" w:rsidP="002E65EC">
      <w:pPr>
        <w:spacing w:after="0" w:line="240" w:lineRule="auto"/>
      </w:pPr>
      <w:r>
        <w:continuationSeparator/>
      </w:r>
    </w:p>
  </w:footnote>
  <w:footnote w:id="1">
    <w:p w14:paraId="1F2629B6" w14:textId="6C9E26BA" w:rsidR="008811FA" w:rsidRPr="00024245" w:rsidRDefault="008811FA" w:rsidP="00024245">
      <w:pPr>
        <w:pStyle w:val="Textpoznmkypodiarou"/>
        <w:jc w:val="both"/>
        <w:rPr>
          <w:rFonts w:ascii="Arial Narrow" w:hAnsi="Arial Narrow"/>
        </w:rPr>
      </w:pPr>
      <w:r>
        <w:rPr>
          <w:rStyle w:val="Odkaznapoznmkupodiarou"/>
        </w:rPr>
        <w:footnoteRef/>
      </w:r>
      <w:r>
        <w:t xml:space="preserve"> </w:t>
      </w:r>
      <w:r w:rsidRPr="00024245">
        <w:rPr>
          <w:rFonts w:ascii="Arial Narrow" w:hAnsi="Arial Narrow"/>
        </w:rPr>
        <w:t>Za poskytnutie verejných financií sa považuje akékoľvek poskytnutie verejných financií poskytovateľom prijímateľovi na</w:t>
      </w:r>
      <w:r>
        <w:rPr>
          <w:rFonts w:ascii="Arial Narrow" w:hAnsi="Arial Narrow"/>
        </w:rPr>
        <w:t> </w:t>
      </w:r>
      <w:r w:rsidRPr="00024245">
        <w:rPr>
          <w:rFonts w:ascii="Arial Narrow" w:hAnsi="Arial Narrow"/>
        </w:rPr>
        <w:t>základe jeho právneho nároku na poskytnutie; napr. príspevok, nenávratný finančný príspevok, dotácia, grant</w:t>
      </w:r>
      <w:r w:rsidR="007A2A70">
        <w:rPr>
          <w:rFonts w:ascii="Arial Narrow" w:hAnsi="Arial Narrow"/>
        </w:rPr>
        <w:t xml:space="preserve"> a iné</w:t>
      </w:r>
      <w:r w:rsidRPr="00024245">
        <w:rPr>
          <w:rFonts w:ascii="Arial Narrow" w:hAnsi="Arial Narrow"/>
        </w:rPr>
        <w:t xml:space="preserve">. </w:t>
      </w:r>
    </w:p>
  </w:footnote>
  <w:footnote w:id="2">
    <w:p w14:paraId="0769CE3C" w14:textId="77777777" w:rsidR="00D24910" w:rsidRPr="00E67130" w:rsidRDefault="00D24910" w:rsidP="00D24910">
      <w:pPr>
        <w:pStyle w:val="Textpoznmkypodiarou"/>
        <w:rPr>
          <w:rFonts w:ascii="Arial Narrow" w:hAnsi="Arial Narrow"/>
        </w:rPr>
      </w:pPr>
      <w:r w:rsidRPr="00E67130">
        <w:rPr>
          <w:rStyle w:val="Odkaznapoznmkupodiarou"/>
          <w:rFonts w:ascii="Arial Narrow" w:hAnsi="Arial Narrow"/>
        </w:rPr>
        <w:footnoteRef/>
      </w:r>
      <w:r w:rsidRPr="00E67130">
        <w:rPr>
          <w:rFonts w:ascii="Arial Narrow" w:hAnsi="Arial Narrow"/>
        </w:rPr>
        <w:t xml:space="preserve"> prevažne organizácie združujúce Slovákov žijúcich v zahraničí</w:t>
      </w:r>
    </w:p>
  </w:footnote>
  <w:footnote w:id="3">
    <w:p w14:paraId="538BE087" w14:textId="77777777" w:rsidR="00D24910" w:rsidRPr="00E67130" w:rsidRDefault="00D24910" w:rsidP="00D24910">
      <w:pPr>
        <w:pStyle w:val="Textpoznmkypodiarou"/>
        <w:rPr>
          <w:rFonts w:ascii="Arial Narrow" w:hAnsi="Arial Narrow"/>
        </w:rPr>
      </w:pPr>
      <w:r w:rsidRPr="00E67130">
        <w:rPr>
          <w:rFonts w:ascii="Arial Narrow" w:hAnsi="Arial Narrow"/>
          <w:vertAlign w:val="superscript"/>
        </w:rPr>
        <w:footnoteRef/>
      </w:r>
      <w:r w:rsidRPr="00E67130">
        <w:rPr>
          <w:rFonts w:ascii="Arial Narrow" w:hAnsi="Arial Narrow"/>
          <w:vertAlign w:val="superscript"/>
        </w:rPr>
        <w:t xml:space="preserve"> </w:t>
      </w:r>
      <w:r w:rsidRPr="00E67130">
        <w:rPr>
          <w:rFonts w:ascii="Arial Narrow" w:hAnsi="Arial Narrow"/>
        </w:rPr>
        <w:t>živnostník, slobodné povolanie, samostatne hospodáriaci roľník, podnikateľ</w:t>
      </w:r>
    </w:p>
  </w:footnote>
  <w:footnote w:id="4">
    <w:p w14:paraId="3F61B50B" w14:textId="77777777" w:rsidR="00D24910" w:rsidRPr="00E67130" w:rsidRDefault="00D24910" w:rsidP="00D24910">
      <w:pPr>
        <w:pStyle w:val="Textpoznmkypodiarou"/>
        <w:rPr>
          <w:rFonts w:ascii="Arial Narrow" w:hAnsi="Arial Narrow"/>
        </w:rPr>
      </w:pPr>
      <w:r w:rsidRPr="00E67130">
        <w:rPr>
          <w:rFonts w:ascii="Arial Narrow" w:hAnsi="Arial Narrow"/>
          <w:vertAlign w:val="superscript"/>
        </w:rPr>
        <w:footnoteRef/>
      </w:r>
      <w:r w:rsidRPr="00E67130">
        <w:rPr>
          <w:rFonts w:ascii="Arial Narrow" w:hAnsi="Arial Narrow"/>
          <w:vertAlign w:val="superscript"/>
        </w:rPr>
        <w:t xml:space="preserve"> </w:t>
      </w:r>
      <w:r w:rsidRPr="00E67130">
        <w:rPr>
          <w:rFonts w:ascii="Arial Narrow" w:hAnsi="Arial Narrow"/>
        </w:rPr>
        <w:t>fyzické osoby bez priradenia jednoznačného a jednotného identifikátora</w:t>
      </w:r>
    </w:p>
  </w:footnote>
  <w:footnote w:id="5">
    <w:p w14:paraId="4CA5C3C2" w14:textId="2AD7CEF2" w:rsidR="00FD05F2" w:rsidRDefault="00FD05F2" w:rsidP="00FD05F2">
      <w:pPr>
        <w:pStyle w:val="Textpoznmkypodiarou"/>
      </w:pPr>
      <w:r>
        <w:rPr>
          <w:rStyle w:val="Odkaznapoznmkupodiarou"/>
        </w:rPr>
        <w:footnoteRef/>
      </w:r>
      <w:r w:rsidR="00F41A9D">
        <w:rPr>
          <w:rFonts w:ascii="Arial Narrow" w:hAnsi="Arial Narrow"/>
        </w:rPr>
        <w:t xml:space="preserve"> </w:t>
      </w:r>
      <w:r w:rsidR="00A978C1">
        <w:rPr>
          <w:rFonts w:ascii="Arial Narrow" w:hAnsi="Arial Narrow"/>
        </w:rPr>
        <w:t>D</w:t>
      </w:r>
      <w:r w:rsidRPr="00710E45">
        <w:rPr>
          <w:rFonts w:ascii="Arial Narrow" w:hAnsi="Arial Narrow"/>
        </w:rPr>
        <w:t xml:space="preserve">o uvedeného súčtu neboli zahrnuté </w:t>
      </w:r>
      <w:r w:rsidR="00A978C1">
        <w:rPr>
          <w:rFonts w:ascii="Arial Narrow" w:hAnsi="Arial Narrow"/>
        </w:rPr>
        <w:t xml:space="preserve">dáta z </w:t>
      </w:r>
      <w:r w:rsidRPr="00710E45">
        <w:rPr>
          <w:rFonts w:ascii="Arial Narrow" w:hAnsi="Arial Narrow"/>
        </w:rPr>
        <w:t>Úrad geodézie, kartografie a katastra SR</w:t>
      </w:r>
      <w:r>
        <w:rPr>
          <w:rFonts w:ascii="Arial Narrow" w:hAnsi="Arial Narrow"/>
        </w:rPr>
        <w:t xml:space="preserve"> z dôvodu, že tieto prostriedky boli poskytnuté priamo na základe </w:t>
      </w:r>
      <w:r w:rsidRPr="00294E47">
        <w:rPr>
          <w:rFonts w:ascii="Arial Narrow" w:hAnsi="Arial Narrow"/>
        </w:rPr>
        <w:t>zákon</w:t>
      </w:r>
      <w:r>
        <w:rPr>
          <w:rFonts w:ascii="Arial Narrow" w:hAnsi="Arial Narrow"/>
        </w:rPr>
        <w:t>a</w:t>
      </w:r>
      <w:r w:rsidRPr="00294E47">
        <w:rPr>
          <w:rFonts w:ascii="Arial Narrow" w:hAnsi="Arial Narrow"/>
        </w:rPr>
        <w:t xml:space="preserve"> o štátnom rozpočte na </w:t>
      </w:r>
      <w:r>
        <w:rPr>
          <w:rFonts w:ascii="Arial Narrow" w:hAnsi="Arial Narrow"/>
        </w:rPr>
        <w:t>príslušný rok</w:t>
      </w:r>
      <w:r w:rsidR="00F41A9D">
        <w:rPr>
          <w:rFonts w:ascii="Arial Narrow" w:hAnsi="Arial Narrow"/>
        </w:rPr>
        <w:t>.</w:t>
      </w:r>
    </w:p>
  </w:footnote>
  <w:footnote w:id="6">
    <w:p w14:paraId="52241363" w14:textId="7C4410F0" w:rsidR="00A978C1" w:rsidRPr="00E67130" w:rsidRDefault="00A978C1" w:rsidP="00A978C1">
      <w:pPr>
        <w:pStyle w:val="Textpoznmkypodiarou"/>
        <w:rPr>
          <w:rFonts w:ascii="Arial Narrow" w:hAnsi="Arial Narrow"/>
        </w:rPr>
      </w:pPr>
      <w:r w:rsidRPr="00E67130">
        <w:rPr>
          <w:rStyle w:val="Odkaznapoznmkupodiarou"/>
          <w:rFonts w:ascii="Arial Narrow" w:hAnsi="Arial Narrow"/>
        </w:rPr>
        <w:footnoteRef/>
      </w:r>
      <w:r w:rsidRPr="00E6713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</w:t>
      </w:r>
      <w:r w:rsidRPr="00E67130">
        <w:rPr>
          <w:rFonts w:ascii="Arial Narrow" w:hAnsi="Arial Narrow"/>
        </w:rPr>
        <w:t>kciová spoločnosť, spoločnosť s ručením obmedzeným, jednoduchá spoločnosť na akcie, obchodná spoločnosť, komanditná spoločnosť</w:t>
      </w:r>
    </w:p>
  </w:footnote>
  <w:footnote w:id="7">
    <w:p w14:paraId="4D08B0BB" w14:textId="77777777" w:rsidR="00A978C1" w:rsidRPr="00E67130" w:rsidRDefault="00A978C1" w:rsidP="00A978C1">
      <w:pPr>
        <w:pStyle w:val="Textpoznmkypodiarou"/>
        <w:rPr>
          <w:rFonts w:ascii="Arial Narrow" w:hAnsi="Arial Narrow"/>
        </w:rPr>
      </w:pPr>
      <w:r w:rsidRPr="00E67130">
        <w:rPr>
          <w:rStyle w:val="Odkaznapoznmkupodiarou"/>
          <w:rFonts w:ascii="Arial Narrow" w:hAnsi="Arial Narrow"/>
        </w:rPr>
        <w:footnoteRef/>
      </w:r>
      <w:r w:rsidRPr="00E67130">
        <w:rPr>
          <w:rFonts w:ascii="Arial Narrow" w:hAnsi="Arial Narrow"/>
        </w:rPr>
        <w:t xml:space="preserve"> nadácia, nezisková organizácia, združenie, neinvestičný fond</w:t>
      </w:r>
    </w:p>
  </w:footnote>
  <w:footnote w:id="8">
    <w:p w14:paraId="6170C1C2" w14:textId="77777777" w:rsidR="00A978C1" w:rsidRPr="00E67130" w:rsidRDefault="00A978C1" w:rsidP="00A978C1">
      <w:pPr>
        <w:pStyle w:val="Textpoznmkypodiarou"/>
        <w:rPr>
          <w:rFonts w:ascii="Arial Narrow" w:hAnsi="Arial Narrow"/>
        </w:rPr>
      </w:pPr>
      <w:r w:rsidRPr="00E67130">
        <w:rPr>
          <w:rStyle w:val="Odkaznapoznmkupodiarou"/>
          <w:rFonts w:ascii="Arial Narrow" w:hAnsi="Arial Narrow"/>
        </w:rPr>
        <w:footnoteRef/>
      </w:r>
      <w:r w:rsidRPr="00E67130">
        <w:rPr>
          <w:rFonts w:ascii="Arial Narrow" w:hAnsi="Arial Narrow"/>
        </w:rPr>
        <w:t xml:space="preserve"> štátny podnik, verejná výskumná inštitúcia, verejnoprávna inštitúcia</w:t>
      </w:r>
    </w:p>
  </w:footnote>
  <w:footnote w:id="9">
    <w:p w14:paraId="3DC628C9" w14:textId="77777777" w:rsidR="00A978C1" w:rsidRDefault="00A978C1" w:rsidP="00A978C1">
      <w:pPr>
        <w:pStyle w:val="Textpoznmkypodiarou"/>
      </w:pPr>
      <w:r w:rsidRPr="00E67130">
        <w:rPr>
          <w:rStyle w:val="Odkaznapoznmkupodiarou"/>
          <w:rFonts w:ascii="Arial Narrow" w:hAnsi="Arial Narrow"/>
        </w:rPr>
        <w:footnoteRef/>
      </w:r>
      <w:r w:rsidRPr="00E67130">
        <w:rPr>
          <w:rFonts w:ascii="Arial Narrow" w:hAnsi="Arial Narrow"/>
        </w:rPr>
        <w:t xml:space="preserve"> družstvá, pozemkové spoločenstvá, spoločenstvá vlastníkov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A26DC"/>
    <w:multiLevelType w:val="hybridMultilevel"/>
    <w:tmpl w:val="246833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14461"/>
    <w:multiLevelType w:val="hybridMultilevel"/>
    <w:tmpl w:val="F4FAB1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F1381"/>
    <w:multiLevelType w:val="hybridMultilevel"/>
    <w:tmpl w:val="9C281654"/>
    <w:lvl w:ilvl="0" w:tplc="182A84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86DFB"/>
    <w:multiLevelType w:val="hybridMultilevel"/>
    <w:tmpl w:val="2D00C3E0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E01520D"/>
    <w:multiLevelType w:val="hybridMultilevel"/>
    <w:tmpl w:val="6FA0B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B54C9"/>
    <w:multiLevelType w:val="hybridMultilevel"/>
    <w:tmpl w:val="E376AB1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D3816"/>
    <w:multiLevelType w:val="hybridMultilevel"/>
    <w:tmpl w:val="B6BE25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A5143"/>
    <w:multiLevelType w:val="hybridMultilevel"/>
    <w:tmpl w:val="661219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30C96"/>
    <w:multiLevelType w:val="hybridMultilevel"/>
    <w:tmpl w:val="237CAA12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E8573B"/>
    <w:multiLevelType w:val="hybridMultilevel"/>
    <w:tmpl w:val="8B64116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621A3"/>
    <w:multiLevelType w:val="hybridMultilevel"/>
    <w:tmpl w:val="65943B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BD0F39"/>
    <w:multiLevelType w:val="hybridMultilevel"/>
    <w:tmpl w:val="727091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6B7344"/>
    <w:multiLevelType w:val="hybridMultilevel"/>
    <w:tmpl w:val="9646A86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BE97FB1"/>
    <w:multiLevelType w:val="hybridMultilevel"/>
    <w:tmpl w:val="6FA0B7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485924">
    <w:abstractNumId w:val="11"/>
  </w:num>
  <w:num w:numId="2" w16cid:durableId="248345744">
    <w:abstractNumId w:val="3"/>
  </w:num>
  <w:num w:numId="3" w16cid:durableId="1668631623">
    <w:abstractNumId w:val="13"/>
  </w:num>
  <w:num w:numId="4" w16cid:durableId="1963145289">
    <w:abstractNumId w:val="2"/>
  </w:num>
  <w:num w:numId="5" w16cid:durableId="1994018319">
    <w:abstractNumId w:val="5"/>
  </w:num>
  <w:num w:numId="6" w16cid:durableId="1815364573">
    <w:abstractNumId w:val="8"/>
  </w:num>
  <w:num w:numId="7" w16cid:durableId="1392343820">
    <w:abstractNumId w:val="9"/>
  </w:num>
  <w:num w:numId="8" w16cid:durableId="1634098812">
    <w:abstractNumId w:val="0"/>
  </w:num>
  <w:num w:numId="9" w16cid:durableId="1960603192">
    <w:abstractNumId w:val="4"/>
  </w:num>
  <w:num w:numId="10" w16cid:durableId="1976325956">
    <w:abstractNumId w:val="1"/>
  </w:num>
  <w:num w:numId="11" w16cid:durableId="1168207024">
    <w:abstractNumId w:val="10"/>
  </w:num>
  <w:num w:numId="12" w16cid:durableId="1872956072">
    <w:abstractNumId w:val="12"/>
  </w:num>
  <w:num w:numId="13" w16cid:durableId="1799059221">
    <w:abstractNumId w:val="7"/>
  </w:num>
  <w:num w:numId="14" w16cid:durableId="19916410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5EC"/>
    <w:rsid w:val="00004754"/>
    <w:rsid w:val="00010655"/>
    <w:rsid w:val="00010964"/>
    <w:rsid w:val="00014645"/>
    <w:rsid w:val="00024245"/>
    <w:rsid w:val="00034336"/>
    <w:rsid w:val="000343CE"/>
    <w:rsid w:val="000437BA"/>
    <w:rsid w:val="00080EF9"/>
    <w:rsid w:val="000841B8"/>
    <w:rsid w:val="00085D44"/>
    <w:rsid w:val="0009147A"/>
    <w:rsid w:val="0009314F"/>
    <w:rsid w:val="000943F4"/>
    <w:rsid w:val="00094819"/>
    <w:rsid w:val="000B02B0"/>
    <w:rsid w:val="000B3B0A"/>
    <w:rsid w:val="000B407A"/>
    <w:rsid w:val="000B7082"/>
    <w:rsid w:val="000C5AC9"/>
    <w:rsid w:val="000C6A3E"/>
    <w:rsid w:val="000D5528"/>
    <w:rsid w:val="000E40FA"/>
    <w:rsid w:val="0010775F"/>
    <w:rsid w:val="00107A19"/>
    <w:rsid w:val="00116908"/>
    <w:rsid w:val="0012175B"/>
    <w:rsid w:val="00124ABC"/>
    <w:rsid w:val="00132AA0"/>
    <w:rsid w:val="001345F1"/>
    <w:rsid w:val="00135262"/>
    <w:rsid w:val="00140637"/>
    <w:rsid w:val="001540B4"/>
    <w:rsid w:val="0016121F"/>
    <w:rsid w:val="00163758"/>
    <w:rsid w:val="00164E0E"/>
    <w:rsid w:val="001657F1"/>
    <w:rsid w:val="00170609"/>
    <w:rsid w:val="00177B3D"/>
    <w:rsid w:val="001A7B5B"/>
    <w:rsid w:val="001B0A3E"/>
    <w:rsid w:val="001B3C7C"/>
    <w:rsid w:val="001C1576"/>
    <w:rsid w:val="001C2F85"/>
    <w:rsid w:val="001D121F"/>
    <w:rsid w:val="001D49A3"/>
    <w:rsid w:val="001D5FE3"/>
    <w:rsid w:val="001F4F85"/>
    <w:rsid w:val="001F7EAD"/>
    <w:rsid w:val="002073E5"/>
    <w:rsid w:val="002130B0"/>
    <w:rsid w:val="00215768"/>
    <w:rsid w:val="00220D7A"/>
    <w:rsid w:val="002310C4"/>
    <w:rsid w:val="002338EB"/>
    <w:rsid w:val="00235390"/>
    <w:rsid w:val="0023558D"/>
    <w:rsid w:val="00242308"/>
    <w:rsid w:val="00245CC8"/>
    <w:rsid w:val="00246464"/>
    <w:rsid w:val="002524E8"/>
    <w:rsid w:val="00252D0D"/>
    <w:rsid w:val="00262116"/>
    <w:rsid w:val="00272832"/>
    <w:rsid w:val="002812A3"/>
    <w:rsid w:val="002820E7"/>
    <w:rsid w:val="00294E47"/>
    <w:rsid w:val="002A0516"/>
    <w:rsid w:val="002B239D"/>
    <w:rsid w:val="002B7953"/>
    <w:rsid w:val="002C1587"/>
    <w:rsid w:val="002C2E6B"/>
    <w:rsid w:val="002C2FF1"/>
    <w:rsid w:val="002C4F0A"/>
    <w:rsid w:val="002D1716"/>
    <w:rsid w:val="002E0F8E"/>
    <w:rsid w:val="002E42E0"/>
    <w:rsid w:val="002E65EC"/>
    <w:rsid w:val="002F20E2"/>
    <w:rsid w:val="002F7776"/>
    <w:rsid w:val="0030143D"/>
    <w:rsid w:val="00302813"/>
    <w:rsid w:val="00305BFD"/>
    <w:rsid w:val="0030712A"/>
    <w:rsid w:val="0031669B"/>
    <w:rsid w:val="003224B3"/>
    <w:rsid w:val="00324677"/>
    <w:rsid w:val="00337A6C"/>
    <w:rsid w:val="00373BB5"/>
    <w:rsid w:val="00380DAF"/>
    <w:rsid w:val="003837C9"/>
    <w:rsid w:val="00383FFE"/>
    <w:rsid w:val="00396209"/>
    <w:rsid w:val="003B0D0F"/>
    <w:rsid w:val="003B6069"/>
    <w:rsid w:val="003B739A"/>
    <w:rsid w:val="003C0479"/>
    <w:rsid w:val="003C2956"/>
    <w:rsid w:val="003C6268"/>
    <w:rsid w:val="003D3447"/>
    <w:rsid w:val="003D4D46"/>
    <w:rsid w:val="003D7546"/>
    <w:rsid w:val="003E0DE2"/>
    <w:rsid w:val="003E7C2A"/>
    <w:rsid w:val="003F0F07"/>
    <w:rsid w:val="003F1EB0"/>
    <w:rsid w:val="003F2C82"/>
    <w:rsid w:val="003F41BD"/>
    <w:rsid w:val="00403410"/>
    <w:rsid w:val="0040544B"/>
    <w:rsid w:val="00415E75"/>
    <w:rsid w:val="004164AC"/>
    <w:rsid w:val="004240F3"/>
    <w:rsid w:val="0043743D"/>
    <w:rsid w:val="004423B1"/>
    <w:rsid w:val="00442766"/>
    <w:rsid w:val="00452D2F"/>
    <w:rsid w:val="00460391"/>
    <w:rsid w:val="00464F5D"/>
    <w:rsid w:val="004716B9"/>
    <w:rsid w:val="0048797A"/>
    <w:rsid w:val="00494E70"/>
    <w:rsid w:val="004B2711"/>
    <w:rsid w:val="004E0923"/>
    <w:rsid w:val="004F0465"/>
    <w:rsid w:val="004F2518"/>
    <w:rsid w:val="004F39C6"/>
    <w:rsid w:val="004F4C62"/>
    <w:rsid w:val="004F4E5C"/>
    <w:rsid w:val="004F6C8B"/>
    <w:rsid w:val="005204E6"/>
    <w:rsid w:val="005303F3"/>
    <w:rsid w:val="00532CD9"/>
    <w:rsid w:val="00537F7D"/>
    <w:rsid w:val="00556CA9"/>
    <w:rsid w:val="00562A98"/>
    <w:rsid w:val="00564D78"/>
    <w:rsid w:val="00565760"/>
    <w:rsid w:val="005778A2"/>
    <w:rsid w:val="0058627C"/>
    <w:rsid w:val="0058757D"/>
    <w:rsid w:val="005902BA"/>
    <w:rsid w:val="0059185E"/>
    <w:rsid w:val="00591B46"/>
    <w:rsid w:val="0059749A"/>
    <w:rsid w:val="00597E07"/>
    <w:rsid w:val="005B07DE"/>
    <w:rsid w:val="005C0486"/>
    <w:rsid w:val="005C1733"/>
    <w:rsid w:val="005C3C46"/>
    <w:rsid w:val="005D0CFB"/>
    <w:rsid w:val="005D48A8"/>
    <w:rsid w:val="005D7881"/>
    <w:rsid w:val="005E07EC"/>
    <w:rsid w:val="005E3EAC"/>
    <w:rsid w:val="005F5A18"/>
    <w:rsid w:val="00607D84"/>
    <w:rsid w:val="00610C61"/>
    <w:rsid w:val="00610F90"/>
    <w:rsid w:val="006120A1"/>
    <w:rsid w:val="00623C3E"/>
    <w:rsid w:val="00624D3F"/>
    <w:rsid w:val="006307AE"/>
    <w:rsid w:val="006426BA"/>
    <w:rsid w:val="00652174"/>
    <w:rsid w:val="00652A45"/>
    <w:rsid w:val="00654761"/>
    <w:rsid w:val="0065607D"/>
    <w:rsid w:val="00665186"/>
    <w:rsid w:val="00665541"/>
    <w:rsid w:val="0068182A"/>
    <w:rsid w:val="00681F72"/>
    <w:rsid w:val="006822E6"/>
    <w:rsid w:val="00685A23"/>
    <w:rsid w:val="00686D2B"/>
    <w:rsid w:val="00686DAF"/>
    <w:rsid w:val="00691D6E"/>
    <w:rsid w:val="006931B4"/>
    <w:rsid w:val="006963E7"/>
    <w:rsid w:val="006A32D0"/>
    <w:rsid w:val="006B317E"/>
    <w:rsid w:val="006E59FE"/>
    <w:rsid w:val="006F068D"/>
    <w:rsid w:val="006F10E2"/>
    <w:rsid w:val="006F3DFE"/>
    <w:rsid w:val="006F5878"/>
    <w:rsid w:val="00710E45"/>
    <w:rsid w:val="00712867"/>
    <w:rsid w:val="00715989"/>
    <w:rsid w:val="007177FE"/>
    <w:rsid w:val="00717867"/>
    <w:rsid w:val="00717D69"/>
    <w:rsid w:val="0072671A"/>
    <w:rsid w:val="00727D37"/>
    <w:rsid w:val="00730C92"/>
    <w:rsid w:val="007437D7"/>
    <w:rsid w:val="00753FC0"/>
    <w:rsid w:val="00756B20"/>
    <w:rsid w:val="00765DD3"/>
    <w:rsid w:val="007721E5"/>
    <w:rsid w:val="007747EC"/>
    <w:rsid w:val="00774B61"/>
    <w:rsid w:val="00774CD6"/>
    <w:rsid w:val="00782F52"/>
    <w:rsid w:val="00786E28"/>
    <w:rsid w:val="007A2A70"/>
    <w:rsid w:val="007A50C4"/>
    <w:rsid w:val="007B3BB3"/>
    <w:rsid w:val="007E1F0F"/>
    <w:rsid w:val="007E3712"/>
    <w:rsid w:val="007F30FF"/>
    <w:rsid w:val="0080011A"/>
    <w:rsid w:val="00815374"/>
    <w:rsid w:val="008160E7"/>
    <w:rsid w:val="008204B7"/>
    <w:rsid w:val="00820B97"/>
    <w:rsid w:val="00820C51"/>
    <w:rsid w:val="00862B73"/>
    <w:rsid w:val="00866CA6"/>
    <w:rsid w:val="00867A5B"/>
    <w:rsid w:val="00876398"/>
    <w:rsid w:val="0087684E"/>
    <w:rsid w:val="008811FA"/>
    <w:rsid w:val="0089039C"/>
    <w:rsid w:val="00894A7B"/>
    <w:rsid w:val="008B1767"/>
    <w:rsid w:val="008C54F7"/>
    <w:rsid w:val="008C6561"/>
    <w:rsid w:val="008E042B"/>
    <w:rsid w:val="008E6D76"/>
    <w:rsid w:val="008E7B04"/>
    <w:rsid w:val="008F1F01"/>
    <w:rsid w:val="008F3489"/>
    <w:rsid w:val="008F6BFE"/>
    <w:rsid w:val="00905884"/>
    <w:rsid w:val="00926E36"/>
    <w:rsid w:val="00970398"/>
    <w:rsid w:val="00971E0F"/>
    <w:rsid w:val="00980A85"/>
    <w:rsid w:val="00986253"/>
    <w:rsid w:val="00986646"/>
    <w:rsid w:val="00994F3C"/>
    <w:rsid w:val="009A29A0"/>
    <w:rsid w:val="009B2729"/>
    <w:rsid w:val="009B2A55"/>
    <w:rsid w:val="009C13E0"/>
    <w:rsid w:val="009C6CDD"/>
    <w:rsid w:val="009E3037"/>
    <w:rsid w:val="009E7C84"/>
    <w:rsid w:val="00A004E4"/>
    <w:rsid w:val="00A07178"/>
    <w:rsid w:val="00A14F0C"/>
    <w:rsid w:val="00A17F8A"/>
    <w:rsid w:val="00A2542E"/>
    <w:rsid w:val="00A257C3"/>
    <w:rsid w:val="00A40208"/>
    <w:rsid w:val="00A46B33"/>
    <w:rsid w:val="00A62C52"/>
    <w:rsid w:val="00A63738"/>
    <w:rsid w:val="00A83B18"/>
    <w:rsid w:val="00A929F2"/>
    <w:rsid w:val="00A978C1"/>
    <w:rsid w:val="00AA0105"/>
    <w:rsid w:val="00AB7C95"/>
    <w:rsid w:val="00AC2020"/>
    <w:rsid w:val="00AC3B7F"/>
    <w:rsid w:val="00AC7D24"/>
    <w:rsid w:val="00AE4658"/>
    <w:rsid w:val="00AF7346"/>
    <w:rsid w:val="00B000E2"/>
    <w:rsid w:val="00B00AF1"/>
    <w:rsid w:val="00B07F5E"/>
    <w:rsid w:val="00B1105F"/>
    <w:rsid w:val="00B212CF"/>
    <w:rsid w:val="00B24F70"/>
    <w:rsid w:val="00B27F05"/>
    <w:rsid w:val="00B30429"/>
    <w:rsid w:val="00B46075"/>
    <w:rsid w:val="00B64B63"/>
    <w:rsid w:val="00B818E7"/>
    <w:rsid w:val="00B84E5E"/>
    <w:rsid w:val="00B87218"/>
    <w:rsid w:val="00B91F6C"/>
    <w:rsid w:val="00B97283"/>
    <w:rsid w:val="00B9748D"/>
    <w:rsid w:val="00BA4F2A"/>
    <w:rsid w:val="00BB0856"/>
    <w:rsid w:val="00BB400C"/>
    <w:rsid w:val="00BC23B8"/>
    <w:rsid w:val="00BD0207"/>
    <w:rsid w:val="00BD0D68"/>
    <w:rsid w:val="00BD69F4"/>
    <w:rsid w:val="00BE251A"/>
    <w:rsid w:val="00BE6DB0"/>
    <w:rsid w:val="00BF65D7"/>
    <w:rsid w:val="00C25459"/>
    <w:rsid w:val="00C27445"/>
    <w:rsid w:val="00C347D1"/>
    <w:rsid w:val="00C36DBD"/>
    <w:rsid w:val="00C42FEE"/>
    <w:rsid w:val="00C56F7D"/>
    <w:rsid w:val="00C63039"/>
    <w:rsid w:val="00C70655"/>
    <w:rsid w:val="00C70F30"/>
    <w:rsid w:val="00C74CF5"/>
    <w:rsid w:val="00C75C0D"/>
    <w:rsid w:val="00C825AC"/>
    <w:rsid w:val="00C82A08"/>
    <w:rsid w:val="00C83B0A"/>
    <w:rsid w:val="00C85D52"/>
    <w:rsid w:val="00C864B8"/>
    <w:rsid w:val="00C87FCD"/>
    <w:rsid w:val="00CB12CE"/>
    <w:rsid w:val="00CB1324"/>
    <w:rsid w:val="00CB3AF8"/>
    <w:rsid w:val="00CB5CDB"/>
    <w:rsid w:val="00CC750D"/>
    <w:rsid w:val="00CD6EAB"/>
    <w:rsid w:val="00CF06C3"/>
    <w:rsid w:val="00CF1004"/>
    <w:rsid w:val="00D03328"/>
    <w:rsid w:val="00D038A8"/>
    <w:rsid w:val="00D04481"/>
    <w:rsid w:val="00D13214"/>
    <w:rsid w:val="00D15DC8"/>
    <w:rsid w:val="00D211AB"/>
    <w:rsid w:val="00D24910"/>
    <w:rsid w:val="00D257AA"/>
    <w:rsid w:val="00D27264"/>
    <w:rsid w:val="00D41D6E"/>
    <w:rsid w:val="00D53FC7"/>
    <w:rsid w:val="00D57EEC"/>
    <w:rsid w:val="00D615E1"/>
    <w:rsid w:val="00D670FC"/>
    <w:rsid w:val="00D716E6"/>
    <w:rsid w:val="00D7789C"/>
    <w:rsid w:val="00D77A35"/>
    <w:rsid w:val="00D94362"/>
    <w:rsid w:val="00D95019"/>
    <w:rsid w:val="00DA0E97"/>
    <w:rsid w:val="00DA4630"/>
    <w:rsid w:val="00DB519E"/>
    <w:rsid w:val="00DB660C"/>
    <w:rsid w:val="00DC7EB4"/>
    <w:rsid w:val="00DD29BD"/>
    <w:rsid w:val="00DE60F2"/>
    <w:rsid w:val="00DF6DAE"/>
    <w:rsid w:val="00DF7499"/>
    <w:rsid w:val="00E00F6D"/>
    <w:rsid w:val="00E14C5B"/>
    <w:rsid w:val="00E1738E"/>
    <w:rsid w:val="00E17D6D"/>
    <w:rsid w:val="00E23A63"/>
    <w:rsid w:val="00E26BB1"/>
    <w:rsid w:val="00E36DC4"/>
    <w:rsid w:val="00E527FC"/>
    <w:rsid w:val="00E52F2F"/>
    <w:rsid w:val="00E66159"/>
    <w:rsid w:val="00E67130"/>
    <w:rsid w:val="00E70A48"/>
    <w:rsid w:val="00E70A8A"/>
    <w:rsid w:val="00E81347"/>
    <w:rsid w:val="00E84C69"/>
    <w:rsid w:val="00E932B6"/>
    <w:rsid w:val="00E93AF3"/>
    <w:rsid w:val="00E96673"/>
    <w:rsid w:val="00E97B7B"/>
    <w:rsid w:val="00EA3EC8"/>
    <w:rsid w:val="00EB165A"/>
    <w:rsid w:val="00EB3CBD"/>
    <w:rsid w:val="00EC2C8D"/>
    <w:rsid w:val="00EC4D02"/>
    <w:rsid w:val="00ED5B01"/>
    <w:rsid w:val="00EE58B4"/>
    <w:rsid w:val="00EE5B04"/>
    <w:rsid w:val="00F13B18"/>
    <w:rsid w:val="00F20173"/>
    <w:rsid w:val="00F2084F"/>
    <w:rsid w:val="00F20C8F"/>
    <w:rsid w:val="00F26BF7"/>
    <w:rsid w:val="00F320C4"/>
    <w:rsid w:val="00F40508"/>
    <w:rsid w:val="00F41A9D"/>
    <w:rsid w:val="00F42CDF"/>
    <w:rsid w:val="00F5157A"/>
    <w:rsid w:val="00F60149"/>
    <w:rsid w:val="00F619D2"/>
    <w:rsid w:val="00F64790"/>
    <w:rsid w:val="00F65545"/>
    <w:rsid w:val="00F67BCF"/>
    <w:rsid w:val="00F7082C"/>
    <w:rsid w:val="00F70F0C"/>
    <w:rsid w:val="00F7357C"/>
    <w:rsid w:val="00F801C4"/>
    <w:rsid w:val="00F82016"/>
    <w:rsid w:val="00F84557"/>
    <w:rsid w:val="00F90C41"/>
    <w:rsid w:val="00F9365E"/>
    <w:rsid w:val="00FA2333"/>
    <w:rsid w:val="00FA309D"/>
    <w:rsid w:val="00FA5451"/>
    <w:rsid w:val="00FA6072"/>
    <w:rsid w:val="00FB1D06"/>
    <w:rsid w:val="00FB7DB2"/>
    <w:rsid w:val="00FC6AFC"/>
    <w:rsid w:val="00FD05F2"/>
    <w:rsid w:val="00FD1BDA"/>
    <w:rsid w:val="00FE36A2"/>
    <w:rsid w:val="00FE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84B88"/>
  <w15:chartTrackingRefBased/>
  <w15:docId w15:val="{D9A9E6FE-F97F-4F1A-A9D7-9F5105B1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E65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E6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E65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E65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E65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E65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E65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E65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E65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E65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E65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E65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E65E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E65E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E65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E65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E65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E65E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E65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E6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E65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E6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E6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E65E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E65E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E65E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E65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E65E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E65EC"/>
    <w:rPr>
      <w:b/>
      <w:bCs/>
      <w:smallCaps/>
      <w:color w:val="0F4761" w:themeColor="accent1" w:themeShade="BF"/>
      <w:spacing w:val="5"/>
    </w:rPr>
  </w:style>
  <w:style w:type="paragraph" w:styleId="Pta">
    <w:name w:val="footer"/>
    <w:basedOn w:val="Normlny"/>
    <w:link w:val="PtaChar"/>
    <w:uiPriority w:val="99"/>
    <w:unhideWhenUsed/>
    <w:rsid w:val="002E6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E65EC"/>
  </w:style>
  <w:style w:type="character" w:styleId="Odkaznakomentr">
    <w:name w:val="annotation reference"/>
    <w:basedOn w:val="Predvolenpsmoodseku"/>
    <w:uiPriority w:val="99"/>
    <w:semiHidden/>
    <w:unhideWhenUsed/>
    <w:rsid w:val="00124AB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24AB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24AB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24AB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24ABC"/>
    <w:rPr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E092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E0923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E0923"/>
    <w:rPr>
      <w:vertAlign w:val="superscript"/>
    </w:rPr>
  </w:style>
  <w:style w:type="table" w:styleId="Mriekatabuky">
    <w:name w:val="Table Grid"/>
    <w:basedOn w:val="Normlnatabuka"/>
    <w:uiPriority w:val="39"/>
    <w:rsid w:val="004E0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765DD3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B21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212CF"/>
  </w:style>
  <w:style w:type="paragraph" w:customStyle="1" w:styleId="Default">
    <w:name w:val="Default"/>
    <w:rsid w:val="00691D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9AED8-BFB8-4C23-979C-236D892EC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3037</Words>
  <Characters>17314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financii Slovenskej republiky</Company>
  <LinksUpToDate>false</LinksUpToDate>
  <CharactersWithSpaces>20311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Duris Vladimir</dc:creator>
  <cp:keywords/>
  <dc:description/>
  <cp:lastModifiedBy>Antalkova Klaudia</cp:lastModifiedBy>
  <cp:revision>2</cp:revision>
  <cp:lastPrinted>2026-01-20T13:03:00Z</cp:lastPrinted>
  <dcterms:created xsi:type="dcterms:W3CDTF">2026-01-21T12:18:00Z</dcterms:created>
  <dcterms:modified xsi:type="dcterms:W3CDTF">2026-01-21T12:18:00Z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31799039,5b74d3c3,3d7688f6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Interné</vt:lpwstr>
  </property>
  <property fmtid="{D5CDD505-2E9C-101B-9397-08002B2CF9AE}" pid="5" name="MSIP_Label_4c805978-f532-4a1a-b9e1-4e19c2c6466f_Enabled">
    <vt:lpwstr>true</vt:lpwstr>
  </property>
  <property fmtid="{D5CDD505-2E9C-101B-9397-08002B2CF9AE}" pid="6" name="MSIP_Label_4c805978-f532-4a1a-b9e1-4e19c2c6466f_SetDate">
    <vt:lpwstr>2025-11-03T11:34:18Z</vt:lpwstr>
  </property>
  <property fmtid="{D5CDD505-2E9C-101B-9397-08002B2CF9AE}" pid="7" name="MSIP_Label_4c805978-f532-4a1a-b9e1-4e19c2c6466f_Method">
    <vt:lpwstr>Standard</vt:lpwstr>
  </property>
  <property fmtid="{D5CDD505-2E9C-101B-9397-08002B2CF9AE}" pid="8" name="MSIP_Label_4c805978-f532-4a1a-b9e1-4e19c2c6466f_Name">
    <vt:lpwstr>Internal</vt:lpwstr>
  </property>
  <property fmtid="{D5CDD505-2E9C-101B-9397-08002B2CF9AE}" pid="9" name="MSIP_Label_4c805978-f532-4a1a-b9e1-4e19c2c6466f_SiteId">
    <vt:lpwstr>579df390-dbff-49fd-8f10-624670566482</vt:lpwstr>
  </property>
  <property fmtid="{D5CDD505-2E9C-101B-9397-08002B2CF9AE}" pid="10" name="MSIP_Label_4c805978-f532-4a1a-b9e1-4e19c2c6466f_ActionId">
    <vt:lpwstr>40c5b9b6-1b14-4e18-bf2e-aa64766f7577</vt:lpwstr>
  </property>
  <property fmtid="{D5CDD505-2E9C-101B-9397-08002B2CF9AE}" pid="11" name="MSIP_Label_4c805978-f532-4a1a-b9e1-4e19c2c6466f_ContentBits">
    <vt:lpwstr>2</vt:lpwstr>
  </property>
  <property fmtid="{D5CDD505-2E9C-101B-9397-08002B2CF9AE}" pid="12" name="MSIP_Label_4c805978-f532-4a1a-b9e1-4e19c2c6466f_Tag">
    <vt:lpwstr>10, 3, 0, 1</vt:lpwstr>
  </property>
</Properties>
</file>