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55" w14:textId="7E89FFAF" w:rsidR="00B824C4" w:rsidRDefault="00681F9F" w:rsidP="00290668">
      <w:pPr>
        <w:pBdr>
          <w:bottom w:val="single" w:sz="12" w:space="31" w:color="000000"/>
        </w:pBdr>
        <w:jc w:val="center"/>
      </w:pPr>
      <w:r>
        <w:rPr>
          <w:b/>
          <w:bCs/>
        </w:rPr>
        <w:t>Odôvodnenie</w:t>
      </w:r>
    </w:p>
    <w:p w14:paraId="16BDD3A3" w14:textId="77777777" w:rsidR="00290668" w:rsidRDefault="00290668">
      <w:pPr>
        <w:tabs>
          <w:tab w:val="left" w:pos="1764"/>
        </w:tabs>
        <w:spacing w:line="360" w:lineRule="auto"/>
        <w:jc w:val="both"/>
      </w:pPr>
    </w:p>
    <w:p w14:paraId="00000056" w14:textId="46827B37" w:rsidR="00B824C4" w:rsidRDefault="00681F9F">
      <w:pPr>
        <w:tabs>
          <w:tab w:val="left" w:pos="1764"/>
        </w:tabs>
        <w:spacing w:line="360" w:lineRule="auto"/>
        <w:jc w:val="both"/>
      </w:pPr>
      <w:r>
        <w:t>Série vládnych návrhov zákonov, súvisiace s takzvaným zlepšovaním stavu verejných financií (konsolidačné opatrenia), predstavujú pre rok 2026 drastické zhoršenie financovania miestnych a regionálnych samospráv.</w:t>
      </w:r>
      <w:sdt>
        <w:sdtPr>
          <w:tag w:val="goog_rdk_2"/>
          <w:id w:val="408955316"/>
        </w:sdtPr>
        <w:sdtContent/>
      </w:sdt>
      <w:sdt>
        <w:sdtPr>
          <w:tag w:val="goog_rdk_3"/>
          <w:id w:val="1499578367"/>
        </w:sdtPr>
        <w:sdtContent/>
      </w:sdt>
      <w:sdt>
        <w:sdtPr>
          <w:tag w:val="goog_rdk_4"/>
          <w:id w:val="-11507959"/>
        </w:sdtPr>
        <w:sdtContent/>
      </w:sdt>
      <w:r>
        <w:t xml:space="preserve"> Prvé opatrenie s negatívnym dopadom je vo forme zníženia podielov na výnosoch dane z príjmu fyzických osôb (DPFO), ktoré bude v roku 2026 vyššie než v uplynulom roku 2025, kedy predstavovalo stratu pre samosprávy vo výške viac ako 60 miliónov eur. Druhým opatreným s negatívnym dopadom je zmena sadzby DPH, ktorá podľa odhadov Združenia miest a obcí Slovenska predstavuje ročnú stratu vo výške 180 miliónov eur. Tretím opatrením je takzvaný </w:t>
      </w:r>
      <w:sdt>
        <w:sdtPr>
          <w:tag w:val="goog_rdk_5"/>
          <w:id w:val="-35453371"/>
        </w:sdtPr>
        <w:sdtContent/>
      </w:sdt>
      <w:sdt>
        <w:sdtPr>
          <w:tag w:val="goog_rdk_6"/>
          <w:id w:val="442444011"/>
        </w:sdtPr>
        <w:sdtContent/>
      </w:sdt>
      <w:sdt>
        <w:sdtPr>
          <w:tag w:val="goog_rdk_7"/>
          <w:id w:val="-516106236"/>
        </w:sdtPr>
        <w:sdtContent/>
      </w:sdt>
      <w:sdt>
        <w:sdtPr>
          <w:tag w:val="goog_rdk_8"/>
          <w:id w:val="834285952"/>
        </w:sdtPr>
        <w:sdtContent/>
      </w:sdt>
      <w:sdt>
        <w:sdtPr>
          <w:tag w:val="goog_rdk_9"/>
          <w:id w:val="930795166"/>
        </w:sdtPr>
        <w:sdtContent/>
      </w:sdt>
      <w:r>
        <w:t>rodičovský dôchodok, ktorý bude pre rok 2026 predstavovať podľa odhadov ZMOS negatívny dopad na samosprávy vo výške približne 100 miliónov eur, v závislosti od počtu prijímateľov. Štvrtým opatrením je transakčná daň, ktorej odhadovaný negatívny dopad bol vyčíslený na 3,5 milióna eur v roku 2026. Piatym negatívnym krokom je súbor opatrení prijatých v tzv. tretej vlne konsolidácie, ktorá predstavuje sumárny negatívny dopad na rozpočty samospráv vo výške vyše 51 miliónov eur. Celkovo tak priame dopady vládnych konsolidačných opatrení na samosprávy v roku 2026 predstavujú sumu približne 400 miliónov eur.</w:t>
      </w:r>
    </w:p>
    <w:p w14:paraId="00000057" w14:textId="77777777" w:rsidR="00B824C4" w:rsidRDefault="00B824C4">
      <w:pPr>
        <w:tabs>
          <w:tab w:val="left" w:pos="1764"/>
        </w:tabs>
        <w:spacing w:line="360" w:lineRule="auto"/>
        <w:jc w:val="both"/>
      </w:pPr>
    </w:p>
    <w:p w14:paraId="00000058" w14:textId="77777777" w:rsidR="00B824C4" w:rsidRDefault="00681F9F">
      <w:pPr>
        <w:tabs>
          <w:tab w:val="left" w:pos="1764"/>
        </w:tabs>
        <w:spacing w:line="360" w:lineRule="auto"/>
        <w:jc w:val="both"/>
      </w:pPr>
      <w:r>
        <w:t xml:space="preserve">Berúc do úvahy, že častokrát nepredvídateľný stav financovania miestnej a územnej samosprávy ani pred pôsobením konsolidačných opatrení nebol na úrovni umožňujúcej uspokojivý, no hlavne predvídateľný rozvoj služieb a infraštruktúry na území obcí, apelujeme na vládu, aby urgentne a bez ďalšieho odkladu zahájila dialóg smerujúci k zmene financovania samospráv tak, aby, napríklad, zvýšila ich podiel na jestvujúcom základnom zdroji príjmu z dane z príjmu fyzických osôb (DPFO) a v rámci dostupných kapacít umožnila samosprávam vyššiu regulačnú politiku vo vzťahu k daniam a poplatkom, ktorých výnosy pochádzajú z ich územia alebo </w:t>
      </w:r>
      <w:sdt>
        <w:sdtPr>
          <w:tag w:val="goog_rdk_10"/>
          <w:id w:val="1570771411"/>
        </w:sdtPr>
        <w:sdtContent/>
      </w:sdt>
      <w:r>
        <w:t xml:space="preserve">komplexne zmenila systém financovania samospráv zmenou vzorca prerozdeľovania financií, a to posunom od relatívne </w:t>
      </w:r>
      <w:proofErr w:type="spellStart"/>
      <w:r>
        <w:t>volatilnej</w:t>
      </w:r>
      <w:proofErr w:type="spellEnd"/>
      <w:r>
        <w:t xml:space="preserve"> dane z príjmov fyzických osôb (DPFO) k </w:t>
      </w:r>
      <w:proofErr w:type="spellStart"/>
      <w:r>
        <w:t>diverzifikovanejšiemu</w:t>
      </w:r>
      <w:proofErr w:type="spellEnd"/>
      <w:r>
        <w:t xml:space="preserve"> mixu podielových daní, taktiež s posilnením podielu miestnych daní a poplatkov, nad ktorými budú mať samosprávy väčšiu kontrolu a zodpovednosť.</w:t>
      </w:r>
    </w:p>
    <w:p w14:paraId="00000059" w14:textId="77777777" w:rsidR="00B824C4" w:rsidRDefault="00B824C4">
      <w:pPr>
        <w:tabs>
          <w:tab w:val="left" w:pos="1764"/>
        </w:tabs>
        <w:spacing w:line="360" w:lineRule="auto"/>
        <w:jc w:val="both"/>
      </w:pPr>
    </w:p>
    <w:p w14:paraId="0000005A" w14:textId="77777777" w:rsidR="00B824C4" w:rsidRDefault="00681F9F">
      <w:pPr>
        <w:tabs>
          <w:tab w:val="left" w:pos="1764"/>
        </w:tabs>
        <w:spacing w:line="360" w:lineRule="auto"/>
        <w:jc w:val="both"/>
      </w:pPr>
      <w:r>
        <w:t xml:space="preserve">Za tri a pol dekády sa samospráva bezpochyby stala dôveryhodnou, zodpovednou, základnou a stabilnou oporou i pilierom verejných služieb v každom kúte Slovenska. Je neakceptovateľné, aby jediným opatrením vlády - v kontexte samospráv - bola za ostatné mesiace práve skončeného roka 2025 len jedna úspešná snaha úplného rozmrazenia ich vlastných rezervných fondov na krytie po novom i bežných výdavkov, a to až do ich úplného vyčerpania - bez </w:t>
      </w:r>
      <w:r>
        <w:lastRenderedPageBreak/>
        <w:t>akejkoľvek inej, sprievodnej legislatívnej iniciatívy, čo i len imitujúcej záujem či dialóg so samosprávami Slovenskej republiky.</w:t>
      </w:r>
    </w:p>
    <w:p w14:paraId="0000005B" w14:textId="77777777" w:rsidR="00B824C4" w:rsidRDefault="00B824C4">
      <w:pPr>
        <w:tabs>
          <w:tab w:val="left" w:pos="1764"/>
        </w:tabs>
        <w:spacing w:line="360" w:lineRule="auto"/>
        <w:jc w:val="both"/>
      </w:pPr>
    </w:p>
    <w:p w14:paraId="0000005C" w14:textId="77777777" w:rsidR="00B824C4" w:rsidRDefault="00681F9F">
      <w:pPr>
        <w:tabs>
          <w:tab w:val="left" w:pos="1764"/>
        </w:tabs>
        <w:spacing w:line="360" w:lineRule="auto"/>
        <w:jc w:val="both"/>
      </w:pPr>
      <w:r>
        <w:t>Rok 2025 bol podľa združení zastupujúcich slovenské samosprávy rokom, keď sa konsolidačné opatrenia a výkyvy ekonomiky premietli do každodennej reality samospráv a odhalili limity systému, ktorý príliš citlivo reaguje na cyklické zmeny, na dôsledky vojny na Ukrajine, energetickej krízy, na dlhodobé trendy ako demografický pokles, regionálne nerovnomernú zamestnanosť, ale aj na extrémy počasia a dôsledky klimatickej zmeny, ktoré zasahujú územie aj jednotlivé mestá a obce. Do toho vstupuje integračná politika, mobilita obyvateľstva vnútri Slovenska aj príchod ľudí zo zahraničia. Po 35 rokoch je zrejmé, že ak má samospráva zvládať túto zmenu sveta bez výpadkov v službách, potrebuje stabilnejšiu garanciu príjmov a vyššiu predvídateľnosť, ktorú je nutné hľadať pri zachovaní férovosti medzi regiónmi.</w:t>
      </w:r>
    </w:p>
    <w:p w14:paraId="0000005D" w14:textId="77777777" w:rsidR="00B824C4" w:rsidRDefault="00B824C4">
      <w:pPr>
        <w:tabs>
          <w:tab w:val="left" w:pos="1764"/>
        </w:tabs>
        <w:spacing w:line="360" w:lineRule="auto"/>
        <w:jc w:val="both"/>
      </w:pPr>
    </w:p>
    <w:p w14:paraId="0000005E" w14:textId="77777777" w:rsidR="00B824C4" w:rsidRDefault="00681F9F">
      <w:pPr>
        <w:tabs>
          <w:tab w:val="left" w:pos="1764"/>
        </w:tabs>
        <w:spacing w:line="360" w:lineRule="auto"/>
        <w:jc w:val="both"/>
      </w:pPr>
      <w:r>
        <w:t xml:space="preserve">Je neakceptovateľné, aby sa opäť aj v roku 2026 obce a mestá v Slovenskej republike dostali do výpadkov hotovosti, ktoré následne paralyzujú bežný chod samosprávy. Mesiac máj je opakovane najslabším mesiacom pri dani z príjmov fyzických osôb (DPFO), kde sa pre riziko rapídneho prepadu z dôvodu </w:t>
      </w:r>
      <w:proofErr w:type="spellStart"/>
      <w:r>
        <w:t>vratiek</w:t>
      </w:r>
      <w:proofErr w:type="spellEnd"/>
      <w:r>
        <w:t xml:space="preserve"> hľadalo v roku 2025 ad hoc riešenie, ktoré bolo v pléne NR SR prerokúvané skráteným legislatívnym konaním.</w:t>
      </w:r>
    </w:p>
    <w:p w14:paraId="0000005F" w14:textId="77777777" w:rsidR="00B824C4" w:rsidRDefault="00B824C4">
      <w:pPr>
        <w:tabs>
          <w:tab w:val="left" w:pos="1764"/>
        </w:tabs>
        <w:spacing w:line="360" w:lineRule="auto"/>
        <w:jc w:val="both"/>
      </w:pPr>
    </w:p>
    <w:p w14:paraId="00000060" w14:textId="77777777" w:rsidR="00B824C4" w:rsidRDefault="00681F9F">
      <w:pPr>
        <w:tabs>
          <w:tab w:val="left" w:pos="1764"/>
        </w:tabs>
        <w:spacing w:line="360" w:lineRule="auto"/>
        <w:jc w:val="both"/>
      </w:pPr>
      <w:r>
        <w:t>Je neakceptovateľné, aby sa ku samospráve opäť aj v roku 2026 pristupovalo zo strany vlády bez akejkoľvek koncepcie, rešpektu, nepredvídateľne, bez akýchkoľvek viditeľných reformných snáh, bez transparentného dialógu s príslušnými stavovskými organizáciami zastupujúcimi obce, mestá a kraje, bez zodpovedného a otvoreného prístupu a vo výsledku aj bez prakticky akejkoľvek legislatívnej iniciatívy či diskusie.</w:t>
      </w:r>
    </w:p>
    <w:p w14:paraId="00000061" w14:textId="77777777" w:rsidR="00B824C4" w:rsidRDefault="00B824C4">
      <w:pPr>
        <w:tabs>
          <w:tab w:val="left" w:pos="1764"/>
        </w:tabs>
        <w:spacing w:line="360" w:lineRule="auto"/>
        <w:jc w:val="both"/>
      </w:pPr>
    </w:p>
    <w:p w14:paraId="00000062" w14:textId="77777777" w:rsidR="00B824C4" w:rsidRDefault="00681F9F">
      <w:pPr>
        <w:tabs>
          <w:tab w:val="left" w:pos="1764"/>
        </w:tabs>
        <w:spacing w:line="360" w:lineRule="auto"/>
        <w:jc w:val="both"/>
      </w:pPr>
      <w:r>
        <w:t xml:space="preserve">Je neakceptovateľné, aby vláda s riešeniami pre samosprávy prichádzala aj v roku 2026 bez diskusie a na poslednú chvíľu, neprimerane často pritom využívajúc inštitút skráteného legislatívneho konania, ktoré dôvodí vznikom vážnych hospodárskych škôd, zvlášť v situácii, kedy kritická, široká a odborná diskusia o návrhoch častokrát kvôli nadmerne vysokému počtu absencií koaličných poslancov a následnej </w:t>
      </w:r>
      <w:proofErr w:type="spellStart"/>
      <w:r>
        <w:t>neuznášaniaschopnosti</w:t>
      </w:r>
      <w:proofErr w:type="spellEnd"/>
      <w:r>
        <w:t xml:space="preserve"> zasadnutia neprebieha ani na vecne príslušnom Výbore NR SR pre verejnú správu a regionálny rozvoj.</w:t>
      </w:r>
    </w:p>
    <w:sectPr w:rsidR="00B824C4">
      <w:pgSz w:w="11906" w:h="16838"/>
      <w:pgMar w:top="1276" w:right="1417" w:bottom="142"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C5DB4" w14:textId="77777777" w:rsidR="00CC2A9A" w:rsidRDefault="00CC2A9A" w:rsidP="00290668">
      <w:r>
        <w:separator/>
      </w:r>
    </w:p>
  </w:endnote>
  <w:endnote w:type="continuationSeparator" w:id="0">
    <w:p w14:paraId="6CD7BC9F" w14:textId="77777777" w:rsidR="00CC2A9A" w:rsidRDefault="00CC2A9A" w:rsidP="0029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62255737-F13B-4AF0-A883-9AFA02E9ECA3}"/>
    <w:embedBold r:id="rId2" w:fontKey="{9AE28B5D-4770-471D-BD1E-1D60BF3800C8}"/>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3" w:fontKey="{581CB155-EC6F-4C2C-83D1-2EBAD97C56E9}"/>
    <w:embedBold r:id="rId4" w:fontKey="{03706520-E15E-477D-8154-6C4EE91E74E3}"/>
    <w:embedItalic r:id="rId5" w:fontKey="{6E5AD568-8FF5-435B-8A94-59886504217B}"/>
  </w:font>
  <w:font w:name="Segoe UI">
    <w:panose1 w:val="020B0502040204020203"/>
    <w:charset w:val="EE"/>
    <w:family w:val="swiss"/>
    <w:pitch w:val="variable"/>
    <w:sig w:usb0="E4002EFF" w:usb1="C000E47F" w:usb2="00000009" w:usb3="00000000" w:csb0="000001FF" w:csb1="00000000"/>
    <w:embedRegular r:id="rId6" w:fontKey="{0FDB5DEB-8341-4D22-AEB2-7CE2C17795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2CDD6" w14:textId="77777777" w:rsidR="00CC2A9A" w:rsidRDefault="00CC2A9A" w:rsidP="00290668">
      <w:r>
        <w:separator/>
      </w:r>
    </w:p>
  </w:footnote>
  <w:footnote w:type="continuationSeparator" w:id="0">
    <w:p w14:paraId="0A773663" w14:textId="77777777" w:rsidR="00CC2A9A" w:rsidRDefault="00CC2A9A" w:rsidP="00290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F6051"/>
    <w:multiLevelType w:val="multilevel"/>
    <w:tmpl w:val="9F8E867E"/>
    <w:lvl w:ilvl="0">
      <w:start w:val="1"/>
      <w:numFmt w:val="upperLetter"/>
      <w:lvlText w:val="%1."/>
      <w:lvlJc w:val="left"/>
      <w:pPr>
        <w:ind w:left="1068" w:hanging="360"/>
      </w:pPr>
      <w:rPr>
        <w:rFonts w:ascii="Times New Roman" w:eastAsia="Times New Roman" w:hAnsi="Times New Roman" w:cs="Times New Roman"/>
        <w:b w:val="0"/>
        <w:bCs w:val="0"/>
        <w:color w:val="000000"/>
        <w:sz w:val="24"/>
        <w:szCs w:val="24"/>
        <w:u w:val="none"/>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8148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C4"/>
    <w:rsid w:val="00144D12"/>
    <w:rsid w:val="00290668"/>
    <w:rsid w:val="004D6372"/>
    <w:rsid w:val="00681F9F"/>
    <w:rsid w:val="00B25EE5"/>
    <w:rsid w:val="00B824C4"/>
    <w:rsid w:val="00CC2A9A"/>
    <w:rsid w:val="00D53D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7CB5"/>
  <w15:docId w15:val="{49EE4D8D-13E7-49B2-9A23-B3F0A86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80"/>
      <w:outlineLvl w:val="0"/>
    </w:pPr>
    <w:rPr>
      <w:rFonts w:ascii="Calibri" w:eastAsia="Calibri" w:hAnsi="Calibri" w:cs="Calibri"/>
      <w:b/>
      <w:bCs/>
      <w:color w:val="2E75B5"/>
      <w:sz w:val="28"/>
      <w:szCs w:val="28"/>
    </w:rPr>
  </w:style>
  <w:style w:type="paragraph" w:styleId="Nadpis2">
    <w:name w:val="heading 2"/>
    <w:basedOn w:val="Normlny"/>
    <w:next w:val="Normlny"/>
    <w:pPr>
      <w:keepNext/>
      <w:jc w:val="center"/>
      <w:outlineLvl w:val="1"/>
    </w:pPr>
    <w:rPr>
      <w:rFonts w:ascii="Arial" w:eastAsia="Arial" w:hAnsi="Arial" w:cs="Arial"/>
      <w:b/>
      <w:bCs/>
      <w:sz w:val="28"/>
      <w:szCs w:val="28"/>
    </w:rPr>
  </w:style>
  <w:style w:type="paragraph" w:styleId="Nadpis3">
    <w:name w:val="heading 3"/>
    <w:basedOn w:val="Normlny"/>
    <w:next w:val="Normlny"/>
    <w:pPr>
      <w:keepNext/>
      <w:tabs>
        <w:tab w:val="left" w:pos="-2160"/>
        <w:tab w:val="left" w:pos="-1980"/>
        <w:tab w:val="left" w:pos="4860"/>
      </w:tabs>
      <w:jc w:val="both"/>
      <w:outlineLvl w:val="2"/>
    </w:pPr>
    <w:rPr>
      <w:rFonts w:ascii="Arial" w:eastAsia="Arial" w:hAnsi="Arial" w:cs="Arial"/>
      <w:b/>
      <w:bCs/>
      <w:sz w:val="20"/>
      <w:szCs w:val="20"/>
    </w:rPr>
  </w:style>
  <w:style w:type="paragraph" w:styleId="Nadpis4">
    <w:name w:val="heading 4"/>
    <w:basedOn w:val="Normlny"/>
    <w:next w:val="Normlny"/>
    <w:pPr>
      <w:keepNext/>
      <w:keepLines/>
      <w:spacing w:before="240" w:after="40"/>
      <w:outlineLvl w:val="3"/>
    </w:pPr>
    <w:rPr>
      <w:b/>
      <w:bCs/>
    </w:rPr>
  </w:style>
  <w:style w:type="paragraph" w:styleId="Nadpis5">
    <w:name w:val="heading 5"/>
    <w:basedOn w:val="Normlny"/>
    <w:next w:val="Normlny"/>
    <w:pPr>
      <w:keepNext/>
      <w:keepLines/>
      <w:spacing w:before="220" w:after="40"/>
      <w:outlineLvl w:val="4"/>
    </w:pPr>
    <w:rPr>
      <w:b/>
      <w:bCs/>
      <w:sz w:val="22"/>
      <w:szCs w:val="22"/>
    </w:rPr>
  </w:style>
  <w:style w:type="paragraph" w:styleId="Nadpis6">
    <w:name w:val="heading 6"/>
    <w:basedOn w:val="Normlny"/>
    <w:next w:val="Normlny"/>
    <w:pPr>
      <w:keepNext/>
      <w:keepLines/>
      <w:spacing w:before="200" w:after="40"/>
      <w:outlineLvl w:val="5"/>
    </w:pPr>
    <w:rPr>
      <w:b/>
      <w:bCs/>
      <w:sz w:val="20"/>
      <w:szCs w:val="20"/>
    </w:rPr>
  </w:style>
  <w:style w:type="paragraph" w:styleId="Nadpis7">
    <w:name w:val="heading 7"/>
    <w:link w:val="Nadpis7Char"/>
    <w:uiPriority w:val="9"/>
    <w:unhideWhenUsed/>
    <w:qFormat/>
    <w:rsid w:val="000C5D2E"/>
    <w:pPr>
      <w:keepNext/>
      <w:keepLines/>
      <w:spacing w:before="40"/>
      <w:outlineLvl w:val="6"/>
    </w:pPr>
    <w:rPr>
      <w:rFonts w:asciiTheme="majorHAnsi" w:eastAsiaTheme="majorEastAsia" w:hAnsiTheme="majorHAnsi" w:cstheme="majorBidi"/>
      <w:i/>
      <w:iCs/>
      <w:color w:val="1F4D78" w:themeColor="accent1" w:themeShade="7F"/>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pPr>
      <w:jc w:val="center"/>
    </w:pPr>
    <w:rPr>
      <w:b/>
      <w:bCs/>
    </w:rPr>
  </w:style>
  <w:style w:type="table" w:customStyle="1" w:styleId="TableNormal0">
    <w:name w:val="TableNormal"/>
    <w:tblPr>
      <w:tblCellMar>
        <w:top w:w="100" w:type="dxa"/>
        <w:left w:w="100" w:type="dxa"/>
        <w:bottom w:w="100" w:type="dxa"/>
        <w:right w:w="100" w:type="dxa"/>
      </w:tblCellMar>
    </w:tblPr>
  </w:style>
  <w:style w:type="paragraph" w:styleId="Zkladntext">
    <w:name w:val="Body Text"/>
    <w:rsid w:val="00EB04FD"/>
    <w:pPr>
      <w:jc w:val="center"/>
    </w:pPr>
  </w:style>
  <w:style w:type="paragraph" w:styleId="Zkladntext2">
    <w:name w:val="Body Text 2"/>
    <w:rsid w:val="00EB04FD"/>
    <w:pPr>
      <w:tabs>
        <w:tab w:val="left" w:pos="-2160"/>
        <w:tab w:val="left" w:pos="-1980"/>
      </w:tabs>
      <w:jc w:val="both"/>
    </w:pPr>
    <w:rPr>
      <w:rFonts w:ascii="Arial" w:hAnsi="Arial" w:cs="Arial"/>
      <w:sz w:val="20"/>
    </w:rPr>
  </w:style>
  <w:style w:type="paragraph" w:styleId="Textbubliny">
    <w:name w:val="Balloon Text"/>
    <w:link w:val="TextbublinyChar"/>
    <w:rsid w:val="00A83A33"/>
    <w:rPr>
      <w:rFonts w:ascii="Segoe UI" w:hAnsi="Segoe UI" w:cs="Segoe UI"/>
      <w:sz w:val="18"/>
      <w:szCs w:val="18"/>
    </w:rPr>
  </w:style>
  <w:style w:type="character" w:customStyle="1" w:styleId="TextbublinyChar">
    <w:name w:val="Text bubliny Char"/>
    <w:link w:val="Textbubliny"/>
    <w:rsid w:val="00A83A33"/>
    <w:rPr>
      <w:rFonts w:ascii="Segoe UI" w:hAnsi="Segoe UI" w:cs="Segoe UI"/>
      <w:sz w:val="18"/>
      <w:szCs w:val="18"/>
    </w:rPr>
  </w:style>
  <w:style w:type="paragraph" w:styleId="Revzia">
    <w:name w:val="Revision"/>
    <w:hidden/>
    <w:uiPriority w:val="99"/>
    <w:semiHidden/>
    <w:rsid w:val="00D90D00"/>
  </w:style>
  <w:style w:type="paragraph" w:styleId="Odsekzoznamu">
    <w:name w:val="List Paragraph"/>
    <w:uiPriority w:val="34"/>
    <w:qFormat/>
    <w:rsid w:val="0017455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dpis1Char">
    <w:name w:val="Nadpis 1 Char"/>
    <w:basedOn w:val="Predvolenpsmoodseku"/>
    <w:rsid w:val="0017455C"/>
    <w:rPr>
      <w:rFonts w:asciiTheme="majorHAnsi" w:eastAsiaTheme="majorEastAsia" w:hAnsiTheme="majorHAnsi" w:cstheme="majorBidi"/>
      <w:b/>
      <w:bCs/>
      <w:color w:val="2E74B5" w:themeColor="accent1" w:themeShade="BF"/>
      <w:sz w:val="28"/>
      <w:szCs w:val="28"/>
    </w:rPr>
  </w:style>
  <w:style w:type="paragraph" w:customStyle="1" w:styleId="Protokoln">
    <w:name w:val="Protokolné č."/>
    <w:rsid w:val="0017455C"/>
    <w:pPr>
      <w:keepNext/>
      <w:keepLines/>
      <w:spacing w:before="360"/>
    </w:pPr>
    <w:rPr>
      <w:rFonts w:ascii="Arial" w:hAnsi="Arial"/>
      <w:spacing w:val="20"/>
      <w:szCs w:val="20"/>
    </w:rPr>
  </w:style>
  <w:style w:type="paragraph" w:customStyle="1" w:styleId="uznesenia">
    <w:name w:val="Č.uznesenia"/>
    <w:rsid w:val="0017455C"/>
    <w:pPr>
      <w:keepNext/>
      <w:keepLines/>
      <w:spacing w:before="240" w:after="120"/>
      <w:jc w:val="center"/>
      <w:outlineLvl w:val="0"/>
    </w:pPr>
    <w:rPr>
      <w:rFonts w:ascii="Arial" w:hAnsi="Arial"/>
      <w:b/>
      <w:kern w:val="28"/>
      <w:sz w:val="40"/>
      <w:szCs w:val="20"/>
    </w:rPr>
  </w:style>
  <w:style w:type="paragraph" w:styleId="Pta">
    <w:name w:val="footer"/>
    <w:link w:val="PtaChar"/>
    <w:uiPriority w:val="99"/>
    <w:rsid w:val="0017455C"/>
    <w:pPr>
      <w:keepNext/>
      <w:keepLines/>
      <w:tabs>
        <w:tab w:val="center" w:pos="4536"/>
        <w:tab w:val="right" w:pos="9072"/>
      </w:tabs>
      <w:jc w:val="center"/>
    </w:pPr>
    <w:rPr>
      <w:rFonts w:ascii="Arial" w:hAnsi="Arial"/>
      <w:szCs w:val="20"/>
    </w:rPr>
  </w:style>
  <w:style w:type="character" w:customStyle="1" w:styleId="PtaChar">
    <w:name w:val="Päta Char"/>
    <w:basedOn w:val="Predvolenpsmoodseku"/>
    <w:link w:val="Pta"/>
    <w:uiPriority w:val="99"/>
    <w:rsid w:val="0017455C"/>
    <w:rPr>
      <w:rFonts w:ascii="Arial" w:hAnsi="Arial"/>
      <w:sz w:val="24"/>
    </w:rPr>
  </w:style>
  <w:style w:type="paragraph" w:customStyle="1" w:styleId="Standarduser">
    <w:name w:val="Standard (user)"/>
    <w:rsid w:val="0017455C"/>
    <w:pPr>
      <w:widowControl w:val="0"/>
      <w:suppressAutoHyphens/>
      <w:autoSpaceDN w:val="0"/>
      <w:spacing w:after="160" w:line="249" w:lineRule="auto"/>
    </w:pPr>
    <w:rPr>
      <w:rFonts w:ascii="Calibri" w:hAnsi="Calibri" w:cs="Calibri"/>
      <w:kern w:val="3"/>
      <w:lang w:bidi="hi-IN"/>
    </w:rPr>
  </w:style>
  <w:style w:type="character" w:customStyle="1" w:styleId="Nadpis7Char">
    <w:name w:val="Nadpis 7 Char"/>
    <w:basedOn w:val="Predvolenpsmoodseku"/>
    <w:link w:val="Nadpis7"/>
    <w:uiPriority w:val="9"/>
    <w:rsid w:val="000C5D2E"/>
    <w:rPr>
      <w:rFonts w:asciiTheme="majorHAnsi" w:eastAsiaTheme="majorEastAsia" w:hAnsiTheme="majorHAnsi" w:cstheme="majorBidi"/>
      <w:i/>
      <w:iCs/>
      <w:color w:val="1F4D78" w:themeColor="accent1" w:themeShade="7F"/>
      <w:sz w:val="24"/>
      <w:szCs w:val="22"/>
      <w:lang w:eastAsia="en-US"/>
    </w:rPr>
  </w:style>
  <w:style w:type="paragraph" w:styleId="Podtitul">
    <w:name w:val="Subtitle"/>
    <w:basedOn w:val="Normlny"/>
    <w:next w:val="Normlny"/>
    <w:pPr>
      <w:jc w:val="center"/>
    </w:pPr>
    <w:rPr>
      <w:b/>
      <w:bCs/>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Hlavika">
    <w:name w:val="header"/>
    <w:basedOn w:val="Normlny"/>
    <w:link w:val="HlavikaChar"/>
    <w:uiPriority w:val="99"/>
    <w:unhideWhenUsed/>
    <w:rsid w:val="00290668"/>
    <w:pPr>
      <w:tabs>
        <w:tab w:val="center" w:pos="4536"/>
        <w:tab w:val="right" w:pos="9072"/>
      </w:tabs>
    </w:pPr>
  </w:style>
  <w:style w:type="character" w:customStyle="1" w:styleId="HlavikaChar">
    <w:name w:val="Hlavička Char"/>
    <w:basedOn w:val="Predvolenpsmoodseku"/>
    <w:link w:val="Hlavika"/>
    <w:uiPriority w:val="99"/>
    <w:rsid w:val="00290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ebWgY5z9IjcPw8AuhkK2Jeazdg==">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</go:docsCustomData>
</go:gDocsCustomXmlDataStorage>
</file>

<file path=customXml/itemProps1.xml><?xml version="1.0" encoding="utf-8"?>
<ds:datastoreItem xmlns:ds="http://schemas.openxmlformats.org/officeDocument/2006/customXml" ds:itemID="{10CF3F31-F698-422F-A09C-7C8624968B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4236</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cechveva</dc:creator>
  <cp:lastModifiedBy>Černý, Milan</cp:lastModifiedBy>
  <cp:revision>2</cp:revision>
  <dcterms:created xsi:type="dcterms:W3CDTF">2026-01-09T12:47:00Z</dcterms:created>
  <dcterms:modified xsi:type="dcterms:W3CDTF">2026-01-09T12:47:00Z</dcterms:modified>
</cp:coreProperties>
</file>