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F09" w:rsidRPr="000A7CB4" w:rsidRDefault="00CD4F09" w:rsidP="00CD4F09">
      <w:pPr>
        <w:widowControl/>
        <w:jc w:val="center"/>
        <w:rPr>
          <w:rFonts w:cs="Times New Roman"/>
          <w:b/>
          <w:caps/>
          <w:spacing w:val="30"/>
        </w:rPr>
      </w:pPr>
    </w:p>
    <w:p w:rsidR="00CD4F09" w:rsidRPr="00C800E4" w:rsidRDefault="00CD4F09" w:rsidP="00CD4F09">
      <w:pPr>
        <w:widowControl/>
        <w:jc w:val="center"/>
        <w:rPr>
          <w:rFonts w:cs="Times New Roman"/>
          <w:b/>
          <w:caps/>
          <w:spacing w:val="30"/>
        </w:rPr>
      </w:pPr>
      <w:r w:rsidRPr="00C800E4">
        <w:rPr>
          <w:rFonts w:cs="Times New Roman"/>
          <w:b/>
          <w:caps/>
          <w:spacing w:val="30"/>
        </w:rPr>
        <w:t>Dôvodová správa</w:t>
      </w:r>
    </w:p>
    <w:p w:rsidR="00CD4F09" w:rsidRPr="00C800E4" w:rsidRDefault="00CD4F09" w:rsidP="00CD4F09">
      <w:pPr>
        <w:widowControl/>
        <w:jc w:val="both"/>
        <w:rPr>
          <w:rFonts w:cs="Times New Roman"/>
        </w:rPr>
      </w:pPr>
    </w:p>
    <w:p w:rsidR="000A7CB4" w:rsidRPr="00C800E4" w:rsidRDefault="000A7CB4" w:rsidP="00CD4F09">
      <w:pPr>
        <w:widowControl/>
        <w:jc w:val="both"/>
        <w:rPr>
          <w:rFonts w:cs="Times New Roman"/>
          <w:b/>
        </w:rPr>
      </w:pPr>
    </w:p>
    <w:p w:rsidR="00CD4F09" w:rsidRPr="00C800E4" w:rsidRDefault="00CD4F09" w:rsidP="00CD4F09">
      <w:pPr>
        <w:widowControl/>
        <w:jc w:val="both"/>
        <w:rPr>
          <w:rFonts w:cs="Times New Roman"/>
          <w:b/>
        </w:rPr>
      </w:pPr>
      <w:r w:rsidRPr="00C800E4">
        <w:rPr>
          <w:rFonts w:cs="Times New Roman"/>
          <w:b/>
        </w:rPr>
        <w:t>A. Všeobecná časť</w:t>
      </w:r>
    </w:p>
    <w:p w:rsidR="00CD4F09" w:rsidRPr="00C800E4" w:rsidRDefault="00CD4F09" w:rsidP="00CD4F09">
      <w:pPr>
        <w:widowControl/>
        <w:spacing w:line="276" w:lineRule="auto"/>
        <w:jc w:val="both"/>
        <w:rPr>
          <w:rFonts w:cs="Times New Roman"/>
          <w:b/>
        </w:rPr>
      </w:pPr>
    </w:p>
    <w:p w:rsidR="00CD4F09" w:rsidRPr="00C800E4" w:rsidRDefault="00375E5E" w:rsidP="00375E5E">
      <w:pPr>
        <w:pStyle w:val="PMsoNormal"/>
        <w:spacing w:after="100" w:afterAutospacing="1"/>
        <w:ind w:firstLine="709"/>
        <w:jc w:val="both"/>
      </w:pPr>
      <w:r w:rsidRPr="00C800E4">
        <w:t xml:space="preserve">Vládny návrh zákona, </w:t>
      </w:r>
      <w:r w:rsidRPr="00C800E4">
        <w:rPr>
          <w:bCs/>
        </w:rPr>
        <w:t xml:space="preserve">ktorým sa mení a dopĺňa zákon č. 56/2018 Z. z. </w:t>
      </w:r>
      <w:r w:rsidRPr="00C800E4">
        <w:t xml:space="preserve">o posudzovaní zhody výrobku, sprístupňovaní určeného výrobku na trhu a o zmene a doplnení niektorých zákonov v znení neskorších predpisov a ktorým sa menia a dopĺňajú niektoré zákony (ďalej len „návrh zákona“) sa predkladá na </w:t>
      </w:r>
      <w:r w:rsidR="00CD4F09" w:rsidRPr="00C800E4">
        <w:rPr>
          <w:rStyle w:val="Zstupntext"/>
          <w:color w:val="auto"/>
        </w:rPr>
        <w:t>základe úlohy B.1. uznesenia vlády Slovenskej republiky č. 11 z 15. januára 2025 k návrhu Plánu legislatívnych úloh vlády Slovenskej republiky na rok 2025, úlohy B.23. uznesenia vlády Slovenskej republiky č. 196 zo 7. apríla 2025</w:t>
      </w:r>
      <w:r w:rsidR="00CD4F09" w:rsidRPr="00C800E4">
        <w:t xml:space="preserve"> k návrhu na určenie gestorských ústredných orgánov štátnej správy a niektorých orgánov verejnej moci zodpovedných za prebratie a aplikáciu smerníc a </w:t>
      </w:r>
      <w:r w:rsidR="00CD4F09" w:rsidRPr="00C800E4">
        <w:rPr>
          <w:rStyle w:val="Zstupntext"/>
          <w:color w:val="auto"/>
        </w:rPr>
        <w:t xml:space="preserve">úlohy B.1. uznesenia vlády Slovenskej republiky č. </w:t>
      </w:r>
      <w:r w:rsidR="00CD4F09" w:rsidRPr="00C800E4">
        <w:t xml:space="preserve">346 z 2. júla 2025 </w:t>
      </w:r>
      <w:r w:rsidR="00CD4F09" w:rsidRPr="00C800E4">
        <w:rPr>
          <w:bCs/>
          <w:szCs w:val="28"/>
        </w:rPr>
        <w:t>k návrhu na určenie zodpovednosti ministerstiev, ostatných ústredných orgánov štátnej správy a niektorých orgánov verejnej moci za aplikáciu a prijatie opatrení na vnútroštátnej úrovni k nariadeniam Európskej únie a rozhodnutiam Európskej únie</w:t>
      </w:r>
      <w:r w:rsidRPr="00C800E4">
        <w:rPr>
          <w:bCs/>
          <w:szCs w:val="28"/>
        </w:rPr>
        <w:t>.</w:t>
      </w:r>
      <w:r w:rsidR="00CD4F09" w:rsidRPr="00C800E4">
        <w:rPr>
          <w:bCs/>
          <w:szCs w:val="28"/>
        </w:rPr>
        <w:t xml:space="preserve"> </w:t>
      </w:r>
    </w:p>
    <w:p w:rsidR="00CD4F09" w:rsidRPr="000A7CB4" w:rsidRDefault="00CD4F09" w:rsidP="000A7CB4">
      <w:pPr>
        <w:keepNext/>
        <w:keepLines/>
        <w:spacing w:before="120" w:after="120"/>
        <w:ind w:firstLine="709"/>
        <w:jc w:val="both"/>
        <w:rPr>
          <w:rFonts w:cs="Times New Roman"/>
        </w:rPr>
      </w:pPr>
      <w:r w:rsidRPr="00C800E4">
        <w:rPr>
          <w:rStyle w:val="Zstupntext"/>
          <w:color w:val="auto"/>
        </w:rPr>
        <w:t>Zákon</w:t>
      </w:r>
      <w:r w:rsidRPr="00C800E4">
        <w:t xml:space="preserve"> č. 56/2018 Z. z. o posudzovaní zhody výrobku, sprístupňovaní určeného výrobku na trhu a o zmene a doplnení niektorých zákonov v znení neskorších predpisov (ďalej len „zákon č. 56/2018 Z. z.“) je rámcovým zákonom pre sprístupňovanie určených výrobkov na trhu, obsahom ktorého sú základné princípy Nového legislatívneho rámca Európskej únie v podmienkach Slovenskej republiky a prostredníctvom ktorého dochádza k zosúladeniu všetkých spoločných požiadaviek, zavedeniu terminológie pre oblasť posudzovania zhody, autorizácie a notifikácie, pravidiel pre sprístupňovanie určených výrobkov na trhu a postupu orgánov dohľadu pri dohľade nad určenými výrobkami. Vo svojich ustanoveniach má implementované horizontálne ustanovenia európskej legislatívy, ktoré sa týkajú posudzovania zhody, a to postupy posudzovania zhody, označenie CE, EÚ vyhlásenie o zhode, povinnosti hospodárskych subjektov, notifikujúci orgán pre technické predpisy z oblasti posudzovania zhody, ktorým je </w:t>
      </w:r>
      <w:r w:rsidR="00415527" w:rsidRPr="00C800E4">
        <w:t>Úrad pre normalizáciu, metrológiu a skúšobníctvo Slovenskej republiky (ďalej len „</w:t>
      </w:r>
      <w:r w:rsidRPr="00C800E4">
        <w:t>úrad</w:t>
      </w:r>
      <w:r w:rsidR="00415527" w:rsidRPr="00C800E4">
        <w:t>“)</w:t>
      </w:r>
      <w:r w:rsidRPr="00C800E4">
        <w:t>, autorizácia, požiadavky na notifikované osoby (orgány posudzovania zhody) a trhový dohľad nad určenými výrobkami</w:t>
      </w:r>
      <w:bookmarkStart w:id="0" w:name="_GoBack"/>
      <w:bookmarkEnd w:id="0"/>
      <w:r w:rsidRPr="000A7CB4">
        <w:t xml:space="preserve">. Na tento rámcový zákon nadväzujú špecifické predpisy pre konkrétne výrobkové skupiny alebo oblasti, pre ktoré sa zaužíval pojem technické predpisy z oblasti posudzovania zhody. </w:t>
      </w:r>
      <w:r w:rsidRPr="000A7CB4">
        <w:rPr>
          <w:rFonts w:cs="Times New Roman"/>
        </w:rPr>
        <w:t xml:space="preserve">Technickým predpisom z oblasti posudzovania zhody je aj právne záväzný akt Európskej únie, ktorým sa ustanovujú základné požiadavky. </w:t>
      </w:r>
    </w:p>
    <w:p w:rsidR="00CD4F09" w:rsidRPr="000A7CB4" w:rsidRDefault="00CD4F09" w:rsidP="000A7CB4">
      <w:pPr>
        <w:pStyle w:val="Odsekzoznamu"/>
        <w:spacing w:before="240" w:after="240" w:line="240" w:lineRule="auto"/>
        <w:ind w:left="0" w:firstLine="709"/>
        <w:contextualSpacing w:val="0"/>
        <w:jc w:val="both"/>
        <w:rPr>
          <w:rFonts w:ascii="Times New Roman" w:hAnsi="Times New Roman"/>
          <w:iCs/>
          <w:sz w:val="24"/>
          <w:szCs w:val="24"/>
          <w:shd w:val="clear" w:color="auto" w:fill="FFFFFF"/>
          <w:lang w:eastAsia="sk-SK"/>
        </w:rPr>
      </w:pPr>
      <w:r w:rsidRPr="000A7CB4">
        <w:rPr>
          <w:rStyle w:val="placeholdertext0"/>
          <w:rFonts w:ascii="Times New Roman" w:hAnsi="Times New Roman"/>
          <w:sz w:val="24"/>
          <w:szCs w:val="24"/>
        </w:rPr>
        <w:t xml:space="preserve">Predloženým návrhom zákona sa do právneho poriadku Slovenskej republiky čiastočne transponuje </w:t>
      </w:r>
      <w:r w:rsidRPr="000A7CB4">
        <w:rPr>
          <w:rFonts w:ascii="Times New Roman" w:hAnsi="Times New Roman"/>
          <w:bCs/>
          <w:sz w:val="24"/>
          <w:szCs w:val="24"/>
          <w:shd w:val="clear" w:color="auto" w:fill="FFFFFF"/>
        </w:rPr>
        <w:t>smernica</w:t>
      </w:r>
      <w:r w:rsidRPr="000A7CB4">
        <w:rPr>
          <w:rFonts w:ascii="Times New Roman" w:hAnsi="Times New Roman"/>
          <w:sz w:val="24"/>
          <w:szCs w:val="24"/>
        </w:rPr>
        <w:t xml:space="preserve"> Európskeho parlamentu a Rady (EÚ) 2024/2749 z 9. októbra 2024, ktorou sa menia smernice 2000/14/ES, 2006/42/ES, 2010/35/EÚ, 2014/29/EÚ, 2014/30/EÚ, 2014/33/EÚ, 2014/34/EÚ, 2014/35/EÚ, 2014/53/EÚ a 2014/68/EÚ, pokiaľ ide o núdzové postupy posudzovania zhody, predpoklad zhody, prijímanie spoločných špecifikácií a dohľad nad trhom v dôsledku núdzovej situácie na vnútornom trhu (Ú. v. EÚ L, 2024/2749, 8.11.2024) (ďalej len „smernica (EÚ) 2024/2749“)</w:t>
      </w:r>
      <w:r w:rsidRPr="000A7CB4">
        <w:rPr>
          <w:rStyle w:val="placeholdertext0"/>
          <w:rFonts w:ascii="Times New Roman" w:hAnsi="Times New Roman"/>
          <w:sz w:val="24"/>
          <w:szCs w:val="24"/>
        </w:rPr>
        <w:t xml:space="preserve">, čiastočne implementuje </w:t>
      </w:r>
      <w:r w:rsidRPr="000A7CB4">
        <w:rPr>
          <w:rFonts w:ascii="Times New Roman" w:hAnsi="Times New Roman"/>
          <w:sz w:val="24"/>
          <w:szCs w:val="24"/>
          <w:shd w:val="clear" w:color="auto" w:fill="FFFFFF"/>
        </w:rPr>
        <w:t xml:space="preserve">nariadenie </w:t>
      </w:r>
      <w:r w:rsidRPr="000A7CB4">
        <w:rPr>
          <w:rFonts w:ascii="Times New Roman" w:hAnsi="Times New Roman"/>
          <w:bCs/>
          <w:sz w:val="24"/>
          <w:szCs w:val="24"/>
          <w:shd w:val="clear" w:color="auto" w:fill="FFFFFF"/>
        </w:rPr>
        <w:t>Európskeho parlamentu a Rady (EÚ) 2024/2747 z 9. októbra 2024, ktorým sa stanovuje rámec opatrení týkajúcich sa núdzovej situácie na vnútornom trhu a jeho odolnosti a ktorým sa mení nariadenie Rady (ES) č. 2679/98 (akt o núdzovej situácii na vnútornom trhu a jeho odolnosti) (</w:t>
      </w:r>
      <w:r w:rsidRPr="000A7CB4">
        <w:rPr>
          <w:rFonts w:ascii="Times New Roman" w:hAnsi="Times New Roman"/>
          <w:iCs/>
          <w:sz w:val="24"/>
          <w:szCs w:val="24"/>
          <w:shd w:val="clear" w:color="auto" w:fill="FFFFFF"/>
          <w:lang w:eastAsia="sk-SK"/>
        </w:rPr>
        <w:t xml:space="preserve">Ú. v. EÚ L, 2024/2747, 8.11.2024) (ďalej len „nariadenie </w:t>
      </w:r>
      <w:r w:rsidRPr="000A7CB4">
        <w:rPr>
          <w:rFonts w:ascii="Times New Roman" w:hAnsi="Times New Roman"/>
          <w:sz w:val="24"/>
          <w:szCs w:val="24"/>
          <w:shd w:val="clear" w:color="auto" w:fill="FFFFFF"/>
        </w:rPr>
        <w:t xml:space="preserve">(EÚ) 2024/2747“) a čiastočne implementuje nariadenie </w:t>
      </w:r>
      <w:r w:rsidRPr="000A7CB4">
        <w:rPr>
          <w:rFonts w:ascii="Times New Roman" w:hAnsi="Times New Roman"/>
          <w:bCs/>
          <w:sz w:val="24"/>
          <w:szCs w:val="24"/>
          <w:shd w:val="clear" w:color="auto" w:fill="FFFFFF"/>
        </w:rPr>
        <w:t xml:space="preserve">Európskeho parlamentu a Rady (EÚ) 2024/2748 z 9. októbra 2024, ktorým sa menia nariadenia (EÚ) č. 305/2011, (EÚ) 2016/424, (EÚ) 2016/425, (EÚ) 2016/426, (EÚ) 2023/988 a (EÚ) 2023/1230, pokiaľ ide o núdzové postupy posudzovania zhody, predpoklad zhody, </w:t>
      </w:r>
      <w:r w:rsidRPr="000A7CB4">
        <w:rPr>
          <w:rFonts w:ascii="Times New Roman" w:hAnsi="Times New Roman"/>
          <w:bCs/>
          <w:sz w:val="24"/>
          <w:szCs w:val="24"/>
          <w:shd w:val="clear" w:color="auto" w:fill="FFFFFF"/>
        </w:rPr>
        <w:lastRenderedPageBreak/>
        <w:t>prijímanie spoločných špecifikácií a dohľad nad trhom v dôsledku núdzovej situácie na vnútornom trhu (</w:t>
      </w:r>
      <w:r w:rsidRPr="000A7CB4">
        <w:rPr>
          <w:rFonts w:ascii="Times New Roman" w:hAnsi="Times New Roman"/>
          <w:iCs/>
          <w:sz w:val="24"/>
          <w:szCs w:val="24"/>
          <w:shd w:val="clear" w:color="auto" w:fill="FFFFFF"/>
          <w:lang w:eastAsia="sk-SK"/>
        </w:rPr>
        <w:t xml:space="preserve">Ú. v. EÚ L, 2024/2748, 8.11.2024) (ďalej len „nariadenie (EÚ) 2024/2748“). </w:t>
      </w:r>
    </w:p>
    <w:p w:rsidR="00CD4F09" w:rsidRPr="000A7CB4" w:rsidRDefault="00CD4F09" w:rsidP="000A7CB4">
      <w:pPr>
        <w:overflowPunct w:val="0"/>
        <w:autoSpaceDE w:val="0"/>
        <w:autoSpaceDN w:val="0"/>
        <w:spacing w:before="240"/>
        <w:ind w:firstLine="709"/>
        <w:jc w:val="both"/>
        <w:rPr>
          <w:rStyle w:val="placeholdertext0"/>
          <w:noProof/>
        </w:rPr>
      </w:pPr>
      <w:r w:rsidRPr="000A7CB4">
        <w:rPr>
          <w:iCs/>
          <w:shd w:val="clear" w:color="auto" w:fill="FFFFFF"/>
        </w:rPr>
        <w:t xml:space="preserve">Nariadením (EÚ) 2024/2747 sa </w:t>
      </w:r>
      <w:r w:rsidRPr="000A7CB4">
        <w:t xml:space="preserve">zriaďuje nástroj núdzovej pomoci pre jednotný trh (nástroj SMEI) </w:t>
      </w:r>
      <w:r w:rsidRPr="000A7CB4">
        <w:rPr>
          <w:noProof/>
        </w:rPr>
        <w:t xml:space="preserve">ako lex generalis. </w:t>
      </w:r>
      <w:r w:rsidRPr="000A7CB4">
        <w:t>Má</w:t>
      </w:r>
      <w:r w:rsidRPr="000A7CB4">
        <w:rPr>
          <w:spacing w:val="-6"/>
          <w:u w:color="000000"/>
        </w:rPr>
        <w:t xml:space="preserve"> </w:t>
      </w:r>
      <w:r w:rsidRPr="000A7CB4">
        <w:rPr>
          <w:noProof/>
        </w:rPr>
        <w:t xml:space="preserve">zaručiť fungovanie jednotného trhu v obdobiach krízového stavu (napr. kríz spôsobených prírodnou katastrofou, pandémiou alebo vojnou), ktorý môže spôsobiť zraniteľnosť jednotného trhu a jeho dodávateľských reťazcov a má sa aplikovať popri cielených nástrojoch krízového riadenia typu lex specialis (finačné služby, lieky, zdravotnícke pomôcky alebo iné zdravotnícke protiopatrenia a výrobky týkajúce sa sebestačnosti potravín). Cieľom je zabezpečiť bezproblémové a nenarušené fungovanie jednotného trhu (t. j. voľný pohyb tovaru, služieb a osôb a dostatok tovaru a služieb dôležitých v krízovej situácii) počas akejkoľvek budúcej krízy. </w:t>
      </w:r>
    </w:p>
    <w:p w:rsidR="00CD4F09" w:rsidRPr="000A7CB4" w:rsidRDefault="00CD4F09" w:rsidP="000A7CB4">
      <w:pPr>
        <w:pStyle w:val="Odsekzoznamu"/>
        <w:spacing w:before="120" w:after="120" w:line="240" w:lineRule="auto"/>
        <w:ind w:left="0" w:firstLine="709"/>
        <w:contextualSpacing w:val="0"/>
        <w:jc w:val="both"/>
        <w:rPr>
          <w:rFonts w:ascii="Times New Roman" w:hAnsi="Times New Roman"/>
          <w:noProof/>
          <w:sz w:val="24"/>
          <w:szCs w:val="24"/>
        </w:rPr>
      </w:pPr>
      <w:r w:rsidRPr="000A7CB4">
        <w:rPr>
          <w:rFonts w:ascii="Times New Roman" w:hAnsi="Times New Roman"/>
          <w:noProof/>
          <w:sz w:val="24"/>
          <w:szCs w:val="24"/>
        </w:rPr>
        <w:t>Nariadenie (EÚ) 2024/2748 a smernica (EÚ) 2024/2749 menia nariadenia a smernice, ktoré sa týkajú</w:t>
      </w:r>
      <w:r w:rsidRPr="000A7CB4">
        <w:rPr>
          <w:rFonts w:ascii="Times New Roman" w:hAnsi="Times New Roman"/>
          <w:sz w:val="24"/>
          <w:szCs w:val="24"/>
        </w:rPr>
        <w:t xml:space="preserve"> harmonizovaných výrobkov a v ktorých sú stanovené harmonizované pravidlá týkajúce sa navrhovania, výroby, posudzovania zhody a uvádzania týchto výrobkov na trh a teda zavádzajú pre každé príslušné odvetvie alebo kategóriu výrobkov základné bezpečnostné požiadavky, ktoré by výrobky mali spĺňať a postupy posudzovania zhody. Týmito pravidlami sa stanovuje úplná harmonizácia, a preto nie je možné sa od týchto pravidiel odchýliť, a to ani v naliehavom prípade, pokiaľ sa takáto možnosť nestanovuje v príslušnom nariadení alebo smernici. </w:t>
      </w:r>
      <w:r w:rsidRPr="000A7CB4">
        <w:rPr>
          <w:rFonts w:ascii="Times New Roman" w:hAnsi="Times New Roman"/>
          <w:noProof/>
          <w:sz w:val="24"/>
          <w:szCs w:val="24"/>
        </w:rPr>
        <w:t xml:space="preserve">Nariadenie (EÚ) 2024/2748 a smernica (EÚ) 2024/2749 nadväzujú na nariadenie (EÚ) 2024/2747 a </w:t>
      </w:r>
      <w:r w:rsidRPr="000A7CB4">
        <w:rPr>
          <w:rFonts w:ascii="Times New Roman" w:hAnsi="Times New Roman"/>
          <w:sz w:val="24"/>
          <w:szCs w:val="24"/>
        </w:rPr>
        <w:t>stanovujú sa nimi konkrétne núdzové postupy, ktoré sa budú uplatňovať po vyhlásení režimu núdzovej situácie na jednotnom trhu v súlade s nariadením (EÚ) 2024/2747 a po prijatí vykonávacieho aktu Európskej komisie (ďalej len „Komisia“) podľa nariadenia (EÚ) 2024/2747. Ide najmä o určenie výrobkov dôležitých v krízovej situácii, uprednostnenie posudzovania zhody týchto výrobkov, možnosť vydávania dočasných povolení pre tieto výrobky, možnosť použitia príslušných medzinárodných a vnútroštátnych technických noriem, ak harmonizované technické normy nie sú k dispozícii, prijímanie technických špecifikácií a uprednostnenie činností dohľadu nad trhom.</w:t>
      </w:r>
      <w:r w:rsidRPr="000A7CB4">
        <w:rPr>
          <w:rFonts w:ascii="Times New Roman" w:hAnsi="Times New Roman"/>
          <w:noProof/>
          <w:sz w:val="24"/>
          <w:szCs w:val="24"/>
        </w:rPr>
        <w:t xml:space="preserve"> </w:t>
      </w:r>
    </w:p>
    <w:p w:rsidR="00CD4F09" w:rsidRPr="000A7CB4" w:rsidRDefault="00CD4F09" w:rsidP="000A7CB4">
      <w:pPr>
        <w:widowControl/>
        <w:adjustRightInd/>
        <w:spacing w:before="240" w:after="240"/>
        <w:ind w:firstLine="720"/>
        <w:jc w:val="both"/>
      </w:pPr>
      <w:r w:rsidRPr="000A7CB4">
        <w:t xml:space="preserve">Návrhom zákona sa implementujú články 2, 3, 4 a 6 nariadenia (EÚ) 2024/2748, ktoré sa týkajú núdzových postupov určených výrobkov, a to lanoviek, osobných ochranných prostriedkov, spotrebičov spaľujúcich plynné palivá a strojových zariadení. Návrhom zákona sa zo smernice (EÚ) 2024/2749 preberajú ustanovenia týkajúce sa dohľadu nad trhom ako jedného z nástrojov núdzových postupov a možnosť udelenia výnimky z postupov posudzovania, ak je zapojenie notifikovanej osoby povinné, a to rozhodnutím </w:t>
      </w:r>
      <w:r w:rsidR="00375E5E">
        <w:t>úrad</w:t>
      </w:r>
      <w:r w:rsidR="00415527">
        <w:t>u</w:t>
      </w:r>
      <w:r w:rsidRPr="000A7CB4">
        <w:t xml:space="preserve"> v súvislosti s prebiehajúcou núdzovou situáciou na vnútornom trhu. Úrad bude môcť taktiež uznať povolenia vydané v iných členských štátoch. Návrhom zákona sa ďalej v čl. 2 mení zákon č. 254/2011 Z. z. o prepravovateľných tlakových zariadeniach a o zmene a doplnení niektorých zákonov v znení neskorších predpisov, ktorým sa preberá čl. 3 smernice (EÚ) 2024/2749. </w:t>
      </w:r>
    </w:p>
    <w:p w:rsidR="00CD4F09" w:rsidRPr="000A7CB4" w:rsidRDefault="00CD4F09" w:rsidP="000A7CB4">
      <w:pPr>
        <w:pStyle w:val="PMsoNormal"/>
        <w:widowControl/>
        <w:ind w:firstLine="720"/>
        <w:jc w:val="both"/>
        <w:rPr>
          <w:rStyle w:val="Zstupntext"/>
          <w:color w:val="auto"/>
        </w:rPr>
      </w:pPr>
      <w:r w:rsidRPr="000A7CB4">
        <w:t>V prípade čl. 1, 2, 4 až 10 smernice (EÚ) 2024/2749, ktoré sa týkajú núdzových postupov určených výrobkov, a to emisií hluku vo vonkajšom priestore, strojových zariadení, jednoduchých tlakových nádob, elektromagnetickej kompatibility, výťahov, ATEX, rádiových zariadení, elektrických zariadení, ktoré sa používajú v určitom rozsahu napätia a tlakových zariadení, sa tieto budú transponovať novelami príslušných aproximačných nariadení vlády Slovenskej republiky, ktoré sa paralelne pripravujú a postupne predkladajú do legislatívneho procesu ako</w:t>
      </w:r>
      <w:r w:rsidRPr="000A7CB4">
        <w:rPr>
          <w:rStyle w:val="placeholdertext0"/>
        </w:rPr>
        <w:t xml:space="preserve"> samostatný legislatívny materiál. Ich účinnosť sa navrhuje od 30. mája 2026 ako je to aj v prípade návrhu zákona, </w:t>
      </w:r>
      <w:r w:rsidRPr="000A7CB4">
        <w:rPr>
          <w:rStyle w:val="PlaceholderText"/>
          <w:color w:val="auto"/>
        </w:rPr>
        <w:t xml:space="preserve">aby bol dodržaný termín na prebratie smernice </w:t>
      </w:r>
      <w:r w:rsidRPr="000A7CB4">
        <w:rPr>
          <w:rStyle w:val="placeholdertext0"/>
        </w:rPr>
        <w:t>(EÚ) 2024/2749</w:t>
      </w:r>
      <w:r w:rsidRPr="000A7CB4">
        <w:rPr>
          <w:rStyle w:val="PlaceholderText"/>
          <w:color w:val="auto"/>
        </w:rPr>
        <w:t>.</w:t>
      </w:r>
    </w:p>
    <w:p w:rsidR="00CD4F09" w:rsidRPr="000A7CB4" w:rsidRDefault="00CD4F09" w:rsidP="000A7CB4">
      <w:pPr>
        <w:spacing w:before="225" w:after="225"/>
        <w:ind w:firstLine="851"/>
        <w:jc w:val="both"/>
        <w:rPr>
          <w:rFonts w:cs="Times New Roman"/>
        </w:rPr>
      </w:pPr>
      <w:r w:rsidRPr="000A7CB4">
        <w:rPr>
          <w:rFonts w:cs="Times New Roman"/>
        </w:rPr>
        <w:t xml:space="preserve">Návrhom zákona sa tiež spresňuje rozdelenie kompetencií v oblasti udeľovania </w:t>
      </w:r>
      <w:r w:rsidRPr="000A7CB4">
        <w:rPr>
          <w:rFonts w:cs="Times New Roman"/>
        </w:rPr>
        <w:lastRenderedPageBreak/>
        <w:t xml:space="preserve">výnimiek pri uvedení na trh alebo do používania zdravotníckej pomôcky alebo diagnostickej zdravotníckej pomôcky in vitro, ktorá nemá vykonané posudzovanie zhody, </w:t>
      </w:r>
      <w:r w:rsidRPr="000A7CB4">
        <w:t xml:space="preserve">ale ktorej používanie je v záujme ochrany verejného zdravia a bezpečnosti alebo zdravia pacientov a v súvislosti s tým sa v čl. 3 návrhu zákona upravujú aj jednotlivé ustanovenia </w:t>
      </w:r>
      <w:r w:rsidRPr="000A7CB4">
        <w:rPr>
          <w:rFonts w:cs="Times New Roman"/>
        </w:rPr>
        <w:t xml:space="preserve">zákona č. 362/2011 Z. z. o liekoch a zdravotníckych pomôckach a o zmene a doplnení niektorých zákonov v znení neskorších predpisov (ďalej len „zákon č. 362/2011 Z. z.“), pričom sa zosúlaďuje so zákonom č. 56/2018 Z. z. aj kompetencia Štátneho ústavu pre kontrolu liečiv pri výkone dohľadu nad určeným výrobkom. </w:t>
      </w:r>
    </w:p>
    <w:p w:rsidR="00CD4F09" w:rsidRPr="000A7CB4" w:rsidRDefault="00CD4F09" w:rsidP="000A7CB4">
      <w:pPr>
        <w:spacing w:before="240" w:after="240"/>
        <w:ind w:firstLine="720"/>
        <w:jc w:val="both"/>
        <w:rPr>
          <w:rFonts w:cs="Times New Roman"/>
          <w:bCs/>
        </w:rPr>
      </w:pPr>
      <w:r w:rsidRPr="000A7CB4">
        <w:rPr>
          <w:rFonts w:cs="Times New Roman"/>
          <w:bCs/>
        </w:rPr>
        <w:t>Návrh zákona bude mať pozitívne aj negatívne vplyvy na podnikateľské prostredie a pozitívne sociálne vplyvy. Nebude mať vplyvy na rozpočet verejnej správy, vplyvy na životné prostredie, vplyvy na informatizáciu, vplyvy na manželstvo, rodičovstvo a rodinu a vplyvy na služby verejnej správy pre občana.</w:t>
      </w:r>
    </w:p>
    <w:p w:rsidR="00CD4F09" w:rsidRPr="000A7CB4" w:rsidRDefault="00CD4F09" w:rsidP="000A7CB4">
      <w:pPr>
        <w:spacing w:before="240" w:after="240"/>
        <w:ind w:firstLine="709"/>
        <w:jc w:val="both"/>
        <w:rPr>
          <w:rFonts w:cs="Times New Roman"/>
        </w:rPr>
      </w:pPr>
      <w:r w:rsidRPr="000A7CB4">
        <w:t xml:space="preserve">Návrh zákona </w:t>
      </w:r>
      <w:r w:rsidRPr="000A7CB4">
        <w:rPr>
          <w:rFonts w:cs="Times New Roman"/>
        </w:rPr>
        <w:t>je v súlade s Ústavou Slovenskej republiky, ústavnými zákonmi, nálezmi Ústavného súdu Slovenskej republiky, ostatnými všeobecne záväznými právnymi predpismi Slovenskej republiky, s právom Európskej únie a medzinárodnými zmluvami, ktorými je Slovenská republika viazaná.</w:t>
      </w:r>
    </w:p>
    <w:p w:rsidR="00CD4F09" w:rsidRPr="000A7CB4" w:rsidRDefault="00CD4F09" w:rsidP="000A7CB4">
      <w:pPr>
        <w:ind w:firstLine="709"/>
        <w:jc w:val="both"/>
      </w:pPr>
      <w:r w:rsidRPr="000A7CB4">
        <w:t>Predložený návrh zákona nemá byť predmetom vnútrokomunitárneho pripomienkového konania.</w:t>
      </w:r>
    </w:p>
    <w:p w:rsidR="00CD4F09" w:rsidRPr="000A7CB4" w:rsidRDefault="00CD4F09" w:rsidP="000A7CB4">
      <w:pPr>
        <w:ind w:firstLine="709"/>
        <w:jc w:val="both"/>
      </w:pPr>
    </w:p>
    <w:p w:rsidR="00CD4F09" w:rsidRPr="000A7CB4" w:rsidRDefault="00CD4F09" w:rsidP="000A7CB4">
      <w:pPr>
        <w:pStyle w:val="PMsoNormal"/>
        <w:widowControl/>
        <w:ind w:firstLine="720"/>
        <w:jc w:val="both"/>
        <w:rPr>
          <w:rStyle w:val="PlaceholderText"/>
          <w:color w:val="auto"/>
        </w:rPr>
      </w:pPr>
      <w:r w:rsidRPr="000A7CB4">
        <w:rPr>
          <w:rStyle w:val="Zstupntext"/>
          <w:color w:val="auto"/>
        </w:rPr>
        <w:t xml:space="preserve">Účinnosť návrhu zákona sa navrhuje od 30. mája 2026 </w:t>
      </w:r>
      <w:r w:rsidRPr="000A7CB4">
        <w:rPr>
          <w:rStyle w:val="PlaceholderText"/>
          <w:color w:val="auto"/>
        </w:rPr>
        <w:t xml:space="preserve">tak, aby bol dodržaný termín na prebratie smernice </w:t>
      </w:r>
      <w:r w:rsidRPr="000A7CB4">
        <w:rPr>
          <w:rStyle w:val="placeholdertext0"/>
        </w:rPr>
        <w:t>(EÚ) 2024/2749</w:t>
      </w:r>
      <w:r w:rsidRPr="000A7CB4">
        <w:rPr>
          <w:rStyle w:val="PlaceholderText"/>
          <w:color w:val="auto"/>
        </w:rPr>
        <w:t>.</w:t>
      </w:r>
      <w:r w:rsidRPr="000A7CB4">
        <w:rPr>
          <w:rStyle w:val="PlaceholderText"/>
          <w:color w:val="auto"/>
        </w:rPr>
        <w:br w:type="page"/>
      </w:r>
    </w:p>
    <w:p w:rsidR="00CD4F09" w:rsidRPr="000A7CB4" w:rsidRDefault="00CD4F09" w:rsidP="00CD4F09">
      <w:pPr>
        <w:jc w:val="center"/>
        <w:rPr>
          <w:rFonts w:cs="Times New Roman"/>
          <w:b/>
          <w:sz w:val="28"/>
          <w:szCs w:val="28"/>
        </w:rPr>
      </w:pPr>
      <w:r w:rsidRPr="000A7CB4">
        <w:rPr>
          <w:rFonts w:cs="Times New Roman"/>
          <w:b/>
          <w:sz w:val="28"/>
          <w:szCs w:val="28"/>
        </w:rPr>
        <w:lastRenderedPageBreak/>
        <w:t>Doložka vybraných vplyvov</w:t>
      </w:r>
    </w:p>
    <w:p w:rsidR="00CD4F09" w:rsidRPr="000A7CB4" w:rsidRDefault="00CD4F09" w:rsidP="00CD4F09">
      <w:pPr>
        <w:spacing w:after="200" w:line="276" w:lineRule="auto"/>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0A7CB4" w:rsidRPr="000A7CB4" w:rsidTr="007F0200">
        <w:tc>
          <w:tcPr>
            <w:tcW w:w="9180" w:type="dxa"/>
            <w:gridSpan w:val="11"/>
            <w:tcBorders>
              <w:bottom w:val="single" w:sz="4" w:space="0" w:color="FFFFFF"/>
            </w:tcBorders>
            <w:shd w:val="clear" w:color="auto" w:fill="E2E2E2"/>
          </w:tcPr>
          <w:p w:rsidR="00CD4F09" w:rsidRPr="000A7CB4" w:rsidRDefault="00CD4F09" w:rsidP="00CD4F09">
            <w:pPr>
              <w:widowControl/>
              <w:numPr>
                <w:ilvl w:val="0"/>
                <w:numId w:val="1"/>
              </w:numPr>
              <w:adjustRightInd/>
              <w:ind w:left="426"/>
              <w:contextualSpacing/>
              <w:rPr>
                <w:rFonts w:eastAsia="Calibri" w:cs="Times New Roman"/>
                <w:b/>
              </w:rPr>
            </w:pPr>
            <w:r w:rsidRPr="000A7CB4">
              <w:rPr>
                <w:rFonts w:eastAsia="Calibri" w:cs="Times New Roman"/>
                <w:b/>
              </w:rPr>
              <w:t>Základné údaje</w:t>
            </w:r>
          </w:p>
        </w:tc>
      </w:tr>
      <w:tr w:rsidR="000A7CB4" w:rsidRPr="000A7CB4" w:rsidTr="007F0200">
        <w:tc>
          <w:tcPr>
            <w:tcW w:w="9180" w:type="dxa"/>
            <w:gridSpan w:val="11"/>
            <w:tcBorders>
              <w:bottom w:val="single" w:sz="4" w:space="0" w:color="FFFFFF"/>
            </w:tcBorders>
            <w:shd w:val="clear" w:color="auto" w:fill="E2E2E2"/>
          </w:tcPr>
          <w:p w:rsidR="00CD4F09" w:rsidRPr="000A7CB4" w:rsidRDefault="00CD4F09" w:rsidP="007F0200">
            <w:pPr>
              <w:spacing w:after="200" w:line="276" w:lineRule="auto"/>
              <w:ind w:left="142"/>
              <w:contextualSpacing/>
              <w:rPr>
                <w:rFonts w:eastAsia="Calibri" w:cs="Times New Roman"/>
                <w:b/>
              </w:rPr>
            </w:pPr>
            <w:r w:rsidRPr="000A7CB4">
              <w:rPr>
                <w:rFonts w:eastAsia="Calibri" w:cs="Times New Roman"/>
                <w:b/>
              </w:rPr>
              <w:t>Názov materiálu</w:t>
            </w:r>
          </w:p>
        </w:tc>
      </w:tr>
      <w:tr w:rsidR="000A7CB4" w:rsidRPr="000A7CB4" w:rsidTr="007F0200">
        <w:tc>
          <w:tcPr>
            <w:tcW w:w="9180" w:type="dxa"/>
            <w:gridSpan w:val="11"/>
            <w:tcBorders>
              <w:top w:val="single" w:sz="4" w:space="0" w:color="FFFFFF"/>
              <w:bottom w:val="single" w:sz="4" w:space="0" w:color="auto"/>
            </w:tcBorders>
          </w:tcPr>
          <w:p w:rsidR="00CD4F09" w:rsidRPr="00375E5E" w:rsidRDefault="00375E5E" w:rsidP="00375E5E">
            <w:pPr>
              <w:jc w:val="both"/>
              <w:rPr>
                <w:rFonts w:cs="Times New Roman"/>
                <w:sz w:val="20"/>
                <w:szCs w:val="20"/>
              </w:rPr>
            </w:pPr>
            <w:r w:rsidRPr="00375E5E">
              <w:rPr>
                <w:rFonts w:cs="Times New Roman"/>
                <w:b/>
                <w:sz w:val="20"/>
                <w:szCs w:val="20"/>
              </w:rPr>
              <w:t>Vládny n</w:t>
            </w:r>
            <w:r w:rsidR="00CD4F09" w:rsidRPr="00375E5E">
              <w:rPr>
                <w:rFonts w:cs="Times New Roman"/>
                <w:b/>
                <w:sz w:val="20"/>
                <w:szCs w:val="20"/>
              </w:rPr>
              <w:t xml:space="preserve">ávrh zákona, </w:t>
            </w:r>
            <w:r w:rsidR="00CD4F09" w:rsidRPr="00375E5E">
              <w:rPr>
                <w:rFonts w:cs="Times New Roman"/>
                <w:b/>
                <w:bCs/>
                <w:sz w:val="20"/>
                <w:szCs w:val="20"/>
              </w:rPr>
              <w:t xml:space="preserve">ktorým sa mení a dopĺňa zákon č. 56/2018 Z. z. </w:t>
            </w:r>
            <w:r w:rsidR="00CD4F09" w:rsidRPr="00375E5E">
              <w:rPr>
                <w:rFonts w:cs="Times New Roman"/>
                <w:b/>
                <w:sz w:val="20"/>
                <w:szCs w:val="20"/>
              </w:rPr>
              <w:t>o posudzovaní zhody výrobku, sprístupňovaní určeného výrobku na trhu a o zmene a doplnení niektorých zákonov v znení neskorších predpisov a ktorým sa menia a dopĺňajú niektoré zákony</w:t>
            </w:r>
            <w:r w:rsidR="00CD4F09" w:rsidRPr="00375E5E">
              <w:t xml:space="preserve"> </w:t>
            </w:r>
            <w:r w:rsidR="00CD4F09" w:rsidRPr="00375E5E">
              <w:rPr>
                <w:rFonts w:cs="Times New Roman"/>
                <w:sz w:val="20"/>
                <w:szCs w:val="20"/>
              </w:rPr>
              <w:t xml:space="preserve">(ďalej len „návrh zákona“). </w:t>
            </w:r>
          </w:p>
        </w:tc>
      </w:tr>
      <w:tr w:rsidR="000A7CB4" w:rsidRPr="000A7CB4" w:rsidTr="007F0200">
        <w:tc>
          <w:tcPr>
            <w:tcW w:w="9180" w:type="dxa"/>
            <w:gridSpan w:val="11"/>
            <w:tcBorders>
              <w:top w:val="single" w:sz="4" w:space="0" w:color="auto"/>
              <w:left w:val="single" w:sz="4" w:space="0" w:color="auto"/>
              <w:bottom w:val="single" w:sz="4" w:space="0" w:color="FFFFFF"/>
            </w:tcBorders>
            <w:shd w:val="clear" w:color="auto" w:fill="E2E2E2"/>
          </w:tcPr>
          <w:p w:rsidR="00CD4F09" w:rsidRPr="00375E5E" w:rsidRDefault="00CD4F09" w:rsidP="007F0200">
            <w:pPr>
              <w:spacing w:after="200" w:line="276" w:lineRule="auto"/>
              <w:ind w:left="142"/>
              <w:contextualSpacing/>
              <w:rPr>
                <w:rFonts w:eastAsia="Calibri" w:cs="Times New Roman"/>
                <w:b/>
              </w:rPr>
            </w:pPr>
            <w:r w:rsidRPr="00375E5E">
              <w:rPr>
                <w:rFonts w:eastAsia="Calibri" w:cs="Times New Roman"/>
                <w:b/>
              </w:rPr>
              <w:t>Predkladateľ (a spolupredkladateľ)</w:t>
            </w:r>
          </w:p>
        </w:tc>
      </w:tr>
      <w:tr w:rsidR="000A7CB4" w:rsidRPr="000A7CB4" w:rsidTr="007F0200">
        <w:tc>
          <w:tcPr>
            <w:tcW w:w="9180" w:type="dxa"/>
            <w:gridSpan w:val="11"/>
            <w:tcBorders>
              <w:top w:val="single" w:sz="4" w:space="0" w:color="FFFFFF"/>
              <w:left w:val="single" w:sz="4" w:space="0" w:color="auto"/>
              <w:bottom w:val="single" w:sz="4" w:space="0" w:color="auto"/>
            </w:tcBorders>
            <w:shd w:val="clear" w:color="auto" w:fill="FFFFFF"/>
          </w:tcPr>
          <w:p w:rsidR="00CD4F09" w:rsidRPr="00375E5E" w:rsidRDefault="00375E5E" w:rsidP="00375E5E">
            <w:pPr>
              <w:rPr>
                <w:rFonts w:cs="Times New Roman"/>
                <w:sz w:val="20"/>
                <w:szCs w:val="20"/>
              </w:rPr>
            </w:pPr>
            <w:r w:rsidRPr="00375E5E">
              <w:rPr>
                <w:rFonts w:cs="Times New Roman"/>
                <w:sz w:val="20"/>
                <w:szCs w:val="20"/>
              </w:rPr>
              <w:t>Vláda</w:t>
            </w:r>
            <w:r w:rsidR="00CD4F09" w:rsidRPr="00375E5E">
              <w:rPr>
                <w:rFonts w:cs="Times New Roman"/>
                <w:sz w:val="20"/>
                <w:szCs w:val="20"/>
              </w:rPr>
              <w:t xml:space="preserve"> Slovenskej republiky </w:t>
            </w:r>
          </w:p>
        </w:tc>
      </w:tr>
      <w:tr w:rsidR="000A7CB4" w:rsidRPr="000A7CB4" w:rsidTr="007F0200">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CD4F09" w:rsidRPr="000A7CB4" w:rsidRDefault="00CD4F09" w:rsidP="007F0200">
            <w:pPr>
              <w:spacing w:after="200" w:line="276" w:lineRule="auto"/>
              <w:ind w:left="142"/>
              <w:contextualSpacing/>
              <w:rPr>
                <w:rFonts w:eastAsia="Calibri" w:cs="Times New Roman"/>
                <w:b/>
              </w:rPr>
            </w:pPr>
            <w:r w:rsidRPr="000A7CB4">
              <w:rPr>
                <w:rFonts w:eastAsia="Calibri" w:cs="Times New Roman"/>
                <w:b/>
              </w:rPr>
              <w:t>Charakter predkladaného materiálu</w:t>
            </w:r>
          </w:p>
        </w:tc>
        <w:sdt>
          <w:sdtPr>
            <w:rPr>
              <w:rFonts w:cs="Times New Roman"/>
              <w:sz w:val="20"/>
              <w:szCs w:val="20"/>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CD4F09" w:rsidRPr="000A7CB4" w:rsidRDefault="00CD4F09" w:rsidP="007F0200">
                <w:pPr>
                  <w:jc w:val="center"/>
                  <w:rPr>
                    <w:rFonts w:cs="Times New Roman"/>
                    <w:sz w:val="20"/>
                    <w:szCs w:val="20"/>
                  </w:rPr>
                </w:pPr>
                <w:r w:rsidRPr="000A7CB4">
                  <w:rPr>
                    <w:rFonts w:ascii="MS Gothic" w:eastAsia="MS Gothic" w:hAnsi="MS Gothic" w:cs="Times New Roman"/>
                    <w:sz w:val="20"/>
                    <w:szCs w:val="20"/>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CD4F09" w:rsidRPr="000A7CB4" w:rsidRDefault="00CD4F09" w:rsidP="007F0200">
            <w:pPr>
              <w:rPr>
                <w:rFonts w:cs="Times New Roman"/>
                <w:sz w:val="20"/>
                <w:szCs w:val="20"/>
              </w:rPr>
            </w:pPr>
            <w:r w:rsidRPr="000A7CB4">
              <w:rPr>
                <w:rFonts w:cs="Times New Roman"/>
                <w:sz w:val="20"/>
                <w:szCs w:val="20"/>
              </w:rPr>
              <w:t>Materiál nelegislatívnej povahy</w:t>
            </w:r>
          </w:p>
        </w:tc>
      </w:tr>
      <w:tr w:rsidR="000A7CB4" w:rsidRPr="000A7CB4" w:rsidTr="007F0200">
        <w:tc>
          <w:tcPr>
            <w:tcW w:w="4212" w:type="dxa"/>
            <w:gridSpan w:val="2"/>
            <w:vMerge/>
            <w:tcBorders>
              <w:top w:val="nil"/>
              <w:left w:val="single" w:sz="4" w:space="0" w:color="auto"/>
              <w:bottom w:val="single" w:sz="4" w:space="0" w:color="FFFFFF"/>
            </w:tcBorders>
            <w:shd w:val="clear" w:color="auto" w:fill="E2E2E2"/>
          </w:tcPr>
          <w:p w:rsidR="00CD4F09" w:rsidRPr="000A7CB4" w:rsidRDefault="00CD4F09" w:rsidP="007F0200">
            <w:pPr>
              <w:rPr>
                <w:rFonts w:cs="Times New Roman"/>
                <w:sz w:val="20"/>
                <w:szCs w:val="20"/>
              </w:rPr>
            </w:pPr>
          </w:p>
        </w:tc>
        <w:sdt>
          <w:sdtPr>
            <w:rPr>
              <w:rFonts w:cs="Times New Roman"/>
              <w:sz w:val="20"/>
              <w:szCs w:val="20"/>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CD4F09" w:rsidRPr="000A7CB4" w:rsidRDefault="00CD4F09" w:rsidP="007F0200">
                <w:pPr>
                  <w:jc w:val="center"/>
                  <w:rPr>
                    <w:rFonts w:cs="Times New Roman"/>
                    <w:sz w:val="20"/>
                    <w:szCs w:val="20"/>
                  </w:rPr>
                </w:pPr>
                <w:r w:rsidRPr="000A7CB4">
                  <w:rPr>
                    <w:rFonts w:ascii="MS Gothic" w:eastAsia="MS Gothic" w:hAnsi="MS Gothic" w:cs="Times New Roman"/>
                    <w:sz w:val="20"/>
                    <w:szCs w:val="20"/>
                  </w:rPr>
                  <w:t>☒</w:t>
                </w:r>
              </w:p>
            </w:tc>
          </w:sdtContent>
        </w:sdt>
        <w:tc>
          <w:tcPr>
            <w:tcW w:w="4263" w:type="dxa"/>
            <w:gridSpan w:val="7"/>
            <w:tcBorders>
              <w:top w:val="single" w:sz="4" w:space="0" w:color="auto"/>
              <w:left w:val="nil"/>
              <w:bottom w:val="single" w:sz="4" w:space="0" w:color="auto"/>
            </w:tcBorders>
            <w:shd w:val="clear" w:color="auto" w:fill="FFFFFF"/>
          </w:tcPr>
          <w:p w:rsidR="00CD4F09" w:rsidRPr="000A7CB4" w:rsidRDefault="00CD4F09" w:rsidP="007F0200">
            <w:pPr>
              <w:ind w:left="175" w:hanging="175"/>
              <w:rPr>
                <w:rFonts w:cs="Times New Roman"/>
                <w:sz w:val="20"/>
                <w:szCs w:val="20"/>
              </w:rPr>
            </w:pPr>
            <w:r w:rsidRPr="000A7CB4">
              <w:rPr>
                <w:rFonts w:cs="Times New Roman"/>
                <w:sz w:val="20"/>
                <w:szCs w:val="20"/>
              </w:rPr>
              <w:t>Materiál legislatívnej povahy</w:t>
            </w:r>
          </w:p>
        </w:tc>
      </w:tr>
      <w:tr w:rsidR="000A7CB4" w:rsidRPr="000A7CB4" w:rsidTr="007F0200">
        <w:tc>
          <w:tcPr>
            <w:tcW w:w="4212" w:type="dxa"/>
            <w:gridSpan w:val="2"/>
            <w:vMerge/>
            <w:tcBorders>
              <w:top w:val="nil"/>
              <w:left w:val="single" w:sz="4" w:space="0" w:color="auto"/>
              <w:bottom w:val="single" w:sz="4" w:space="0" w:color="auto"/>
            </w:tcBorders>
            <w:shd w:val="clear" w:color="auto" w:fill="E2E2E2"/>
          </w:tcPr>
          <w:p w:rsidR="00CD4F09" w:rsidRPr="000A7CB4" w:rsidRDefault="00CD4F09" w:rsidP="007F0200">
            <w:pPr>
              <w:rPr>
                <w:rFonts w:cs="Times New Roman"/>
                <w:sz w:val="20"/>
                <w:szCs w:val="20"/>
              </w:rPr>
            </w:pPr>
          </w:p>
        </w:tc>
        <w:sdt>
          <w:sdtPr>
            <w:rPr>
              <w:rFonts w:cs="Times New Roman"/>
              <w:sz w:val="20"/>
              <w:szCs w:val="20"/>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CD4F09" w:rsidRPr="000A7CB4" w:rsidRDefault="00CD4F09" w:rsidP="007F0200">
                <w:pPr>
                  <w:jc w:val="center"/>
                  <w:rPr>
                    <w:rFonts w:cs="Times New Roman"/>
                    <w:sz w:val="20"/>
                    <w:szCs w:val="20"/>
                  </w:rPr>
                </w:pPr>
                <w:r w:rsidRPr="000A7CB4">
                  <w:rPr>
                    <w:rFonts w:ascii="MS Gothic" w:eastAsia="MS Gothic" w:hAnsi="MS Gothic" w:cs="Times New Roman"/>
                    <w:sz w:val="20"/>
                    <w:szCs w:val="20"/>
                  </w:rPr>
                  <w:t>☒</w:t>
                </w:r>
              </w:p>
            </w:tc>
          </w:sdtContent>
        </w:sdt>
        <w:tc>
          <w:tcPr>
            <w:tcW w:w="4263" w:type="dxa"/>
            <w:gridSpan w:val="7"/>
            <w:tcBorders>
              <w:top w:val="single" w:sz="4" w:space="0" w:color="auto"/>
              <w:left w:val="nil"/>
              <w:bottom w:val="single" w:sz="4" w:space="0" w:color="auto"/>
            </w:tcBorders>
            <w:shd w:val="clear" w:color="auto" w:fill="FFFFFF"/>
          </w:tcPr>
          <w:p w:rsidR="00CD4F09" w:rsidRPr="000A7CB4" w:rsidRDefault="00CD4F09" w:rsidP="007F0200">
            <w:pPr>
              <w:rPr>
                <w:rFonts w:cs="Times New Roman"/>
                <w:sz w:val="20"/>
                <w:szCs w:val="20"/>
              </w:rPr>
            </w:pPr>
            <w:r w:rsidRPr="000A7CB4">
              <w:rPr>
                <w:rFonts w:cs="Times New Roman"/>
                <w:sz w:val="20"/>
                <w:szCs w:val="20"/>
              </w:rPr>
              <w:t>Transpozícia/ implementácia práva EÚ</w:t>
            </w:r>
          </w:p>
        </w:tc>
      </w:tr>
      <w:tr w:rsidR="000A7CB4" w:rsidRPr="000A7CB4" w:rsidTr="007F0200">
        <w:tc>
          <w:tcPr>
            <w:tcW w:w="9180" w:type="dxa"/>
            <w:gridSpan w:val="11"/>
            <w:tcBorders>
              <w:top w:val="single" w:sz="4" w:space="0" w:color="auto"/>
              <w:left w:val="single" w:sz="4" w:space="0" w:color="auto"/>
              <w:bottom w:val="single" w:sz="4" w:space="0" w:color="FFFFFF"/>
            </w:tcBorders>
            <w:shd w:val="clear" w:color="auto" w:fill="FFFFFF"/>
          </w:tcPr>
          <w:p w:rsidR="00CD4F09" w:rsidRPr="000A7CB4" w:rsidRDefault="00CD4F09" w:rsidP="007F0200">
            <w:pPr>
              <w:rPr>
                <w:rFonts w:cs="Times New Roman"/>
                <w:i/>
                <w:sz w:val="20"/>
                <w:szCs w:val="20"/>
              </w:rPr>
            </w:pPr>
            <w:r w:rsidRPr="000A7CB4">
              <w:rPr>
                <w:rFonts w:cs="Times New Roman"/>
                <w:i/>
                <w:sz w:val="20"/>
                <w:szCs w:val="20"/>
              </w:rPr>
              <w:t>V prípade transpozície/implementácie uveďte zoznam transponovaných/implementovaných predpisov:</w:t>
            </w:r>
          </w:p>
          <w:p w:rsidR="00CD4F09" w:rsidRPr="000A7CB4" w:rsidRDefault="00CD4F09" w:rsidP="00CD4F09">
            <w:pPr>
              <w:pStyle w:val="Odsekzoznamu"/>
              <w:numPr>
                <w:ilvl w:val="0"/>
                <w:numId w:val="3"/>
              </w:numPr>
              <w:spacing w:before="240" w:after="240" w:line="240" w:lineRule="auto"/>
              <w:ind w:left="318" w:hanging="284"/>
              <w:contextualSpacing w:val="0"/>
              <w:jc w:val="both"/>
              <w:rPr>
                <w:rStyle w:val="placeholdertext0"/>
                <w:sz w:val="20"/>
                <w:szCs w:val="20"/>
              </w:rPr>
            </w:pPr>
            <w:r w:rsidRPr="000A7CB4">
              <w:rPr>
                <w:rFonts w:ascii="Times New Roman" w:hAnsi="Times New Roman"/>
                <w:sz w:val="20"/>
                <w:szCs w:val="20"/>
              </w:rPr>
              <w:t>Smernica Európskeho parlamentu a Rady (EÚ) 2024/2749 z 9. októbra 2024, ktorou sa menia smernice 2000/14/ES, 2006/42/ES, 2010/35/EÚ, 2014/29/EÚ, 2014/30/EÚ, 2014/33/EÚ, 2014/34/EÚ, 2014/35/EÚ, 2014/53/EÚ a 2014/68/EÚ, pokiaľ ide o núdzové postupy posudzovania zhody, predpoklad zhody, prijímanie spoločných špecifikácií a dohľad nad trhom v dôsledku núdzovej situácie na vnútornom trhu (Ú. v. EÚ L, 2024/2749, 8.11.2024)</w:t>
            </w:r>
            <w:r w:rsidRPr="000A7CB4">
              <w:rPr>
                <w:rStyle w:val="placeholdertext0"/>
                <w:sz w:val="20"/>
                <w:szCs w:val="20"/>
              </w:rPr>
              <w:t xml:space="preserve"> (ďalej len „smernica (EÚ) 2024/2749“).</w:t>
            </w:r>
          </w:p>
          <w:p w:rsidR="00CD4F09" w:rsidRPr="000A7CB4" w:rsidRDefault="00CD4F09" w:rsidP="00CD4F09">
            <w:pPr>
              <w:pStyle w:val="Odsekzoznamu"/>
              <w:numPr>
                <w:ilvl w:val="0"/>
                <w:numId w:val="3"/>
              </w:numPr>
              <w:spacing w:before="240" w:after="240" w:line="240" w:lineRule="auto"/>
              <w:ind w:left="318" w:hanging="284"/>
              <w:contextualSpacing w:val="0"/>
              <w:jc w:val="both"/>
              <w:rPr>
                <w:rFonts w:ascii="Times New Roman" w:hAnsi="Times New Roman"/>
                <w:sz w:val="20"/>
                <w:szCs w:val="20"/>
                <w:shd w:val="clear" w:color="auto" w:fill="FFFFFF"/>
              </w:rPr>
            </w:pPr>
            <w:r w:rsidRPr="000A7CB4">
              <w:rPr>
                <w:rFonts w:ascii="Times New Roman" w:hAnsi="Times New Roman"/>
                <w:sz w:val="20"/>
                <w:szCs w:val="20"/>
                <w:shd w:val="clear" w:color="auto" w:fill="FFFFFF"/>
              </w:rPr>
              <w:t xml:space="preserve">Nariadenie </w:t>
            </w:r>
            <w:r w:rsidRPr="000A7CB4">
              <w:rPr>
                <w:rFonts w:ascii="Times New Roman" w:hAnsi="Times New Roman"/>
                <w:bCs/>
                <w:sz w:val="20"/>
                <w:szCs w:val="20"/>
                <w:shd w:val="clear" w:color="auto" w:fill="FFFFFF"/>
              </w:rPr>
              <w:t>Európskeho parlamentu a Rady (EÚ) 2024/2747 z 9. októbra 2024, ktorým sa stanovuje rámec opatrení týkajúcich sa núdzovej situácie na vnútornom trhu a jeho odolnosti a ktorým sa mení nariadenie Rady (ES) č. 2679/98 (akt o núdzovej situácii na vnútornom trhu a jeho odolnosti) (</w:t>
            </w:r>
            <w:r w:rsidRPr="000A7CB4">
              <w:rPr>
                <w:rFonts w:ascii="Times New Roman" w:hAnsi="Times New Roman"/>
                <w:iCs/>
                <w:sz w:val="20"/>
                <w:szCs w:val="20"/>
                <w:shd w:val="clear" w:color="auto" w:fill="FFFFFF"/>
                <w:lang w:eastAsia="sk-SK"/>
              </w:rPr>
              <w:t xml:space="preserve">Ú. v. EÚ L, 2024/2747, 8.11.2024) (ďalej len „nariadenie </w:t>
            </w:r>
            <w:r w:rsidRPr="000A7CB4">
              <w:rPr>
                <w:rFonts w:ascii="Times New Roman" w:hAnsi="Times New Roman"/>
                <w:sz w:val="20"/>
                <w:szCs w:val="20"/>
                <w:shd w:val="clear" w:color="auto" w:fill="FFFFFF"/>
              </w:rPr>
              <w:t>(EÚ) 2024/2747“).</w:t>
            </w:r>
          </w:p>
          <w:p w:rsidR="00CD4F09" w:rsidRPr="000A7CB4" w:rsidRDefault="00CD4F09" w:rsidP="00CD4F09">
            <w:pPr>
              <w:pStyle w:val="Odsekzoznamu"/>
              <w:numPr>
                <w:ilvl w:val="0"/>
                <w:numId w:val="3"/>
              </w:numPr>
              <w:spacing w:before="240" w:after="240" w:line="240" w:lineRule="auto"/>
              <w:ind w:left="318" w:hanging="284"/>
              <w:contextualSpacing w:val="0"/>
              <w:jc w:val="both"/>
              <w:rPr>
                <w:rFonts w:ascii="Times New Roman" w:hAnsi="Times New Roman"/>
                <w:iCs/>
                <w:sz w:val="20"/>
                <w:szCs w:val="20"/>
                <w:shd w:val="clear" w:color="auto" w:fill="FFFFFF"/>
                <w:lang w:eastAsia="sk-SK"/>
              </w:rPr>
            </w:pPr>
            <w:r w:rsidRPr="000A7CB4">
              <w:rPr>
                <w:rFonts w:ascii="Times New Roman" w:hAnsi="Times New Roman"/>
                <w:sz w:val="20"/>
                <w:szCs w:val="20"/>
                <w:shd w:val="clear" w:color="auto" w:fill="FFFFFF"/>
              </w:rPr>
              <w:t xml:space="preserve">Nariadenie </w:t>
            </w:r>
            <w:r w:rsidRPr="000A7CB4">
              <w:rPr>
                <w:rFonts w:ascii="Times New Roman" w:hAnsi="Times New Roman"/>
                <w:bCs/>
                <w:sz w:val="20"/>
                <w:szCs w:val="20"/>
                <w:shd w:val="clear" w:color="auto" w:fill="FFFFFF"/>
              </w:rPr>
              <w:t>Európskeho parlamentu a Rady (EÚ) 2024/2748 z 9. októbra 2024, ktorým sa menia nariadenia (EÚ) č. 305/2011, (EÚ) 2016/424, (EÚ) 2016/425, (EÚ) 2016/426, (EÚ) 2023/988 a (EÚ) 2023/1230, pokiaľ ide o núdzové postupy posudzovania zhody, predpoklad zhody, prijímanie spoločných špecifikácií a dohľad nad trhom v dôsledku núdzovej situácie na vnútornom trhu (</w:t>
            </w:r>
            <w:r w:rsidRPr="000A7CB4">
              <w:rPr>
                <w:rFonts w:ascii="Times New Roman" w:hAnsi="Times New Roman"/>
                <w:iCs/>
                <w:sz w:val="20"/>
                <w:szCs w:val="20"/>
                <w:shd w:val="clear" w:color="auto" w:fill="FFFFFF"/>
                <w:lang w:eastAsia="sk-SK"/>
              </w:rPr>
              <w:t xml:space="preserve">Ú. v. EÚ L, 2024/2748, 8.11.2024) (ďalej len „nariadenie (EÚ) 2024/2748“). </w:t>
            </w:r>
          </w:p>
          <w:p w:rsidR="00CD4F09" w:rsidRPr="000A7CB4" w:rsidRDefault="00CD4F09" w:rsidP="007F0200">
            <w:pPr>
              <w:pStyle w:val="Odsekzoznamu"/>
              <w:spacing w:before="120"/>
              <w:ind w:left="306"/>
              <w:contextualSpacing w:val="0"/>
              <w:jc w:val="both"/>
              <w:rPr>
                <w:rFonts w:ascii="Times New Roman" w:hAnsi="Times New Roman"/>
                <w:b/>
                <w:sz w:val="20"/>
                <w:szCs w:val="20"/>
                <w:lang w:eastAsia="sk-SK"/>
              </w:rPr>
            </w:pPr>
            <w:r w:rsidRPr="000A7CB4">
              <w:rPr>
                <w:rFonts w:ascii="Times New Roman" w:hAnsi="Times New Roman"/>
                <w:sz w:val="20"/>
                <w:szCs w:val="20"/>
              </w:rPr>
              <w:t>(</w:t>
            </w:r>
            <w:r w:rsidRPr="000A7CB4">
              <w:rPr>
                <w:rStyle w:val="Zvraznenie"/>
                <w:rFonts w:ascii="Times New Roman" w:hAnsi="Times New Roman"/>
                <w:iCs/>
                <w:sz w:val="20"/>
                <w:szCs w:val="20"/>
                <w:shd w:val="clear" w:color="auto" w:fill="FFFFFF"/>
              </w:rPr>
              <w:t xml:space="preserve">nariadenie (EÚ) 2024/2747 a nariadenie (EÚ) 2024/2748 </w:t>
            </w:r>
            <w:r w:rsidRPr="000A7CB4">
              <w:rPr>
                <w:rFonts w:ascii="Times New Roman" w:hAnsi="Times New Roman"/>
                <w:sz w:val="20"/>
                <w:szCs w:val="20"/>
              </w:rPr>
              <w:t>ďalej aj ako „nariadenia“).</w:t>
            </w:r>
          </w:p>
          <w:p w:rsidR="00CD4F09" w:rsidRPr="000A7CB4" w:rsidRDefault="00CD4F09" w:rsidP="007F0200">
            <w:pPr>
              <w:rPr>
                <w:rFonts w:cs="Times New Roman"/>
                <w:sz w:val="20"/>
                <w:szCs w:val="20"/>
              </w:rPr>
            </w:pPr>
          </w:p>
        </w:tc>
      </w:tr>
      <w:tr w:rsidR="000A7CB4" w:rsidRPr="000A7CB4" w:rsidTr="007F0200">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CD4F09" w:rsidRPr="000A7CB4" w:rsidRDefault="00CD4F09" w:rsidP="007F0200">
            <w:pPr>
              <w:spacing w:after="200" w:line="276" w:lineRule="auto"/>
              <w:ind w:left="142"/>
              <w:contextualSpacing/>
              <w:rPr>
                <w:rFonts w:eastAsia="Calibri" w:cs="Times New Roman"/>
                <w:b/>
              </w:rPr>
            </w:pPr>
            <w:r w:rsidRPr="000A7CB4">
              <w:rPr>
                <w:rFonts w:eastAsia="Calibri"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CD4F09" w:rsidRPr="000A7CB4" w:rsidRDefault="00CD4F09" w:rsidP="007F0200">
            <w:pPr>
              <w:rPr>
                <w:rFonts w:cs="Times New Roman"/>
                <w:i/>
                <w:sz w:val="20"/>
                <w:szCs w:val="20"/>
              </w:rPr>
            </w:pPr>
            <w:r w:rsidRPr="000A7CB4">
              <w:rPr>
                <w:rFonts w:cs="Times New Roman"/>
                <w:i/>
                <w:sz w:val="20"/>
                <w:szCs w:val="20"/>
              </w:rPr>
              <w:t>Október 2025</w:t>
            </w:r>
          </w:p>
        </w:tc>
      </w:tr>
      <w:tr w:rsidR="000A7CB4" w:rsidRPr="000A7CB4" w:rsidTr="007F0200">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CD4F09" w:rsidRPr="000A7CB4" w:rsidRDefault="00CD4F09" w:rsidP="007F0200">
            <w:pPr>
              <w:spacing w:after="200" w:line="276" w:lineRule="auto"/>
              <w:ind w:left="142"/>
              <w:contextualSpacing/>
              <w:rPr>
                <w:rFonts w:eastAsia="Calibri" w:cs="Times New Roman"/>
                <w:b/>
              </w:rPr>
            </w:pPr>
            <w:r w:rsidRPr="000A7CB4">
              <w:rPr>
                <w:rFonts w:eastAsia="Calibri"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CD4F09" w:rsidRPr="000A7CB4" w:rsidRDefault="00CD4F09" w:rsidP="007F0200">
            <w:pPr>
              <w:rPr>
                <w:rFonts w:cs="Times New Roman"/>
                <w:i/>
                <w:sz w:val="20"/>
                <w:szCs w:val="20"/>
              </w:rPr>
            </w:pPr>
            <w:r w:rsidRPr="000A7CB4">
              <w:rPr>
                <w:rFonts w:cs="Times New Roman"/>
                <w:i/>
                <w:sz w:val="20"/>
                <w:szCs w:val="20"/>
              </w:rPr>
              <w:t>November 2025</w:t>
            </w:r>
          </w:p>
        </w:tc>
      </w:tr>
      <w:tr w:rsidR="000A7CB4" w:rsidRPr="000A7CB4" w:rsidTr="007F0200">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CD4F09" w:rsidRPr="000A7CB4" w:rsidRDefault="00CD4F09" w:rsidP="007F0200">
            <w:pPr>
              <w:spacing w:line="276" w:lineRule="auto"/>
              <w:ind w:left="142"/>
              <w:contextualSpacing/>
              <w:rPr>
                <w:rFonts w:ascii="Calibri" w:eastAsia="Calibri" w:hAnsi="Calibri" w:cs="Times New Roman"/>
                <w:b/>
              </w:rPr>
            </w:pPr>
            <w:r w:rsidRPr="000A7CB4">
              <w:rPr>
                <w:rFonts w:eastAsia="Calibri" w:cs="Times New Roman"/>
                <w:b/>
              </w:rPr>
              <w:t>Predpokladaný termín začiatku a ukončenia ZP**</w:t>
            </w:r>
            <w:r w:rsidRPr="000A7CB4">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CD4F09" w:rsidRPr="000A7CB4" w:rsidRDefault="00CD4F09" w:rsidP="007F0200">
            <w:pPr>
              <w:rPr>
                <w:rFonts w:cs="Times New Roman"/>
                <w:i/>
                <w:sz w:val="20"/>
                <w:szCs w:val="20"/>
              </w:rPr>
            </w:pPr>
            <w:r w:rsidRPr="000A7CB4">
              <w:rPr>
                <w:rFonts w:cs="Times New Roman"/>
                <w:i/>
                <w:sz w:val="20"/>
                <w:szCs w:val="20"/>
              </w:rPr>
              <w:t>-</w:t>
            </w:r>
          </w:p>
        </w:tc>
      </w:tr>
      <w:tr w:rsidR="000A7CB4" w:rsidRPr="000A7CB4" w:rsidTr="007F0200">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CD4F09" w:rsidRPr="000A7CB4" w:rsidRDefault="00CD4F09" w:rsidP="007F0200">
            <w:pPr>
              <w:spacing w:after="200" w:line="276" w:lineRule="auto"/>
              <w:ind w:left="142"/>
              <w:contextualSpacing/>
              <w:jc w:val="both"/>
              <w:rPr>
                <w:rFonts w:eastAsia="Calibri" w:cs="Times New Roman"/>
                <w:b/>
              </w:rPr>
            </w:pPr>
            <w:r w:rsidRPr="000A7CB4">
              <w:rPr>
                <w:rFonts w:eastAsia="Calibri"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CD4F09" w:rsidRPr="000A7CB4" w:rsidRDefault="00CD4F09" w:rsidP="007F0200">
            <w:pPr>
              <w:rPr>
                <w:rFonts w:cs="Times New Roman"/>
                <w:i/>
                <w:sz w:val="20"/>
                <w:szCs w:val="20"/>
              </w:rPr>
            </w:pPr>
            <w:r w:rsidRPr="000A7CB4">
              <w:rPr>
                <w:rFonts w:cs="Times New Roman"/>
                <w:i/>
                <w:sz w:val="20"/>
                <w:szCs w:val="20"/>
              </w:rPr>
              <w:t>December 2025</w:t>
            </w:r>
          </w:p>
        </w:tc>
      </w:tr>
      <w:tr w:rsidR="000A7CB4" w:rsidRPr="000A7CB4" w:rsidTr="007F0200">
        <w:tc>
          <w:tcPr>
            <w:tcW w:w="9180" w:type="dxa"/>
            <w:gridSpan w:val="11"/>
            <w:tcBorders>
              <w:top w:val="single" w:sz="4" w:space="0" w:color="auto"/>
              <w:left w:val="nil"/>
              <w:bottom w:val="single" w:sz="4" w:space="0" w:color="auto"/>
              <w:right w:val="nil"/>
            </w:tcBorders>
            <w:shd w:val="clear" w:color="auto" w:fill="FFFFFF"/>
          </w:tcPr>
          <w:p w:rsidR="00CD4F09" w:rsidRPr="000A7CB4" w:rsidRDefault="00CD4F09" w:rsidP="007F0200">
            <w:pPr>
              <w:rPr>
                <w:rFonts w:cs="Times New Roman"/>
                <w:sz w:val="20"/>
                <w:szCs w:val="20"/>
              </w:rPr>
            </w:pPr>
          </w:p>
        </w:tc>
      </w:tr>
      <w:tr w:rsidR="000A7CB4" w:rsidRPr="000A7CB4" w:rsidTr="007F0200">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CD4F09" w:rsidRPr="000A7CB4" w:rsidRDefault="00CD4F09" w:rsidP="00CD4F09">
            <w:pPr>
              <w:widowControl/>
              <w:numPr>
                <w:ilvl w:val="0"/>
                <w:numId w:val="1"/>
              </w:numPr>
              <w:adjustRightInd/>
              <w:ind w:left="426"/>
              <w:contextualSpacing/>
              <w:rPr>
                <w:rFonts w:eastAsia="Calibri" w:cs="Times New Roman"/>
                <w:b/>
              </w:rPr>
            </w:pPr>
            <w:r w:rsidRPr="000A7CB4">
              <w:rPr>
                <w:rFonts w:eastAsia="Calibri" w:cs="Times New Roman"/>
                <w:b/>
              </w:rPr>
              <w:t>Definovanie problému</w:t>
            </w:r>
          </w:p>
        </w:tc>
      </w:tr>
      <w:tr w:rsidR="000A7CB4" w:rsidRPr="000A7CB4" w:rsidTr="007F0200">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CD4F09" w:rsidRPr="000A7CB4" w:rsidRDefault="00CD4F09" w:rsidP="007F0200">
            <w:pPr>
              <w:jc w:val="both"/>
              <w:rPr>
                <w:rFonts w:cs="Times New Roman"/>
                <w:i/>
                <w:sz w:val="20"/>
                <w:szCs w:val="20"/>
              </w:rPr>
            </w:pPr>
            <w:r w:rsidRPr="000A7CB4">
              <w:rPr>
                <w:rFonts w:cs="Times New Roman"/>
                <w:i/>
                <w:sz w:val="20"/>
                <w:szCs w:val="20"/>
              </w:rPr>
              <w:t>Uveďte základné problémy, ktoré sú dôvodom vypracovania predkladaného  materiálu (dôvody majú presne poukázať na problém, ktorý existuje a je nutné ho predloženým materiálom riešiť).</w:t>
            </w:r>
          </w:p>
          <w:p w:rsidR="00CD4F09" w:rsidRPr="000A7CB4" w:rsidRDefault="00CD4F09" w:rsidP="007F0200">
            <w:pPr>
              <w:jc w:val="both"/>
              <w:rPr>
                <w:rFonts w:cs="Times New Roman"/>
                <w:i/>
                <w:sz w:val="20"/>
                <w:szCs w:val="20"/>
              </w:rPr>
            </w:pPr>
          </w:p>
          <w:p w:rsidR="00CD4F09" w:rsidRPr="000A7CB4" w:rsidRDefault="00CD4F09" w:rsidP="007F0200">
            <w:pPr>
              <w:jc w:val="both"/>
              <w:rPr>
                <w:rFonts w:cs="Times New Roman"/>
                <w:sz w:val="20"/>
                <w:szCs w:val="20"/>
              </w:rPr>
            </w:pPr>
            <w:r w:rsidRPr="000A7CB4">
              <w:rPr>
                <w:rFonts w:cs="Times New Roman"/>
                <w:sz w:val="20"/>
                <w:szCs w:val="20"/>
              </w:rPr>
              <w:t xml:space="preserve">Minulé krízy, najmä prvé dni krízy spôsobené ochorením COVID-19, ukázali, že voľný pohyb tovaru, osôb a služieb na vnútornom trhu a jeho dodávateľské reťazce môžu byť závažne postihnuté, čo má zvyčajne dopad na zahraničný obchod medzi členskými štátmi, čím sa vytvárajú prekážky pre riadne fungovanie vnútorného trhu. V počiatočnej fáze krízy spôsobenej ochorením COVID-19 členské štáty obmedzili voľný pohyb na vnútornom trhu a zaviedli rozličné opatrenia týkajúce sa dodávok tovarov a služieb, ktoré boli mimoriadne dôležité alebo nevyhnutné ako reakcia na krízu, ale neboli vždy odôvodnené. Tieto udalosti poukázali na to, že Európska únia musí postupovať koordinovane a musí sa lepšie pripraviť na možné budúce krízy, a to najmä z dôvodu klimatických zmien, ktoré vedú k prírodným katastrofám (napr. lesné požiare, zemetrasenia), ako aj z dôvodu globálnej hospodárskej a geopolitickej nestability alebo napr. aj rozsiahlych kybernetických útokov. Tieto krízy sú výnimočné a náhle udalosti mimoriadnej povahy a rozsahu a sú preto neočakávané a nie je možné vopred určiť aký druh kríz by sa mohol v budúcnosti vyskytnúť a mať závažný vplyv na vnútorný trh a jeho dodávateľské </w:t>
            </w:r>
            <w:r w:rsidRPr="000A7CB4">
              <w:rPr>
                <w:rFonts w:cs="Times New Roman"/>
                <w:sz w:val="20"/>
                <w:szCs w:val="20"/>
              </w:rPr>
              <w:lastRenderedPageBreak/>
              <w:t xml:space="preserve">reťazce. Preto bolo potrebné zabezpečiť nástroj, ktorý by sa uplatňoval v prípade širokého spektra kríz s vplyvom na vnútorný trh. </w:t>
            </w:r>
          </w:p>
          <w:p w:rsidR="00CD4F09" w:rsidRPr="000A7CB4" w:rsidRDefault="00CD4F09" w:rsidP="007F0200">
            <w:pPr>
              <w:jc w:val="both"/>
              <w:rPr>
                <w:rFonts w:cs="Times New Roman"/>
                <w:sz w:val="20"/>
                <w:szCs w:val="20"/>
              </w:rPr>
            </w:pPr>
          </w:p>
          <w:p w:rsidR="00CD4F09" w:rsidRPr="000A7CB4" w:rsidRDefault="00CD4F09" w:rsidP="007F0200">
            <w:pPr>
              <w:jc w:val="both"/>
              <w:rPr>
                <w:rFonts w:cs="Times New Roman"/>
                <w:noProof/>
                <w:sz w:val="20"/>
                <w:szCs w:val="20"/>
              </w:rPr>
            </w:pPr>
            <w:r w:rsidRPr="000A7CB4">
              <w:rPr>
                <w:rFonts w:cs="Times New Roman"/>
                <w:sz w:val="20"/>
                <w:szCs w:val="20"/>
              </w:rPr>
              <w:t xml:space="preserve">Z uvedeného dôvodu bolo prijaté </w:t>
            </w:r>
            <w:r w:rsidRPr="000A7CB4">
              <w:rPr>
                <w:rFonts w:cs="Times New Roman"/>
                <w:iCs/>
                <w:sz w:val="20"/>
                <w:szCs w:val="20"/>
                <w:shd w:val="clear" w:color="auto" w:fill="FFFFFF"/>
              </w:rPr>
              <w:t>nariadenie (EÚ) 2024/2747</w:t>
            </w:r>
            <w:r w:rsidRPr="000A7CB4">
              <w:rPr>
                <w:rFonts w:cs="Times New Roman"/>
                <w:sz w:val="20"/>
                <w:szCs w:val="20"/>
              </w:rPr>
              <w:t xml:space="preserve"> a </w:t>
            </w:r>
            <w:r w:rsidRPr="000A7CB4">
              <w:rPr>
                <w:rFonts w:cs="Times New Roman"/>
                <w:noProof/>
                <w:sz w:val="20"/>
                <w:szCs w:val="20"/>
              </w:rPr>
              <w:t xml:space="preserve">doplňujúce opatrenia prijaté podľa nariadenia (EÚ) 2024/2747 vo forme nariadenia (EÚ) 2024/2748 a smernice (EÚ) 2024/2749. </w:t>
            </w:r>
          </w:p>
          <w:p w:rsidR="00CD4F09" w:rsidRPr="000A7CB4" w:rsidRDefault="00CD4F09" w:rsidP="007F0200">
            <w:pPr>
              <w:keepNext/>
              <w:keepLines/>
              <w:spacing w:before="120" w:after="120"/>
              <w:jc w:val="both"/>
              <w:rPr>
                <w:rFonts w:cs="Times New Roman"/>
                <w:sz w:val="20"/>
                <w:szCs w:val="20"/>
                <w:shd w:val="clear" w:color="auto" w:fill="FFFFFF"/>
              </w:rPr>
            </w:pPr>
            <w:r w:rsidRPr="000A7CB4">
              <w:rPr>
                <w:rFonts w:cs="Times New Roman"/>
                <w:noProof/>
                <w:sz w:val="20"/>
                <w:szCs w:val="20"/>
              </w:rPr>
              <w:t>Nariadenie (EÚ) 2024/2747 ako lex generalis m</w:t>
            </w:r>
            <w:r w:rsidRPr="000A7CB4">
              <w:rPr>
                <w:rFonts w:cs="Times New Roman"/>
                <w:sz w:val="20"/>
                <w:szCs w:val="20"/>
              </w:rPr>
              <w:t>á</w:t>
            </w:r>
            <w:r w:rsidRPr="000A7CB4">
              <w:rPr>
                <w:rFonts w:cs="Times New Roman"/>
                <w:spacing w:val="-6"/>
                <w:sz w:val="20"/>
                <w:szCs w:val="20"/>
                <w:u w:color="000000"/>
              </w:rPr>
              <w:t xml:space="preserve"> </w:t>
            </w:r>
            <w:r w:rsidRPr="000A7CB4">
              <w:rPr>
                <w:rFonts w:cs="Times New Roman"/>
                <w:noProof/>
                <w:sz w:val="20"/>
                <w:szCs w:val="20"/>
              </w:rPr>
              <w:t xml:space="preserve">zaručiť fungovanie jednotného trhu v obdobiach krízového stavu (napr. kríz spôsobených prírodnou katastrofou, pandémiou alebo vojnou), ktorý môže spôsobiť zraniteľnosť jednotného trhu a jeho dodávateľských reťazcov a má sa aplikovať popri cielených nástrojoch krízového riadenia typu lex specialis (napríklad finačné služby, lieky, zdravotnícke pomôcky alebo iné zdravotnícke protiopatrenia a výrobky týkajúce sa sebestačnosti potravín). Jeho cieľom je zabezpečiť bezproblémové a nenarušené fungovanie jednotného trhu (t. j. voľný pohyb tovaru, služieb a osôb a dostatok tovaru a služieb dôležitých v krízovej situácii) počas akejkoľvek budúcej krízy. S cieľom doplniť rámec stanovený nariadením (EÚ) 2024/2747, zaistiť jeho konzistentnosť a zvýšiť jeho účinnosť je potrebné zabezpečiť, že tovar dôležitý počas krízy bude možné rýchlo uviesť na vnútorný trh s cieľom prispieť k riešeniu a zmierneniu narušení na uvedenom trhu. Skúsenosti z predchádzajúcich kríz ukázali, že postupy stanovené v harmonizovaných právnych predpisoch Európskej únie nie sú navrhnuté tak, aby vyhovovali potrebám a scenárom reakcie na krízu a neponúkajú potrebnú regulačnú flexibilitu, a preto bol stanovený právny základ pre taktéto postupy reakcie na krízu ako doplnok k opatreniam priajtým podľa nariadenia (EÚ) 2024/2747, a to nariadením (EÚ) 2024/2748 a smernicou (EÚ) 2024/2749. Stanovujú sa nimi </w:t>
            </w:r>
            <w:r w:rsidRPr="000A7CB4">
              <w:rPr>
                <w:rFonts w:cs="Times New Roman"/>
                <w:sz w:val="20"/>
                <w:szCs w:val="20"/>
                <w:shd w:val="clear" w:color="auto" w:fill="FFFFFF"/>
              </w:rPr>
              <w:t xml:space="preserve">núdzové postupy, ktoré sú uplatniteľné až po aktivácii režimu núdzovej situácie na vnútornom trhu a až po tom, ako sa konkrétny tovar označí ako tovar dôležitý počas krízy v súlade s nariadením </w:t>
            </w:r>
            <w:r w:rsidRPr="000A7CB4">
              <w:rPr>
                <w:rFonts w:cs="Times New Roman"/>
                <w:bCs/>
                <w:sz w:val="20"/>
                <w:szCs w:val="20"/>
                <w:shd w:val="clear" w:color="auto" w:fill="FFFFFF"/>
              </w:rPr>
              <w:t xml:space="preserve">(EÚ) 2024/2747 </w:t>
            </w:r>
            <w:r w:rsidRPr="000A7CB4">
              <w:rPr>
                <w:rFonts w:cs="Times New Roman"/>
                <w:sz w:val="20"/>
                <w:szCs w:val="20"/>
                <w:shd w:val="clear" w:color="auto" w:fill="FFFFFF"/>
              </w:rPr>
              <w:t>a Európska komisia (ďalej len „Komisia“) prijme vykonávací akt, ktorým sa aktivujú tieto postupy pre tento konkrétny tovar v súlade s nariadením (EÚ) 2024/2747.</w:t>
            </w:r>
          </w:p>
        </w:tc>
      </w:tr>
      <w:tr w:rsidR="000A7CB4" w:rsidRPr="000A7CB4" w:rsidTr="007F0200">
        <w:tc>
          <w:tcPr>
            <w:tcW w:w="9180" w:type="dxa"/>
            <w:gridSpan w:val="11"/>
            <w:tcBorders>
              <w:top w:val="single" w:sz="4" w:space="0" w:color="auto"/>
              <w:left w:val="single" w:sz="4" w:space="0" w:color="auto"/>
              <w:bottom w:val="nil"/>
              <w:right w:val="single" w:sz="4" w:space="0" w:color="auto"/>
            </w:tcBorders>
            <w:shd w:val="clear" w:color="auto" w:fill="E2E2E2"/>
          </w:tcPr>
          <w:p w:rsidR="00CD4F09" w:rsidRPr="000A7CB4" w:rsidRDefault="00CD4F09" w:rsidP="00CD4F09">
            <w:pPr>
              <w:widowControl/>
              <w:numPr>
                <w:ilvl w:val="0"/>
                <w:numId w:val="1"/>
              </w:numPr>
              <w:adjustRightInd/>
              <w:ind w:left="426"/>
              <w:contextualSpacing/>
              <w:rPr>
                <w:rFonts w:eastAsia="Calibri" w:cs="Times New Roman"/>
                <w:b/>
              </w:rPr>
            </w:pPr>
            <w:r w:rsidRPr="000A7CB4">
              <w:rPr>
                <w:rFonts w:eastAsia="Calibri" w:cs="Times New Roman"/>
                <w:b/>
              </w:rPr>
              <w:lastRenderedPageBreak/>
              <w:t>Ciele a výsledný stav</w:t>
            </w:r>
          </w:p>
        </w:tc>
      </w:tr>
      <w:tr w:rsidR="000A7CB4" w:rsidRPr="000A7CB4" w:rsidTr="007F0200">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CD4F09" w:rsidRPr="000A7CB4" w:rsidRDefault="00CD4F09" w:rsidP="007F0200">
            <w:pPr>
              <w:rPr>
                <w:rFonts w:cs="Times New Roman"/>
                <w:i/>
                <w:sz w:val="20"/>
                <w:szCs w:val="20"/>
              </w:rPr>
            </w:pPr>
            <w:r w:rsidRPr="000A7CB4">
              <w:rPr>
                <w:rFonts w:cs="Times New Roman"/>
                <w:i/>
                <w:sz w:val="20"/>
                <w:szCs w:val="20"/>
              </w:rPr>
              <w:t xml:space="preserve">Uveďte hlavné ciele predkladaného materiálu (aký výsledný stav má byť prijatím materiálu dosiahnutý, pričom dosiahnutý stav musí byť odlišný od stavu popísaného v bode 2. Definovanie problému). </w:t>
            </w:r>
          </w:p>
          <w:p w:rsidR="00CD4F09" w:rsidRPr="000A7CB4" w:rsidRDefault="00CD4F09" w:rsidP="007F0200">
            <w:pPr>
              <w:keepNext/>
              <w:keepLines/>
              <w:spacing w:before="120" w:after="120"/>
              <w:jc w:val="both"/>
              <w:rPr>
                <w:rFonts w:cs="Times New Roman"/>
                <w:sz w:val="20"/>
                <w:szCs w:val="20"/>
              </w:rPr>
            </w:pPr>
            <w:r w:rsidRPr="000A7CB4">
              <w:rPr>
                <w:rFonts w:cs="Times New Roman"/>
                <w:sz w:val="20"/>
                <w:szCs w:val="20"/>
              </w:rPr>
              <w:t xml:space="preserve">Zákon č. 56/2018 Z. z. o posudzovaní zhody výrobku, sprístupňovaní určeného výrobku na trhu a o zmene a doplnení niektorých zákonov v znení neskorších predpisov (ďalej len „zákon č. 56/2018 Z. z.“) je rámcovým zákonom pre sprístupňovanie určených výrobkov na trhu, obsahom ktorého sú základné princípy Nového legislatívneho rámca Európskej únie v podmienkach Slovenskej republiky a prostredníctvom ktorého dochádza k zosúladeniu všetkých spoločných požiadaviek, zavedeniu terminológie pre oblasť posudzovania zhody, autorizácie a notifikácie, pravidiel pre sprístupňovanie určených výrobkov na trhu a postupu orgánov dohľadu pri dohľade nad určenými výrobkami. Vo svojich ustanoveniach má implementované horizontálne ustanovenia európskej legislatívy, ktoré sa týkajú posudzovania zhody, a to postupy posudzovania zhody, označenie CE, EÚ vyhlásenie o zhode, povinnosti hospodárskych subjektov, notifikujúci orgán pre technické predpisy z oblasti posudzovania zhody, ktorým je úrad, autorizáciu, požiadavky na notifikované osoby (orgány posudzovania zhody) a trhový dohľad nad určenými výrobkami. Na tento rámcový zákon nadväzujú špecifické predpisy pre konkrétne výrobkové skupiny alebo oblasti, pre ktoré sa zaužíval pojem technické predpisy z oblasti posudzovania zhody. Technickým predpisom z oblasti posudzovania zhody je aj právne záväzný akt Európskej únie, ktorým sa ustanovujú základné požiadavky. </w:t>
            </w:r>
          </w:p>
          <w:p w:rsidR="00CD4F09" w:rsidRPr="000A7CB4" w:rsidRDefault="00CD4F09" w:rsidP="007F0200">
            <w:pPr>
              <w:pStyle w:val="Odsekzoznamu"/>
              <w:spacing w:before="120" w:after="120"/>
              <w:ind w:left="0"/>
              <w:contextualSpacing w:val="0"/>
              <w:jc w:val="both"/>
              <w:rPr>
                <w:rFonts w:ascii="Times New Roman" w:hAnsi="Times New Roman"/>
                <w:sz w:val="20"/>
                <w:szCs w:val="20"/>
              </w:rPr>
            </w:pPr>
            <w:r w:rsidRPr="000A7CB4">
              <w:rPr>
                <w:rFonts w:ascii="Times New Roman" w:hAnsi="Times New Roman"/>
                <w:sz w:val="20"/>
                <w:szCs w:val="20"/>
              </w:rPr>
              <w:t>Návrhom zákona sa implementuje</w:t>
            </w:r>
            <w:r w:rsidRPr="000A7CB4">
              <w:rPr>
                <w:rFonts w:ascii="Times New Roman" w:hAnsi="Times New Roman"/>
                <w:sz w:val="20"/>
                <w:szCs w:val="20"/>
                <w:shd w:val="clear" w:color="auto" w:fill="FFFFFF"/>
              </w:rPr>
              <w:t xml:space="preserve"> čl. 2 až 5 a čl. 6 nariadenia </w:t>
            </w:r>
            <w:r w:rsidRPr="000A7CB4">
              <w:rPr>
                <w:rFonts w:ascii="Times New Roman" w:hAnsi="Times New Roman"/>
                <w:bCs/>
                <w:sz w:val="20"/>
                <w:szCs w:val="20"/>
                <w:shd w:val="clear" w:color="auto" w:fill="FFFFFF"/>
              </w:rPr>
              <w:t xml:space="preserve">(EÚ) 2024/2748, </w:t>
            </w:r>
            <w:r w:rsidRPr="000A7CB4">
              <w:rPr>
                <w:rFonts w:ascii="Times New Roman" w:hAnsi="Times New Roman"/>
                <w:sz w:val="20"/>
                <w:szCs w:val="20"/>
              </w:rPr>
              <w:t xml:space="preserve">ktoré sa týkajú núdzových postupov určených výrobkov, a to lanoviek, osobných ochranných prostriedkov, spotrebičov spaľujúcich plynné palivá a strojových zariadení, </w:t>
            </w:r>
            <w:r w:rsidRPr="000A7CB4">
              <w:rPr>
                <w:rFonts w:ascii="Times New Roman" w:hAnsi="Times New Roman"/>
                <w:bCs/>
                <w:sz w:val="20"/>
                <w:szCs w:val="20"/>
                <w:shd w:val="clear" w:color="auto" w:fill="FFFFFF"/>
              </w:rPr>
              <w:t>ktoré sa uplatňujú</w:t>
            </w:r>
            <w:r w:rsidRPr="000A7CB4">
              <w:rPr>
                <w:rStyle w:val="placeholdertext0"/>
                <w:sz w:val="20"/>
                <w:szCs w:val="20"/>
              </w:rPr>
              <w:t xml:space="preserve"> len počas režimu núdzovej situácie na vnútornom trhu</w:t>
            </w:r>
            <w:r w:rsidRPr="000A7CB4">
              <w:rPr>
                <w:rFonts w:ascii="Times New Roman" w:hAnsi="Times New Roman"/>
                <w:sz w:val="20"/>
                <w:szCs w:val="20"/>
              </w:rPr>
              <w:t xml:space="preserve"> na tieto určené výrobky</w:t>
            </w:r>
            <w:r w:rsidRPr="000A7CB4">
              <w:rPr>
                <w:rStyle w:val="placeholdertext0"/>
                <w:sz w:val="20"/>
                <w:szCs w:val="20"/>
              </w:rPr>
              <w:t xml:space="preserve"> a ktoré boli podľa čl. 18 ods. 4 nariadenia (EÚ) 2024/2747 označené ako tovar dôležitý počas krízy. </w:t>
            </w:r>
            <w:r w:rsidRPr="000A7CB4">
              <w:rPr>
                <w:rFonts w:ascii="Times New Roman" w:hAnsi="Times New Roman"/>
                <w:sz w:val="20"/>
                <w:szCs w:val="20"/>
              </w:rPr>
              <w:t xml:space="preserve">Zo smernice (EÚ) 2024/2749 sa preberajú ustanovenia týkajúce sa dohľadu nad trhom ako jedného z nástrojov núdzových postupov a možnosť udelenia výnimky z postupov posudzovania, ak je zapojenie notifikovanej osoby povinné, a to rozhodnutím úradu v súvislosti s prebiehajúcou núdzovou situáciou na vnútornom trhu. </w:t>
            </w:r>
            <w:r w:rsidRPr="000A7CB4">
              <w:rPr>
                <w:rFonts w:ascii="Times New Roman" w:hAnsi="Times New Roman"/>
                <w:sz w:val="20"/>
                <w:szCs w:val="20"/>
                <w:lang w:eastAsia="sk-SK"/>
              </w:rPr>
              <w:t xml:space="preserve">Zabezpečí sa tým, že počas režimu núdzovej situácie na vnútornom trhu, ktorý vyhlási Rada, možno výrobky označené ako tovar dôležitý počas krízy rýchlo uviesť na trh, a to tým, že notifikované osoby budú uprednostňovať žiadosti o posudzovanie zhody tohto určeného výrobku pred všetkými nevybavenými žiadosťami týkajúcimi sa určených výrobkov, ktoré neboli označené ako tovar dôležitý počas krízy. V prípade, ak narušenie fungovania vnútorného trhu bude mať dopad na notifikované osoby, alebo v prípade nepostačujúcich skúšobných kapacít notifikovaných osôb, bude možné pre určený výrobok označený ako tovar dôležitý počas krízy povoliť úradom výnimočne uviesť na trh alebo do prevádzky určený výrobok, ktorý neprešiel obvyklými postupmi posudzovania zhody podľa zákona č. 56/2018 Z. z. Výrobcovia budú môcť taktiež používať technické normy a spoločné špecifikácie pri navrhovaní a výrobe určeného výrobku označeného ako tovar dôležitý počas krízy, ktorý spĺňa príslušné základné požiadavky, požiadavky ustanovené zákonom č. 56/2008 Z. z. alebo technickým predpisom z oblasti posudzovania zhody alebo možnosť využiť predpoklad zhody, ak je určený výrobok označený ako tovar dôležitý počas krízy v súlade s harmonizovanou technickou normou. </w:t>
            </w:r>
            <w:r w:rsidRPr="000A7CB4">
              <w:rPr>
                <w:rFonts w:ascii="Times New Roman" w:hAnsi="Times New Roman"/>
                <w:sz w:val="20"/>
                <w:szCs w:val="20"/>
                <w:lang w:eastAsia="sk-SK"/>
              </w:rPr>
              <w:lastRenderedPageBreak/>
              <w:t xml:space="preserve">Zároveň sa stanovujú pravidlá sprísneného dohľadu nad trhom, pokiaľ ide o určený výrobok označený ako tovar dôležitý počas krízy, a to aj umožnením užšej spolupráce a vzájomnej podpory medzi orgánmi dohľadu nad trhom. </w:t>
            </w:r>
            <w:r w:rsidRPr="000A7CB4">
              <w:rPr>
                <w:rFonts w:ascii="Times New Roman" w:hAnsi="Times New Roman"/>
                <w:sz w:val="20"/>
                <w:szCs w:val="20"/>
              </w:rPr>
              <w:t xml:space="preserve">Úrad bude môcť taktiež uznať povolenia vydané v iných členských štátoch. </w:t>
            </w:r>
          </w:p>
          <w:p w:rsidR="00CD4F09" w:rsidRPr="000A7CB4" w:rsidRDefault="00CD4F09" w:rsidP="007F0200">
            <w:pPr>
              <w:pStyle w:val="Odsekzoznamu"/>
              <w:spacing w:before="120" w:after="120"/>
              <w:ind w:left="0"/>
              <w:contextualSpacing w:val="0"/>
              <w:jc w:val="both"/>
              <w:rPr>
                <w:rFonts w:ascii="Times New Roman" w:hAnsi="Times New Roman"/>
                <w:sz w:val="20"/>
                <w:szCs w:val="20"/>
              </w:rPr>
            </w:pPr>
            <w:r w:rsidRPr="000A7CB4">
              <w:rPr>
                <w:rFonts w:ascii="Times New Roman" w:hAnsi="Times New Roman"/>
                <w:sz w:val="20"/>
                <w:szCs w:val="20"/>
              </w:rPr>
              <w:t>Návrhom zákona sa v čl. 2 mení zákon č. 254/2011 Z. z. o prepravovateľných tlakových zariadeniach a o zmene a doplnení niektorých zákonov v znení neskorších predpisov, ktorým sa preberá čl. 3 smernice (EÚ) 2024/2749, ktorý sa týka núdzových postupov určeného výrobku – prepravovateľných tlakových zariadení.</w:t>
            </w:r>
          </w:p>
          <w:p w:rsidR="00CD4F09" w:rsidRPr="000A7CB4" w:rsidRDefault="00CD4F09" w:rsidP="007F0200">
            <w:pPr>
              <w:pStyle w:val="Odsekzoznamu"/>
              <w:spacing w:before="120" w:after="120"/>
              <w:ind w:left="0"/>
              <w:contextualSpacing w:val="0"/>
              <w:jc w:val="both"/>
              <w:rPr>
                <w:rFonts w:ascii="Times New Roman" w:hAnsi="Times New Roman"/>
                <w:sz w:val="20"/>
                <w:szCs w:val="20"/>
              </w:rPr>
            </w:pPr>
            <w:r w:rsidRPr="000A7CB4">
              <w:rPr>
                <w:rFonts w:ascii="Times New Roman" w:hAnsi="Times New Roman"/>
                <w:sz w:val="20"/>
                <w:szCs w:val="20"/>
              </w:rPr>
              <w:t>V prípade čl. 1, 2, 4 až 10 smernice (EÚ) 2024/2749, ktoré sa týkajú núdzových postupov určených výrobkov, a to emisií hluku vo vonkajšom priestore, strojových zariadení, jednoduchých tlakových nádob, elektromagnetickej kompatibility, výťahov, ATEX, rádiových zariadení, elektrických zariadení, ktoré sa používajú v určitom rozsahu napätia a tlakových zariadení, sa tieto budú transponovať novelami príslušných aproximačných nariadení vlády Slovenskej republiky.</w:t>
            </w:r>
          </w:p>
          <w:p w:rsidR="00CD4F09" w:rsidRPr="000A7CB4" w:rsidRDefault="00CD4F09" w:rsidP="007F0200">
            <w:pPr>
              <w:pStyle w:val="PMsoNormal"/>
              <w:spacing w:after="100" w:afterAutospacing="1"/>
              <w:jc w:val="both"/>
              <w:rPr>
                <w:sz w:val="20"/>
                <w:szCs w:val="20"/>
              </w:rPr>
            </w:pPr>
            <w:r w:rsidRPr="000A7CB4">
              <w:rPr>
                <w:sz w:val="20"/>
                <w:szCs w:val="20"/>
              </w:rPr>
              <w:t xml:space="preserve">Spresňuje sa tiež rozdelenie kompetencií v oblasti udeľovania výnimiek pri uvedení na trh alebo do používania zdravotníckej pomôcky alebo diagnostickej zdravotníckej pomôcky in vitro, ktorá nemá vykonané posudzovanie zhody, ale ktorej používanie je v záujme ochrany verejného zdravia a bezpečnosti alebo zdravia pacientov a v súvislosti s tým sa v čl. 3 návrhu zákona upravujú jednotlivé ustanovenia zákona č. 362/2011 Z. z. o liekoch a zdravotníckych pomôckach a o zmene a doplnení niektorých zákonov v znení neskorších predpisov, pričom sa zosúlaďuje so zákonom č. 56/2018 Z. z. aj kompetencia Štátneho ústavu pre kontrolu liečiv pri výkone dohľadu nad určeným výrobkom. Spresnením kompetencií pri udeľovaní výnimiek pri uvedení na trh alebo do používania zdravotníckej pomôcky alebo diagnostickej zdravotníckej pomôcky in vitro, ktorá nemá vykonané posudzovanie zhody, ale ktorej používanie je v záujme ochrany verejného zdravia a bezpečnosti alebo zdravia pacientov, nebude dochádzať ku kompetenčným sporom. </w:t>
            </w:r>
          </w:p>
          <w:p w:rsidR="00CD4F09" w:rsidRPr="000A7CB4" w:rsidRDefault="00CD4F09" w:rsidP="007F0200">
            <w:pPr>
              <w:spacing w:before="120" w:after="120"/>
              <w:jc w:val="both"/>
              <w:rPr>
                <w:rFonts w:cs="Times New Roman"/>
                <w:sz w:val="20"/>
                <w:szCs w:val="20"/>
              </w:rPr>
            </w:pPr>
            <w:r w:rsidRPr="000A7CB4">
              <w:rPr>
                <w:rFonts w:cs="Times New Roman"/>
                <w:sz w:val="20"/>
                <w:szCs w:val="20"/>
              </w:rPr>
              <w:t xml:space="preserve">Transpozíciou smernice (EÚ) 2024/2749 a čiastočnou implementáciou nariadení sa zabezpečí súlad vnútroštátneho právneho poriadku Slovenskej republiky s právom Európskej únie. </w:t>
            </w:r>
          </w:p>
          <w:p w:rsidR="00CD4F09" w:rsidRPr="000A7CB4" w:rsidRDefault="00CD4F09" w:rsidP="007F0200">
            <w:pPr>
              <w:pStyle w:val="PMsoNormal"/>
              <w:spacing w:after="100" w:afterAutospacing="1"/>
              <w:jc w:val="both"/>
              <w:rPr>
                <w:sz w:val="20"/>
                <w:szCs w:val="20"/>
              </w:rPr>
            </w:pPr>
            <w:r w:rsidRPr="000A7CB4">
              <w:rPr>
                <w:sz w:val="20"/>
                <w:szCs w:val="20"/>
              </w:rPr>
              <w:t xml:space="preserve">Zároveň sa </w:t>
            </w:r>
            <w:r w:rsidRPr="000A7CB4">
              <w:rPr>
                <w:rStyle w:val="placeholdertext0"/>
                <w:sz w:val="20"/>
                <w:szCs w:val="20"/>
              </w:rPr>
              <w:t xml:space="preserve">plní úloha </w:t>
            </w:r>
            <w:r w:rsidRPr="000A7CB4">
              <w:rPr>
                <w:rStyle w:val="Zstupntext"/>
                <w:color w:val="auto"/>
                <w:sz w:val="20"/>
                <w:szCs w:val="20"/>
              </w:rPr>
              <w:t>B.1. uznesenia vlády Slovenskej republiky č. 11 z 15. januára 2025 k návrhu Plánu legislatívnych úloh vlády Slovenskej republiky na rok 2025, úloha B.23. uznesenia vlády Slovenskej republiky č. 196 zo 7. apríla 2025</w:t>
            </w:r>
            <w:r w:rsidRPr="000A7CB4">
              <w:rPr>
                <w:sz w:val="20"/>
                <w:szCs w:val="20"/>
              </w:rPr>
              <w:t xml:space="preserve"> k návrhu na určenie gestorských ústredných orgánov štátnej správy a niektorých orgánov verejnej moci zodpovedných za prebratie a aplikáciu smerníc a úloha B.1. </w:t>
            </w:r>
            <w:r w:rsidRPr="000A7CB4">
              <w:rPr>
                <w:rStyle w:val="Zstupntext"/>
                <w:color w:val="auto"/>
                <w:sz w:val="20"/>
                <w:szCs w:val="20"/>
              </w:rPr>
              <w:t xml:space="preserve">uznesenia vlády Slovenskej republiky č. </w:t>
            </w:r>
            <w:r w:rsidRPr="000A7CB4">
              <w:rPr>
                <w:sz w:val="20"/>
                <w:szCs w:val="20"/>
              </w:rPr>
              <w:t xml:space="preserve">346 z 2. júla 2025 </w:t>
            </w:r>
            <w:r w:rsidRPr="000A7CB4">
              <w:rPr>
                <w:bCs/>
                <w:sz w:val="20"/>
                <w:szCs w:val="20"/>
              </w:rPr>
              <w:t>k návrhu na určenie zodpovednosti ministerstiev, ostatných ústredných orgánov štátnej správy a niektorých orgánov verejnej moci za aplikáciu a prijatie opatrení na vnútroštátnej úrovni k nariadeniam Európskej únie a rozhodnutiam Európskej únie</w:t>
            </w:r>
            <w:r w:rsidRPr="000A7CB4">
              <w:rPr>
                <w:rStyle w:val="Zstupntext"/>
                <w:color w:val="auto"/>
                <w:sz w:val="20"/>
                <w:szCs w:val="20"/>
              </w:rPr>
              <w:t>.</w:t>
            </w:r>
          </w:p>
        </w:tc>
      </w:tr>
      <w:tr w:rsidR="000A7CB4" w:rsidRPr="000A7CB4" w:rsidTr="007F0200">
        <w:tc>
          <w:tcPr>
            <w:tcW w:w="9180" w:type="dxa"/>
            <w:gridSpan w:val="11"/>
            <w:tcBorders>
              <w:top w:val="single" w:sz="4" w:space="0" w:color="auto"/>
              <w:left w:val="single" w:sz="4" w:space="0" w:color="auto"/>
              <w:bottom w:val="nil"/>
              <w:right w:val="single" w:sz="4" w:space="0" w:color="auto"/>
            </w:tcBorders>
            <w:shd w:val="clear" w:color="auto" w:fill="E2E2E2"/>
          </w:tcPr>
          <w:p w:rsidR="00CD4F09" w:rsidRPr="000A7CB4" w:rsidRDefault="00CD4F09" w:rsidP="00CD4F09">
            <w:pPr>
              <w:widowControl/>
              <w:numPr>
                <w:ilvl w:val="0"/>
                <w:numId w:val="1"/>
              </w:numPr>
              <w:adjustRightInd/>
              <w:ind w:left="426"/>
              <w:contextualSpacing/>
              <w:rPr>
                <w:rFonts w:eastAsia="Calibri" w:cs="Times New Roman"/>
                <w:b/>
              </w:rPr>
            </w:pPr>
            <w:r w:rsidRPr="000A7CB4">
              <w:rPr>
                <w:rFonts w:eastAsia="Calibri" w:cs="Times New Roman"/>
                <w:b/>
              </w:rPr>
              <w:lastRenderedPageBreak/>
              <w:t>Dotknuté subjekty</w:t>
            </w:r>
          </w:p>
        </w:tc>
      </w:tr>
      <w:tr w:rsidR="000A7CB4" w:rsidRPr="000A7CB4" w:rsidTr="007F0200">
        <w:tc>
          <w:tcPr>
            <w:tcW w:w="9180" w:type="dxa"/>
            <w:gridSpan w:val="11"/>
            <w:tcBorders>
              <w:top w:val="nil"/>
              <w:left w:val="single" w:sz="4" w:space="0" w:color="auto"/>
              <w:bottom w:val="single" w:sz="4" w:space="0" w:color="auto"/>
              <w:right w:val="single" w:sz="4" w:space="0" w:color="auto"/>
            </w:tcBorders>
            <w:shd w:val="clear" w:color="auto" w:fill="FFFFFF"/>
          </w:tcPr>
          <w:p w:rsidR="00CD4F09" w:rsidRPr="000A7CB4" w:rsidRDefault="00CD4F09" w:rsidP="007F0200">
            <w:pPr>
              <w:rPr>
                <w:rFonts w:cs="Times New Roman"/>
                <w:i/>
                <w:sz w:val="20"/>
                <w:szCs w:val="20"/>
              </w:rPr>
            </w:pPr>
            <w:r w:rsidRPr="000A7CB4">
              <w:rPr>
                <w:rFonts w:cs="Times New Roman"/>
                <w:i/>
                <w:sz w:val="20"/>
                <w:szCs w:val="20"/>
              </w:rPr>
              <w:t xml:space="preserve">Uveďte subjekty, ktorých sa zmeny predkladaného materiálu dotknú priamo aj nepriamo: </w:t>
            </w:r>
          </w:p>
          <w:p w:rsidR="00CD4F09" w:rsidRPr="000A7CB4" w:rsidRDefault="00CD4F09" w:rsidP="00CD4F09">
            <w:pPr>
              <w:pStyle w:val="Odsekzoznamu"/>
              <w:numPr>
                <w:ilvl w:val="0"/>
                <w:numId w:val="2"/>
              </w:numPr>
              <w:spacing w:after="0" w:line="240" w:lineRule="auto"/>
              <w:rPr>
                <w:rFonts w:ascii="Times New Roman" w:hAnsi="Times New Roman"/>
                <w:sz w:val="20"/>
                <w:szCs w:val="20"/>
                <w:lang w:eastAsia="sk-SK"/>
              </w:rPr>
            </w:pPr>
            <w:r w:rsidRPr="000A7CB4">
              <w:rPr>
                <w:rFonts w:ascii="Times New Roman" w:hAnsi="Times New Roman"/>
                <w:sz w:val="20"/>
                <w:szCs w:val="20"/>
                <w:lang w:eastAsia="sk-SK"/>
              </w:rPr>
              <w:t>autorizované/ notifikované osoby,</w:t>
            </w:r>
          </w:p>
          <w:p w:rsidR="00CD4F09" w:rsidRPr="000A7CB4" w:rsidRDefault="00CD4F09" w:rsidP="00CD4F09">
            <w:pPr>
              <w:pStyle w:val="Odsekzoznamu"/>
              <w:numPr>
                <w:ilvl w:val="0"/>
                <w:numId w:val="2"/>
              </w:numPr>
              <w:spacing w:after="0" w:line="240" w:lineRule="auto"/>
              <w:rPr>
                <w:rFonts w:ascii="Times New Roman" w:hAnsi="Times New Roman"/>
                <w:sz w:val="20"/>
                <w:szCs w:val="20"/>
                <w:lang w:eastAsia="sk-SK"/>
              </w:rPr>
            </w:pPr>
            <w:r w:rsidRPr="000A7CB4">
              <w:rPr>
                <w:rFonts w:ascii="Times New Roman" w:hAnsi="Times New Roman"/>
                <w:sz w:val="20"/>
                <w:szCs w:val="20"/>
                <w:lang w:eastAsia="sk-SK"/>
              </w:rPr>
              <w:t>hospodárske subjekty (výrobcovia, splnomocnení zástupcovia výrobcov, dovozcovia, distribútori, poskytovatelia logistických služieb ),</w:t>
            </w:r>
          </w:p>
          <w:p w:rsidR="00CD4F09" w:rsidRPr="000A7CB4" w:rsidRDefault="00CD4F09" w:rsidP="00CD4F09">
            <w:pPr>
              <w:pStyle w:val="Odsekzoznamu"/>
              <w:numPr>
                <w:ilvl w:val="0"/>
                <w:numId w:val="2"/>
              </w:numPr>
              <w:spacing w:after="0" w:line="240" w:lineRule="auto"/>
              <w:rPr>
                <w:rFonts w:ascii="Times New Roman" w:hAnsi="Times New Roman"/>
                <w:sz w:val="20"/>
                <w:szCs w:val="20"/>
                <w:lang w:eastAsia="sk-SK"/>
              </w:rPr>
            </w:pPr>
            <w:r w:rsidRPr="000A7CB4">
              <w:rPr>
                <w:rFonts w:ascii="Times New Roman" w:hAnsi="Times New Roman"/>
                <w:sz w:val="20"/>
                <w:szCs w:val="20"/>
                <w:lang w:eastAsia="sk-SK"/>
              </w:rPr>
              <w:t>ďalšie hospodárske subjekty,</w:t>
            </w:r>
          </w:p>
          <w:p w:rsidR="00CD4F09" w:rsidRPr="000A7CB4" w:rsidRDefault="00CD4F09" w:rsidP="00CD4F09">
            <w:pPr>
              <w:pStyle w:val="Odsekzoznamu"/>
              <w:numPr>
                <w:ilvl w:val="0"/>
                <w:numId w:val="2"/>
              </w:numPr>
              <w:spacing w:after="0" w:line="240" w:lineRule="auto"/>
              <w:rPr>
                <w:rFonts w:ascii="Times New Roman" w:hAnsi="Times New Roman"/>
                <w:sz w:val="20"/>
                <w:szCs w:val="20"/>
                <w:lang w:eastAsia="sk-SK"/>
              </w:rPr>
            </w:pPr>
            <w:r w:rsidRPr="000A7CB4">
              <w:rPr>
                <w:rFonts w:ascii="Times New Roman" w:hAnsi="Times New Roman"/>
                <w:sz w:val="20"/>
                <w:szCs w:val="20"/>
                <w:lang w:eastAsia="sk-SK"/>
              </w:rPr>
              <w:t>orgány dohľadu nad určenými výrobkami,</w:t>
            </w:r>
          </w:p>
          <w:p w:rsidR="00CD4F09" w:rsidRPr="000A7CB4" w:rsidRDefault="00CD4F09" w:rsidP="00CD4F09">
            <w:pPr>
              <w:pStyle w:val="Odsekzoznamu"/>
              <w:numPr>
                <w:ilvl w:val="0"/>
                <w:numId w:val="2"/>
              </w:numPr>
              <w:spacing w:after="0" w:line="240" w:lineRule="auto"/>
              <w:rPr>
                <w:rFonts w:ascii="Times New Roman" w:hAnsi="Times New Roman"/>
                <w:sz w:val="20"/>
                <w:szCs w:val="20"/>
                <w:lang w:eastAsia="sk-SK"/>
              </w:rPr>
            </w:pPr>
            <w:r w:rsidRPr="000A7CB4">
              <w:rPr>
                <w:rFonts w:ascii="Times New Roman" w:hAnsi="Times New Roman"/>
                <w:sz w:val="20"/>
                <w:szCs w:val="20"/>
                <w:lang w:eastAsia="sk-SK"/>
              </w:rPr>
              <w:t>ústredné orgány štátnej správy,</w:t>
            </w:r>
          </w:p>
          <w:p w:rsidR="00CD4F09" w:rsidRPr="000A7CB4" w:rsidRDefault="00CD4F09" w:rsidP="00CD4F09">
            <w:pPr>
              <w:pStyle w:val="Odsekzoznamu"/>
              <w:numPr>
                <w:ilvl w:val="0"/>
                <w:numId w:val="2"/>
              </w:numPr>
              <w:spacing w:after="0" w:line="240" w:lineRule="auto"/>
              <w:rPr>
                <w:rFonts w:ascii="Times New Roman" w:hAnsi="Times New Roman"/>
                <w:sz w:val="20"/>
                <w:szCs w:val="20"/>
                <w:lang w:eastAsia="sk-SK"/>
              </w:rPr>
            </w:pPr>
            <w:r w:rsidRPr="000A7CB4">
              <w:rPr>
                <w:rFonts w:ascii="Times New Roman" w:hAnsi="Times New Roman"/>
                <w:sz w:val="20"/>
                <w:szCs w:val="20"/>
                <w:lang w:eastAsia="sk-SK"/>
              </w:rPr>
              <w:t>orgány verejnej moci,</w:t>
            </w:r>
          </w:p>
          <w:p w:rsidR="00CD4F09" w:rsidRPr="000A7CB4" w:rsidRDefault="00CD4F09" w:rsidP="00CD4F09">
            <w:pPr>
              <w:pStyle w:val="Odsekzoznamu"/>
              <w:numPr>
                <w:ilvl w:val="0"/>
                <w:numId w:val="2"/>
              </w:numPr>
              <w:spacing w:after="0" w:line="240" w:lineRule="auto"/>
              <w:rPr>
                <w:rFonts w:ascii="Times New Roman" w:hAnsi="Times New Roman"/>
                <w:sz w:val="20"/>
                <w:szCs w:val="20"/>
                <w:lang w:eastAsia="sk-SK"/>
              </w:rPr>
            </w:pPr>
            <w:r w:rsidRPr="000A7CB4">
              <w:rPr>
                <w:rFonts w:ascii="Times New Roman" w:hAnsi="Times New Roman"/>
                <w:sz w:val="20"/>
                <w:szCs w:val="20"/>
                <w:lang w:eastAsia="sk-SK"/>
              </w:rPr>
              <w:t>úrad,</w:t>
            </w:r>
          </w:p>
          <w:p w:rsidR="00CD4F09" w:rsidRPr="000A7CB4" w:rsidRDefault="00CD4F09" w:rsidP="00CD4F09">
            <w:pPr>
              <w:pStyle w:val="Odsekzoznamu"/>
              <w:numPr>
                <w:ilvl w:val="0"/>
                <w:numId w:val="2"/>
              </w:numPr>
              <w:spacing w:after="0" w:line="240" w:lineRule="auto"/>
              <w:rPr>
                <w:rFonts w:ascii="Times New Roman" w:hAnsi="Times New Roman"/>
                <w:sz w:val="20"/>
                <w:szCs w:val="20"/>
                <w:lang w:eastAsia="sk-SK"/>
              </w:rPr>
            </w:pPr>
            <w:r w:rsidRPr="000A7CB4">
              <w:rPr>
                <w:rFonts w:ascii="Times New Roman" w:hAnsi="Times New Roman"/>
                <w:sz w:val="20"/>
                <w:szCs w:val="20"/>
                <w:lang w:eastAsia="sk-SK"/>
              </w:rPr>
              <w:t>spotrebitelia.</w:t>
            </w:r>
          </w:p>
        </w:tc>
      </w:tr>
      <w:tr w:rsidR="000A7CB4" w:rsidRPr="000A7CB4" w:rsidTr="007F0200">
        <w:tc>
          <w:tcPr>
            <w:tcW w:w="9180" w:type="dxa"/>
            <w:gridSpan w:val="11"/>
            <w:tcBorders>
              <w:top w:val="single" w:sz="4" w:space="0" w:color="auto"/>
              <w:left w:val="single" w:sz="4" w:space="0" w:color="auto"/>
              <w:bottom w:val="nil"/>
              <w:right w:val="single" w:sz="4" w:space="0" w:color="auto"/>
            </w:tcBorders>
            <w:shd w:val="clear" w:color="auto" w:fill="E2E2E2"/>
          </w:tcPr>
          <w:p w:rsidR="00CD4F09" w:rsidRPr="000A7CB4" w:rsidRDefault="00CD4F09" w:rsidP="00CD4F09">
            <w:pPr>
              <w:widowControl/>
              <w:numPr>
                <w:ilvl w:val="0"/>
                <w:numId w:val="1"/>
              </w:numPr>
              <w:adjustRightInd/>
              <w:ind w:left="426"/>
              <w:contextualSpacing/>
              <w:rPr>
                <w:rFonts w:eastAsia="Calibri" w:cs="Times New Roman"/>
                <w:b/>
              </w:rPr>
            </w:pPr>
            <w:r w:rsidRPr="000A7CB4">
              <w:rPr>
                <w:rFonts w:eastAsia="Calibri" w:cs="Times New Roman"/>
                <w:b/>
              </w:rPr>
              <w:t>Alternatívne riešenia</w:t>
            </w:r>
          </w:p>
        </w:tc>
      </w:tr>
      <w:tr w:rsidR="000A7CB4" w:rsidRPr="000A7CB4" w:rsidTr="007F0200">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rsidR="00CD4F09" w:rsidRPr="000A7CB4" w:rsidRDefault="00CD4F09" w:rsidP="007F0200">
            <w:pPr>
              <w:jc w:val="both"/>
              <w:rPr>
                <w:rFonts w:cs="Times New Roman"/>
                <w:sz w:val="20"/>
                <w:szCs w:val="20"/>
              </w:rPr>
            </w:pPr>
            <w:r w:rsidRPr="000A7CB4">
              <w:rPr>
                <w:rFonts w:cs="Times New Roman"/>
                <w:sz w:val="20"/>
                <w:szCs w:val="20"/>
              </w:rPr>
              <w:t>Nariadenia sa automaticky stávajú záväznými vo všetkých členských štátoch Európskej únie odo dňa ich uplatňovania, avšak vzhľadom na rozsah jednotlivých ustanovení nariadení je potrebná aj úprava vnútroštátnych právnych predpisov. Úrad ako gestor nariadení návrhom zákona upravuje nevyhnutné ustanovenia v zákone č. 56/2018 Z. z. a v súvisiacich právnych predpisoch vyplývajúcich z nariadení, z ktorých Slovenskej republike vyplývajú povinnosti.</w:t>
            </w:r>
          </w:p>
          <w:p w:rsidR="00CD4F09" w:rsidRPr="000A7CB4" w:rsidRDefault="00CD4F09" w:rsidP="007F0200">
            <w:pPr>
              <w:jc w:val="both"/>
              <w:rPr>
                <w:rFonts w:cs="Times New Roman"/>
                <w:sz w:val="20"/>
                <w:szCs w:val="20"/>
              </w:rPr>
            </w:pPr>
          </w:p>
          <w:p w:rsidR="00CD4F09" w:rsidRPr="000A7CB4" w:rsidRDefault="00CD4F09" w:rsidP="007F0200">
            <w:pPr>
              <w:jc w:val="both"/>
              <w:rPr>
                <w:rFonts w:cs="Times New Roman"/>
                <w:sz w:val="20"/>
                <w:szCs w:val="20"/>
              </w:rPr>
            </w:pPr>
            <w:r w:rsidRPr="000A7CB4">
              <w:rPr>
                <w:rFonts w:cs="Times New Roman"/>
                <w:sz w:val="20"/>
                <w:szCs w:val="20"/>
              </w:rPr>
              <w:t xml:space="preserve">V prípade nesplnenia povinnosti transpozície </w:t>
            </w:r>
            <w:r w:rsidRPr="000A7CB4">
              <w:rPr>
                <w:rFonts w:cs="Times New Roman"/>
                <w:b/>
                <w:bCs/>
                <w:sz w:val="20"/>
                <w:szCs w:val="20"/>
              </w:rPr>
              <w:t>s</w:t>
            </w:r>
            <w:r w:rsidRPr="000A7CB4">
              <w:rPr>
                <w:rFonts w:cs="Times New Roman"/>
                <w:bCs/>
                <w:sz w:val="20"/>
                <w:szCs w:val="20"/>
              </w:rPr>
              <w:t xml:space="preserve">mernice </w:t>
            </w:r>
            <w:r w:rsidRPr="000A7CB4">
              <w:rPr>
                <w:rFonts w:cs="Times New Roman"/>
                <w:bCs/>
                <w:sz w:val="20"/>
                <w:szCs w:val="20"/>
                <w:shd w:val="clear" w:color="auto" w:fill="FFFFFF"/>
              </w:rPr>
              <w:t xml:space="preserve">(EÚ) 2024/2749 </w:t>
            </w:r>
            <w:r w:rsidRPr="000A7CB4">
              <w:rPr>
                <w:rFonts w:cs="Times New Roman"/>
                <w:sz w:val="20"/>
                <w:szCs w:val="20"/>
              </w:rPr>
              <w:t xml:space="preserve">Komisia začne voči Slovenskej republike konanie o porušení zmlúv Európskej únie v súlade s článkom 258 Zmluvy o fungovaní Európskej únie (infringement </w:t>
            </w:r>
            <w:r w:rsidRPr="000A7CB4">
              <w:rPr>
                <w:rFonts w:cs="Times New Roman"/>
                <w:sz w:val="20"/>
                <w:szCs w:val="20"/>
                <w:lang w:val="en-GB"/>
              </w:rPr>
              <w:t>proceedings</w:t>
            </w:r>
            <w:r w:rsidRPr="000A7CB4">
              <w:rPr>
                <w:rFonts w:cs="Times New Roman"/>
                <w:sz w:val="20"/>
                <w:szCs w:val="20"/>
              </w:rPr>
              <w:t>).</w:t>
            </w:r>
          </w:p>
          <w:p w:rsidR="00CD4F09" w:rsidRPr="000A7CB4" w:rsidRDefault="00CD4F09" w:rsidP="007F0200">
            <w:pPr>
              <w:jc w:val="both"/>
              <w:rPr>
                <w:rFonts w:cs="Times New Roman"/>
                <w:sz w:val="20"/>
                <w:szCs w:val="20"/>
              </w:rPr>
            </w:pPr>
          </w:p>
          <w:p w:rsidR="00CD4F09" w:rsidRPr="000A7CB4" w:rsidRDefault="00CD4F09" w:rsidP="007F0200">
            <w:pPr>
              <w:jc w:val="both"/>
              <w:rPr>
                <w:rFonts w:cs="Times New Roman"/>
                <w:sz w:val="20"/>
                <w:szCs w:val="20"/>
              </w:rPr>
            </w:pPr>
            <w:r w:rsidRPr="000A7CB4">
              <w:rPr>
                <w:rFonts w:cs="Times New Roman"/>
                <w:sz w:val="20"/>
                <w:szCs w:val="20"/>
              </w:rPr>
              <w:t xml:space="preserve">Z vyššie uvedených dôvodov neboli zvažované alternatívne riešenia a nulový variant nie je možné realizovať. </w:t>
            </w:r>
          </w:p>
          <w:p w:rsidR="00CD4F09" w:rsidRPr="000A7CB4" w:rsidRDefault="00CD4F09" w:rsidP="007F0200">
            <w:pPr>
              <w:jc w:val="both"/>
              <w:rPr>
                <w:rFonts w:cs="Times New Roman"/>
                <w:sz w:val="20"/>
                <w:szCs w:val="20"/>
              </w:rPr>
            </w:pPr>
          </w:p>
        </w:tc>
      </w:tr>
      <w:tr w:rsidR="000A7CB4" w:rsidRPr="000A7CB4" w:rsidTr="007F0200">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CD4F09" w:rsidRPr="000A7CB4" w:rsidRDefault="00CD4F09" w:rsidP="00CD4F09">
            <w:pPr>
              <w:widowControl/>
              <w:numPr>
                <w:ilvl w:val="0"/>
                <w:numId w:val="1"/>
              </w:numPr>
              <w:adjustRightInd/>
              <w:ind w:left="426"/>
              <w:contextualSpacing/>
              <w:rPr>
                <w:rFonts w:eastAsia="Calibri" w:cs="Times New Roman"/>
                <w:b/>
              </w:rPr>
            </w:pPr>
            <w:r w:rsidRPr="000A7CB4">
              <w:rPr>
                <w:rFonts w:eastAsia="Calibri" w:cs="Times New Roman"/>
                <w:b/>
              </w:rPr>
              <w:t>Vykonávacie predpisy</w:t>
            </w:r>
          </w:p>
        </w:tc>
      </w:tr>
      <w:tr w:rsidR="000A7CB4" w:rsidRPr="000A7CB4" w:rsidTr="007F0200">
        <w:tc>
          <w:tcPr>
            <w:tcW w:w="6203" w:type="dxa"/>
            <w:gridSpan w:val="7"/>
            <w:tcBorders>
              <w:top w:val="single" w:sz="4" w:space="0" w:color="FFFFFF"/>
              <w:left w:val="single" w:sz="4" w:space="0" w:color="auto"/>
              <w:bottom w:val="nil"/>
              <w:right w:val="nil"/>
            </w:tcBorders>
            <w:shd w:val="clear" w:color="auto" w:fill="FFFFFF"/>
          </w:tcPr>
          <w:p w:rsidR="00CD4F09" w:rsidRPr="000A7CB4" w:rsidRDefault="00CD4F09" w:rsidP="007F0200">
            <w:pPr>
              <w:rPr>
                <w:rFonts w:cs="Times New Roman"/>
                <w:i/>
                <w:sz w:val="20"/>
                <w:szCs w:val="20"/>
              </w:rPr>
            </w:pPr>
            <w:r w:rsidRPr="000A7CB4">
              <w:rPr>
                <w:rFonts w:cs="Times New Roman"/>
                <w:i/>
                <w:sz w:val="20"/>
                <w:szCs w:val="20"/>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CD4F09" w:rsidRPr="000A7CB4" w:rsidRDefault="00C800E4" w:rsidP="007F0200">
            <w:pPr>
              <w:jc w:val="center"/>
              <w:rPr>
                <w:rFonts w:cs="Times New Roman"/>
                <w:b/>
                <w:sz w:val="20"/>
                <w:szCs w:val="20"/>
              </w:rPr>
            </w:pPr>
            <w:sdt>
              <w:sdtPr>
                <w:rPr>
                  <w:rFonts w:cs="Times New Roman"/>
                  <w:b/>
                  <w:sz w:val="20"/>
                  <w:szCs w:val="20"/>
                </w:rPr>
                <w:id w:val="1929613764"/>
                <w14:checkbox>
                  <w14:checked w14:val="0"/>
                  <w14:checkedState w14:val="2612" w14:font="MS Gothic"/>
                  <w14:uncheckedState w14:val="2610" w14:font="MS Gothic"/>
                </w14:checkbox>
              </w:sdtPr>
              <w:sdtEndPr/>
              <w:sdtContent>
                <w:r w:rsidR="00CD4F09" w:rsidRPr="000A7CB4">
                  <w:rPr>
                    <w:rFonts w:ascii="MS Gothic" w:eastAsia="MS Gothic" w:hAnsi="MS Gothic" w:cs="Times New Roman"/>
                    <w:b/>
                    <w:sz w:val="20"/>
                    <w:szCs w:val="20"/>
                  </w:rPr>
                  <w:t>☐</w:t>
                </w:r>
              </w:sdtContent>
            </w:sdt>
            <w:r w:rsidR="00CD4F09" w:rsidRPr="000A7CB4">
              <w:rPr>
                <w:rFonts w:cs="Times New Roman"/>
                <w:b/>
                <w:sz w:val="20"/>
                <w:szCs w:val="20"/>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CD4F09" w:rsidRPr="000A7CB4" w:rsidRDefault="00C800E4" w:rsidP="007F0200">
            <w:pPr>
              <w:jc w:val="center"/>
              <w:rPr>
                <w:rFonts w:cs="Times New Roman"/>
                <w:b/>
                <w:sz w:val="20"/>
                <w:szCs w:val="20"/>
              </w:rPr>
            </w:pPr>
            <w:sdt>
              <w:sdtPr>
                <w:rPr>
                  <w:rFonts w:cs="Times New Roman"/>
                  <w:b/>
                  <w:sz w:val="20"/>
                  <w:szCs w:val="20"/>
                </w:rPr>
                <w:id w:val="-1594626508"/>
                <w14:checkbox>
                  <w14:checked w14:val="1"/>
                  <w14:checkedState w14:val="2612" w14:font="MS Gothic"/>
                  <w14:uncheckedState w14:val="2610" w14:font="MS Gothic"/>
                </w14:checkbox>
              </w:sdtPr>
              <w:sdtEndPr/>
              <w:sdtContent>
                <w:r w:rsidR="00CD4F09" w:rsidRPr="000A7CB4">
                  <w:rPr>
                    <w:rFonts w:ascii="MS Gothic" w:eastAsia="MS Gothic" w:hAnsi="MS Gothic" w:cs="Times New Roman"/>
                    <w:b/>
                    <w:sz w:val="20"/>
                    <w:szCs w:val="20"/>
                  </w:rPr>
                  <w:t>☒</w:t>
                </w:r>
              </w:sdtContent>
            </w:sdt>
            <w:r w:rsidR="00CD4F09" w:rsidRPr="000A7CB4">
              <w:rPr>
                <w:rFonts w:cs="Times New Roman"/>
                <w:b/>
                <w:sz w:val="20"/>
                <w:szCs w:val="20"/>
              </w:rPr>
              <w:t xml:space="preserve">  Nie</w:t>
            </w:r>
          </w:p>
        </w:tc>
      </w:tr>
      <w:tr w:rsidR="000A7CB4" w:rsidRPr="000A7CB4" w:rsidTr="007F0200">
        <w:tc>
          <w:tcPr>
            <w:tcW w:w="9180" w:type="dxa"/>
            <w:gridSpan w:val="11"/>
            <w:tcBorders>
              <w:top w:val="nil"/>
              <w:left w:val="single" w:sz="4" w:space="0" w:color="auto"/>
              <w:bottom w:val="single" w:sz="4" w:space="0" w:color="auto"/>
              <w:right w:val="single" w:sz="4" w:space="0" w:color="auto"/>
            </w:tcBorders>
            <w:shd w:val="clear" w:color="auto" w:fill="FFFFFF"/>
          </w:tcPr>
          <w:p w:rsidR="00CD4F09" w:rsidRPr="000A7CB4" w:rsidRDefault="00CD4F09" w:rsidP="007F0200">
            <w:pPr>
              <w:rPr>
                <w:rFonts w:cs="Times New Roman"/>
                <w:i/>
                <w:sz w:val="20"/>
                <w:szCs w:val="20"/>
              </w:rPr>
            </w:pPr>
            <w:r w:rsidRPr="000A7CB4">
              <w:rPr>
                <w:rFonts w:cs="Times New Roman"/>
                <w:i/>
                <w:sz w:val="20"/>
                <w:szCs w:val="20"/>
              </w:rPr>
              <w:t>Ak áno, uveďte ktoré oblasti budú nimi upravené, resp. ktorých vykonávacích predpisov sa zmena dotkne:</w:t>
            </w:r>
          </w:p>
          <w:p w:rsidR="00CD4F09" w:rsidRPr="000A7CB4" w:rsidRDefault="00CD4F09" w:rsidP="007F0200">
            <w:pPr>
              <w:rPr>
                <w:rFonts w:cs="Times New Roman"/>
                <w:sz w:val="20"/>
                <w:szCs w:val="20"/>
              </w:rPr>
            </w:pPr>
          </w:p>
        </w:tc>
      </w:tr>
      <w:tr w:rsidR="000A7CB4" w:rsidRPr="000A7CB4" w:rsidTr="007F0200">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CD4F09" w:rsidRPr="000A7CB4" w:rsidRDefault="00CD4F09" w:rsidP="00CD4F09">
            <w:pPr>
              <w:widowControl/>
              <w:numPr>
                <w:ilvl w:val="0"/>
                <w:numId w:val="1"/>
              </w:numPr>
              <w:adjustRightInd/>
              <w:ind w:left="426"/>
              <w:contextualSpacing/>
              <w:rPr>
                <w:rFonts w:eastAsia="Calibri" w:cs="Times New Roman"/>
                <w:b/>
              </w:rPr>
            </w:pPr>
            <w:r w:rsidRPr="000A7CB4">
              <w:rPr>
                <w:rFonts w:eastAsia="Calibri" w:cs="Times New Roman"/>
                <w:b/>
              </w:rPr>
              <w:lastRenderedPageBreak/>
              <w:t xml:space="preserve">Transpozícia/implementácia práva EÚ </w:t>
            </w:r>
          </w:p>
        </w:tc>
      </w:tr>
      <w:tr w:rsidR="000A7CB4" w:rsidRPr="000A7CB4" w:rsidTr="007F0200">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0A7CB4" w:rsidRPr="000A7CB4" w:rsidTr="007F0200">
              <w:trPr>
                <w:trHeight w:val="90"/>
              </w:trPr>
              <w:tc>
                <w:tcPr>
                  <w:tcW w:w="8643" w:type="dxa"/>
                </w:tcPr>
                <w:p w:rsidR="00CD4F09" w:rsidRPr="000A7CB4" w:rsidRDefault="00CD4F09" w:rsidP="007F0200">
                  <w:pPr>
                    <w:pStyle w:val="Default"/>
                    <w:rPr>
                      <w:color w:val="auto"/>
                      <w:sz w:val="20"/>
                      <w:szCs w:val="20"/>
                    </w:rPr>
                  </w:pPr>
                  <w:r w:rsidRPr="000A7CB4">
                    <w:rPr>
                      <w:i/>
                      <w:iCs/>
                      <w:color w:val="auto"/>
                      <w:sz w:val="20"/>
                      <w:szCs w:val="20"/>
                    </w:rPr>
                    <w:t xml:space="preserve">Uveďte, či v predkladanom návrhu právneho predpisu dochádza ku goldplatingu podľa tabuľky zhody, resp. či ku goldplatingu dochádza pri implementácii práva EÚ. </w:t>
                  </w:r>
                </w:p>
              </w:tc>
            </w:tr>
            <w:tr w:rsidR="000A7CB4" w:rsidRPr="000A7CB4" w:rsidTr="007F0200">
              <w:trPr>
                <w:trHeight w:val="296"/>
              </w:trPr>
              <w:tc>
                <w:tcPr>
                  <w:tcW w:w="8643" w:type="dxa"/>
                </w:tcPr>
                <w:p w:rsidR="00CD4F09" w:rsidRPr="000A7CB4" w:rsidRDefault="00CD4F09" w:rsidP="007F0200">
                  <w:pPr>
                    <w:pStyle w:val="Default"/>
                    <w:rPr>
                      <w:b/>
                      <w:iCs/>
                      <w:color w:val="auto"/>
                      <w:sz w:val="20"/>
                      <w:szCs w:val="20"/>
                    </w:rPr>
                  </w:pPr>
                  <w:r w:rsidRPr="000A7CB4">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0A7CB4">
                        <w:rPr>
                          <w:rFonts w:ascii="MS Gothic" w:eastAsia="MS Gothic" w:hAnsi="MS Gothic"/>
                          <w:b/>
                          <w:iCs/>
                          <w:color w:val="auto"/>
                          <w:sz w:val="20"/>
                          <w:szCs w:val="20"/>
                        </w:rPr>
                        <w:t>☐</w:t>
                      </w:r>
                    </w:sdtContent>
                  </w:sdt>
                  <w:r w:rsidRPr="000A7CB4">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Pr="000A7CB4">
                        <w:rPr>
                          <w:rFonts w:ascii="MS Gothic" w:eastAsia="MS Gothic" w:hAnsi="MS Gothic"/>
                          <w:b/>
                          <w:iCs/>
                          <w:color w:val="auto"/>
                          <w:sz w:val="20"/>
                          <w:szCs w:val="20"/>
                        </w:rPr>
                        <w:t>☒</w:t>
                      </w:r>
                    </w:sdtContent>
                  </w:sdt>
                  <w:r w:rsidRPr="000A7CB4">
                    <w:rPr>
                      <w:b/>
                      <w:iCs/>
                      <w:color w:val="auto"/>
                      <w:sz w:val="20"/>
                      <w:szCs w:val="20"/>
                    </w:rPr>
                    <w:t xml:space="preserve"> Nie</w:t>
                  </w:r>
                </w:p>
                <w:p w:rsidR="00CD4F09" w:rsidRPr="000A7CB4" w:rsidRDefault="00CD4F09" w:rsidP="007F0200">
                  <w:pPr>
                    <w:pStyle w:val="Default"/>
                    <w:rPr>
                      <w:color w:val="auto"/>
                      <w:sz w:val="20"/>
                      <w:szCs w:val="20"/>
                    </w:rPr>
                  </w:pPr>
                  <w:r w:rsidRPr="000A7CB4">
                    <w:rPr>
                      <w:i/>
                      <w:iCs/>
                      <w:color w:val="auto"/>
                      <w:sz w:val="20"/>
                      <w:szCs w:val="20"/>
                    </w:rPr>
                    <w:t xml:space="preserve">Ak áno, uveďte, ktorých vplyvov podľa bodu 9 sa goldplating týka: </w:t>
                  </w:r>
                </w:p>
              </w:tc>
            </w:tr>
            <w:tr w:rsidR="000A7CB4" w:rsidRPr="000A7CB4" w:rsidTr="007F0200">
              <w:trPr>
                <w:trHeight w:val="296"/>
              </w:trPr>
              <w:tc>
                <w:tcPr>
                  <w:tcW w:w="8643" w:type="dxa"/>
                </w:tcPr>
                <w:p w:rsidR="00CD4F09" w:rsidRPr="000A7CB4" w:rsidRDefault="00CD4F09" w:rsidP="007F0200">
                  <w:pPr>
                    <w:pStyle w:val="Default"/>
                    <w:rPr>
                      <w:rFonts w:ascii="Segoe UI Symbol" w:hAnsi="Segoe UI Symbol" w:cs="Segoe UI Symbol"/>
                      <w:color w:val="auto"/>
                      <w:sz w:val="20"/>
                      <w:szCs w:val="20"/>
                    </w:rPr>
                  </w:pPr>
                  <w:r w:rsidRPr="000A7CB4">
                    <w:rPr>
                      <w:rFonts w:ascii="Segoe UI Symbol" w:hAnsi="Segoe UI Symbol" w:cs="Segoe UI Symbol"/>
                      <w:color w:val="auto"/>
                      <w:sz w:val="20"/>
                      <w:szCs w:val="20"/>
                    </w:rPr>
                    <w:t>-------</w:t>
                  </w:r>
                </w:p>
              </w:tc>
            </w:tr>
          </w:tbl>
          <w:p w:rsidR="00CD4F09" w:rsidRPr="000A7CB4" w:rsidRDefault="00CD4F09" w:rsidP="007F0200">
            <w:pPr>
              <w:jc w:val="both"/>
              <w:rPr>
                <w:rFonts w:cs="Times New Roman"/>
                <w:i/>
                <w:sz w:val="20"/>
                <w:szCs w:val="20"/>
              </w:rPr>
            </w:pPr>
          </w:p>
        </w:tc>
      </w:tr>
      <w:tr w:rsidR="000A7CB4" w:rsidRPr="000A7CB4" w:rsidTr="007F0200">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CD4F09" w:rsidRPr="000A7CB4" w:rsidRDefault="00CD4F09" w:rsidP="007F0200">
            <w:pPr>
              <w:jc w:val="center"/>
              <w:rPr>
                <w:rFonts w:cs="Times New Roman"/>
                <w:sz w:val="20"/>
                <w:szCs w:val="20"/>
              </w:rPr>
            </w:pPr>
          </w:p>
        </w:tc>
      </w:tr>
      <w:tr w:rsidR="000A7CB4" w:rsidRPr="000A7CB4" w:rsidTr="007F0200">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CD4F09" w:rsidRPr="000A7CB4" w:rsidRDefault="00CD4F09" w:rsidP="00CD4F09">
            <w:pPr>
              <w:widowControl/>
              <w:numPr>
                <w:ilvl w:val="0"/>
                <w:numId w:val="1"/>
              </w:numPr>
              <w:adjustRightInd/>
              <w:ind w:left="426"/>
              <w:contextualSpacing/>
              <w:rPr>
                <w:rFonts w:eastAsia="Calibri" w:cs="Times New Roman"/>
                <w:b/>
              </w:rPr>
            </w:pPr>
            <w:r w:rsidRPr="000A7CB4">
              <w:rPr>
                <w:rFonts w:eastAsia="Calibri" w:cs="Times New Roman"/>
                <w:b/>
              </w:rPr>
              <w:t>Preskúmanie účelnosti</w:t>
            </w:r>
          </w:p>
        </w:tc>
      </w:tr>
      <w:tr w:rsidR="000A7CB4" w:rsidRPr="000A7CB4" w:rsidTr="007F0200">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CD4F09" w:rsidRPr="000A7CB4" w:rsidRDefault="00CD4F09" w:rsidP="007F0200">
            <w:pPr>
              <w:rPr>
                <w:rFonts w:cs="Times New Roman"/>
                <w:i/>
                <w:sz w:val="20"/>
                <w:szCs w:val="20"/>
              </w:rPr>
            </w:pPr>
            <w:r w:rsidRPr="000A7CB4">
              <w:rPr>
                <w:rFonts w:cs="Times New Roman"/>
                <w:i/>
                <w:sz w:val="20"/>
                <w:szCs w:val="20"/>
              </w:rPr>
              <w:t>Uveďte termín, kedy by malo dôjsť k preskúmaniu účinnosti a účelnosti predkladaného materiálu.</w:t>
            </w:r>
          </w:p>
          <w:p w:rsidR="00CD4F09" w:rsidRPr="000A7CB4" w:rsidRDefault="00CD4F09" w:rsidP="007F0200">
            <w:pPr>
              <w:rPr>
                <w:rFonts w:cs="Times New Roman"/>
                <w:i/>
                <w:sz w:val="20"/>
                <w:szCs w:val="20"/>
              </w:rPr>
            </w:pPr>
            <w:r w:rsidRPr="000A7CB4">
              <w:rPr>
                <w:rFonts w:cs="Times New Roman"/>
                <w:i/>
                <w:sz w:val="20"/>
                <w:szCs w:val="20"/>
              </w:rPr>
              <w:t>Uveďte kritériá, na základe ktorých bude preskúmanie vykonané.</w:t>
            </w:r>
          </w:p>
          <w:p w:rsidR="00CD4F09" w:rsidRPr="000A7CB4" w:rsidRDefault="00CD4F09" w:rsidP="007F0200">
            <w:pPr>
              <w:rPr>
                <w:rFonts w:cs="Times New Roman"/>
                <w:i/>
                <w:sz w:val="20"/>
                <w:szCs w:val="20"/>
              </w:rPr>
            </w:pPr>
          </w:p>
          <w:p w:rsidR="00CD4F09" w:rsidRPr="000A7CB4" w:rsidRDefault="00CD4F09" w:rsidP="007F0200">
            <w:pPr>
              <w:jc w:val="both"/>
              <w:rPr>
                <w:rStyle w:val="placeholdertext0"/>
                <w:sz w:val="20"/>
                <w:szCs w:val="20"/>
              </w:rPr>
            </w:pPr>
            <w:r w:rsidRPr="000A7CB4">
              <w:rPr>
                <w:rFonts w:cs="Times New Roman"/>
                <w:sz w:val="20"/>
                <w:szCs w:val="20"/>
              </w:rPr>
              <w:t>Návrhom zákona sa preberajú ustanovenia týkajúce sa</w:t>
            </w:r>
            <w:r w:rsidRPr="000A7CB4">
              <w:rPr>
                <w:rStyle w:val="placeholdertext0"/>
                <w:sz w:val="20"/>
                <w:szCs w:val="20"/>
              </w:rPr>
              <w:t xml:space="preserve"> núdzových postupov, ktoré sa budú uplatňovať výlučne len počas režimu núdzovej situácie na vnútornom trhu na určené výrobky, ktoré budú podľa čl. 18 ods. 4 nariadenia (EÚ) 2024/2747 označené ako tovar dôležitý počas krízy. Režim núdzovej situácie na vnútornom trhu vyhlasuje Rada, ak sú splnené kritériá v čl. 17 ods. 1 nariadenia (EÚ) 2024/2747, a to prostredníctvom vykonávacieho aktu Rady na návrh Komisie. Po vyhlásení režimu núdzovej situácie na vnútornom trhu a v prípade nedostatku určeného tovaru dôležitého počas krízy môže Komisia prostredníctvom vykonávacích aktov aktivovať núdzové postupy podľa nariadenia (EÚ) 2024/2748 alebo smernice (EÚ) 2024/2749. Vo vykonávacom akte uvedie tovar dôležitý počas krízy a núdzové postupy, ktoré sú predmetom vyhlásenia, ako aj dôvody pre vyhlásenie, primeranosť a ich trvanie.</w:t>
            </w:r>
          </w:p>
          <w:p w:rsidR="00CD4F09" w:rsidRPr="000A7CB4" w:rsidRDefault="00CD4F09" w:rsidP="007F0200">
            <w:pPr>
              <w:jc w:val="both"/>
              <w:rPr>
                <w:rFonts w:cs="Times New Roman"/>
                <w:i/>
                <w:sz w:val="20"/>
                <w:szCs w:val="20"/>
              </w:rPr>
            </w:pPr>
          </w:p>
          <w:p w:rsidR="00CD4F09" w:rsidRPr="000A7CB4" w:rsidRDefault="00CD4F09" w:rsidP="007F0200">
            <w:pPr>
              <w:jc w:val="both"/>
              <w:rPr>
                <w:rFonts w:cs="Times New Roman"/>
                <w:i/>
                <w:sz w:val="20"/>
                <w:szCs w:val="20"/>
              </w:rPr>
            </w:pPr>
            <w:r w:rsidRPr="000A7CB4">
              <w:rPr>
                <w:rFonts w:cs="Times New Roman"/>
                <w:sz w:val="20"/>
                <w:szCs w:val="20"/>
              </w:rPr>
              <w:t>Keďže krízy sú neočakávané a nie je možné vopred určiť aký druh kríz sa môže v budúcnosti vyskytnúť a bude mať závažný vplyv na vnútorný trh a jeho dodávateľské reťazce, ani nie je možné odhadnúť aký druh tovaru bude označený Komisiou za tovar dôležitý počas krízy a aký núdzový postup sa bude uplatňovať, preskúmanie overenia plnenia cieľov návrhu zákona je možné vykonať až potom ako bude Radou režim núdzovej situácie na vnútornom trhu vyhlásený a následne odvolaný a v prípade, ak budú Komisiou aktivované núdzové postupy a bude určené, ktorý určený výrobok je označený ako tovar dôležitý počas krízy, aby sa vedeli zohľadniť skúsenosti z aplikačnej praxe, pretože len vtedy sa budú uplatňovať núdzové postupy. Vychádzať sa bude z vykonaného hodnotenia Komisie podľa čl. 46 ods. 2 nariadenia (EÚ) 2024/2747, poskytnutých informácií Slovenskou republikou podľa čl. 46 ods. 5 nariadenia (EÚ) 2024/2747 a z aplikačnej praxe, pričom preskúmanie sa uskutoční do jedného roka od odvolania režimu núdzovej situácie na vnútornom trhu.</w:t>
            </w:r>
          </w:p>
          <w:p w:rsidR="00CD4F09" w:rsidRPr="000A7CB4" w:rsidRDefault="00CD4F09" w:rsidP="007F0200">
            <w:pPr>
              <w:jc w:val="both"/>
              <w:rPr>
                <w:rFonts w:cs="Times New Roman"/>
                <w:i/>
                <w:sz w:val="20"/>
                <w:szCs w:val="20"/>
              </w:rPr>
            </w:pPr>
          </w:p>
        </w:tc>
      </w:tr>
      <w:tr w:rsidR="000A7CB4" w:rsidRPr="000A7CB4" w:rsidTr="007F0200">
        <w:tc>
          <w:tcPr>
            <w:tcW w:w="9180" w:type="dxa"/>
            <w:gridSpan w:val="11"/>
            <w:tcBorders>
              <w:top w:val="nil"/>
              <w:left w:val="nil"/>
              <w:bottom w:val="single" w:sz="4" w:space="0" w:color="auto"/>
              <w:right w:val="nil"/>
            </w:tcBorders>
            <w:shd w:val="clear" w:color="auto" w:fill="FFFFFF"/>
          </w:tcPr>
          <w:p w:rsidR="00CD4F09" w:rsidRPr="000A7CB4" w:rsidRDefault="00CD4F09" w:rsidP="007F0200">
            <w:pPr>
              <w:jc w:val="both"/>
              <w:rPr>
                <w:rFonts w:cs="Times New Roman"/>
                <w:b/>
                <w:sz w:val="20"/>
                <w:szCs w:val="20"/>
              </w:rPr>
            </w:pPr>
          </w:p>
          <w:p w:rsidR="00CD4F09" w:rsidRPr="000A7CB4" w:rsidRDefault="00CD4F09" w:rsidP="007F0200">
            <w:pPr>
              <w:ind w:left="142" w:hanging="142"/>
              <w:jc w:val="both"/>
              <w:rPr>
                <w:rFonts w:cs="Times New Roman"/>
                <w:sz w:val="20"/>
                <w:szCs w:val="20"/>
              </w:rPr>
            </w:pPr>
            <w:r w:rsidRPr="000A7CB4">
              <w:rPr>
                <w:rFonts w:cs="Times New Roman"/>
                <w:sz w:val="20"/>
                <w:szCs w:val="20"/>
              </w:rPr>
              <w:t xml:space="preserve">* vyplniť iba v prípade, ak materiál nie je zahrnutý do Plánu práce vlády Slovenskej republiky alebo Plánu        legislatívnych úloh vlády Slovenskej republiky. </w:t>
            </w:r>
          </w:p>
          <w:p w:rsidR="00CD4F09" w:rsidRPr="000A7CB4" w:rsidRDefault="00CD4F09" w:rsidP="007F0200">
            <w:pPr>
              <w:jc w:val="both"/>
              <w:rPr>
                <w:rFonts w:cs="Times New Roman"/>
                <w:sz w:val="20"/>
                <w:szCs w:val="20"/>
              </w:rPr>
            </w:pPr>
            <w:r w:rsidRPr="000A7CB4">
              <w:rPr>
                <w:rFonts w:cs="Times New Roman"/>
                <w:sz w:val="20"/>
                <w:szCs w:val="20"/>
              </w:rPr>
              <w:t>** vyplniť iba v prípade, ak sa záverečné posúdenie vybraných vplyvov uskutočnilo v zmysle bodu 9.1. jednotnej metodiky.</w:t>
            </w:r>
          </w:p>
          <w:p w:rsidR="00CD4F09" w:rsidRPr="000A7CB4" w:rsidRDefault="00CD4F09" w:rsidP="007F0200">
            <w:pPr>
              <w:jc w:val="both"/>
              <w:rPr>
                <w:rFonts w:cs="Times New Roman"/>
                <w:sz w:val="20"/>
                <w:szCs w:val="20"/>
              </w:rPr>
            </w:pPr>
            <w:r w:rsidRPr="000A7CB4">
              <w:rPr>
                <w:rFonts w:cs="Times New Roman"/>
                <w:sz w:val="20"/>
                <w:szCs w:val="20"/>
              </w:rPr>
              <w:t>*** posudzovanie sa týka len zmien v I. a II. pilieri univerzálneho systému dôchodkového zabezpečenia s identifikovaným dopadom od 0,1 % HDP (vrátane) na dlhodobom horizonte.</w:t>
            </w:r>
          </w:p>
          <w:p w:rsidR="00CD4F09" w:rsidRPr="000A7CB4" w:rsidRDefault="00CD4F09" w:rsidP="007F0200">
            <w:pPr>
              <w:jc w:val="both"/>
              <w:rPr>
                <w:rFonts w:cs="Times New Roman"/>
                <w:sz w:val="20"/>
                <w:szCs w:val="20"/>
              </w:rPr>
            </w:pPr>
          </w:p>
          <w:p w:rsidR="00CD4F09" w:rsidRPr="000A7CB4" w:rsidRDefault="00CD4F09" w:rsidP="007F0200">
            <w:pPr>
              <w:jc w:val="both"/>
              <w:rPr>
                <w:rFonts w:cs="Times New Roman"/>
                <w:b/>
                <w:sz w:val="20"/>
                <w:szCs w:val="20"/>
              </w:rPr>
            </w:pPr>
          </w:p>
        </w:tc>
      </w:tr>
      <w:tr w:rsidR="000A7CB4" w:rsidRPr="000A7CB4" w:rsidTr="007F0200">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CD4F09" w:rsidRPr="000A7CB4" w:rsidRDefault="00CD4F09" w:rsidP="00CD4F09">
            <w:pPr>
              <w:widowControl/>
              <w:numPr>
                <w:ilvl w:val="0"/>
                <w:numId w:val="1"/>
              </w:numPr>
              <w:adjustRightInd/>
              <w:ind w:left="426"/>
              <w:contextualSpacing/>
              <w:rPr>
                <w:rFonts w:eastAsia="Calibri" w:cs="Times New Roman"/>
                <w:b/>
              </w:rPr>
            </w:pPr>
            <w:r w:rsidRPr="000A7CB4">
              <w:rPr>
                <w:rFonts w:eastAsia="Calibri" w:cs="Times New Roman"/>
                <w:b/>
              </w:rPr>
              <w:t>Vybrané vplyvy  materiálu</w:t>
            </w:r>
          </w:p>
        </w:tc>
      </w:tr>
      <w:tr w:rsidR="000A7CB4" w:rsidRPr="000A7CB4" w:rsidTr="007F0200">
        <w:tc>
          <w:tcPr>
            <w:tcW w:w="3812" w:type="dxa"/>
            <w:tcBorders>
              <w:top w:val="single" w:sz="4" w:space="0" w:color="auto"/>
              <w:left w:val="single" w:sz="4" w:space="0" w:color="auto"/>
              <w:bottom w:val="nil"/>
              <w:right w:val="single" w:sz="4" w:space="0" w:color="auto"/>
            </w:tcBorders>
            <w:shd w:val="clear" w:color="auto" w:fill="E2E2E2"/>
          </w:tcPr>
          <w:p w:rsidR="00CD4F09" w:rsidRPr="000A7CB4" w:rsidRDefault="00CD4F09" w:rsidP="007F0200">
            <w:pPr>
              <w:rPr>
                <w:rFonts w:cs="Times New Roman"/>
                <w:b/>
                <w:sz w:val="20"/>
                <w:szCs w:val="20"/>
              </w:rPr>
            </w:pPr>
            <w:r w:rsidRPr="000A7CB4">
              <w:rPr>
                <w:rFonts w:cs="Times New Roman"/>
                <w:b/>
                <w:sz w:val="20"/>
                <w:szCs w:val="20"/>
              </w:rPr>
              <w:t>Vplyvy na rozpočet verejnej správy</w:t>
            </w:r>
          </w:p>
        </w:tc>
        <w:sdt>
          <w:sdtPr>
            <w:rPr>
              <w:rFonts w:cs="Times New Roman"/>
              <w:b/>
              <w:sz w:val="20"/>
              <w:szCs w:val="20"/>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312" w:type="dxa"/>
            <w:gridSpan w:val="2"/>
            <w:tcBorders>
              <w:top w:val="single" w:sz="4" w:space="0" w:color="auto"/>
              <w:left w:val="nil"/>
              <w:bottom w:val="dotted" w:sz="4" w:space="0" w:color="auto"/>
              <w:right w:val="nil"/>
            </w:tcBorders>
          </w:tcPr>
          <w:p w:rsidR="00CD4F09" w:rsidRPr="000A7CB4" w:rsidRDefault="00CD4F09" w:rsidP="007F0200">
            <w:pPr>
              <w:rPr>
                <w:rFonts w:cs="Times New Roman"/>
                <w:b/>
                <w:sz w:val="20"/>
                <w:szCs w:val="20"/>
              </w:rPr>
            </w:pPr>
            <w:r w:rsidRPr="000A7CB4">
              <w:rPr>
                <w:rFonts w:cs="Times New Roman"/>
                <w:b/>
                <w:sz w:val="20"/>
                <w:szCs w:val="20"/>
              </w:rPr>
              <w:t>Pozitívne</w:t>
            </w:r>
          </w:p>
        </w:tc>
        <w:sdt>
          <w:sdtPr>
            <w:rPr>
              <w:rFonts w:cs="Times New Roman"/>
              <w:b/>
              <w:sz w:val="20"/>
              <w:szCs w:val="20"/>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133" w:type="dxa"/>
            <w:tcBorders>
              <w:top w:val="single" w:sz="4" w:space="0" w:color="auto"/>
              <w:left w:val="nil"/>
              <w:bottom w:val="dotted" w:sz="4" w:space="0" w:color="auto"/>
              <w:right w:val="nil"/>
            </w:tcBorders>
          </w:tcPr>
          <w:p w:rsidR="00CD4F09" w:rsidRPr="000A7CB4" w:rsidRDefault="00CD4F09" w:rsidP="007F0200">
            <w:pPr>
              <w:rPr>
                <w:rFonts w:cs="Times New Roman"/>
                <w:b/>
                <w:sz w:val="20"/>
                <w:szCs w:val="20"/>
              </w:rPr>
            </w:pPr>
            <w:r w:rsidRPr="000A7CB4">
              <w:rPr>
                <w:rFonts w:cs="Times New Roman"/>
                <w:b/>
                <w:sz w:val="20"/>
                <w:szCs w:val="20"/>
              </w:rPr>
              <w:t>Žiadne</w:t>
            </w:r>
          </w:p>
        </w:tc>
        <w:sdt>
          <w:sdtPr>
            <w:rPr>
              <w:rFonts w:cs="Times New Roman"/>
              <w:b/>
              <w:sz w:val="20"/>
              <w:szCs w:val="20"/>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CD4F09" w:rsidRPr="000A7CB4" w:rsidRDefault="00CD4F09" w:rsidP="007F0200">
                <w:pPr>
                  <w:ind w:left="-107" w:right="-108"/>
                  <w:jc w:val="center"/>
                  <w:rPr>
                    <w:rFonts w:cs="Times New Roman"/>
                    <w:b/>
                    <w:sz w:val="20"/>
                    <w:szCs w:val="20"/>
                  </w:rPr>
                </w:pPr>
                <w:r w:rsidRPr="000A7CB4">
                  <w:rPr>
                    <w:rFonts w:ascii="MS Gothic" w:eastAsia="MS Gothic" w:hAnsi="MS Gothic" w:cs="Times New Roman"/>
                    <w:b/>
                    <w:sz w:val="20"/>
                    <w:szCs w:val="20"/>
                  </w:rPr>
                  <w:t>☐</w:t>
                </w:r>
              </w:p>
            </w:tc>
          </w:sdtContent>
        </w:sdt>
        <w:tc>
          <w:tcPr>
            <w:tcW w:w="1297" w:type="dxa"/>
            <w:tcBorders>
              <w:top w:val="single" w:sz="4" w:space="0" w:color="auto"/>
              <w:left w:val="nil"/>
              <w:bottom w:val="dotted" w:sz="4" w:space="0" w:color="auto"/>
              <w:right w:val="single" w:sz="4" w:space="0" w:color="auto"/>
            </w:tcBorders>
          </w:tcPr>
          <w:p w:rsidR="00CD4F09" w:rsidRPr="000A7CB4" w:rsidRDefault="00CD4F09" w:rsidP="007F0200">
            <w:pPr>
              <w:ind w:left="34"/>
              <w:rPr>
                <w:rFonts w:cs="Times New Roman"/>
                <w:b/>
                <w:sz w:val="20"/>
                <w:szCs w:val="20"/>
              </w:rPr>
            </w:pPr>
            <w:r w:rsidRPr="000A7CB4">
              <w:rPr>
                <w:rFonts w:cs="Times New Roman"/>
                <w:b/>
                <w:sz w:val="20"/>
                <w:szCs w:val="20"/>
              </w:rPr>
              <w:t>Negatívne</w:t>
            </w:r>
          </w:p>
        </w:tc>
      </w:tr>
      <w:tr w:rsidR="000A7CB4" w:rsidRPr="000A7CB4" w:rsidTr="007F0200">
        <w:tc>
          <w:tcPr>
            <w:tcW w:w="3812" w:type="dxa"/>
            <w:tcBorders>
              <w:top w:val="nil"/>
              <w:left w:val="single" w:sz="4" w:space="0" w:color="auto"/>
              <w:bottom w:val="nil"/>
              <w:right w:val="single" w:sz="4" w:space="0" w:color="auto"/>
            </w:tcBorders>
            <w:shd w:val="clear" w:color="auto" w:fill="E2E2E2"/>
          </w:tcPr>
          <w:p w:rsidR="00CD4F09" w:rsidRPr="000A7CB4" w:rsidRDefault="00CD4F09" w:rsidP="007F0200">
            <w:pPr>
              <w:rPr>
                <w:rFonts w:cs="Times New Roman"/>
                <w:sz w:val="20"/>
                <w:szCs w:val="20"/>
              </w:rPr>
            </w:pPr>
            <w:r w:rsidRPr="000A7CB4">
              <w:rPr>
                <w:rFonts w:cs="Times New Roman"/>
                <w:sz w:val="20"/>
                <w:szCs w:val="20"/>
              </w:rPr>
              <w:t xml:space="preserve">    z toho rozpočtovo zabezpečené vplyvy,         </w:t>
            </w:r>
          </w:p>
          <w:p w:rsidR="00CD4F09" w:rsidRPr="000A7CB4" w:rsidRDefault="00CD4F09" w:rsidP="007F0200">
            <w:pPr>
              <w:rPr>
                <w:rFonts w:cs="Times New Roman"/>
                <w:sz w:val="20"/>
                <w:szCs w:val="20"/>
              </w:rPr>
            </w:pPr>
            <w:r w:rsidRPr="000A7CB4">
              <w:rPr>
                <w:rFonts w:cs="Times New Roman"/>
                <w:sz w:val="20"/>
                <w:szCs w:val="20"/>
              </w:rPr>
              <w:t xml:space="preserve">    v prípade identifikovaného negatívneho </w:t>
            </w:r>
          </w:p>
          <w:p w:rsidR="00CD4F09" w:rsidRPr="000A7CB4" w:rsidRDefault="00CD4F09" w:rsidP="007F0200">
            <w:pPr>
              <w:rPr>
                <w:rFonts w:cs="Times New Roman"/>
                <w:sz w:val="20"/>
                <w:szCs w:val="20"/>
              </w:rPr>
            </w:pPr>
            <w:r w:rsidRPr="000A7CB4">
              <w:rPr>
                <w:rFonts w:cs="Times New Roman"/>
                <w:sz w:val="20"/>
                <w:szCs w:val="20"/>
              </w:rPr>
              <w:t xml:space="preserve">    vplyvu</w:t>
            </w:r>
          </w:p>
        </w:tc>
        <w:sdt>
          <w:sdtPr>
            <w:rPr>
              <w:rFonts w:cs="Times New Roman"/>
              <w:sz w:val="20"/>
              <w:szCs w:val="20"/>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rsidR="00CD4F09" w:rsidRPr="000A7CB4" w:rsidRDefault="00CD4F09" w:rsidP="007F0200">
                <w:pPr>
                  <w:jc w:val="center"/>
                  <w:rPr>
                    <w:rFonts w:cs="Times New Roman"/>
                    <w:sz w:val="20"/>
                    <w:szCs w:val="20"/>
                  </w:rPr>
                </w:pPr>
                <w:r w:rsidRPr="000A7CB4">
                  <w:rPr>
                    <w:rFonts w:ascii="MS Gothic" w:eastAsia="MS Gothic" w:hAnsi="MS Gothic" w:cs="Times New Roman"/>
                    <w:sz w:val="20"/>
                    <w:szCs w:val="20"/>
                  </w:rPr>
                  <w:t>☐</w:t>
                </w:r>
              </w:p>
            </w:tc>
          </w:sdtContent>
        </w:sdt>
        <w:tc>
          <w:tcPr>
            <w:tcW w:w="1312" w:type="dxa"/>
            <w:gridSpan w:val="2"/>
            <w:tcBorders>
              <w:top w:val="dotted" w:sz="4" w:space="0" w:color="auto"/>
              <w:left w:val="nil"/>
              <w:bottom w:val="dotted" w:sz="4" w:space="0" w:color="auto"/>
              <w:right w:val="nil"/>
            </w:tcBorders>
            <w:vAlign w:val="center"/>
          </w:tcPr>
          <w:p w:rsidR="00CD4F09" w:rsidRPr="000A7CB4" w:rsidRDefault="00CD4F09" w:rsidP="007F0200">
            <w:pPr>
              <w:rPr>
                <w:rFonts w:cs="Times New Roman"/>
                <w:sz w:val="20"/>
                <w:szCs w:val="20"/>
              </w:rPr>
            </w:pPr>
            <w:r w:rsidRPr="000A7CB4">
              <w:rPr>
                <w:rFonts w:cs="Times New Roman"/>
                <w:sz w:val="20"/>
                <w:szCs w:val="20"/>
              </w:rPr>
              <w:t>Áno</w:t>
            </w:r>
          </w:p>
        </w:tc>
        <w:sdt>
          <w:sdtPr>
            <w:rPr>
              <w:rFonts w:cs="Times New Roman"/>
              <w:sz w:val="20"/>
              <w:szCs w:val="20"/>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CD4F09" w:rsidRPr="000A7CB4" w:rsidRDefault="00CD4F09" w:rsidP="007F0200">
                <w:pPr>
                  <w:jc w:val="center"/>
                  <w:rPr>
                    <w:rFonts w:cs="Times New Roman"/>
                    <w:sz w:val="20"/>
                    <w:szCs w:val="20"/>
                  </w:rPr>
                </w:pPr>
                <w:r w:rsidRPr="000A7CB4">
                  <w:rPr>
                    <w:rFonts w:ascii="MS Gothic" w:eastAsia="MS Gothic" w:hAnsi="MS Gothic" w:cs="Times New Roman"/>
                    <w:sz w:val="20"/>
                    <w:szCs w:val="20"/>
                  </w:rPr>
                  <w:t>☐</w:t>
                </w:r>
              </w:p>
            </w:tc>
          </w:sdtContent>
        </w:sdt>
        <w:tc>
          <w:tcPr>
            <w:tcW w:w="1133" w:type="dxa"/>
            <w:tcBorders>
              <w:top w:val="dotted" w:sz="4" w:space="0" w:color="auto"/>
              <w:left w:val="nil"/>
              <w:bottom w:val="dotted" w:sz="4" w:space="0" w:color="auto"/>
              <w:right w:val="nil"/>
            </w:tcBorders>
            <w:vAlign w:val="center"/>
          </w:tcPr>
          <w:p w:rsidR="00CD4F09" w:rsidRPr="000A7CB4" w:rsidRDefault="00CD4F09" w:rsidP="007F0200">
            <w:pPr>
              <w:rPr>
                <w:rFonts w:cs="Times New Roman"/>
                <w:sz w:val="20"/>
                <w:szCs w:val="20"/>
              </w:rPr>
            </w:pPr>
            <w:r w:rsidRPr="000A7CB4">
              <w:rPr>
                <w:rFonts w:cs="Times New Roman"/>
                <w:sz w:val="20"/>
                <w:szCs w:val="20"/>
              </w:rPr>
              <w:t>Nie</w:t>
            </w:r>
          </w:p>
        </w:tc>
        <w:sdt>
          <w:sdtPr>
            <w:rPr>
              <w:rFonts w:cs="Times New Roman"/>
              <w:sz w:val="20"/>
              <w:szCs w:val="20"/>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CD4F09" w:rsidRPr="000A7CB4" w:rsidRDefault="00CD4F09" w:rsidP="007F0200">
                <w:pPr>
                  <w:ind w:left="-107" w:right="-108"/>
                  <w:jc w:val="center"/>
                  <w:rPr>
                    <w:rFonts w:cs="Times New Roman"/>
                    <w:sz w:val="20"/>
                    <w:szCs w:val="20"/>
                  </w:rPr>
                </w:pPr>
                <w:r w:rsidRPr="000A7CB4">
                  <w:rPr>
                    <w:rFonts w:ascii="MS Gothic" w:eastAsia="MS Gothic" w:hAnsi="MS Gothic" w:cs="Times New Roman"/>
                    <w:sz w:val="20"/>
                    <w:szCs w:val="20"/>
                  </w:rPr>
                  <w:t>☐</w:t>
                </w:r>
              </w:p>
            </w:tc>
          </w:sdtContent>
        </w:sdt>
        <w:tc>
          <w:tcPr>
            <w:tcW w:w="1297" w:type="dxa"/>
            <w:tcBorders>
              <w:top w:val="dotted" w:sz="4" w:space="0" w:color="auto"/>
              <w:left w:val="nil"/>
              <w:bottom w:val="dotted" w:sz="4" w:space="0" w:color="auto"/>
              <w:right w:val="single" w:sz="4" w:space="0" w:color="auto"/>
            </w:tcBorders>
            <w:vAlign w:val="center"/>
          </w:tcPr>
          <w:p w:rsidR="00CD4F09" w:rsidRPr="000A7CB4" w:rsidRDefault="00CD4F09" w:rsidP="007F0200">
            <w:pPr>
              <w:ind w:left="34"/>
              <w:rPr>
                <w:rFonts w:cs="Times New Roman"/>
                <w:sz w:val="20"/>
                <w:szCs w:val="20"/>
              </w:rPr>
            </w:pPr>
            <w:r w:rsidRPr="000A7CB4">
              <w:rPr>
                <w:rFonts w:cs="Times New Roman"/>
                <w:sz w:val="20"/>
                <w:szCs w:val="20"/>
              </w:rPr>
              <w:t>Čiastočne</w:t>
            </w:r>
          </w:p>
        </w:tc>
      </w:tr>
      <w:tr w:rsidR="000A7CB4" w:rsidRPr="000A7CB4" w:rsidTr="007F0200">
        <w:tc>
          <w:tcPr>
            <w:tcW w:w="3812" w:type="dxa"/>
            <w:tcBorders>
              <w:top w:val="nil"/>
              <w:left w:val="single" w:sz="4" w:space="0" w:color="auto"/>
              <w:bottom w:val="nil"/>
              <w:right w:val="single" w:sz="4" w:space="0" w:color="auto"/>
            </w:tcBorders>
            <w:shd w:val="clear" w:color="auto" w:fill="E2E2E2"/>
          </w:tcPr>
          <w:p w:rsidR="00CD4F09" w:rsidRPr="000A7CB4" w:rsidRDefault="00CD4F09" w:rsidP="007F0200">
            <w:pPr>
              <w:rPr>
                <w:rFonts w:cs="Times New Roman"/>
                <w:b/>
                <w:sz w:val="20"/>
                <w:szCs w:val="20"/>
              </w:rPr>
            </w:pPr>
            <w:r w:rsidRPr="000A7CB4">
              <w:rPr>
                <w:rFonts w:cs="Times New Roman"/>
                <w:b/>
                <w:sz w:val="20"/>
                <w:szCs w:val="20"/>
              </w:rPr>
              <w:t>v tom vplyvy na rozpočty obcí a vyšších územných celkov</w:t>
            </w:r>
          </w:p>
        </w:tc>
        <w:sdt>
          <w:sdtPr>
            <w:rPr>
              <w:rFonts w:cs="Times New Roman"/>
              <w:b/>
              <w:sz w:val="20"/>
              <w:szCs w:val="20"/>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312" w:type="dxa"/>
            <w:gridSpan w:val="2"/>
            <w:tcBorders>
              <w:top w:val="dotted" w:sz="4" w:space="0" w:color="auto"/>
              <w:left w:val="nil"/>
              <w:bottom w:val="dotted" w:sz="4" w:space="0" w:color="auto"/>
              <w:right w:val="nil"/>
            </w:tcBorders>
          </w:tcPr>
          <w:p w:rsidR="00CD4F09" w:rsidRPr="000A7CB4" w:rsidRDefault="00CD4F09" w:rsidP="007F0200">
            <w:pPr>
              <w:rPr>
                <w:rFonts w:cs="Times New Roman"/>
                <w:b/>
                <w:sz w:val="20"/>
                <w:szCs w:val="20"/>
              </w:rPr>
            </w:pPr>
            <w:r w:rsidRPr="000A7CB4">
              <w:rPr>
                <w:rFonts w:cs="Times New Roman"/>
                <w:b/>
                <w:sz w:val="20"/>
                <w:szCs w:val="20"/>
              </w:rPr>
              <w:t>Pozitívne</w:t>
            </w:r>
          </w:p>
        </w:tc>
        <w:sdt>
          <w:sdtPr>
            <w:rPr>
              <w:rFonts w:cs="Times New Roman"/>
              <w:b/>
              <w:sz w:val="20"/>
              <w:szCs w:val="20"/>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133" w:type="dxa"/>
            <w:tcBorders>
              <w:top w:val="dotted" w:sz="4" w:space="0" w:color="auto"/>
              <w:left w:val="nil"/>
              <w:bottom w:val="dotted" w:sz="4" w:space="0" w:color="auto"/>
              <w:right w:val="nil"/>
            </w:tcBorders>
          </w:tcPr>
          <w:p w:rsidR="00CD4F09" w:rsidRPr="000A7CB4" w:rsidRDefault="00CD4F09" w:rsidP="007F0200">
            <w:pPr>
              <w:rPr>
                <w:rFonts w:cs="Times New Roman"/>
                <w:b/>
                <w:sz w:val="20"/>
                <w:szCs w:val="20"/>
              </w:rPr>
            </w:pPr>
            <w:r w:rsidRPr="000A7CB4">
              <w:rPr>
                <w:rFonts w:cs="Times New Roman"/>
                <w:b/>
                <w:sz w:val="20"/>
                <w:szCs w:val="20"/>
              </w:rPr>
              <w:t>Žiadne</w:t>
            </w:r>
          </w:p>
        </w:tc>
        <w:sdt>
          <w:sdtPr>
            <w:rPr>
              <w:rFonts w:cs="Times New Roman"/>
              <w:b/>
              <w:sz w:val="20"/>
              <w:szCs w:val="20"/>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rsidR="00CD4F09" w:rsidRPr="000A7CB4" w:rsidRDefault="00CD4F09" w:rsidP="007F0200">
                <w:pPr>
                  <w:ind w:left="-107" w:right="-108"/>
                  <w:jc w:val="center"/>
                  <w:rPr>
                    <w:rFonts w:cs="Times New Roman"/>
                    <w:b/>
                    <w:sz w:val="20"/>
                    <w:szCs w:val="20"/>
                  </w:rPr>
                </w:pPr>
                <w:r w:rsidRPr="000A7CB4">
                  <w:rPr>
                    <w:rFonts w:ascii="MS Gothic" w:eastAsia="MS Gothic" w:hAnsi="MS Gothic" w:cs="Times New Roman"/>
                    <w:b/>
                    <w:sz w:val="20"/>
                    <w:szCs w:val="20"/>
                  </w:rPr>
                  <w:t>☐</w:t>
                </w:r>
              </w:p>
            </w:tc>
          </w:sdtContent>
        </w:sdt>
        <w:tc>
          <w:tcPr>
            <w:tcW w:w="1297" w:type="dxa"/>
            <w:tcBorders>
              <w:top w:val="dotted" w:sz="4" w:space="0" w:color="auto"/>
              <w:left w:val="nil"/>
              <w:bottom w:val="dotted" w:sz="4" w:space="0" w:color="auto"/>
              <w:right w:val="single" w:sz="4" w:space="0" w:color="auto"/>
            </w:tcBorders>
          </w:tcPr>
          <w:p w:rsidR="00CD4F09" w:rsidRPr="000A7CB4" w:rsidRDefault="00CD4F09" w:rsidP="007F0200">
            <w:pPr>
              <w:ind w:left="34"/>
              <w:rPr>
                <w:rFonts w:cs="Times New Roman"/>
                <w:b/>
                <w:sz w:val="20"/>
                <w:szCs w:val="20"/>
              </w:rPr>
            </w:pPr>
            <w:r w:rsidRPr="000A7CB4">
              <w:rPr>
                <w:rFonts w:cs="Times New Roman"/>
                <w:b/>
                <w:sz w:val="20"/>
                <w:szCs w:val="20"/>
              </w:rPr>
              <w:t>Negatívne</w:t>
            </w:r>
          </w:p>
        </w:tc>
      </w:tr>
      <w:tr w:rsidR="000A7CB4" w:rsidRPr="000A7CB4" w:rsidTr="007F0200">
        <w:tc>
          <w:tcPr>
            <w:tcW w:w="3812" w:type="dxa"/>
            <w:tcBorders>
              <w:top w:val="nil"/>
              <w:left w:val="single" w:sz="4" w:space="0" w:color="auto"/>
              <w:bottom w:val="single" w:sz="4" w:space="0" w:color="auto"/>
              <w:right w:val="single" w:sz="4" w:space="0" w:color="auto"/>
            </w:tcBorders>
            <w:shd w:val="clear" w:color="auto" w:fill="E2E2E2"/>
          </w:tcPr>
          <w:p w:rsidR="00CD4F09" w:rsidRPr="000A7CB4" w:rsidRDefault="00CD4F09" w:rsidP="007F0200">
            <w:pPr>
              <w:ind w:left="171"/>
              <w:rPr>
                <w:rFonts w:cs="Times New Roman"/>
                <w:sz w:val="20"/>
                <w:szCs w:val="20"/>
              </w:rPr>
            </w:pPr>
            <w:r w:rsidRPr="000A7CB4">
              <w:rPr>
                <w:rFonts w:cs="Times New Roman"/>
                <w:sz w:val="20"/>
                <w:szCs w:val="20"/>
              </w:rPr>
              <w:t>z toho rozpočtovo zabezpečené vplyvy,</w:t>
            </w:r>
          </w:p>
          <w:p w:rsidR="00CD4F09" w:rsidRPr="000A7CB4" w:rsidRDefault="00CD4F09" w:rsidP="007F0200">
            <w:pPr>
              <w:ind w:left="171"/>
              <w:rPr>
                <w:rFonts w:cs="Times New Roman"/>
                <w:sz w:val="20"/>
                <w:szCs w:val="20"/>
              </w:rPr>
            </w:pPr>
            <w:r w:rsidRPr="000A7CB4">
              <w:rPr>
                <w:rFonts w:cs="Times New Roman"/>
                <w:sz w:val="20"/>
                <w:szCs w:val="20"/>
              </w:rPr>
              <w:t>v prípade identifikovaného negatívneho vplyvu</w:t>
            </w:r>
          </w:p>
        </w:tc>
        <w:sdt>
          <w:sdtPr>
            <w:rPr>
              <w:rFonts w:cs="Times New Roman"/>
              <w:sz w:val="20"/>
              <w:szCs w:val="20"/>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CD4F09" w:rsidRPr="000A7CB4" w:rsidRDefault="00CD4F09" w:rsidP="007F0200">
                <w:pPr>
                  <w:jc w:val="center"/>
                  <w:rPr>
                    <w:rFonts w:cs="Times New Roman"/>
                    <w:sz w:val="20"/>
                    <w:szCs w:val="20"/>
                  </w:rPr>
                </w:pPr>
                <w:r w:rsidRPr="000A7CB4">
                  <w:rPr>
                    <w:rFonts w:ascii="MS Gothic" w:eastAsia="MS Gothic" w:hAnsi="MS Gothic" w:cs="Times New Roman"/>
                    <w:sz w:val="20"/>
                    <w:szCs w:val="20"/>
                  </w:rPr>
                  <w:t>☐</w:t>
                </w:r>
              </w:p>
            </w:tc>
          </w:sdtContent>
        </w:sdt>
        <w:tc>
          <w:tcPr>
            <w:tcW w:w="1312" w:type="dxa"/>
            <w:gridSpan w:val="2"/>
            <w:tcBorders>
              <w:top w:val="dotted" w:sz="4" w:space="0" w:color="auto"/>
              <w:left w:val="nil"/>
              <w:bottom w:val="single" w:sz="4" w:space="0" w:color="auto"/>
              <w:right w:val="nil"/>
            </w:tcBorders>
            <w:vAlign w:val="center"/>
          </w:tcPr>
          <w:p w:rsidR="00CD4F09" w:rsidRPr="000A7CB4" w:rsidRDefault="00CD4F09" w:rsidP="007F0200">
            <w:pPr>
              <w:rPr>
                <w:rFonts w:cs="Times New Roman"/>
                <w:sz w:val="20"/>
                <w:szCs w:val="20"/>
              </w:rPr>
            </w:pPr>
            <w:r w:rsidRPr="000A7CB4">
              <w:rPr>
                <w:rFonts w:cs="Times New Roman"/>
                <w:sz w:val="20"/>
                <w:szCs w:val="20"/>
              </w:rPr>
              <w:t>Áno</w:t>
            </w:r>
          </w:p>
        </w:tc>
        <w:sdt>
          <w:sdtPr>
            <w:rPr>
              <w:rFonts w:cs="Times New Roman"/>
              <w:sz w:val="20"/>
              <w:szCs w:val="20"/>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CD4F09" w:rsidRPr="000A7CB4" w:rsidRDefault="00CD4F09" w:rsidP="007F0200">
                <w:pPr>
                  <w:jc w:val="center"/>
                  <w:rPr>
                    <w:rFonts w:cs="Times New Roman"/>
                    <w:sz w:val="20"/>
                    <w:szCs w:val="20"/>
                  </w:rPr>
                </w:pPr>
                <w:r w:rsidRPr="000A7CB4">
                  <w:rPr>
                    <w:rFonts w:ascii="MS Gothic" w:eastAsia="MS Gothic" w:hAnsi="MS Gothic" w:cs="Times New Roman"/>
                    <w:sz w:val="20"/>
                    <w:szCs w:val="20"/>
                  </w:rPr>
                  <w:t>☐</w:t>
                </w:r>
              </w:p>
            </w:tc>
          </w:sdtContent>
        </w:sdt>
        <w:tc>
          <w:tcPr>
            <w:tcW w:w="1133" w:type="dxa"/>
            <w:tcBorders>
              <w:top w:val="dotted" w:sz="4" w:space="0" w:color="auto"/>
              <w:left w:val="nil"/>
              <w:bottom w:val="single" w:sz="4" w:space="0" w:color="auto"/>
              <w:right w:val="nil"/>
            </w:tcBorders>
            <w:vAlign w:val="center"/>
          </w:tcPr>
          <w:p w:rsidR="00CD4F09" w:rsidRPr="000A7CB4" w:rsidRDefault="00CD4F09" w:rsidP="007F0200">
            <w:pPr>
              <w:rPr>
                <w:rFonts w:cs="Times New Roman"/>
                <w:sz w:val="20"/>
                <w:szCs w:val="20"/>
              </w:rPr>
            </w:pPr>
            <w:r w:rsidRPr="000A7CB4">
              <w:rPr>
                <w:rFonts w:cs="Times New Roman"/>
                <w:sz w:val="20"/>
                <w:szCs w:val="20"/>
              </w:rPr>
              <w:t>Nie</w:t>
            </w:r>
          </w:p>
        </w:tc>
        <w:sdt>
          <w:sdtPr>
            <w:rPr>
              <w:rFonts w:cs="Times New Roman"/>
              <w:sz w:val="20"/>
              <w:szCs w:val="20"/>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CD4F09" w:rsidRPr="000A7CB4" w:rsidRDefault="00CD4F09" w:rsidP="007F0200">
                <w:pPr>
                  <w:ind w:left="-107" w:right="-108"/>
                  <w:jc w:val="center"/>
                  <w:rPr>
                    <w:rFonts w:cs="Times New Roman"/>
                    <w:sz w:val="20"/>
                    <w:szCs w:val="20"/>
                  </w:rPr>
                </w:pPr>
                <w:r w:rsidRPr="000A7CB4">
                  <w:rPr>
                    <w:rFonts w:ascii="MS Gothic" w:eastAsia="MS Gothic" w:hAnsi="MS Gothic" w:cs="Times New Roman"/>
                    <w:sz w:val="20"/>
                    <w:szCs w:val="20"/>
                  </w:rPr>
                  <w:t>☐</w:t>
                </w:r>
              </w:p>
            </w:tc>
          </w:sdtContent>
        </w:sdt>
        <w:tc>
          <w:tcPr>
            <w:tcW w:w="1297" w:type="dxa"/>
            <w:tcBorders>
              <w:top w:val="dotted" w:sz="4" w:space="0" w:color="auto"/>
              <w:left w:val="nil"/>
              <w:bottom w:val="single" w:sz="4" w:space="0" w:color="auto"/>
              <w:right w:val="single" w:sz="4" w:space="0" w:color="auto"/>
            </w:tcBorders>
            <w:vAlign w:val="center"/>
          </w:tcPr>
          <w:p w:rsidR="00CD4F09" w:rsidRPr="000A7CB4" w:rsidRDefault="00CD4F09" w:rsidP="007F0200">
            <w:pPr>
              <w:ind w:left="34"/>
              <w:rPr>
                <w:rFonts w:cs="Times New Roman"/>
                <w:sz w:val="20"/>
                <w:szCs w:val="20"/>
              </w:rPr>
            </w:pPr>
            <w:r w:rsidRPr="000A7CB4">
              <w:rPr>
                <w:rFonts w:cs="Times New Roman"/>
                <w:sz w:val="20"/>
                <w:szCs w:val="20"/>
              </w:rPr>
              <w:t>Čiastočne</w:t>
            </w:r>
          </w:p>
        </w:tc>
      </w:tr>
      <w:tr w:rsidR="000A7CB4" w:rsidRPr="000A7CB4" w:rsidTr="007F0200">
        <w:tc>
          <w:tcPr>
            <w:tcW w:w="3812" w:type="dxa"/>
            <w:tcBorders>
              <w:top w:val="single" w:sz="4" w:space="0" w:color="auto"/>
              <w:left w:val="single" w:sz="4" w:space="0" w:color="auto"/>
              <w:bottom w:val="single" w:sz="4" w:space="0" w:color="auto"/>
              <w:right w:val="single" w:sz="4" w:space="0" w:color="auto"/>
            </w:tcBorders>
            <w:shd w:val="clear" w:color="auto" w:fill="E2E2E2"/>
          </w:tcPr>
          <w:p w:rsidR="00CD4F09" w:rsidRPr="000A7CB4" w:rsidRDefault="00CD4F09" w:rsidP="007F0200">
            <w:pPr>
              <w:ind w:left="171"/>
              <w:rPr>
                <w:rFonts w:cs="Times New Roman"/>
                <w:sz w:val="20"/>
                <w:szCs w:val="20"/>
              </w:rPr>
            </w:pPr>
            <w:r w:rsidRPr="000A7CB4">
              <w:rPr>
                <w:rFonts w:cs="Times New Roman"/>
                <w:sz w:val="20"/>
                <w:szCs w:val="20"/>
              </w:rPr>
              <w:t>Vplyv na dlhodobú udržateľnosť verejných financií v prípade vybraných opatrení ***</w:t>
            </w:r>
          </w:p>
        </w:tc>
        <w:sdt>
          <w:sdtPr>
            <w:rPr>
              <w:rFonts w:cs="Times New Roman"/>
              <w:sz w:val="20"/>
              <w:szCs w:val="20"/>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CD4F09" w:rsidRPr="000A7CB4" w:rsidRDefault="00CD4F09" w:rsidP="007F0200">
                <w:pPr>
                  <w:jc w:val="center"/>
                  <w:rPr>
                    <w:rFonts w:cs="Times New Roman"/>
                    <w:sz w:val="20"/>
                    <w:szCs w:val="20"/>
                  </w:rPr>
                </w:pPr>
                <w:r w:rsidRPr="000A7CB4">
                  <w:rPr>
                    <w:rFonts w:ascii="MS Gothic" w:eastAsia="MS Gothic" w:hAnsi="MS Gothic" w:cs="Times New Roman"/>
                    <w:sz w:val="20"/>
                    <w:szCs w:val="20"/>
                  </w:rPr>
                  <w:t>☐</w:t>
                </w:r>
              </w:p>
            </w:tc>
          </w:sdtContent>
        </w:sdt>
        <w:tc>
          <w:tcPr>
            <w:tcW w:w="1312" w:type="dxa"/>
            <w:gridSpan w:val="2"/>
            <w:tcBorders>
              <w:top w:val="single" w:sz="4" w:space="0" w:color="auto"/>
              <w:left w:val="nil"/>
              <w:bottom w:val="single" w:sz="4" w:space="0" w:color="auto"/>
              <w:right w:val="nil"/>
            </w:tcBorders>
            <w:vAlign w:val="center"/>
          </w:tcPr>
          <w:p w:rsidR="00CD4F09" w:rsidRPr="000A7CB4" w:rsidRDefault="00CD4F09" w:rsidP="007F0200">
            <w:pPr>
              <w:rPr>
                <w:rFonts w:cs="Times New Roman"/>
                <w:sz w:val="20"/>
                <w:szCs w:val="20"/>
              </w:rPr>
            </w:pPr>
            <w:r w:rsidRPr="000A7CB4">
              <w:rPr>
                <w:rFonts w:cs="Times New Roman"/>
                <w:sz w:val="20"/>
                <w:szCs w:val="20"/>
              </w:rPr>
              <w:t>Áno</w:t>
            </w:r>
          </w:p>
        </w:tc>
        <w:tc>
          <w:tcPr>
            <w:tcW w:w="538" w:type="dxa"/>
            <w:gridSpan w:val="2"/>
            <w:tcBorders>
              <w:top w:val="single" w:sz="4" w:space="0" w:color="auto"/>
              <w:left w:val="nil"/>
              <w:bottom w:val="single" w:sz="4" w:space="0" w:color="auto"/>
              <w:right w:val="nil"/>
            </w:tcBorders>
            <w:vAlign w:val="center"/>
          </w:tcPr>
          <w:p w:rsidR="00CD4F09" w:rsidRPr="000A7CB4" w:rsidRDefault="00CD4F09" w:rsidP="007F0200">
            <w:pPr>
              <w:jc w:val="center"/>
              <w:rPr>
                <w:rFonts w:cs="Times New Roman"/>
                <w:sz w:val="20"/>
                <w:szCs w:val="20"/>
              </w:rPr>
            </w:pPr>
          </w:p>
        </w:tc>
        <w:tc>
          <w:tcPr>
            <w:tcW w:w="1133" w:type="dxa"/>
            <w:tcBorders>
              <w:top w:val="single" w:sz="4" w:space="0" w:color="auto"/>
              <w:left w:val="nil"/>
              <w:bottom w:val="single" w:sz="4" w:space="0" w:color="auto"/>
              <w:right w:val="nil"/>
            </w:tcBorders>
            <w:vAlign w:val="center"/>
          </w:tcPr>
          <w:p w:rsidR="00CD4F09" w:rsidRPr="000A7CB4" w:rsidRDefault="00CD4F09" w:rsidP="007F0200">
            <w:pPr>
              <w:rPr>
                <w:rFonts w:cs="Times New Roman"/>
                <w:sz w:val="20"/>
                <w:szCs w:val="20"/>
              </w:rPr>
            </w:pPr>
          </w:p>
        </w:tc>
        <w:sdt>
          <w:sdtPr>
            <w:rPr>
              <w:rFonts w:cs="Times New Roman"/>
              <w:sz w:val="20"/>
              <w:szCs w:val="20"/>
            </w:rPr>
            <w:id w:val="217795167"/>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CD4F09" w:rsidRPr="000A7CB4" w:rsidRDefault="00CD4F09" w:rsidP="007F0200">
                <w:pPr>
                  <w:ind w:left="-107" w:right="-108"/>
                  <w:jc w:val="center"/>
                  <w:rPr>
                    <w:rFonts w:cs="Times New Roman"/>
                    <w:sz w:val="20"/>
                    <w:szCs w:val="20"/>
                  </w:rPr>
                </w:pPr>
                <w:r w:rsidRPr="000A7CB4">
                  <w:rPr>
                    <w:rFonts w:ascii="MS Gothic" w:eastAsia="MS Gothic" w:hAnsi="MS Gothic" w:cs="Times New Roman"/>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rsidR="00CD4F09" w:rsidRPr="000A7CB4" w:rsidRDefault="00CD4F09" w:rsidP="007F0200">
            <w:pPr>
              <w:ind w:left="34"/>
              <w:rPr>
                <w:rFonts w:cs="Times New Roman"/>
                <w:sz w:val="20"/>
                <w:szCs w:val="20"/>
              </w:rPr>
            </w:pPr>
            <w:r w:rsidRPr="000A7CB4">
              <w:rPr>
                <w:rFonts w:cs="Times New Roman"/>
                <w:sz w:val="20"/>
                <w:szCs w:val="20"/>
              </w:rPr>
              <w:t>Nie</w:t>
            </w:r>
          </w:p>
        </w:tc>
      </w:tr>
      <w:tr w:rsidR="000A7CB4" w:rsidRPr="000A7CB4" w:rsidTr="007F0200">
        <w:tc>
          <w:tcPr>
            <w:tcW w:w="3812" w:type="dxa"/>
            <w:tcBorders>
              <w:top w:val="single" w:sz="4" w:space="0" w:color="auto"/>
              <w:left w:val="single" w:sz="4" w:space="0" w:color="auto"/>
              <w:bottom w:val="single" w:sz="4" w:space="0" w:color="auto"/>
              <w:right w:val="single" w:sz="4" w:space="0" w:color="auto"/>
            </w:tcBorders>
            <w:shd w:val="clear" w:color="auto" w:fill="E2E2E2"/>
          </w:tcPr>
          <w:p w:rsidR="00CD4F09" w:rsidRPr="000A7CB4" w:rsidRDefault="00CD4F09" w:rsidP="007F0200">
            <w:pPr>
              <w:rPr>
                <w:rFonts w:cs="Times New Roman"/>
                <w:b/>
                <w:sz w:val="20"/>
                <w:szCs w:val="20"/>
              </w:rPr>
            </w:pPr>
            <w:r w:rsidRPr="000A7CB4">
              <w:rPr>
                <w:rFonts w:cs="Times New Roman"/>
                <w:b/>
                <w:sz w:val="20"/>
                <w:szCs w:val="20"/>
              </w:rPr>
              <w:t>Vplyvy na limit verejných výdavkov</w:t>
            </w:r>
          </w:p>
        </w:tc>
        <w:sdt>
          <w:sdtPr>
            <w:rPr>
              <w:rFonts w:cs="Times New Roman"/>
              <w:b/>
              <w:sz w:val="20"/>
              <w:szCs w:val="20"/>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CD4F09" w:rsidRPr="000A7CB4" w:rsidRDefault="00CD4F09" w:rsidP="007F0200">
                <w:pPr>
                  <w:jc w:val="center"/>
                  <w:rPr>
                    <w:rFonts w:cs="Times New Roman"/>
                    <w:sz w:val="20"/>
                    <w:szCs w:val="20"/>
                  </w:rPr>
                </w:pPr>
                <w:r w:rsidRPr="000A7CB4">
                  <w:rPr>
                    <w:rFonts w:ascii="MS Gothic" w:eastAsia="MS Gothic" w:hAnsi="MS Gothic" w:cs="Times New Roman"/>
                    <w:b/>
                    <w:sz w:val="20"/>
                    <w:szCs w:val="20"/>
                  </w:rPr>
                  <w:t>☐</w:t>
                </w:r>
              </w:p>
            </w:tc>
          </w:sdtContent>
        </w:sdt>
        <w:tc>
          <w:tcPr>
            <w:tcW w:w="1312" w:type="dxa"/>
            <w:gridSpan w:val="2"/>
            <w:tcBorders>
              <w:top w:val="single" w:sz="4" w:space="0" w:color="auto"/>
              <w:left w:val="nil"/>
              <w:bottom w:val="single" w:sz="4" w:space="0" w:color="auto"/>
              <w:right w:val="nil"/>
            </w:tcBorders>
            <w:vAlign w:val="center"/>
          </w:tcPr>
          <w:p w:rsidR="00CD4F09" w:rsidRPr="000A7CB4" w:rsidRDefault="00CD4F09" w:rsidP="007F0200">
            <w:pPr>
              <w:rPr>
                <w:rFonts w:cs="Times New Roman"/>
                <w:sz w:val="20"/>
                <w:szCs w:val="20"/>
              </w:rPr>
            </w:pPr>
            <w:r w:rsidRPr="000A7CB4">
              <w:rPr>
                <w:rFonts w:cs="Times New Roman"/>
                <w:b/>
                <w:sz w:val="20"/>
                <w:szCs w:val="20"/>
              </w:rPr>
              <w:t>Pozitívne</w:t>
            </w:r>
          </w:p>
        </w:tc>
        <w:sdt>
          <w:sdtPr>
            <w:rPr>
              <w:rFonts w:cs="Times New Roman"/>
              <w:b/>
              <w:sz w:val="20"/>
              <w:szCs w:val="20"/>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rsidR="00CD4F09" w:rsidRPr="000A7CB4" w:rsidRDefault="00CD4F09" w:rsidP="007F0200">
                <w:pPr>
                  <w:jc w:val="center"/>
                  <w:rPr>
                    <w:rFonts w:cs="Times New Roman"/>
                    <w:sz w:val="20"/>
                    <w:szCs w:val="20"/>
                  </w:rPr>
                </w:pPr>
                <w:r w:rsidRPr="000A7CB4">
                  <w:rPr>
                    <w:rFonts w:ascii="MS Gothic" w:eastAsia="MS Gothic" w:hAnsi="MS Gothic" w:cs="Times New Roman"/>
                    <w:b/>
                    <w:sz w:val="20"/>
                    <w:szCs w:val="20"/>
                  </w:rPr>
                  <w:t>☒</w:t>
                </w:r>
              </w:p>
            </w:tc>
          </w:sdtContent>
        </w:sdt>
        <w:tc>
          <w:tcPr>
            <w:tcW w:w="1133" w:type="dxa"/>
            <w:tcBorders>
              <w:top w:val="single" w:sz="4" w:space="0" w:color="auto"/>
              <w:left w:val="nil"/>
              <w:bottom w:val="single" w:sz="4" w:space="0" w:color="auto"/>
              <w:right w:val="nil"/>
            </w:tcBorders>
            <w:vAlign w:val="center"/>
          </w:tcPr>
          <w:p w:rsidR="00CD4F09" w:rsidRPr="000A7CB4" w:rsidRDefault="00CD4F09" w:rsidP="007F0200">
            <w:pPr>
              <w:rPr>
                <w:rFonts w:cs="Times New Roman"/>
                <w:sz w:val="20"/>
                <w:szCs w:val="20"/>
              </w:rPr>
            </w:pPr>
            <w:r w:rsidRPr="000A7CB4">
              <w:rPr>
                <w:rFonts w:cs="Times New Roman"/>
                <w:b/>
                <w:sz w:val="20"/>
                <w:szCs w:val="20"/>
              </w:rPr>
              <w:t>Žiadne</w:t>
            </w:r>
          </w:p>
        </w:tc>
        <w:sdt>
          <w:sdtPr>
            <w:rPr>
              <w:rFonts w:cs="Times New Roman"/>
              <w:b/>
              <w:sz w:val="20"/>
              <w:szCs w:val="20"/>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CD4F09" w:rsidRPr="000A7CB4" w:rsidRDefault="00CD4F09" w:rsidP="007F0200">
                <w:pPr>
                  <w:ind w:left="-107" w:right="-108"/>
                  <w:jc w:val="center"/>
                  <w:rPr>
                    <w:rFonts w:cs="Times New Roman"/>
                    <w:sz w:val="20"/>
                    <w:szCs w:val="20"/>
                  </w:rPr>
                </w:pPr>
                <w:r w:rsidRPr="000A7CB4">
                  <w:rPr>
                    <w:rFonts w:ascii="MS Gothic" w:eastAsia="MS Gothic" w:hAnsi="MS Gothic" w:cs="Times New Roman"/>
                    <w:b/>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rsidR="00CD4F09" w:rsidRPr="000A7CB4" w:rsidRDefault="00CD4F09" w:rsidP="007F0200">
            <w:pPr>
              <w:ind w:left="34"/>
              <w:rPr>
                <w:rFonts w:cs="Times New Roman"/>
                <w:sz w:val="20"/>
                <w:szCs w:val="20"/>
              </w:rPr>
            </w:pPr>
            <w:r w:rsidRPr="000A7CB4">
              <w:rPr>
                <w:rFonts w:cs="Times New Roman"/>
                <w:b/>
                <w:sz w:val="20"/>
                <w:szCs w:val="20"/>
              </w:rPr>
              <w:t>Negatívne</w:t>
            </w:r>
          </w:p>
        </w:tc>
      </w:tr>
      <w:tr w:rsidR="000A7CB4" w:rsidRPr="000A7CB4" w:rsidTr="007F0200">
        <w:tc>
          <w:tcPr>
            <w:tcW w:w="3812" w:type="dxa"/>
            <w:tcBorders>
              <w:top w:val="single" w:sz="4" w:space="0" w:color="auto"/>
              <w:left w:val="single" w:sz="4" w:space="0" w:color="auto"/>
              <w:bottom w:val="nil"/>
              <w:right w:val="single" w:sz="4" w:space="0" w:color="auto"/>
            </w:tcBorders>
            <w:shd w:val="clear" w:color="auto" w:fill="E2E2E2"/>
          </w:tcPr>
          <w:p w:rsidR="00CD4F09" w:rsidRPr="000A7CB4" w:rsidRDefault="00CD4F09" w:rsidP="007F0200">
            <w:pPr>
              <w:rPr>
                <w:rFonts w:cs="Times New Roman"/>
                <w:b/>
                <w:sz w:val="20"/>
                <w:szCs w:val="20"/>
              </w:rPr>
            </w:pPr>
            <w:r w:rsidRPr="000A7CB4">
              <w:rPr>
                <w:rFonts w:cs="Times New Roman"/>
                <w:b/>
                <w:sz w:val="20"/>
                <w:szCs w:val="20"/>
              </w:rPr>
              <w:t>Vplyvy na podnikateľské prostredie</w:t>
            </w:r>
          </w:p>
        </w:tc>
        <w:sdt>
          <w:sdtPr>
            <w:rPr>
              <w:rFonts w:cs="Times New Roman"/>
              <w:b/>
              <w:sz w:val="20"/>
              <w:szCs w:val="20"/>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312" w:type="dxa"/>
            <w:gridSpan w:val="2"/>
            <w:tcBorders>
              <w:top w:val="single" w:sz="4" w:space="0" w:color="auto"/>
              <w:left w:val="nil"/>
              <w:bottom w:val="dotted" w:sz="4" w:space="0" w:color="auto"/>
              <w:right w:val="nil"/>
            </w:tcBorders>
            <w:vAlign w:val="center"/>
          </w:tcPr>
          <w:p w:rsidR="00CD4F09" w:rsidRPr="000A7CB4" w:rsidRDefault="00CD4F09" w:rsidP="007F0200">
            <w:pPr>
              <w:ind w:right="-108"/>
              <w:rPr>
                <w:rFonts w:cs="Times New Roman"/>
                <w:b/>
                <w:sz w:val="20"/>
                <w:szCs w:val="20"/>
              </w:rPr>
            </w:pPr>
            <w:r w:rsidRPr="000A7CB4">
              <w:rPr>
                <w:rFonts w:cs="Times New Roman"/>
                <w:b/>
                <w:sz w:val="20"/>
                <w:szCs w:val="20"/>
              </w:rPr>
              <w:t>Pozitívne</w:t>
            </w:r>
          </w:p>
        </w:tc>
        <w:sdt>
          <w:sdtPr>
            <w:rPr>
              <w:rFonts w:cs="Times New Roman"/>
              <w:b/>
              <w:sz w:val="20"/>
              <w:szCs w:val="20"/>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133" w:type="dxa"/>
            <w:tcBorders>
              <w:top w:val="single" w:sz="4" w:space="0" w:color="auto"/>
              <w:left w:val="nil"/>
              <w:bottom w:val="dotted" w:sz="4" w:space="0" w:color="auto"/>
              <w:right w:val="nil"/>
            </w:tcBorders>
            <w:vAlign w:val="center"/>
          </w:tcPr>
          <w:p w:rsidR="00CD4F09" w:rsidRPr="000A7CB4" w:rsidRDefault="00CD4F09" w:rsidP="007F0200">
            <w:pPr>
              <w:rPr>
                <w:rFonts w:cs="Times New Roman"/>
                <w:b/>
                <w:sz w:val="20"/>
                <w:szCs w:val="20"/>
              </w:rPr>
            </w:pPr>
            <w:r w:rsidRPr="000A7CB4">
              <w:rPr>
                <w:rFonts w:cs="Times New Roman"/>
                <w:b/>
                <w:sz w:val="20"/>
                <w:szCs w:val="20"/>
              </w:rPr>
              <w:t>Žiadne</w:t>
            </w:r>
          </w:p>
        </w:tc>
        <w:sdt>
          <w:sdtPr>
            <w:rPr>
              <w:rFonts w:cs="Times New Roman"/>
              <w:b/>
              <w:sz w:val="20"/>
              <w:szCs w:val="20"/>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297" w:type="dxa"/>
            <w:tcBorders>
              <w:top w:val="single" w:sz="4" w:space="0" w:color="auto"/>
              <w:left w:val="nil"/>
              <w:bottom w:val="dotted" w:sz="4" w:space="0" w:color="auto"/>
              <w:right w:val="single" w:sz="4" w:space="0" w:color="auto"/>
            </w:tcBorders>
            <w:vAlign w:val="center"/>
          </w:tcPr>
          <w:p w:rsidR="00CD4F09" w:rsidRPr="000A7CB4" w:rsidRDefault="00CD4F09" w:rsidP="007F0200">
            <w:pPr>
              <w:ind w:left="54"/>
              <w:rPr>
                <w:rFonts w:cs="Times New Roman"/>
                <w:b/>
                <w:sz w:val="20"/>
                <w:szCs w:val="20"/>
              </w:rPr>
            </w:pPr>
            <w:r w:rsidRPr="000A7CB4">
              <w:rPr>
                <w:rFonts w:cs="Times New Roman"/>
                <w:b/>
                <w:sz w:val="20"/>
                <w:szCs w:val="20"/>
              </w:rPr>
              <w:t>Negatívne</w:t>
            </w:r>
          </w:p>
        </w:tc>
      </w:tr>
      <w:tr w:rsidR="000A7CB4" w:rsidRPr="000A7CB4" w:rsidTr="007F0200">
        <w:tc>
          <w:tcPr>
            <w:tcW w:w="3812" w:type="dxa"/>
            <w:tcBorders>
              <w:top w:val="nil"/>
              <w:left w:val="single" w:sz="4" w:space="0" w:color="000000"/>
              <w:bottom w:val="nil"/>
              <w:right w:val="single" w:sz="4" w:space="0" w:color="000000"/>
            </w:tcBorders>
            <w:shd w:val="clear" w:color="auto" w:fill="E2E2E2"/>
          </w:tcPr>
          <w:p w:rsidR="00CD4F09" w:rsidRPr="000A7CB4" w:rsidRDefault="00CD4F09" w:rsidP="007F0200">
            <w:pPr>
              <w:rPr>
                <w:rFonts w:cs="Times New Roman"/>
                <w:sz w:val="20"/>
                <w:szCs w:val="20"/>
              </w:rPr>
            </w:pPr>
            <w:r w:rsidRPr="000A7CB4">
              <w:rPr>
                <w:rFonts w:cs="Times New Roman"/>
                <w:sz w:val="20"/>
                <w:szCs w:val="20"/>
              </w:rPr>
              <w:t xml:space="preserve">    z toho vplyvy na MSP</w:t>
            </w:r>
          </w:p>
          <w:p w:rsidR="00CD4F09" w:rsidRPr="000A7CB4" w:rsidRDefault="00CD4F09" w:rsidP="007F0200">
            <w:pPr>
              <w:rPr>
                <w:rFonts w:cs="Times New Roman"/>
                <w:sz w:val="20"/>
                <w:szCs w:val="20"/>
              </w:rPr>
            </w:pPr>
          </w:p>
        </w:tc>
        <w:sdt>
          <w:sdtPr>
            <w:rPr>
              <w:rFonts w:cs="Times New Roman"/>
              <w:sz w:val="20"/>
              <w:szCs w:val="20"/>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CD4F09" w:rsidRPr="000A7CB4" w:rsidRDefault="00CD4F09" w:rsidP="007F0200">
                <w:pPr>
                  <w:jc w:val="center"/>
                  <w:rPr>
                    <w:rFonts w:cs="Times New Roman"/>
                    <w:sz w:val="20"/>
                    <w:szCs w:val="20"/>
                  </w:rPr>
                </w:pPr>
                <w:r w:rsidRPr="000A7CB4">
                  <w:rPr>
                    <w:rFonts w:ascii="MS Gothic" w:eastAsia="MS Gothic" w:hAnsi="MS Gothic" w:cs="Times New Roman"/>
                    <w:sz w:val="20"/>
                    <w:szCs w:val="20"/>
                  </w:rPr>
                  <w:t>☒</w:t>
                </w:r>
              </w:p>
            </w:tc>
          </w:sdtContent>
        </w:sdt>
        <w:tc>
          <w:tcPr>
            <w:tcW w:w="1312" w:type="dxa"/>
            <w:gridSpan w:val="2"/>
            <w:tcBorders>
              <w:top w:val="dotted" w:sz="4" w:space="0" w:color="auto"/>
              <w:left w:val="nil"/>
              <w:bottom w:val="dotted" w:sz="4" w:space="0" w:color="auto"/>
              <w:right w:val="nil"/>
            </w:tcBorders>
            <w:vAlign w:val="center"/>
          </w:tcPr>
          <w:p w:rsidR="00CD4F09" w:rsidRPr="000A7CB4" w:rsidRDefault="00CD4F09" w:rsidP="007F0200">
            <w:pPr>
              <w:ind w:right="-108"/>
              <w:rPr>
                <w:rFonts w:cs="Times New Roman"/>
                <w:sz w:val="20"/>
                <w:szCs w:val="20"/>
              </w:rPr>
            </w:pPr>
            <w:r w:rsidRPr="000A7CB4">
              <w:rPr>
                <w:rFonts w:cs="Times New Roman"/>
                <w:sz w:val="20"/>
                <w:szCs w:val="20"/>
              </w:rPr>
              <w:t>Pozitívne</w:t>
            </w:r>
          </w:p>
        </w:tc>
        <w:sdt>
          <w:sdtPr>
            <w:rPr>
              <w:rFonts w:cs="Times New Roman"/>
              <w:sz w:val="20"/>
              <w:szCs w:val="20"/>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CD4F09" w:rsidRPr="000A7CB4" w:rsidRDefault="00CD4F09" w:rsidP="007F0200">
                <w:pPr>
                  <w:jc w:val="center"/>
                  <w:rPr>
                    <w:rFonts w:cs="Times New Roman"/>
                    <w:sz w:val="20"/>
                    <w:szCs w:val="20"/>
                  </w:rPr>
                </w:pPr>
                <w:r w:rsidRPr="000A7CB4">
                  <w:rPr>
                    <w:rFonts w:ascii="MS Gothic" w:eastAsia="MS Gothic" w:hAnsi="MS Gothic" w:cs="Times New Roman"/>
                    <w:sz w:val="20"/>
                    <w:szCs w:val="20"/>
                  </w:rPr>
                  <w:t>☐</w:t>
                </w:r>
              </w:p>
            </w:tc>
          </w:sdtContent>
        </w:sdt>
        <w:tc>
          <w:tcPr>
            <w:tcW w:w="1133" w:type="dxa"/>
            <w:tcBorders>
              <w:top w:val="dotted" w:sz="4" w:space="0" w:color="auto"/>
              <w:left w:val="nil"/>
              <w:bottom w:val="dotted" w:sz="4" w:space="0" w:color="auto"/>
              <w:right w:val="nil"/>
            </w:tcBorders>
            <w:vAlign w:val="center"/>
          </w:tcPr>
          <w:p w:rsidR="00CD4F09" w:rsidRPr="000A7CB4" w:rsidRDefault="00CD4F09" w:rsidP="007F0200">
            <w:pPr>
              <w:rPr>
                <w:rFonts w:cs="Times New Roman"/>
                <w:sz w:val="20"/>
                <w:szCs w:val="20"/>
              </w:rPr>
            </w:pPr>
            <w:r w:rsidRPr="000A7CB4">
              <w:rPr>
                <w:rFonts w:cs="Times New Roman"/>
                <w:sz w:val="20"/>
                <w:szCs w:val="20"/>
              </w:rPr>
              <w:t>Žiadne</w:t>
            </w:r>
          </w:p>
        </w:tc>
        <w:sdt>
          <w:sdtPr>
            <w:rPr>
              <w:rFonts w:cs="Times New Roman"/>
              <w:sz w:val="20"/>
              <w:szCs w:val="20"/>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CD4F09" w:rsidRPr="000A7CB4" w:rsidRDefault="00CD4F09" w:rsidP="007F0200">
                <w:pPr>
                  <w:jc w:val="center"/>
                  <w:rPr>
                    <w:rFonts w:cs="Times New Roman"/>
                    <w:sz w:val="20"/>
                    <w:szCs w:val="20"/>
                  </w:rPr>
                </w:pPr>
                <w:r w:rsidRPr="000A7CB4">
                  <w:rPr>
                    <w:rFonts w:ascii="MS Gothic" w:eastAsia="MS Gothic" w:hAnsi="MS Gothic" w:cs="Times New Roman"/>
                    <w:sz w:val="20"/>
                    <w:szCs w:val="20"/>
                  </w:rPr>
                  <w:t>☒</w:t>
                </w:r>
              </w:p>
            </w:tc>
          </w:sdtContent>
        </w:sdt>
        <w:tc>
          <w:tcPr>
            <w:tcW w:w="1297" w:type="dxa"/>
            <w:tcBorders>
              <w:top w:val="dotted" w:sz="4" w:space="0" w:color="auto"/>
              <w:left w:val="nil"/>
              <w:bottom w:val="dotted" w:sz="4" w:space="0" w:color="auto"/>
              <w:right w:val="single" w:sz="4" w:space="0" w:color="auto"/>
            </w:tcBorders>
            <w:vAlign w:val="center"/>
          </w:tcPr>
          <w:p w:rsidR="00CD4F09" w:rsidRPr="000A7CB4" w:rsidRDefault="00CD4F09" w:rsidP="007F0200">
            <w:pPr>
              <w:ind w:left="54"/>
              <w:rPr>
                <w:rFonts w:cs="Times New Roman"/>
                <w:sz w:val="20"/>
                <w:szCs w:val="20"/>
              </w:rPr>
            </w:pPr>
            <w:r w:rsidRPr="000A7CB4">
              <w:rPr>
                <w:rFonts w:cs="Times New Roman"/>
                <w:sz w:val="20"/>
                <w:szCs w:val="20"/>
              </w:rPr>
              <w:t>Negatívne</w:t>
            </w:r>
          </w:p>
        </w:tc>
      </w:tr>
      <w:tr w:rsidR="000A7CB4" w:rsidRPr="000A7CB4" w:rsidTr="007F0200">
        <w:tc>
          <w:tcPr>
            <w:tcW w:w="3812" w:type="dxa"/>
            <w:tcBorders>
              <w:top w:val="nil"/>
              <w:left w:val="single" w:sz="4" w:space="0" w:color="auto"/>
              <w:bottom w:val="single" w:sz="4" w:space="0" w:color="auto"/>
              <w:right w:val="single" w:sz="4" w:space="0" w:color="auto"/>
            </w:tcBorders>
            <w:shd w:val="clear" w:color="auto" w:fill="E2E2E2"/>
          </w:tcPr>
          <w:p w:rsidR="00CD4F09" w:rsidRPr="000A7CB4" w:rsidRDefault="00CD4F09" w:rsidP="007F0200">
            <w:pPr>
              <w:rPr>
                <w:rFonts w:cs="Times New Roman"/>
                <w:sz w:val="20"/>
                <w:szCs w:val="20"/>
              </w:rPr>
            </w:pPr>
            <w:r w:rsidRPr="000A7CB4">
              <w:rPr>
                <w:rFonts w:cs="Times New Roman"/>
                <w:sz w:val="20"/>
                <w:szCs w:val="20"/>
              </w:rPr>
              <w:lastRenderedPageBreak/>
              <w:t xml:space="preserve">    Mechanizmus znižovania byrokracie    </w:t>
            </w:r>
          </w:p>
          <w:p w:rsidR="00CD4F09" w:rsidRPr="000A7CB4" w:rsidRDefault="00CD4F09" w:rsidP="007F0200">
            <w:pPr>
              <w:rPr>
                <w:rFonts w:cs="Times New Roman"/>
                <w:b/>
                <w:sz w:val="20"/>
                <w:szCs w:val="20"/>
              </w:rPr>
            </w:pPr>
            <w:r w:rsidRPr="000A7CB4">
              <w:rPr>
                <w:rFonts w:cs="Times New Roman"/>
                <w:sz w:val="20"/>
                <w:szCs w:val="20"/>
              </w:rPr>
              <w:t xml:space="preserve">    a nákladov sa uplatňuje:</w:t>
            </w:r>
          </w:p>
        </w:tc>
        <w:sdt>
          <w:sdtPr>
            <w:rPr>
              <w:rFonts w:cs="Times New Roman"/>
              <w:b/>
              <w:sz w:val="20"/>
              <w:szCs w:val="20"/>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596" w:type="dxa"/>
            <w:gridSpan w:val="3"/>
            <w:tcBorders>
              <w:top w:val="dotted" w:sz="4" w:space="0" w:color="auto"/>
              <w:left w:val="nil"/>
              <w:bottom w:val="single" w:sz="4" w:space="0" w:color="auto"/>
              <w:right w:val="nil"/>
            </w:tcBorders>
            <w:vAlign w:val="center"/>
          </w:tcPr>
          <w:p w:rsidR="00CD4F09" w:rsidRPr="000A7CB4" w:rsidRDefault="00CD4F09" w:rsidP="007F0200">
            <w:pPr>
              <w:ind w:right="-108"/>
              <w:rPr>
                <w:rFonts w:cs="Times New Roman"/>
                <w:b/>
                <w:sz w:val="20"/>
                <w:szCs w:val="20"/>
              </w:rPr>
            </w:pPr>
            <w:r w:rsidRPr="000A7CB4">
              <w:rPr>
                <w:rFonts w:cs="Times New Roman"/>
                <w:sz w:val="20"/>
                <w:szCs w:val="20"/>
              </w:rPr>
              <w:t>Áno</w:t>
            </w:r>
          </w:p>
        </w:tc>
        <w:tc>
          <w:tcPr>
            <w:tcW w:w="254" w:type="dxa"/>
            <w:tcBorders>
              <w:top w:val="dotted" w:sz="4" w:space="0" w:color="auto"/>
              <w:left w:val="nil"/>
              <w:bottom w:val="single" w:sz="4" w:space="0" w:color="auto"/>
              <w:right w:val="nil"/>
            </w:tcBorders>
            <w:vAlign w:val="center"/>
          </w:tcPr>
          <w:p w:rsidR="00CD4F09" w:rsidRPr="000A7CB4" w:rsidRDefault="00CD4F09" w:rsidP="007F0200">
            <w:pPr>
              <w:jc w:val="center"/>
              <w:rPr>
                <w:rFonts w:cs="Times New Roman"/>
                <w:b/>
                <w:sz w:val="20"/>
                <w:szCs w:val="20"/>
              </w:rPr>
            </w:pPr>
          </w:p>
        </w:tc>
        <w:tc>
          <w:tcPr>
            <w:tcW w:w="1133" w:type="dxa"/>
            <w:tcBorders>
              <w:top w:val="dotted" w:sz="4" w:space="0" w:color="auto"/>
              <w:left w:val="nil"/>
              <w:bottom w:val="single" w:sz="4" w:space="0" w:color="auto"/>
              <w:right w:val="nil"/>
            </w:tcBorders>
            <w:vAlign w:val="center"/>
          </w:tcPr>
          <w:p w:rsidR="00CD4F09" w:rsidRPr="000A7CB4" w:rsidRDefault="00CD4F09" w:rsidP="007F0200">
            <w:pPr>
              <w:jc w:val="center"/>
              <w:rPr>
                <w:rFonts w:cs="Times New Roman"/>
                <w:b/>
                <w:sz w:val="20"/>
                <w:szCs w:val="20"/>
              </w:rPr>
            </w:pPr>
          </w:p>
        </w:tc>
        <w:sdt>
          <w:sdtPr>
            <w:rPr>
              <w:rFonts w:cs="Times New Roman"/>
              <w:b/>
              <w:sz w:val="20"/>
              <w:szCs w:val="20"/>
            </w:rPr>
            <w:id w:val="-365677636"/>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297" w:type="dxa"/>
            <w:tcBorders>
              <w:top w:val="dotted" w:sz="4" w:space="0" w:color="auto"/>
              <w:left w:val="nil"/>
              <w:bottom w:val="single" w:sz="4" w:space="0" w:color="auto"/>
              <w:right w:val="single" w:sz="4" w:space="0" w:color="auto"/>
            </w:tcBorders>
            <w:vAlign w:val="center"/>
          </w:tcPr>
          <w:p w:rsidR="00CD4F09" w:rsidRPr="000A7CB4" w:rsidRDefault="00CD4F09" w:rsidP="007F0200">
            <w:pPr>
              <w:ind w:left="54"/>
              <w:rPr>
                <w:rFonts w:cs="Times New Roman"/>
                <w:b/>
                <w:sz w:val="20"/>
                <w:szCs w:val="20"/>
              </w:rPr>
            </w:pPr>
            <w:r w:rsidRPr="000A7CB4">
              <w:rPr>
                <w:rFonts w:cs="Times New Roman"/>
                <w:sz w:val="20"/>
                <w:szCs w:val="20"/>
              </w:rPr>
              <w:t>Nie</w:t>
            </w:r>
          </w:p>
        </w:tc>
      </w:tr>
      <w:tr w:rsidR="000A7CB4" w:rsidRPr="000A7CB4" w:rsidTr="007F0200">
        <w:tc>
          <w:tcPr>
            <w:tcW w:w="3812" w:type="dxa"/>
            <w:tcBorders>
              <w:top w:val="single" w:sz="4" w:space="0" w:color="000000"/>
              <w:left w:val="single" w:sz="4" w:space="0" w:color="auto"/>
              <w:bottom w:val="single" w:sz="4" w:space="0" w:color="auto"/>
              <w:right w:val="single" w:sz="4" w:space="0" w:color="auto"/>
            </w:tcBorders>
            <w:shd w:val="clear" w:color="auto" w:fill="E2E2E2"/>
          </w:tcPr>
          <w:p w:rsidR="00CD4F09" w:rsidRPr="000A7CB4" w:rsidRDefault="00CD4F09" w:rsidP="007F0200">
            <w:pPr>
              <w:rPr>
                <w:rFonts w:cs="Times New Roman"/>
                <w:b/>
                <w:sz w:val="20"/>
                <w:szCs w:val="20"/>
              </w:rPr>
            </w:pPr>
            <w:r w:rsidRPr="000A7CB4">
              <w:rPr>
                <w:rFonts w:cs="Times New Roman"/>
                <w:b/>
                <w:sz w:val="20"/>
                <w:szCs w:val="20"/>
              </w:rPr>
              <w:t>Sociálne vplyvy</w:t>
            </w:r>
          </w:p>
        </w:tc>
        <w:sdt>
          <w:sdtPr>
            <w:rPr>
              <w:rFonts w:cs="Times New Roman"/>
              <w:b/>
              <w:sz w:val="20"/>
              <w:szCs w:val="20"/>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312" w:type="dxa"/>
            <w:gridSpan w:val="2"/>
            <w:tcBorders>
              <w:top w:val="single" w:sz="4" w:space="0" w:color="auto"/>
              <w:left w:val="nil"/>
              <w:bottom w:val="single" w:sz="4" w:space="0" w:color="auto"/>
              <w:right w:val="nil"/>
            </w:tcBorders>
          </w:tcPr>
          <w:p w:rsidR="00CD4F09" w:rsidRPr="000A7CB4" w:rsidRDefault="00CD4F09" w:rsidP="007F0200">
            <w:pPr>
              <w:ind w:right="-108"/>
              <w:rPr>
                <w:rFonts w:cs="Times New Roman"/>
                <w:b/>
                <w:sz w:val="20"/>
                <w:szCs w:val="20"/>
              </w:rPr>
            </w:pPr>
            <w:r w:rsidRPr="000A7CB4">
              <w:rPr>
                <w:rFonts w:cs="Times New Roman"/>
                <w:b/>
                <w:sz w:val="20"/>
                <w:szCs w:val="20"/>
              </w:rPr>
              <w:t>Pozitívne</w:t>
            </w:r>
          </w:p>
        </w:tc>
        <w:sdt>
          <w:sdtPr>
            <w:rPr>
              <w:rFonts w:cs="Times New Roman"/>
              <w:b/>
              <w:sz w:val="20"/>
              <w:szCs w:val="20"/>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133" w:type="dxa"/>
            <w:tcBorders>
              <w:top w:val="single" w:sz="4" w:space="0" w:color="auto"/>
              <w:left w:val="nil"/>
              <w:bottom w:val="single" w:sz="4" w:space="0" w:color="auto"/>
              <w:right w:val="nil"/>
            </w:tcBorders>
          </w:tcPr>
          <w:p w:rsidR="00CD4F09" w:rsidRPr="000A7CB4" w:rsidRDefault="00CD4F09" w:rsidP="007F0200">
            <w:pPr>
              <w:rPr>
                <w:rFonts w:cs="Times New Roman"/>
                <w:b/>
                <w:sz w:val="20"/>
                <w:szCs w:val="20"/>
              </w:rPr>
            </w:pPr>
            <w:r w:rsidRPr="000A7CB4">
              <w:rPr>
                <w:rFonts w:cs="Times New Roman"/>
                <w:b/>
                <w:sz w:val="20"/>
                <w:szCs w:val="20"/>
              </w:rPr>
              <w:t>Žiadne</w:t>
            </w:r>
          </w:p>
        </w:tc>
        <w:sdt>
          <w:sdtPr>
            <w:rPr>
              <w:rFonts w:cs="Times New Roman"/>
              <w:b/>
              <w:sz w:val="20"/>
              <w:szCs w:val="20"/>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297" w:type="dxa"/>
            <w:tcBorders>
              <w:top w:val="single" w:sz="4" w:space="0" w:color="auto"/>
              <w:left w:val="nil"/>
              <w:bottom w:val="single" w:sz="4" w:space="0" w:color="auto"/>
              <w:right w:val="single" w:sz="4" w:space="0" w:color="auto"/>
            </w:tcBorders>
          </w:tcPr>
          <w:p w:rsidR="00CD4F09" w:rsidRPr="000A7CB4" w:rsidRDefault="00CD4F09" w:rsidP="007F0200">
            <w:pPr>
              <w:ind w:left="54"/>
              <w:rPr>
                <w:rFonts w:cs="Times New Roman"/>
                <w:b/>
                <w:sz w:val="20"/>
                <w:szCs w:val="20"/>
              </w:rPr>
            </w:pPr>
            <w:r w:rsidRPr="000A7CB4">
              <w:rPr>
                <w:rFonts w:cs="Times New Roman"/>
                <w:b/>
                <w:sz w:val="20"/>
                <w:szCs w:val="20"/>
              </w:rPr>
              <w:t>Negatívne</w:t>
            </w:r>
          </w:p>
        </w:tc>
      </w:tr>
      <w:tr w:rsidR="000A7CB4" w:rsidRPr="000A7CB4" w:rsidTr="007F0200">
        <w:tc>
          <w:tcPr>
            <w:tcW w:w="3812" w:type="dxa"/>
            <w:tcBorders>
              <w:top w:val="single" w:sz="4" w:space="0" w:color="auto"/>
              <w:left w:val="single" w:sz="4" w:space="0" w:color="auto"/>
              <w:bottom w:val="nil"/>
              <w:right w:val="single" w:sz="4" w:space="0" w:color="auto"/>
            </w:tcBorders>
            <w:shd w:val="clear" w:color="auto" w:fill="E2E2E2"/>
          </w:tcPr>
          <w:p w:rsidR="00CD4F09" w:rsidRPr="000A7CB4" w:rsidRDefault="00CD4F09" w:rsidP="007F0200">
            <w:pPr>
              <w:rPr>
                <w:rFonts w:cs="Times New Roman"/>
                <w:b/>
                <w:sz w:val="20"/>
                <w:szCs w:val="20"/>
              </w:rPr>
            </w:pPr>
            <w:r w:rsidRPr="000A7CB4">
              <w:rPr>
                <w:rFonts w:cs="Times New Roman"/>
                <w:b/>
                <w:sz w:val="20"/>
                <w:szCs w:val="20"/>
              </w:rPr>
              <w:t>Vplyvy na životné prostredie</w:t>
            </w:r>
          </w:p>
        </w:tc>
        <w:sdt>
          <w:sdtPr>
            <w:rPr>
              <w:rFonts w:cs="Times New Roman"/>
              <w:b/>
              <w:sz w:val="20"/>
              <w:szCs w:val="20"/>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312" w:type="dxa"/>
            <w:gridSpan w:val="2"/>
            <w:tcBorders>
              <w:top w:val="single" w:sz="4" w:space="0" w:color="auto"/>
              <w:left w:val="nil"/>
              <w:bottom w:val="single" w:sz="4" w:space="0" w:color="auto"/>
              <w:right w:val="nil"/>
            </w:tcBorders>
          </w:tcPr>
          <w:p w:rsidR="00CD4F09" w:rsidRPr="000A7CB4" w:rsidRDefault="00CD4F09" w:rsidP="007F0200">
            <w:pPr>
              <w:ind w:right="-108"/>
              <w:rPr>
                <w:rFonts w:cs="Times New Roman"/>
                <w:b/>
                <w:sz w:val="20"/>
                <w:szCs w:val="20"/>
              </w:rPr>
            </w:pPr>
            <w:r w:rsidRPr="000A7CB4">
              <w:rPr>
                <w:rFonts w:cs="Times New Roman"/>
                <w:b/>
                <w:sz w:val="20"/>
                <w:szCs w:val="20"/>
              </w:rPr>
              <w:t>Pozitívne</w:t>
            </w:r>
          </w:p>
        </w:tc>
        <w:sdt>
          <w:sdtPr>
            <w:rPr>
              <w:rFonts w:cs="Times New Roman"/>
              <w:b/>
              <w:sz w:val="20"/>
              <w:szCs w:val="20"/>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133" w:type="dxa"/>
            <w:tcBorders>
              <w:top w:val="single" w:sz="4" w:space="0" w:color="auto"/>
              <w:left w:val="nil"/>
              <w:bottom w:val="single" w:sz="4" w:space="0" w:color="auto"/>
              <w:right w:val="nil"/>
            </w:tcBorders>
          </w:tcPr>
          <w:p w:rsidR="00CD4F09" w:rsidRPr="000A7CB4" w:rsidRDefault="00CD4F09" w:rsidP="007F0200">
            <w:pPr>
              <w:rPr>
                <w:rFonts w:cs="Times New Roman"/>
                <w:b/>
                <w:sz w:val="20"/>
                <w:szCs w:val="20"/>
              </w:rPr>
            </w:pPr>
            <w:r w:rsidRPr="000A7CB4">
              <w:rPr>
                <w:rFonts w:cs="Times New Roman"/>
                <w:b/>
                <w:sz w:val="20"/>
                <w:szCs w:val="20"/>
              </w:rPr>
              <w:t>Žiadne</w:t>
            </w:r>
          </w:p>
        </w:tc>
        <w:sdt>
          <w:sdtPr>
            <w:rPr>
              <w:rFonts w:cs="Times New Roman"/>
              <w:b/>
              <w:sz w:val="20"/>
              <w:szCs w:val="20"/>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297" w:type="dxa"/>
            <w:tcBorders>
              <w:top w:val="single" w:sz="4" w:space="0" w:color="auto"/>
              <w:left w:val="nil"/>
              <w:bottom w:val="single" w:sz="4" w:space="0" w:color="auto"/>
              <w:right w:val="single" w:sz="4" w:space="0" w:color="auto"/>
            </w:tcBorders>
          </w:tcPr>
          <w:p w:rsidR="00CD4F09" w:rsidRPr="000A7CB4" w:rsidRDefault="00CD4F09" w:rsidP="007F0200">
            <w:pPr>
              <w:ind w:left="54"/>
              <w:rPr>
                <w:rFonts w:cs="Times New Roman"/>
                <w:b/>
                <w:sz w:val="20"/>
                <w:szCs w:val="20"/>
              </w:rPr>
            </w:pPr>
            <w:r w:rsidRPr="000A7CB4">
              <w:rPr>
                <w:rFonts w:cs="Times New Roman"/>
                <w:b/>
                <w:sz w:val="20"/>
                <w:szCs w:val="20"/>
              </w:rPr>
              <w:t>Negatívne</w:t>
            </w:r>
          </w:p>
        </w:tc>
      </w:tr>
      <w:tr w:rsidR="000A7CB4" w:rsidRPr="000A7CB4" w:rsidTr="007F0200">
        <w:tc>
          <w:tcPr>
            <w:tcW w:w="3812" w:type="dxa"/>
            <w:tcBorders>
              <w:top w:val="nil"/>
              <w:left w:val="single" w:sz="4" w:space="0" w:color="auto"/>
              <w:bottom w:val="single" w:sz="4" w:space="0" w:color="auto"/>
              <w:right w:val="single" w:sz="4" w:space="0" w:color="auto"/>
            </w:tcBorders>
            <w:shd w:val="clear" w:color="auto" w:fill="E2E2E2"/>
          </w:tcPr>
          <w:p w:rsidR="00CD4F09" w:rsidRPr="000A7CB4" w:rsidRDefault="00CD4F09" w:rsidP="007F0200">
            <w:pPr>
              <w:rPr>
                <w:rFonts w:cs="Times New Roman"/>
                <w:sz w:val="20"/>
                <w:szCs w:val="20"/>
              </w:rPr>
            </w:pPr>
          </w:p>
          <w:p w:rsidR="00CD4F09" w:rsidRPr="000A7CB4" w:rsidRDefault="00CD4F09" w:rsidP="007F0200">
            <w:pPr>
              <w:ind w:left="164"/>
              <w:rPr>
                <w:rFonts w:cs="Times New Roman"/>
                <w:b/>
                <w:sz w:val="20"/>
                <w:szCs w:val="20"/>
              </w:rPr>
            </w:pPr>
            <w:r w:rsidRPr="000A7CB4">
              <w:rPr>
                <w:rFonts w:cs="Times New Roman"/>
                <w:sz w:val="20"/>
                <w:szCs w:val="20"/>
              </w:rPr>
              <w:t>Materiál je posudzovaný podľa zákona č. 24/2006 Z. z. o posudzovaní vplyvov na životné prostredie a o zmene a doplnení niektorých zákonov v znení neskorších predpisov</w:t>
            </w:r>
          </w:p>
        </w:tc>
        <w:sdt>
          <w:sdtPr>
            <w:rPr>
              <w:rFonts w:cs="Times New Roman"/>
              <w:b/>
              <w:sz w:val="20"/>
              <w:szCs w:val="20"/>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312" w:type="dxa"/>
            <w:gridSpan w:val="2"/>
            <w:tcBorders>
              <w:top w:val="single" w:sz="4" w:space="0" w:color="auto"/>
              <w:left w:val="nil"/>
              <w:bottom w:val="single" w:sz="4" w:space="0" w:color="auto"/>
              <w:right w:val="nil"/>
            </w:tcBorders>
            <w:vAlign w:val="center"/>
          </w:tcPr>
          <w:p w:rsidR="00CD4F09" w:rsidRPr="000A7CB4" w:rsidRDefault="00CD4F09" w:rsidP="007F0200">
            <w:pPr>
              <w:ind w:right="-108"/>
              <w:rPr>
                <w:rFonts w:cs="Times New Roman"/>
                <w:b/>
                <w:sz w:val="20"/>
                <w:szCs w:val="20"/>
              </w:rPr>
            </w:pPr>
            <w:r w:rsidRPr="000A7CB4">
              <w:rPr>
                <w:rFonts w:cs="Times New Roman"/>
                <w:sz w:val="20"/>
                <w:szCs w:val="20"/>
              </w:rPr>
              <w:t>Áno</w:t>
            </w:r>
          </w:p>
        </w:tc>
        <w:tc>
          <w:tcPr>
            <w:tcW w:w="538" w:type="dxa"/>
            <w:gridSpan w:val="2"/>
            <w:tcBorders>
              <w:top w:val="single" w:sz="4" w:space="0" w:color="auto"/>
              <w:left w:val="nil"/>
              <w:bottom w:val="single" w:sz="4" w:space="0" w:color="auto"/>
              <w:right w:val="nil"/>
            </w:tcBorders>
            <w:vAlign w:val="center"/>
          </w:tcPr>
          <w:p w:rsidR="00CD4F09" w:rsidRPr="000A7CB4" w:rsidRDefault="00CD4F09" w:rsidP="007F0200">
            <w:pPr>
              <w:jc w:val="center"/>
              <w:rPr>
                <w:rFonts w:cs="Times New Roman"/>
                <w:b/>
                <w:sz w:val="20"/>
                <w:szCs w:val="20"/>
              </w:rPr>
            </w:pPr>
          </w:p>
        </w:tc>
        <w:tc>
          <w:tcPr>
            <w:tcW w:w="1133" w:type="dxa"/>
            <w:tcBorders>
              <w:top w:val="single" w:sz="4" w:space="0" w:color="auto"/>
              <w:left w:val="nil"/>
              <w:bottom w:val="single" w:sz="4" w:space="0" w:color="auto"/>
              <w:right w:val="nil"/>
            </w:tcBorders>
            <w:vAlign w:val="center"/>
          </w:tcPr>
          <w:p w:rsidR="00CD4F09" w:rsidRPr="000A7CB4" w:rsidRDefault="00CD4F09" w:rsidP="007F0200">
            <w:pPr>
              <w:jc w:val="center"/>
              <w:rPr>
                <w:rFonts w:cs="Times New Roman"/>
                <w:b/>
                <w:sz w:val="20"/>
                <w:szCs w:val="20"/>
              </w:rPr>
            </w:pPr>
          </w:p>
        </w:tc>
        <w:sdt>
          <w:sdtPr>
            <w:rPr>
              <w:rFonts w:cs="Times New Roman"/>
              <w:b/>
              <w:sz w:val="20"/>
              <w:szCs w:val="20"/>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rsidR="00CD4F09" w:rsidRPr="000A7CB4" w:rsidRDefault="00CD4F09" w:rsidP="007F0200">
            <w:pPr>
              <w:ind w:left="54"/>
              <w:rPr>
                <w:rFonts w:cs="Times New Roman"/>
                <w:b/>
                <w:sz w:val="20"/>
                <w:szCs w:val="20"/>
              </w:rPr>
            </w:pPr>
            <w:r w:rsidRPr="000A7CB4">
              <w:rPr>
                <w:rFonts w:cs="Times New Roman"/>
                <w:sz w:val="20"/>
                <w:szCs w:val="20"/>
              </w:rPr>
              <w:t>Nie</w:t>
            </w:r>
          </w:p>
        </w:tc>
      </w:tr>
      <w:tr w:rsidR="000A7CB4" w:rsidRPr="000A7CB4" w:rsidTr="007F0200">
        <w:tc>
          <w:tcPr>
            <w:tcW w:w="3812" w:type="dxa"/>
            <w:tcBorders>
              <w:top w:val="single" w:sz="4" w:space="0" w:color="auto"/>
              <w:left w:val="single" w:sz="4" w:space="0" w:color="auto"/>
              <w:bottom w:val="single" w:sz="4" w:space="0" w:color="auto"/>
              <w:right w:val="single" w:sz="4" w:space="0" w:color="auto"/>
            </w:tcBorders>
            <w:shd w:val="clear" w:color="auto" w:fill="E2E2E2"/>
          </w:tcPr>
          <w:p w:rsidR="00CD4F09" w:rsidRPr="000A7CB4" w:rsidRDefault="00CD4F09" w:rsidP="007F0200">
            <w:pPr>
              <w:rPr>
                <w:rFonts w:cs="Times New Roman"/>
                <w:b/>
                <w:sz w:val="20"/>
                <w:szCs w:val="20"/>
              </w:rPr>
            </w:pPr>
            <w:r w:rsidRPr="000A7CB4">
              <w:rPr>
                <w:rFonts w:cs="Times New Roman"/>
                <w:b/>
                <w:sz w:val="20"/>
                <w:szCs w:val="20"/>
              </w:rPr>
              <w:t>Vplyvy na informatizáciu spoločnosti</w:t>
            </w:r>
          </w:p>
        </w:tc>
        <w:sdt>
          <w:sdtPr>
            <w:rPr>
              <w:rFonts w:cs="Times New Roman"/>
              <w:b/>
              <w:sz w:val="20"/>
              <w:szCs w:val="20"/>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312" w:type="dxa"/>
            <w:gridSpan w:val="2"/>
            <w:tcBorders>
              <w:top w:val="single" w:sz="4" w:space="0" w:color="auto"/>
              <w:left w:val="nil"/>
              <w:bottom w:val="single" w:sz="4" w:space="0" w:color="auto"/>
              <w:right w:val="nil"/>
            </w:tcBorders>
          </w:tcPr>
          <w:p w:rsidR="00CD4F09" w:rsidRPr="000A7CB4" w:rsidRDefault="00CD4F09" w:rsidP="007F0200">
            <w:pPr>
              <w:ind w:right="-108"/>
              <w:rPr>
                <w:rFonts w:cs="Times New Roman"/>
                <w:b/>
                <w:sz w:val="20"/>
                <w:szCs w:val="20"/>
              </w:rPr>
            </w:pPr>
            <w:r w:rsidRPr="000A7CB4">
              <w:rPr>
                <w:rFonts w:cs="Times New Roman"/>
                <w:b/>
                <w:sz w:val="20"/>
                <w:szCs w:val="20"/>
              </w:rPr>
              <w:t>Pozitívne</w:t>
            </w:r>
          </w:p>
        </w:tc>
        <w:sdt>
          <w:sdtPr>
            <w:rPr>
              <w:rFonts w:cs="Times New Roman"/>
              <w:b/>
              <w:sz w:val="20"/>
              <w:szCs w:val="20"/>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133" w:type="dxa"/>
            <w:tcBorders>
              <w:top w:val="single" w:sz="4" w:space="0" w:color="auto"/>
              <w:left w:val="nil"/>
              <w:bottom w:val="single" w:sz="4" w:space="0" w:color="auto"/>
              <w:right w:val="nil"/>
            </w:tcBorders>
          </w:tcPr>
          <w:p w:rsidR="00CD4F09" w:rsidRPr="000A7CB4" w:rsidRDefault="00CD4F09" w:rsidP="007F0200">
            <w:pPr>
              <w:rPr>
                <w:rFonts w:cs="Times New Roman"/>
                <w:b/>
                <w:sz w:val="20"/>
                <w:szCs w:val="20"/>
              </w:rPr>
            </w:pPr>
            <w:r w:rsidRPr="000A7CB4">
              <w:rPr>
                <w:rFonts w:cs="Times New Roman"/>
                <w:b/>
                <w:sz w:val="20"/>
                <w:szCs w:val="20"/>
              </w:rPr>
              <w:t>Žiadne</w:t>
            </w:r>
          </w:p>
        </w:tc>
        <w:sdt>
          <w:sdtPr>
            <w:rPr>
              <w:rFonts w:cs="Times New Roman"/>
              <w:b/>
              <w:sz w:val="20"/>
              <w:szCs w:val="20"/>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297" w:type="dxa"/>
            <w:tcBorders>
              <w:top w:val="single" w:sz="4" w:space="0" w:color="auto"/>
              <w:left w:val="nil"/>
              <w:bottom w:val="single" w:sz="4" w:space="0" w:color="auto"/>
              <w:right w:val="single" w:sz="4" w:space="0" w:color="auto"/>
            </w:tcBorders>
          </w:tcPr>
          <w:p w:rsidR="00CD4F09" w:rsidRPr="000A7CB4" w:rsidRDefault="00CD4F09" w:rsidP="007F0200">
            <w:pPr>
              <w:ind w:left="54"/>
              <w:rPr>
                <w:rFonts w:cs="Times New Roman"/>
                <w:b/>
                <w:sz w:val="20"/>
                <w:szCs w:val="20"/>
              </w:rPr>
            </w:pPr>
            <w:r w:rsidRPr="000A7CB4">
              <w:rPr>
                <w:rFonts w:cs="Times New Roman"/>
                <w:b/>
                <w:sz w:val="20"/>
                <w:szCs w:val="20"/>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0A7CB4" w:rsidRPr="000A7CB4" w:rsidTr="007F0200">
        <w:tc>
          <w:tcPr>
            <w:tcW w:w="3812" w:type="dxa"/>
            <w:tcBorders>
              <w:top w:val="single" w:sz="4" w:space="0" w:color="auto"/>
              <w:left w:val="single" w:sz="4" w:space="0" w:color="auto"/>
              <w:bottom w:val="nil"/>
              <w:right w:val="single" w:sz="4" w:space="0" w:color="auto"/>
            </w:tcBorders>
            <w:shd w:val="clear" w:color="auto" w:fill="E2E2E2"/>
          </w:tcPr>
          <w:p w:rsidR="00CD4F09" w:rsidRPr="000A7CB4" w:rsidRDefault="00CD4F09" w:rsidP="007F0200">
            <w:pPr>
              <w:rPr>
                <w:rFonts w:cs="Times New Roman"/>
                <w:b/>
                <w:sz w:val="20"/>
                <w:szCs w:val="20"/>
              </w:rPr>
            </w:pPr>
            <w:r w:rsidRPr="000A7CB4">
              <w:rPr>
                <w:rFonts w:eastAsia="Calibri" w:cs="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rsidR="00CD4F09" w:rsidRPr="000A7CB4" w:rsidRDefault="00CD4F09" w:rsidP="007F0200">
            <w:pPr>
              <w:jc w:val="center"/>
              <w:rPr>
                <w:rFonts w:eastAsia="MS Mincho" w:cs="Times New Roman"/>
                <w:b/>
                <w:sz w:val="20"/>
                <w:szCs w:val="20"/>
              </w:rPr>
            </w:pPr>
          </w:p>
        </w:tc>
        <w:tc>
          <w:tcPr>
            <w:tcW w:w="1281" w:type="dxa"/>
            <w:tcBorders>
              <w:top w:val="single" w:sz="4" w:space="0" w:color="auto"/>
              <w:left w:val="nil"/>
              <w:bottom w:val="nil"/>
              <w:right w:val="nil"/>
            </w:tcBorders>
            <w:shd w:val="clear" w:color="auto" w:fill="auto"/>
          </w:tcPr>
          <w:p w:rsidR="00CD4F09" w:rsidRPr="000A7CB4" w:rsidRDefault="00CD4F09" w:rsidP="007F0200">
            <w:pPr>
              <w:ind w:right="-108"/>
              <w:rPr>
                <w:rFonts w:cs="Times New Roman"/>
                <w:b/>
                <w:sz w:val="20"/>
                <w:szCs w:val="20"/>
              </w:rPr>
            </w:pPr>
          </w:p>
        </w:tc>
        <w:tc>
          <w:tcPr>
            <w:tcW w:w="569" w:type="dxa"/>
            <w:gridSpan w:val="2"/>
            <w:tcBorders>
              <w:top w:val="single" w:sz="4" w:space="0" w:color="auto"/>
              <w:left w:val="nil"/>
              <w:bottom w:val="nil"/>
              <w:right w:val="nil"/>
            </w:tcBorders>
            <w:shd w:val="clear" w:color="auto" w:fill="auto"/>
          </w:tcPr>
          <w:p w:rsidR="00CD4F09" w:rsidRPr="000A7CB4" w:rsidRDefault="00CD4F09" w:rsidP="007F0200">
            <w:pPr>
              <w:jc w:val="center"/>
              <w:rPr>
                <w:rFonts w:eastAsia="MS Mincho" w:cs="Times New Roman"/>
                <w:b/>
                <w:sz w:val="20"/>
                <w:szCs w:val="20"/>
              </w:rPr>
            </w:pPr>
          </w:p>
        </w:tc>
        <w:tc>
          <w:tcPr>
            <w:tcW w:w="1133" w:type="dxa"/>
            <w:tcBorders>
              <w:top w:val="single" w:sz="4" w:space="0" w:color="auto"/>
              <w:left w:val="nil"/>
              <w:bottom w:val="nil"/>
              <w:right w:val="nil"/>
            </w:tcBorders>
            <w:shd w:val="clear" w:color="auto" w:fill="auto"/>
          </w:tcPr>
          <w:p w:rsidR="00CD4F09" w:rsidRPr="000A7CB4" w:rsidRDefault="00CD4F09" w:rsidP="007F0200">
            <w:pPr>
              <w:rPr>
                <w:rFonts w:cs="Times New Roman"/>
                <w:b/>
                <w:sz w:val="20"/>
                <w:szCs w:val="20"/>
              </w:rPr>
            </w:pPr>
          </w:p>
        </w:tc>
        <w:tc>
          <w:tcPr>
            <w:tcW w:w="547" w:type="dxa"/>
            <w:tcBorders>
              <w:top w:val="single" w:sz="4" w:space="0" w:color="auto"/>
              <w:left w:val="nil"/>
              <w:bottom w:val="nil"/>
              <w:right w:val="nil"/>
            </w:tcBorders>
            <w:shd w:val="clear" w:color="auto" w:fill="auto"/>
          </w:tcPr>
          <w:p w:rsidR="00CD4F09" w:rsidRPr="000A7CB4" w:rsidRDefault="00CD4F09" w:rsidP="007F0200">
            <w:pPr>
              <w:jc w:val="center"/>
              <w:rPr>
                <w:rFonts w:eastAsia="MS Mincho" w:cs="Times New Roman"/>
                <w:b/>
                <w:sz w:val="20"/>
                <w:szCs w:val="20"/>
              </w:rPr>
            </w:pPr>
          </w:p>
        </w:tc>
        <w:tc>
          <w:tcPr>
            <w:tcW w:w="1297" w:type="dxa"/>
            <w:tcBorders>
              <w:top w:val="single" w:sz="4" w:space="0" w:color="auto"/>
              <w:left w:val="nil"/>
              <w:bottom w:val="nil"/>
              <w:right w:val="single" w:sz="4" w:space="0" w:color="auto"/>
            </w:tcBorders>
            <w:shd w:val="clear" w:color="auto" w:fill="auto"/>
          </w:tcPr>
          <w:p w:rsidR="00CD4F09" w:rsidRPr="000A7CB4" w:rsidRDefault="00CD4F09" w:rsidP="007F0200">
            <w:pPr>
              <w:ind w:left="54"/>
              <w:rPr>
                <w:rFonts w:cs="Times New Roman"/>
                <w:b/>
                <w:sz w:val="20"/>
                <w:szCs w:val="20"/>
              </w:rPr>
            </w:pPr>
          </w:p>
        </w:tc>
      </w:tr>
      <w:tr w:rsidR="000A7CB4" w:rsidRPr="000A7CB4" w:rsidTr="007F0200">
        <w:tc>
          <w:tcPr>
            <w:tcW w:w="3812" w:type="dxa"/>
            <w:tcBorders>
              <w:top w:val="nil"/>
              <w:left w:val="single" w:sz="4" w:space="0" w:color="auto"/>
              <w:bottom w:val="nil"/>
              <w:right w:val="single" w:sz="4" w:space="0" w:color="auto"/>
            </w:tcBorders>
            <w:shd w:val="clear" w:color="auto" w:fill="E2E2E2"/>
          </w:tcPr>
          <w:p w:rsidR="00CD4F09" w:rsidRPr="000A7CB4" w:rsidRDefault="00CD4F09" w:rsidP="007F0200">
            <w:pPr>
              <w:ind w:left="196" w:hanging="196"/>
              <w:rPr>
                <w:rFonts w:eastAsia="Calibri" w:cs="Times New Roman"/>
                <w:b/>
                <w:sz w:val="20"/>
                <w:szCs w:val="20"/>
              </w:rPr>
            </w:pPr>
            <w:r w:rsidRPr="000A7CB4">
              <w:rPr>
                <w:rFonts w:eastAsia="Calibri" w:cs="Times New Roman"/>
                <w:b/>
                <w:sz w:val="20"/>
                <w:szCs w:val="20"/>
              </w:rPr>
              <w:t xml:space="preserve">    vplyvy služieb verejnej správy na občana</w:t>
            </w:r>
          </w:p>
        </w:tc>
        <w:sdt>
          <w:sdtPr>
            <w:rPr>
              <w:rFonts w:cs="Times New Roman"/>
              <w:b/>
              <w:sz w:val="20"/>
              <w:szCs w:val="20"/>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312" w:type="dxa"/>
            <w:gridSpan w:val="2"/>
            <w:tcBorders>
              <w:top w:val="nil"/>
              <w:left w:val="nil"/>
              <w:bottom w:val="dotted" w:sz="4" w:space="0" w:color="auto"/>
              <w:right w:val="nil"/>
            </w:tcBorders>
            <w:shd w:val="clear" w:color="auto" w:fill="auto"/>
          </w:tcPr>
          <w:p w:rsidR="00CD4F09" w:rsidRPr="000A7CB4" w:rsidRDefault="00CD4F09" w:rsidP="007F0200">
            <w:pPr>
              <w:ind w:right="-108"/>
              <w:rPr>
                <w:rFonts w:cs="Times New Roman"/>
                <w:b/>
                <w:sz w:val="20"/>
                <w:szCs w:val="20"/>
              </w:rPr>
            </w:pPr>
            <w:r w:rsidRPr="000A7CB4">
              <w:rPr>
                <w:rFonts w:cs="Times New Roman"/>
                <w:b/>
                <w:sz w:val="20"/>
                <w:szCs w:val="20"/>
              </w:rPr>
              <w:t>Pozitívne</w:t>
            </w:r>
          </w:p>
        </w:tc>
        <w:sdt>
          <w:sdtPr>
            <w:rPr>
              <w:rFonts w:cs="Times New Roman"/>
              <w:b/>
              <w:sz w:val="20"/>
              <w:szCs w:val="20"/>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133" w:type="dxa"/>
            <w:tcBorders>
              <w:top w:val="nil"/>
              <w:left w:val="nil"/>
              <w:bottom w:val="dotted" w:sz="4" w:space="0" w:color="auto"/>
              <w:right w:val="nil"/>
            </w:tcBorders>
            <w:shd w:val="clear" w:color="auto" w:fill="auto"/>
          </w:tcPr>
          <w:p w:rsidR="00CD4F09" w:rsidRPr="000A7CB4" w:rsidRDefault="00CD4F09" w:rsidP="007F0200">
            <w:pPr>
              <w:rPr>
                <w:rFonts w:cs="Times New Roman"/>
                <w:b/>
                <w:sz w:val="20"/>
                <w:szCs w:val="20"/>
              </w:rPr>
            </w:pPr>
            <w:r w:rsidRPr="000A7CB4">
              <w:rPr>
                <w:rFonts w:cs="Times New Roman"/>
                <w:b/>
                <w:sz w:val="20"/>
                <w:szCs w:val="20"/>
              </w:rPr>
              <w:t>Žiadne</w:t>
            </w:r>
          </w:p>
        </w:tc>
        <w:sdt>
          <w:sdtPr>
            <w:rPr>
              <w:rFonts w:cs="Times New Roman"/>
              <w:b/>
              <w:sz w:val="20"/>
              <w:szCs w:val="20"/>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297" w:type="dxa"/>
            <w:tcBorders>
              <w:top w:val="nil"/>
              <w:left w:val="nil"/>
              <w:bottom w:val="dotted" w:sz="4" w:space="0" w:color="auto"/>
              <w:right w:val="single" w:sz="4" w:space="0" w:color="auto"/>
            </w:tcBorders>
            <w:shd w:val="clear" w:color="auto" w:fill="auto"/>
          </w:tcPr>
          <w:p w:rsidR="00CD4F09" w:rsidRPr="000A7CB4" w:rsidRDefault="00CD4F09" w:rsidP="007F0200">
            <w:pPr>
              <w:ind w:left="54"/>
              <w:rPr>
                <w:rFonts w:cs="Times New Roman"/>
                <w:b/>
                <w:sz w:val="20"/>
                <w:szCs w:val="20"/>
              </w:rPr>
            </w:pPr>
            <w:r w:rsidRPr="000A7CB4">
              <w:rPr>
                <w:rFonts w:cs="Times New Roman"/>
                <w:b/>
                <w:sz w:val="20"/>
                <w:szCs w:val="20"/>
              </w:rPr>
              <w:t>Negatívne</w:t>
            </w:r>
          </w:p>
        </w:tc>
      </w:tr>
      <w:tr w:rsidR="000A7CB4" w:rsidRPr="000A7CB4" w:rsidTr="007F0200">
        <w:tc>
          <w:tcPr>
            <w:tcW w:w="3812" w:type="dxa"/>
            <w:tcBorders>
              <w:top w:val="nil"/>
              <w:left w:val="single" w:sz="4" w:space="0" w:color="auto"/>
              <w:bottom w:val="nil"/>
              <w:right w:val="single" w:sz="4" w:space="0" w:color="auto"/>
            </w:tcBorders>
            <w:shd w:val="clear" w:color="auto" w:fill="E2E2E2"/>
          </w:tcPr>
          <w:p w:rsidR="00CD4F09" w:rsidRPr="000A7CB4" w:rsidRDefault="00CD4F09" w:rsidP="007F0200">
            <w:pPr>
              <w:ind w:left="168" w:hanging="168"/>
              <w:rPr>
                <w:rFonts w:eastAsia="Calibri" w:cs="Times New Roman"/>
                <w:b/>
                <w:sz w:val="20"/>
                <w:szCs w:val="20"/>
              </w:rPr>
            </w:pPr>
            <w:r w:rsidRPr="000A7CB4">
              <w:rPr>
                <w:rFonts w:eastAsia="Calibri" w:cs="Times New Roman"/>
                <w:b/>
                <w:sz w:val="20"/>
                <w:szCs w:val="20"/>
              </w:rPr>
              <w:t xml:space="preserve">    vplyvy na procesy služieb vo verejnej správe</w:t>
            </w:r>
          </w:p>
        </w:tc>
        <w:sdt>
          <w:sdtPr>
            <w:rPr>
              <w:rFonts w:cs="Times New Roman"/>
              <w:b/>
              <w:sz w:val="20"/>
              <w:szCs w:val="20"/>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CD4F09" w:rsidRPr="000A7CB4" w:rsidRDefault="00CD4F09" w:rsidP="007F0200">
            <w:pPr>
              <w:ind w:right="-108"/>
              <w:rPr>
                <w:rFonts w:cs="Times New Roman"/>
                <w:b/>
                <w:sz w:val="20"/>
                <w:szCs w:val="20"/>
              </w:rPr>
            </w:pPr>
            <w:r w:rsidRPr="000A7CB4">
              <w:rPr>
                <w:rFonts w:cs="Times New Roman"/>
                <w:b/>
                <w:sz w:val="20"/>
                <w:szCs w:val="20"/>
              </w:rPr>
              <w:t>Pozitívne</w:t>
            </w:r>
          </w:p>
        </w:tc>
        <w:sdt>
          <w:sdtPr>
            <w:rPr>
              <w:rFonts w:cs="Times New Roman"/>
              <w:b/>
              <w:sz w:val="20"/>
              <w:szCs w:val="20"/>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133" w:type="dxa"/>
            <w:tcBorders>
              <w:top w:val="dotted" w:sz="4" w:space="0" w:color="auto"/>
              <w:left w:val="nil"/>
              <w:bottom w:val="dotted" w:sz="4" w:space="0" w:color="auto"/>
              <w:right w:val="nil"/>
            </w:tcBorders>
            <w:shd w:val="clear" w:color="auto" w:fill="auto"/>
            <w:vAlign w:val="center"/>
          </w:tcPr>
          <w:p w:rsidR="00CD4F09" w:rsidRPr="000A7CB4" w:rsidRDefault="00CD4F09" w:rsidP="007F0200">
            <w:pPr>
              <w:rPr>
                <w:rFonts w:cs="Times New Roman"/>
                <w:b/>
                <w:sz w:val="20"/>
                <w:szCs w:val="20"/>
              </w:rPr>
            </w:pPr>
            <w:r w:rsidRPr="000A7CB4">
              <w:rPr>
                <w:rFonts w:cs="Times New Roman"/>
                <w:b/>
                <w:sz w:val="20"/>
                <w:szCs w:val="20"/>
              </w:rPr>
              <w:t>Žiadne</w:t>
            </w:r>
          </w:p>
        </w:tc>
        <w:sdt>
          <w:sdtPr>
            <w:rPr>
              <w:rFonts w:cs="Times New Roman"/>
              <w:b/>
              <w:sz w:val="20"/>
              <w:szCs w:val="20"/>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CD4F09" w:rsidRPr="000A7CB4" w:rsidRDefault="00CD4F09" w:rsidP="007F0200">
            <w:pPr>
              <w:ind w:left="54"/>
              <w:rPr>
                <w:rFonts w:cs="Times New Roman"/>
                <w:b/>
                <w:sz w:val="20"/>
                <w:szCs w:val="20"/>
              </w:rPr>
            </w:pPr>
            <w:r w:rsidRPr="000A7CB4">
              <w:rPr>
                <w:rFonts w:cs="Times New Roman"/>
                <w:b/>
                <w:sz w:val="20"/>
                <w:szCs w:val="20"/>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0A7CB4" w:rsidRPr="000A7CB4" w:rsidTr="007F0200">
        <w:tc>
          <w:tcPr>
            <w:tcW w:w="3812" w:type="dxa"/>
            <w:tcBorders>
              <w:top w:val="single" w:sz="4" w:space="0" w:color="000000"/>
              <w:left w:val="single" w:sz="4" w:space="0" w:color="auto"/>
              <w:bottom w:val="single" w:sz="4" w:space="0" w:color="auto"/>
              <w:right w:val="single" w:sz="4" w:space="0" w:color="auto"/>
            </w:tcBorders>
            <w:shd w:val="clear" w:color="auto" w:fill="E2E2E2"/>
          </w:tcPr>
          <w:p w:rsidR="00CD4F09" w:rsidRPr="000A7CB4" w:rsidRDefault="00CD4F09" w:rsidP="007F0200">
            <w:pPr>
              <w:rPr>
                <w:rFonts w:cs="Times New Roman"/>
                <w:b/>
                <w:sz w:val="20"/>
                <w:szCs w:val="20"/>
              </w:rPr>
            </w:pPr>
            <w:r w:rsidRPr="000A7CB4">
              <w:rPr>
                <w:rFonts w:cs="Times New Roman"/>
                <w:b/>
                <w:sz w:val="20"/>
                <w:szCs w:val="20"/>
              </w:rPr>
              <w:t>Vplyvy na manželstvo, rodičovstvo a rodinu</w:t>
            </w:r>
          </w:p>
        </w:tc>
        <w:sdt>
          <w:sdtPr>
            <w:rPr>
              <w:rFonts w:cs="Times New Roman"/>
              <w:b/>
              <w:sz w:val="20"/>
              <w:szCs w:val="20"/>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312" w:type="dxa"/>
            <w:tcBorders>
              <w:top w:val="single" w:sz="4" w:space="0" w:color="auto"/>
              <w:left w:val="nil"/>
              <w:bottom w:val="single" w:sz="4" w:space="0" w:color="auto"/>
              <w:right w:val="nil"/>
            </w:tcBorders>
            <w:vAlign w:val="center"/>
          </w:tcPr>
          <w:p w:rsidR="00CD4F09" w:rsidRPr="000A7CB4" w:rsidRDefault="00CD4F09" w:rsidP="007F0200">
            <w:pPr>
              <w:ind w:right="-108"/>
              <w:rPr>
                <w:rFonts w:cs="Times New Roman"/>
                <w:b/>
                <w:sz w:val="20"/>
                <w:szCs w:val="20"/>
              </w:rPr>
            </w:pPr>
            <w:r w:rsidRPr="000A7CB4">
              <w:rPr>
                <w:rFonts w:cs="Times New Roman"/>
                <w:b/>
                <w:sz w:val="20"/>
                <w:szCs w:val="20"/>
              </w:rPr>
              <w:t>Pozitívne</w:t>
            </w:r>
          </w:p>
        </w:tc>
        <w:sdt>
          <w:sdtPr>
            <w:rPr>
              <w:rFonts w:cs="Times New Roman"/>
              <w:b/>
              <w:sz w:val="20"/>
              <w:szCs w:val="20"/>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133" w:type="dxa"/>
            <w:tcBorders>
              <w:top w:val="single" w:sz="4" w:space="0" w:color="auto"/>
              <w:left w:val="nil"/>
              <w:bottom w:val="single" w:sz="4" w:space="0" w:color="auto"/>
              <w:right w:val="nil"/>
            </w:tcBorders>
            <w:vAlign w:val="center"/>
          </w:tcPr>
          <w:p w:rsidR="00CD4F09" w:rsidRPr="000A7CB4" w:rsidRDefault="00CD4F09" w:rsidP="007F0200">
            <w:pPr>
              <w:rPr>
                <w:rFonts w:cs="Times New Roman"/>
                <w:b/>
                <w:sz w:val="20"/>
                <w:szCs w:val="20"/>
              </w:rPr>
            </w:pPr>
            <w:r w:rsidRPr="000A7CB4">
              <w:rPr>
                <w:rFonts w:cs="Times New Roman"/>
                <w:b/>
                <w:sz w:val="20"/>
                <w:szCs w:val="20"/>
              </w:rPr>
              <w:t>Žiadne</w:t>
            </w:r>
          </w:p>
        </w:tc>
        <w:sdt>
          <w:sdtPr>
            <w:rPr>
              <w:rFonts w:cs="Times New Roman"/>
              <w:b/>
              <w:sz w:val="20"/>
              <w:szCs w:val="20"/>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CD4F09" w:rsidRPr="000A7CB4" w:rsidRDefault="00CD4F09" w:rsidP="007F0200">
                <w:pPr>
                  <w:jc w:val="center"/>
                  <w:rPr>
                    <w:rFonts w:cs="Times New Roman"/>
                    <w:b/>
                    <w:sz w:val="20"/>
                    <w:szCs w:val="20"/>
                  </w:rPr>
                </w:pPr>
                <w:r w:rsidRPr="000A7CB4">
                  <w:rPr>
                    <w:rFonts w:ascii="MS Gothic" w:eastAsia="MS Gothic" w:hAnsi="MS Gothic" w:cs="Times New Roman"/>
                    <w:b/>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rsidR="00CD4F09" w:rsidRPr="000A7CB4" w:rsidRDefault="00CD4F09" w:rsidP="007F0200">
            <w:pPr>
              <w:ind w:left="54"/>
              <w:rPr>
                <w:rFonts w:cs="Times New Roman"/>
                <w:b/>
                <w:sz w:val="20"/>
                <w:szCs w:val="20"/>
              </w:rPr>
            </w:pPr>
            <w:r w:rsidRPr="000A7CB4">
              <w:rPr>
                <w:rFonts w:cs="Times New Roman"/>
                <w:b/>
                <w:sz w:val="20"/>
                <w:szCs w:val="20"/>
              </w:rPr>
              <w:t>Negatívne</w:t>
            </w:r>
          </w:p>
        </w:tc>
      </w:tr>
    </w:tbl>
    <w:p w:rsidR="00CD4F09" w:rsidRPr="000A7CB4" w:rsidRDefault="00CD4F09" w:rsidP="00CD4F09">
      <w:pPr>
        <w:ind w:right="141"/>
        <w:rPr>
          <w:rFonts w:cs="Times New Roman"/>
          <w:b/>
          <w:sz w:val="20"/>
          <w:szCs w:val="20"/>
        </w:rPr>
      </w:pPr>
    </w:p>
    <w:tbl>
      <w:tblPr>
        <w:tblStyle w:val="Mriekatabuky1"/>
        <w:tblW w:w="9176" w:type="dxa"/>
        <w:tblLayout w:type="fixed"/>
        <w:tblLook w:val="04A0" w:firstRow="1" w:lastRow="0" w:firstColumn="1" w:lastColumn="0" w:noHBand="0" w:noVBand="1"/>
      </w:tblPr>
      <w:tblGrid>
        <w:gridCol w:w="9176"/>
      </w:tblGrid>
      <w:tr w:rsidR="000A7CB4" w:rsidRPr="000A7CB4" w:rsidTr="007F0200">
        <w:tc>
          <w:tcPr>
            <w:tcW w:w="9176" w:type="dxa"/>
            <w:tcBorders>
              <w:top w:val="single" w:sz="4" w:space="0" w:color="auto"/>
              <w:left w:val="single" w:sz="4" w:space="0" w:color="auto"/>
              <w:bottom w:val="nil"/>
              <w:right w:val="single" w:sz="4" w:space="0" w:color="auto"/>
            </w:tcBorders>
            <w:shd w:val="clear" w:color="auto" w:fill="E2E2E2"/>
          </w:tcPr>
          <w:p w:rsidR="00CD4F09" w:rsidRPr="000A7CB4" w:rsidRDefault="00CD4F09" w:rsidP="00CD4F09">
            <w:pPr>
              <w:widowControl/>
              <w:numPr>
                <w:ilvl w:val="0"/>
                <w:numId w:val="1"/>
              </w:numPr>
              <w:adjustRightInd/>
              <w:ind w:left="426"/>
              <w:contextualSpacing/>
              <w:rPr>
                <w:rFonts w:eastAsia="Calibri" w:cs="Times New Roman"/>
                <w:b/>
              </w:rPr>
            </w:pPr>
            <w:r w:rsidRPr="000A7CB4">
              <w:rPr>
                <w:rFonts w:eastAsia="Calibri" w:cs="Times New Roman"/>
                <w:b/>
              </w:rPr>
              <w:t>Poznámky</w:t>
            </w:r>
          </w:p>
        </w:tc>
      </w:tr>
      <w:tr w:rsidR="000A7CB4" w:rsidRPr="000A7CB4" w:rsidTr="007F0200">
        <w:trPr>
          <w:trHeight w:val="713"/>
        </w:trPr>
        <w:tc>
          <w:tcPr>
            <w:tcW w:w="9176" w:type="dxa"/>
            <w:tcBorders>
              <w:top w:val="nil"/>
              <w:left w:val="single" w:sz="4" w:space="0" w:color="auto"/>
              <w:bottom w:val="single" w:sz="4" w:space="0" w:color="FFFFFF"/>
              <w:right w:val="single" w:sz="4" w:space="0" w:color="auto"/>
            </w:tcBorders>
            <w:shd w:val="clear" w:color="auto" w:fill="auto"/>
          </w:tcPr>
          <w:p w:rsidR="00CD4F09" w:rsidRPr="000A7CB4" w:rsidRDefault="00CD4F09" w:rsidP="007F0200">
            <w:pPr>
              <w:jc w:val="both"/>
              <w:rPr>
                <w:rFonts w:cs="Times New Roman"/>
                <w:sz w:val="20"/>
                <w:szCs w:val="20"/>
              </w:rPr>
            </w:pPr>
            <w:r w:rsidRPr="000A7CB4">
              <w:rPr>
                <w:rFonts w:cs="Times New Roman"/>
                <w:sz w:val="20"/>
                <w:szCs w:val="20"/>
              </w:rPr>
              <w:t>Doplnením kompetencie úradu zastupovať Slovenskú republiku vo výboroch a poradných orgánoch, tzv. expertných pracovných skupinách zriadených Komisiou ako gestor technických predpisov z oblasti posudzovania zhody alebo ako notifikujúci orgán resp. orgán zodpovedný za notifikované osoby nevznikajú úradu žiadne nové vplyvy, nakoľko sa nejedná o novú kompetenciu. Úrad sa na zasadnutiach príslušných výborov a expertných pracovných skupín, ak sú zriadené, zúčastňuje od vstupu Slovenskej republiky do Európskej únie.</w:t>
            </w:r>
          </w:p>
          <w:p w:rsidR="00CD4F09" w:rsidRPr="000A7CB4" w:rsidRDefault="00CD4F09" w:rsidP="007F0200">
            <w:pPr>
              <w:jc w:val="both"/>
              <w:rPr>
                <w:rFonts w:cs="Times New Roman"/>
                <w:i/>
                <w:sz w:val="20"/>
                <w:szCs w:val="20"/>
              </w:rPr>
            </w:pPr>
          </w:p>
        </w:tc>
      </w:tr>
      <w:tr w:rsidR="000A7CB4" w:rsidRPr="000A7CB4" w:rsidTr="007F0200">
        <w:tc>
          <w:tcPr>
            <w:tcW w:w="9176" w:type="dxa"/>
            <w:tcBorders>
              <w:top w:val="single" w:sz="4" w:space="0" w:color="auto"/>
              <w:left w:val="single" w:sz="4" w:space="0" w:color="auto"/>
              <w:bottom w:val="single" w:sz="4" w:space="0" w:color="FFFFFF"/>
              <w:right w:val="single" w:sz="4" w:space="0" w:color="auto"/>
            </w:tcBorders>
            <w:shd w:val="clear" w:color="auto" w:fill="E2E2E2"/>
          </w:tcPr>
          <w:p w:rsidR="00CD4F09" w:rsidRPr="000A7CB4" w:rsidRDefault="00CD4F09" w:rsidP="00CD4F09">
            <w:pPr>
              <w:widowControl/>
              <w:numPr>
                <w:ilvl w:val="0"/>
                <w:numId w:val="1"/>
              </w:numPr>
              <w:adjustRightInd/>
              <w:ind w:left="426"/>
              <w:contextualSpacing/>
              <w:rPr>
                <w:rFonts w:eastAsia="Calibri" w:cs="Times New Roman"/>
                <w:b/>
              </w:rPr>
            </w:pPr>
            <w:r w:rsidRPr="000A7CB4">
              <w:rPr>
                <w:rFonts w:eastAsia="Calibri" w:cs="Times New Roman"/>
                <w:b/>
              </w:rPr>
              <w:t>Kontakt na spracovateľa</w:t>
            </w:r>
          </w:p>
        </w:tc>
      </w:tr>
      <w:tr w:rsidR="000A7CB4" w:rsidRPr="000A7CB4" w:rsidTr="007F0200">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CD4F09" w:rsidRPr="000A7CB4" w:rsidRDefault="00CD4F09" w:rsidP="007F0200">
            <w:pPr>
              <w:rPr>
                <w:rFonts w:cs="Times New Roman"/>
                <w:i/>
                <w:sz w:val="20"/>
                <w:szCs w:val="20"/>
              </w:rPr>
            </w:pPr>
            <w:r w:rsidRPr="000A7CB4">
              <w:rPr>
                <w:rFonts w:cs="Times New Roman"/>
                <w:i/>
                <w:sz w:val="20"/>
                <w:szCs w:val="20"/>
              </w:rPr>
              <w:t>Uveďte údaje na kontaktnú osobu, ktorú je možné kontaktovať v súvislosti s posúdením vybraných vplyvov.</w:t>
            </w:r>
          </w:p>
          <w:p w:rsidR="00CD4F09" w:rsidRPr="000A7CB4" w:rsidRDefault="00CD4F09" w:rsidP="007F0200">
            <w:pPr>
              <w:rPr>
                <w:rFonts w:cs="Times New Roman"/>
                <w:sz w:val="20"/>
                <w:szCs w:val="20"/>
              </w:rPr>
            </w:pPr>
            <w:r w:rsidRPr="000A7CB4">
              <w:rPr>
                <w:rFonts w:cs="Times New Roman"/>
                <w:sz w:val="20"/>
                <w:szCs w:val="20"/>
              </w:rPr>
              <w:t>JUDr. Liliana Tahotná</w:t>
            </w:r>
          </w:p>
          <w:p w:rsidR="00CD4F09" w:rsidRPr="000A7CB4" w:rsidRDefault="00CD4F09" w:rsidP="007F0200">
            <w:pPr>
              <w:rPr>
                <w:rFonts w:cs="Times New Roman"/>
                <w:sz w:val="20"/>
                <w:szCs w:val="20"/>
              </w:rPr>
            </w:pPr>
            <w:r w:rsidRPr="000A7CB4">
              <w:rPr>
                <w:rFonts w:cs="Times New Roman"/>
                <w:sz w:val="20"/>
                <w:szCs w:val="20"/>
              </w:rPr>
              <w:t>odbor skúšobníctva a európskych záležitostí</w:t>
            </w:r>
          </w:p>
          <w:p w:rsidR="00CD4F09" w:rsidRPr="000A7CB4" w:rsidRDefault="00CD4F09" w:rsidP="007F0200">
            <w:pPr>
              <w:rPr>
                <w:rFonts w:cs="Times New Roman"/>
                <w:sz w:val="20"/>
                <w:szCs w:val="20"/>
              </w:rPr>
            </w:pPr>
            <w:r w:rsidRPr="000A7CB4">
              <w:rPr>
                <w:rFonts w:cs="Times New Roman"/>
                <w:sz w:val="20"/>
                <w:szCs w:val="20"/>
              </w:rPr>
              <w:t>Úrad pre normalizáciu, metrológiu a skúšobníctvo Slovenskej republiky</w:t>
            </w:r>
          </w:p>
          <w:p w:rsidR="00CD4F09" w:rsidRPr="000A7CB4" w:rsidRDefault="00CD4F09" w:rsidP="007F0200">
            <w:pPr>
              <w:rPr>
                <w:rFonts w:cs="Times New Roman"/>
                <w:sz w:val="20"/>
                <w:szCs w:val="20"/>
              </w:rPr>
            </w:pPr>
            <w:r w:rsidRPr="000A7CB4">
              <w:rPr>
                <w:rFonts w:cs="Times New Roman"/>
                <w:sz w:val="20"/>
                <w:szCs w:val="20"/>
              </w:rPr>
              <w:t xml:space="preserve">email: </w:t>
            </w:r>
            <w:hyperlink r:id="rId7" w:history="1">
              <w:r w:rsidRPr="000A7CB4">
                <w:rPr>
                  <w:rStyle w:val="Hypertextovprepojenie"/>
                  <w:rFonts w:cs="Times New Roman"/>
                  <w:color w:val="4472C4" w:themeColor="accent5"/>
                  <w:sz w:val="20"/>
                  <w:szCs w:val="20"/>
                </w:rPr>
                <w:t>liliana.tahotna@normoff.gov.sk</w:t>
              </w:r>
            </w:hyperlink>
            <w:r w:rsidRPr="000A7CB4">
              <w:rPr>
                <w:rFonts w:cs="Times New Roman"/>
                <w:sz w:val="20"/>
                <w:szCs w:val="20"/>
              </w:rPr>
              <w:t xml:space="preserve">. </w:t>
            </w:r>
          </w:p>
          <w:p w:rsidR="00CD4F09" w:rsidRPr="000A7CB4" w:rsidRDefault="00CD4F09" w:rsidP="007F0200">
            <w:pPr>
              <w:rPr>
                <w:rFonts w:cs="Times New Roman"/>
                <w:sz w:val="20"/>
                <w:szCs w:val="20"/>
              </w:rPr>
            </w:pPr>
            <w:r w:rsidRPr="000A7CB4">
              <w:rPr>
                <w:rFonts w:cs="Times New Roman"/>
                <w:sz w:val="20"/>
                <w:szCs w:val="20"/>
              </w:rPr>
              <w:t>tel. č.: 02/ 20 907 296</w:t>
            </w:r>
          </w:p>
        </w:tc>
      </w:tr>
      <w:tr w:rsidR="000A7CB4" w:rsidRPr="000A7CB4" w:rsidTr="007F0200">
        <w:tc>
          <w:tcPr>
            <w:tcW w:w="9176" w:type="dxa"/>
            <w:tcBorders>
              <w:top w:val="single" w:sz="4" w:space="0" w:color="auto"/>
              <w:left w:val="single" w:sz="4" w:space="0" w:color="auto"/>
              <w:bottom w:val="single" w:sz="4" w:space="0" w:color="FFFFFF"/>
              <w:right w:val="single" w:sz="4" w:space="0" w:color="auto"/>
            </w:tcBorders>
            <w:shd w:val="clear" w:color="auto" w:fill="E2E2E2"/>
          </w:tcPr>
          <w:p w:rsidR="00CD4F09" w:rsidRPr="000A7CB4" w:rsidRDefault="00CD4F09" w:rsidP="00CD4F09">
            <w:pPr>
              <w:widowControl/>
              <w:numPr>
                <w:ilvl w:val="0"/>
                <w:numId w:val="1"/>
              </w:numPr>
              <w:adjustRightInd/>
              <w:ind w:left="426"/>
              <w:contextualSpacing/>
              <w:rPr>
                <w:rFonts w:eastAsia="Calibri" w:cs="Times New Roman"/>
                <w:b/>
              </w:rPr>
            </w:pPr>
            <w:r w:rsidRPr="000A7CB4">
              <w:rPr>
                <w:rFonts w:eastAsia="Calibri" w:cs="Times New Roman"/>
                <w:b/>
              </w:rPr>
              <w:t>Zdroje</w:t>
            </w:r>
          </w:p>
        </w:tc>
      </w:tr>
      <w:tr w:rsidR="000A7CB4" w:rsidRPr="000A7CB4" w:rsidTr="007F0200">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CD4F09" w:rsidRPr="000A7CB4" w:rsidRDefault="00CD4F09" w:rsidP="007F0200">
            <w:pPr>
              <w:rPr>
                <w:rFonts w:cs="Times New Roman"/>
                <w:i/>
                <w:sz w:val="20"/>
                <w:szCs w:val="20"/>
              </w:rPr>
            </w:pPr>
            <w:r w:rsidRPr="000A7CB4">
              <w:rPr>
                <w:rFonts w:cs="Times New Roman"/>
                <w:sz w:val="20"/>
                <w:szCs w:val="20"/>
              </w:rPr>
              <w:t xml:space="preserve">Keďže ide o transpozíciu </w:t>
            </w:r>
            <w:r w:rsidRPr="000A7CB4">
              <w:rPr>
                <w:rFonts w:cs="Times New Roman"/>
                <w:bCs/>
                <w:sz w:val="20"/>
                <w:szCs w:val="20"/>
                <w:shd w:val="clear" w:color="auto" w:fill="FFFFFF"/>
              </w:rPr>
              <w:t xml:space="preserve">smernice (EÚ) 2024/2849 </w:t>
            </w:r>
            <w:r w:rsidRPr="000A7CB4">
              <w:rPr>
                <w:rStyle w:val="placeholdertext0"/>
                <w:sz w:val="20"/>
                <w:szCs w:val="20"/>
              </w:rPr>
              <w:t>a implementáciu nariadení</w:t>
            </w:r>
            <w:r w:rsidRPr="000A7CB4">
              <w:rPr>
                <w:rFonts w:cs="Times New Roman"/>
                <w:sz w:val="20"/>
                <w:szCs w:val="20"/>
              </w:rPr>
              <w:t>, predkladateľ pri získavaní relevantných údajov a informácií vychádzal výlučne z týchto predpisov.</w:t>
            </w:r>
          </w:p>
          <w:p w:rsidR="00CD4F09" w:rsidRPr="000A7CB4" w:rsidRDefault="00CD4F09" w:rsidP="007F0200">
            <w:pPr>
              <w:rPr>
                <w:rFonts w:cs="Times New Roman"/>
                <w:b/>
                <w:sz w:val="20"/>
                <w:szCs w:val="20"/>
              </w:rPr>
            </w:pPr>
          </w:p>
        </w:tc>
      </w:tr>
      <w:tr w:rsidR="000A7CB4" w:rsidRPr="000A7CB4" w:rsidTr="007F0200">
        <w:tc>
          <w:tcPr>
            <w:tcW w:w="9176" w:type="dxa"/>
            <w:tcBorders>
              <w:top w:val="single" w:sz="4" w:space="0" w:color="auto"/>
              <w:left w:val="single" w:sz="4" w:space="0" w:color="auto"/>
              <w:bottom w:val="single" w:sz="4" w:space="0" w:color="FFFFFF"/>
              <w:right w:val="single" w:sz="4" w:space="0" w:color="auto"/>
            </w:tcBorders>
            <w:shd w:val="clear" w:color="auto" w:fill="E2E2E2"/>
          </w:tcPr>
          <w:p w:rsidR="00CD4F09" w:rsidRPr="000A7CB4" w:rsidRDefault="00CD4F09" w:rsidP="00CD4F09">
            <w:pPr>
              <w:widowControl/>
              <w:numPr>
                <w:ilvl w:val="0"/>
                <w:numId w:val="1"/>
              </w:numPr>
              <w:adjustRightInd/>
              <w:ind w:left="447" w:hanging="425"/>
              <w:contextualSpacing/>
              <w:rPr>
                <w:rFonts w:eastAsia="Calibri" w:cs="Times New Roman"/>
                <w:b/>
              </w:rPr>
            </w:pPr>
            <w:r w:rsidRPr="000A7CB4">
              <w:rPr>
                <w:rFonts w:eastAsia="Calibri" w:cs="Times New Roman"/>
                <w:b/>
              </w:rPr>
              <w:t>Stanovisko Komisie na posudzovanie vybraných vplyvov z PPK č. 177/2025 z 06.11.2025</w:t>
            </w:r>
            <w:r w:rsidRPr="000A7CB4">
              <w:rPr>
                <w:rFonts w:ascii="Calibri" w:eastAsia="Calibri" w:hAnsi="Calibri" w:cs="Times New Roman"/>
              </w:rPr>
              <w:t xml:space="preserve"> </w:t>
            </w:r>
          </w:p>
          <w:p w:rsidR="00CD4F09" w:rsidRPr="000A7CB4" w:rsidRDefault="00CD4F09" w:rsidP="007F0200">
            <w:pPr>
              <w:ind w:left="502"/>
              <w:rPr>
                <w:rFonts w:cs="Times New Roman"/>
                <w:b/>
                <w:sz w:val="20"/>
                <w:szCs w:val="20"/>
              </w:rPr>
            </w:pPr>
            <w:r w:rsidRPr="000A7CB4">
              <w:rPr>
                <w:rFonts w:eastAsia="Calibri" w:cs="Times New Roman"/>
              </w:rPr>
              <w:t>(v prípade, ak sa uskutočnilo v zmysle bodu 8.1 Jednotnej metodiky)</w:t>
            </w:r>
          </w:p>
        </w:tc>
      </w:tr>
      <w:tr w:rsidR="000A7CB4" w:rsidRPr="000A7CB4" w:rsidTr="007F0200">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CD4F09" w:rsidRPr="000A7CB4" w:rsidRDefault="00CD4F09" w:rsidP="007F0200">
            <w:pPr>
              <w:rPr>
                <w:rFonts w:cs="Times New Roman"/>
                <w:b/>
                <w:sz w:val="20"/>
                <w:szCs w:val="20"/>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0A7CB4" w:rsidRPr="000A7CB4" w:rsidTr="007F0200">
              <w:trPr>
                <w:trHeight w:val="396"/>
              </w:trPr>
              <w:tc>
                <w:tcPr>
                  <w:tcW w:w="2552" w:type="dxa"/>
                </w:tcPr>
                <w:p w:rsidR="00CD4F09" w:rsidRPr="000A7CB4" w:rsidRDefault="00C800E4" w:rsidP="007F0200">
                  <w:pPr>
                    <w:rPr>
                      <w:rFonts w:cs="Times New Roman"/>
                      <w:b/>
                      <w:sz w:val="20"/>
                      <w:szCs w:val="20"/>
                    </w:rPr>
                  </w:pPr>
                  <w:sdt>
                    <w:sdtPr>
                      <w:rPr>
                        <w:rFonts w:cs="Times New Roman"/>
                        <w:b/>
                        <w:sz w:val="20"/>
                        <w:szCs w:val="20"/>
                      </w:rPr>
                      <w:id w:val="-1874910888"/>
                      <w14:checkbox>
                        <w14:checked w14:val="1"/>
                        <w14:checkedState w14:val="2612" w14:font="MS Gothic"/>
                        <w14:uncheckedState w14:val="2610" w14:font="MS Gothic"/>
                      </w14:checkbox>
                    </w:sdtPr>
                    <w:sdtEndPr/>
                    <w:sdtContent>
                      <w:r w:rsidR="00CD4F09" w:rsidRPr="000A7CB4">
                        <w:rPr>
                          <w:rFonts w:ascii="MS Gothic" w:eastAsia="MS Gothic" w:hAnsi="MS Gothic" w:cs="Times New Roman"/>
                          <w:b/>
                          <w:sz w:val="20"/>
                          <w:szCs w:val="20"/>
                        </w:rPr>
                        <w:t>☒</w:t>
                      </w:r>
                    </w:sdtContent>
                  </w:sdt>
                  <w:r w:rsidR="00CD4F09" w:rsidRPr="000A7CB4">
                    <w:rPr>
                      <w:rFonts w:cs="Times New Roman"/>
                      <w:b/>
                      <w:sz w:val="20"/>
                      <w:szCs w:val="20"/>
                    </w:rPr>
                    <w:t xml:space="preserve">  Súhlasné </w:t>
                  </w:r>
                </w:p>
              </w:tc>
              <w:tc>
                <w:tcPr>
                  <w:tcW w:w="3827" w:type="dxa"/>
                </w:tcPr>
                <w:p w:rsidR="00CD4F09" w:rsidRPr="000A7CB4" w:rsidRDefault="00C800E4" w:rsidP="007F0200">
                  <w:pPr>
                    <w:rPr>
                      <w:rFonts w:cs="Times New Roman"/>
                      <w:b/>
                      <w:sz w:val="20"/>
                      <w:szCs w:val="20"/>
                    </w:rPr>
                  </w:pPr>
                  <w:sdt>
                    <w:sdtPr>
                      <w:rPr>
                        <w:rFonts w:cs="Times New Roman"/>
                        <w:b/>
                        <w:sz w:val="20"/>
                        <w:szCs w:val="20"/>
                      </w:rPr>
                      <w:id w:val="1697888127"/>
                      <w14:checkbox>
                        <w14:checked w14:val="0"/>
                        <w14:checkedState w14:val="2612" w14:font="MS Gothic"/>
                        <w14:uncheckedState w14:val="2610" w14:font="MS Gothic"/>
                      </w14:checkbox>
                    </w:sdtPr>
                    <w:sdtEndPr/>
                    <w:sdtContent>
                      <w:r w:rsidR="00CD4F09" w:rsidRPr="000A7CB4">
                        <w:rPr>
                          <w:rFonts w:ascii="MS Gothic" w:eastAsia="MS Gothic" w:hAnsi="MS Gothic" w:cs="Times New Roman"/>
                          <w:b/>
                          <w:sz w:val="20"/>
                          <w:szCs w:val="20"/>
                        </w:rPr>
                        <w:t>☐</w:t>
                      </w:r>
                    </w:sdtContent>
                  </w:sdt>
                  <w:r w:rsidR="00CD4F09" w:rsidRPr="000A7CB4">
                    <w:rPr>
                      <w:rFonts w:cs="Times New Roman"/>
                      <w:b/>
                      <w:sz w:val="20"/>
                      <w:szCs w:val="20"/>
                    </w:rPr>
                    <w:t xml:space="preserve">  Súhlasné s návrhom na dopracovanie</w:t>
                  </w:r>
                </w:p>
              </w:tc>
              <w:tc>
                <w:tcPr>
                  <w:tcW w:w="2534" w:type="dxa"/>
                </w:tcPr>
                <w:p w:rsidR="00CD4F09" w:rsidRPr="000A7CB4" w:rsidRDefault="00C800E4" w:rsidP="007F0200">
                  <w:pPr>
                    <w:ind w:right="459"/>
                    <w:rPr>
                      <w:rFonts w:cs="Times New Roman"/>
                      <w:b/>
                      <w:sz w:val="20"/>
                      <w:szCs w:val="20"/>
                    </w:rPr>
                  </w:pPr>
                  <w:sdt>
                    <w:sdtPr>
                      <w:rPr>
                        <w:rFonts w:cs="Times New Roman"/>
                        <w:b/>
                        <w:sz w:val="20"/>
                        <w:szCs w:val="20"/>
                      </w:rPr>
                      <w:id w:val="-647822913"/>
                      <w14:checkbox>
                        <w14:checked w14:val="0"/>
                        <w14:checkedState w14:val="2612" w14:font="MS Gothic"/>
                        <w14:uncheckedState w14:val="2610" w14:font="MS Gothic"/>
                      </w14:checkbox>
                    </w:sdtPr>
                    <w:sdtEndPr/>
                    <w:sdtContent>
                      <w:r w:rsidR="00CD4F09" w:rsidRPr="000A7CB4">
                        <w:rPr>
                          <w:rFonts w:ascii="MS Gothic" w:eastAsia="MS Gothic" w:hAnsi="MS Gothic" w:cs="Times New Roman"/>
                          <w:b/>
                          <w:sz w:val="20"/>
                          <w:szCs w:val="20"/>
                        </w:rPr>
                        <w:t>☐</w:t>
                      </w:r>
                    </w:sdtContent>
                  </w:sdt>
                  <w:r w:rsidR="00CD4F09" w:rsidRPr="000A7CB4">
                    <w:rPr>
                      <w:rFonts w:cs="Times New Roman"/>
                      <w:b/>
                      <w:sz w:val="20"/>
                      <w:szCs w:val="20"/>
                    </w:rPr>
                    <w:t xml:space="preserve">  Nesúhlasné</w:t>
                  </w:r>
                </w:p>
              </w:tc>
            </w:tr>
          </w:tbl>
          <w:p w:rsidR="00CD4F09" w:rsidRPr="000A7CB4" w:rsidRDefault="00CD4F09" w:rsidP="007F0200">
            <w:pPr>
              <w:jc w:val="both"/>
              <w:rPr>
                <w:rFonts w:cs="Times New Roman"/>
                <w:b/>
                <w:sz w:val="20"/>
                <w:szCs w:val="20"/>
              </w:rPr>
            </w:pPr>
            <w:r w:rsidRPr="000A7CB4">
              <w:rPr>
                <w:rFonts w:cs="Times New Roman"/>
                <w:b/>
                <w:sz w:val="20"/>
                <w:szCs w:val="20"/>
              </w:rPr>
              <w:t>Uveďte pripomienky zo stanoviska Komisie z časti II. spolu s Vaším vyhodnotením:</w:t>
            </w:r>
          </w:p>
          <w:p w:rsidR="00CD4F09" w:rsidRPr="000A7CB4" w:rsidRDefault="00CD4F09" w:rsidP="007F0200">
            <w:pPr>
              <w:jc w:val="both"/>
              <w:rPr>
                <w:rFonts w:cs="Times New Roman"/>
                <w:b/>
                <w:sz w:val="20"/>
                <w:szCs w:val="20"/>
              </w:rPr>
            </w:pPr>
          </w:p>
          <w:p w:rsidR="00CD4F09" w:rsidRPr="000A7CB4" w:rsidRDefault="00CD4F09" w:rsidP="007F0200">
            <w:pPr>
              <w:jc w:val="both"/>
              <w:rPr>
                <w:rFonts w:cs="Times New Roman"/>
                <w:bCs/>
                <w:sz w:val="20"/>
                <w:szCs w:val="20"/>
              </w:rPr>
            </w:pPr>
            <w:r w:rsidRPr="000A7CB4">
              <w:rPr>
                <w:rFonts w:cs="Times New Roman"/>
                <w:bCs/>
                <w:sz w:val="20"/>
                <w:szCs w:val="20"/>
              </w:rPr>
              <w:t>Komisia neuplatňuje k materiálu žiadne pripomienky ani odporúčania.</w:t>
            </w:r>
          </w:p>
          <w:p w:rsidR="00CD4F09" w:rsidRPr="000A7CB4" w:rsidRDefault="00CD4F09" w:rsidP="007F0200">
            <w:pPr>
              <w:rPr>
                <w:rFonts w:cs="Times New Roman"/>
                <w:b/>
                <w:sz w:val="20"/>
                <w:szCs w:val="20"/>
              </w:rPr>
            </w:pPr>
          </w:p>
        </w:tc>
      </w:tr>
      <w:tr w:rsidR="000A7CB4" w:rsidRPr="000A7CB4" w:rsidTr="007F0200">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CD4F09" w:rsidRPr="000A7CB4" w:rsidRDefault="00CD4F09" w:rsidP="00CD4F09">
            <w:pPr>
              <w:widowControl/>
              <w:numPr>
                <w:ilvl w:val="0"/>
                <w:numId w:val="1"/>
              </w:numPr>
              <w:adjustRightInd/>
              <w:ind w:left="450" w:hanging="425"/>
              <w:contextualSpacing/>
              <w:jc w:val="both"/>
              <w:rPr>
                <w:rFonts w:eastAsia="Calibri" w:cs="Times New Roman"/>
                <w:b/>
              </w:rPr>
            </w:pPr>
            <w:r w:rsidRPr="000A7CB4">
              <w:rPr>
                <w:rFonts w:eastAsia="Calibri" w:cs="Times New Roman"/>
                <w:b/>
              </w:rPr>
              <w:t>Stanovisko Komisie na posudzovanie vybraných vplyvov zo záverečného posúdenia č. ..........</w:t>
            </w:r>
            <w:r w:rsidRPr="000A7CB4">
              <w:rPr>
                <w:rFonts w:eastAsia="Calibri" w:cs="Times New Roman"/>
              </w:rPr>
              <w:t xml:space="preserve"> (v prípade, ak sa uskutočnilo v zmysle bodu 9.1. Jednotnej metodiky) </w:t>
            </w:r>
          </w:p>
        </w:tc>
      </w:tr>
      <w:tr w:rsidR="000A7CB4" w:rsidRPr="000A7CB4" w:rsidTr="007F0200">
        <w:tblPrEx>
          <w:tblBorders>
            <w:insideH w:val="single" w:sz="4" w:space="0" w:color="FFFFFF"/>
            <w:insideV w:val="single" w:sz="4" w:space="0" w:color="FFFFFF"/>
          </w:tblBorders>
        </w:tblPrEx>
        <w:tc>
          <w:tcPr>
            <w:tcW w:w="9176" w:type="dxa"/>
            <w:shd w:val="clear" w:color="auto" w:fill="FFFFFF"/>
          </w:tcPr>
          <w:p w:rsidR="00CD4F09" w:rsidRPr="000A7CB4" w:rsidRDefault="00CD4F09" w:rsidP="007F0200">
            <w:pPr>
              <w:rPr>
                <w:rFonts w:cs="Times New Roman"/>
                <w:b/>
                <w:sz w:val="20"/>
                <w:szCs w:val="20"/>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0A7CB4" w:rsidRPr="000A7CB4" w:rsidTr="007F0200">
              <w:trPr>
                <w:trHeight w:val="396"/>
              </w:trPr>
              <w:tc>
                <w:tcPr>
                  <w:tcW w:w="2552" w:type="dxa"/>
                </w:tcPr>
                <w:p w:rsidR="00CD4F09" w:rsidRPr="000A7CB4" w:rsidRDefault="00C800E4" w:rsidP="007F0200">
                  <w:pPr>
                    <w:rPr>
                      <w:rFonts w:cs="Times New Roman"/>
                      <w:b/>
                      <w:sz w:val="20"/>
                      <w:szCs w:val="20"/>
                    </w:rPr>
                  </w:pPr>
                  <w:sdt>
                    <w:sdtPr>
                      <w:rPr>
                        <w:rFonts w:cs="Times New Roman"/>
                        <w:b/>
                        <w:sz w:val="20"/>
                        <w:szCs w:val="20"/>
                      </w:rPr>
                      <w:id w:val="888232876"/>
                      <w14:checkbox>
                        <w14:checked w14:val="0"/>
                        <w14:checkedState w14:val="2612" w14:font="MS Gothic"/>
                        <w14:uncheckedState w14:val="2610" w14:font="MS Gothic"/>
                      </w14:checkbox>
                    </w:sdtPr>
                    <w:sdtEndPr/>
                    <w:sdtContent>
                      <w:r w:rsidR="00CD4F09" w:rsidRPr="000A7CB4">
                        <w:rPr>
                          <w:rFonts w:ascii="MS Gothic" w:eastAsia="MS Gothic" w:hAnsi="MS Gothic" w:cs="Times New Roman"/>
                          <w:b/>
                          <w:sz w:val="20"/>
                          <w:szCs w:val="20"/>
                        </w:rPr>
                        <w:t>☐</w:t>
                      </w:r>
                    </w:sdtContent>
                  </w:sdt>
                  <w:r w:rsidR="00CD4F09" w:rsidRPr="000A7CB4">
                    <w:rPr>
                      <w:rFonts w:cs="Times New Roman"/>
                      <w:b/>
                      <w:sz w:val="20"/>
                      <w:szCs w:val="20"/>
                    </w:rPr>
                    <w:t xml:space="preserve">   Súhlasné </w:t>
                  </w:r>
                </w:p>
              </w:tc>
              <w:tc>
                <w:tcPr>
                  <w:tcW w:w="3827" w:type="dxa"/>
                </w:tcPr>
                <w:p w:rsidR="00CD4F09" w:rsidRPr="000A7CB4" w:rsidRDefault="00C800E4" w:rsidP="007F0200">
                  <w:pPr>
                    <w:rPr>
                      <w:rFonts w:cs="Times New Roman"/>
                      <w:b/>
                      <w:sz w:val="20"/>
                      <w:szCs w:val="20"/>
                    </w:rPr>
                  </w:pPr>
                  <w:sdt>
                    <w:sdtPr>
                      <w:rPr>
                        <w:rFonts w:cs="Times New Roman"/>
                        <w:b/>
                        <w:sz w:val="20"/>
                        <w:szCs w:val="20"/>
                      </w:rPr>
                      <w:id w:val="953831761"/>
                      <w14:checkbox>
                        <w14:checked w14:val="0"/>
                        <w14:checkedState w14:val="2612" w14:font="MS Gothic"/>
                        <w14:uncheckedState w14:val="2610" w14:font="MS Gothic"/>
                      </w14:checkbox>
                    </w:sdtPr>
                    <w:sdtEndPr/>
                    <w:sdtContent>
                      <w:r w:rsidR="00CD4F09" w:rsidRPr="000A7CB4">
                        <w:rPr>
                          <w:rFonts w:ascii="MS Gothic" w:eastAsia="MS Gothic" w:hAnsi="MS Gothic" w:cs="Times New Roman"/>
                          <w:b/>
                          <w:sz w:val="20"/>
                          <w:szCs w:val="20"/>
                        </w:rPr>
                        <w:t>☐</w:t>
                      </w:r>
                    </w:sdtContent>
                  </w:sdt>
                  <w:r w:rsidR="00CD4F09" w:rsidRPr="000A7CB4">
                    <w:rPr>
                      <w:rFonts w:cs="Times New Roman"/>
                      <w:b/>
                      <w:sz w:val="20"/>
                      <w:szCs w:val="20"/>
                    </w:rPr>
                    <w:t xml:space="preserve">  Súhlasné s  návrhom na dopracovanie</w:t>
                  </w:r>
                </w:p>
              </w:tc>
              <w:tc>
                <w:tcPr>
                  <w:tcW w:w="2534" w:type="dxa"/>
                </w:tcPr>
                <w:p w:rsidR="00CD4F09" w:rsidRPr="000A7CB4" w:rsidRDefault="00C800E4" w:rsidP="007F0200">
                  <w:pPr>
                    <w:ind w:right="459"/>
                    <w:rPr>
                      <w:rFonts w:cs="Times New Roman"/>
                      <w:b/>
                      <w:sz w:val="20"/>
                      <w:szCs w:val="20"/>
                    </w:rPr>
                  </w:pPr>
                  <w:sdt>
                    <w:sdtPr>
                      <w:rPr>
                        <w:rFonts w:cs="Times New Roman"/>
                        <w:b/>
                        <w:sz w:val="20"/>
                        <w:szCs w:val="20"/>
                      </w:rPr>
                      <w:id w:val="-361740452"/>
                      <w14:checkbox>
                        <w14:checked w14:val="0"/>
                        <w14:checkedState w14:val="2612" w14:font="MS Gothic"/>
                        <w14:uncheckedState w14:val="2610" w14:font="MS Gothic"/>
                      </w14:checkbox>
                    </w:sdtPr>
                    <w:sdtEndPr/>
                    <w:sdtContent>
                      <w:r w:rsidR="00CD4F09" w:rsidRPr="000A7CB4">
                        <w:rPr>
                          <w:rFonts w:ascii="MS Gothic" w:eastAsia="MS Gothic" w:hAnsi="MS Gothic" w:cs="Times New Roman"/>
                          <w:b/>
                          <w:sz w:val="20"/>
                          <w:szCs w:val="20"/>
                        </w:rPr>
                        <w:t>☐</w:t>
                      </w:r>
                    </w:sdtContent>
                  </w:sdt>
                  <w:r w:rsidR="00CD4F09" w:rsidRPr="000A7CB4">
                    <w:rPr>
                      <w:rFonts w:cs="Times New Roman"/>
                      <w:b/>
                      <w:sz w:val="20"/>
                      <w:szCs w:val="20"/>
                    </w:rPr>
                    <w:t xml:space="preserve">  Nesúhlasné</w:t>
                  </w:r>
                </w:p>
              </w:tc>
            </w:tr>
          </w:tbl>
          <w:p w:rsidR="00CD4F09" w:rsidRPr="000A7CB4" w:rsidRDefault="00CD4F09" w:rsidP="007F0200">
            <w:pPr>
              <w:jc w:val="both"/>
              <w:rPr>
                <w:rFonts w:cs="Times New Roman"/>
                <w:b/>
                <w:sz w:val="20"/>
                <w:szCs w:val="20"/>
              </w:rPr>
            </w:pPr>
            <w:r w:rsidRPr="000A7CB4">
              <w:rPr>
                <w:rFonts w:cs="Times New Roman"/>
                <w:b/>
                <w:sz w:val="20"/>
                <w:szCs w:val="20"/>
              </w:rPr>
              <w:t>Uveďte pripomienky zo stanoviska Komisie z časti II. spolu s Vaším vyhodnotením:</w:t>
            </w:r>
          </w:p>
          <w:p w:rsidR="00CD4F09" w:rsidRPr="000A7CB4" w:rsidRDefault="00CD4F09" w:rsidP="007F0200">
            <w:pPr>
              <w:rPr>
                <w:rFonts w:cs="Times New Roman"/>
                <w:b/>
                <w:sz w:val="20"/>
                <w:szCs w:val="20"/>
              </w:rPr>
            </w:pPr>
          </w:p>
          <w:p w:rsidR="00CD4F09" w:rsidRPr="000A7CB4" w:rsidRDefault="00CD4F09" w:rsidP="007F0200">
            <w:pPr>
              <w:rPr>
                <w:rFonts w:cs="Times New Roman"/>
                <w:b/>
                <w:sz w:val="20"/>
                <w:szCs w:val="20"/>
              </w:rPr>
            </w:pPr>
          </w:p>
        </w:tc>
      </w:tr>
    </w:tbl>
    <w:p w:rsidR="00CD4F09" w:rsidRPr="000A7CB4" w:rsidRDefault="00CD4F09" w:rsidP="00CD4F09"/>
    <w:p w:rsidR="00CD4F09" w:rsidRPr="000A7CB4" w:rsidRDefault="00CD4F09" w:rsidP="00CD4F09">
      <w:pPr>
        <w:pStyle w:val="PMsoNormal"/>
        <w:widowControl/>
        <w:spacing w:line="276" w:lineRule="auto"/>
        <w:ind w:firstLine="720"/>
        <w:jc w:val="both"/>
      </w:pPr>
      <w:r w:rsidRPr="000A7CB4">
        <w:br w:type="page"/>
      </w:r>
    </w:p>
    <w:p w:rsidR="00CD4F09" w:rsidRPr="000A7CB4" w:rsidRDefault="00CD4F09" w:rsidP="00CD4F09">
      <w:pPr>
        <w:jc w:val="center"/>
        <w:rPr>
          <w:rFonts w:eastAsia="Calibri" w:cs="Times New Roman"/>
          <w:b/>
          <w:sz w:val="28"/>
          <w:szCs w:val="28"/>
        </w:rPr>
      </w:pPr>
      <w:r w:rsidRPr="000A7CB4">
        <w:rPr>
          <w:rFonts w:eastAsia="Calibri" w:cs="Times New Roman"/>
          <w:b/>
          <w:sz w:val="28"/>
          <w:szCs w:val="28"/>
        </w:rPr>
        <w:lastRenderedPageBreak/>
        <w:t>Analýza vplyvov na podnikateľské prostredie</w:t>
      </w:r>
    </w:p>
    <w:p w:rsidR="00CD4F09" w:rsidRPr="000A7CB4" w:rsidRDefault="00CD4F09" w:rsidP="00CD4F09">
      <w:pPr>
        <w:jc w:val="both"/>
        <w:rPr>
          <w:rFonts w:eastAsia="Calibri" w:cs="Times New Roman"/>
          <w:b/>
        </w:rPr>
      </w:pPr>
    </w:p>
    <w:p w:rsidR="00CD4F09" w:rsidRPr="000A7CB4" w:rsidRDefault="00CD4F09" w:rsidP="000A7CB4">
      <w:pPr>
        <w:jc w:val="both"/>
        <w:rPr>
          <w:rFonts w:cs="Times New Roman"/>
        </w:rPr>
      </w:pPr>
      <w:r w:rsidRPr="000A7CB4">
        <w:rPr>
          <w:rFonts w:eastAsia="Calibri" w:cs="Times New Roman"/>
          <w:b/>
        </w:rPr>
        <w:t xml:space="preserve">Názov materiálu: </w:t>
      </w:r>
      <w:r w:rsidR="00375E5E" w:rsidRPr="00375E5E">
        <w:rPr>
          <w:rFonts w:eastAsia="Calibri" w:cs="Times New Roman"/>
        </w:rPr>
        <w:t>Vládny n</w:t>
      </w:r>
      <w:r w:rsidRPr="000A7CB4">
        <w:rPr>
          <w:rFonts w:cs="Times New Roman"/>
        </w:rPr>
        <w:t xml:space="preserve">ávrh zákona, </w:t>
      </w:r>
      <w:r w:rsidRPr="000A7CB4">
        <w:rPr>
          <w:rFonts w:cs="Times New Roman"/>
          <w:bCs/>
        </w:rPr>
        <w:t xml:space="preserve">ktorým sa mení a dopĺňa zákon č. 56/2018 Z. z. </w:t>
      </w:r>
      <w:r w:rsidRPr="000A7CB4">
        <w:rPr>
          <w:rFonts w:cs="Times New Roman"/>
        </w:rPr>
        <w:t>o posudzovaní zhody výrobku, sprístupňovaní určeného výrobku na trhu a o zmene a doplnení niektorých zákonov v znení neskorších predpisov a ktorým sa menia a dopĺňajú niektoré zákony</w:t>
      </w:r>
      <w:r w:rsidRPr="000A7CB4">
        <w:t xml:space="preserve"> </w:t>
      </w:r>
      <w:r w:rsidRPr="000A7CB4">
        <w:rPr>
          <w:rFonts w:cs="Times New Roman"/>
        </w:rPr>
        <w:t>(ďalej len „návrh zákona“)</w:t>
      </w:r>
    </w:p>
    <w:p w:rsidR="00CD4F09" w:rsidRPr="000A7CB4" w:rsidRDefault="00CD4F09" w:rsidP="000A7CB4">
      <w:pPr>
        <w:jc w:val="both"/>
        <w:rPr>
          <w:rFonts w:eastAsia="Calibri" w:cs="Times New Roman"/>
          <w:b/>
        </w:rPr>
      </w:pPr>
    </w:p>
    <w:p w:rsidR="00CD4F09" w:rsidRPr="000A7CB4" w:rsidRDefault="00CD4F09" w:rsidP="000A7CB4">
      <w:pPr>
        <w:jc w:val="both"/>
        <w:rPr>
          <w:rFonts w:eastAsia="Calibri" w:cs="Times New Roman"/>
          <w:b/>
        </w:rPr>
      </w:pPr>
      <w:r w:rsidRPr="000A7CB4">
        <w:rPr>
          <w:rFonts w:eastAsia="Calibri" w:cs="Times New Roman"/>
          <w:b/>
        </w:rPr>
        <w:t xml:space="preserve">Predkladateľ: </w:t>
      </w:r>
      <w:r w:rsidR="00574F47">
        <w:rPr>
          <w:rFonts w:eastAsia="Calibri" w:cs="Times New Roman"/>
        </w:rPr>
        <w:t>Vláda Slovenskej republiky</w:t>
      </w:r>
    </w:p>
    <w:p w:rsidR="00CD4F09" w:rsidRPr="000A7CB4" w:rsidRDefault="00CD4F09" w:rsidP="000A7CB4">
      <w:pPr>
        <w:jc w:val="both"/>
        <w:rPr>
          <w:rFonts w:eastAsia="Calibri" w:cs="Times New Roman"/>
          <w:b/>
        </w:rPr>
      </w:pPr>
    </w:p>
    <w:p w:rsidR="00CD4F09" w:rsidRPr="000A7CB4" w:rsidRDefault="00CD4F09" w:rsidP="000A7CB4">
      <w:pPr>
        <w:jc w:val="both"/>
        <w:rPr>
          <w:rFonts w:eastAsia="Calibri" w:cs="Times New Roman"/>
          <w:b/>
        </w:rPr>
      </w:pPr>
      <w:r w:rsidRPr="000A7CB4">
        <w:rPr>
          <w:rFonts w:eastAsia="Calibri" w:cs="Times New Roman"/>
          <w:b/>
        </w:rPr>
        <w:t>3.1 Náklady regulácie</w:t>
      </w:r>
    </w:p>
    <w:p w:rsidR="00CD4F09" w:rsidRPr="000A7CB4" w:rsidRDefault="00CD4F09" w:rsidP="000A7CB4">
      <w:pPr>
        <w:tabs>
          <w:tab w:val="left" w:pos="8025"/>
        </w:tabs>
        <w:rPr>
          <w:rFonts w:eastAsia="Calibri" w:cs="Times New Roman"/>
          <w:b/>
          <w:i/>
          <w:iCs/>
        </w:rPr>
      </w:pPr>
    </w:p>
    <w:p w:rsidR="00CD4F09" w:rsidRPr="000A7CB4" w:rsidRDefault="00CD4F09" w:rsidP="000A7CB4">
      <w:pPr>
        <w:tabs>
          <w:tab w:val="left" w:pos="8025"/>
        </w:tabs>
        <w:rPr>
          <w:rFonts w:eastAsia="Calibri" w:cs="Times New Roman"/>
          <w:bCs/>
          <w:i/>
          <w:iCs/>
        </w:rPr>
      </w:pPr>
      <w:r w:rsidRPr="000A7CB4">
        <w:rPr>
          <w:rFonts w:eastAsia="Calibri" w:cs="Times New Roman"/>
          <w:b/>
          <w:i/>
          <w:iCs/>
        </w:rPr>
        <w:t xml:space="preserve">3.1.1 Súhrnná tabuľka nákladov regulácie </w:t>
      </w:r>
      <w:r w:rsidRPr="000A7CB4">
        <w:rPr>
          <w:rFonts w:eastAsia="Calibri" w:cs="Times New Roman"/>
          <w:b/>
          <w:i/>
          <w:iCs/>
        </w:rPr>
        <w:tab/>
      </w:r>
    </w:p>
    <w:p w:rsidR="00CD4F09" w:rsidRPr="000A7CB4" w:rsidRDefault="00CD4F09" w:rsidP="000A7CB4">
      <w:pPr>
        <w:jc w:val="both"/>
        <w:rPr>
          <w:rFonts w:eastAsia="Calibri" w:cs="Times New Roman"/>
          <w:i/>
        </w:rPr>
      </w:pPr>
      <w:r w:rsidRPr="000A7CB4">
        <w:rPr>
          <w:rFonts w:eastAsia="Calibri" w:cs="Times New Roman"/>
          <w:i/>
        </w:rPr>
        <w:t>Tabuľka č. 1: Zmeny nákladov (ročne) v prepočte na podnikateľské prostredie (PP), vyhodnotenie mechanizmu znižovania byrokracie a nákladov, náklady goldplatingu</w:t>
      </w:r>
      <w:r w:rsidRPr="000A7CB4">
        <w:rPr>
          <w:rStyle w:val="Odkaznapoznmkupodiarou"/>
          <w:rFonts w:eastAsia="Calibri" w:cs="Times New Roman"/>
          <w:i/>
        </w:rPr>
        <w:footnoteReference w:id="1"/>
      </w:r>
      <w:r w:rsidRPr="000A7CB4">
        <w:rPr>
          <w:rFonts w:eastAsia="Calibri" w:cs="Times New Roman"/>
          <w:i/>
        </w:rPr>
        <w:t xml:space="preserve"> na podnikateľské prostredie. </w:t>
      </w:r>
    </w:p>
    <w:p w:rsidR="00CD4F09" w:rsidRPr="000A7CB4" w:rsidRDefault="00CD4F09" w:rsidP="000A7CB4">
      <w:pPr>
        <w:jc w:val="both"/>
        <w:rPr>
          <w:rFonts w:eastAsia="Calibri" w:cs="Times New Roman"/>
          <w:i/>
        </w:rPr>
      </w:pPr>
      <w:r w:rsidRPr="000A7CB4">
        <w:rPr>
          <w:rFonts w:eastAsia="Calibri" w:cs="Times New Roman"/>
          <w:i/>
        </w:rPr>
        <w:t xml:space="preserve">Nahraďte rovnakou tabuľkou po vyplnení Kalkulačky nákladov podnikateľského prostredia, ktorá je povinnou prílohou tejto analýzy a nájdete ju na </w:t>
      </w:r>
      <w:hyperlink r:id="rId8" w:history="1">
        <w:r w:rsidRPr="000A7CB4">
          <w:rPr>
            <w:rFonts w:eastAsia="Calibri" w:cs="Times New Roman"/>
            <w:i/>
            <w:u w:val="single"/>
          </w:rPr>
          <w:t>webovom sídle MH SR</w:t>
        </w:r>
      </w:hyperlink>
      <w:r w:rsidRPr="000A7CB4">
        <w:rPr>
          <w:rFonts w:eastAsia="Calibri" w:cs="Times New Roman"/>
          <w:i/>
        </w:rPr>
        <w:t>, (ďalej len „Kalkulačka nákladov“):</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0A7CB4" w:rsidRPr="000A7CB4" w:rsidTr="007F0200">
        <w:trPr>
          <w:trHeight w:val="270"/>
        </w:trPr>
        <w:tc>
          <w:tcPr>
            <w:tcW w:w="146" w:type="dxa"/>
            <w:tcBorders>
              <w:top w:val="nil"/>
              <w:left w:val="nil"/>
              <w:bottom w:val="nil"/>
              <w:right w:val="nil"/>
            </w:tcBorders>
            <w:shd w:val="clear" w:color="auto" w:fill="auto"/>
            <w:noWrap/>
            <w:vAlign w:val="bottom"/>
            <w:hideMark/>
          </w:tcPr>
          <w:p w:rsidR="00CD4F09" w:rsidRPr="000A7CB4" w:rsidRDefault="00CD4F09" w:rsidP="007F0200">
            <w:pPr>
              <w:rPr>
                <w:rFonts w:cs="Times New Roman"/>
                <w:sz w:val="20"/>
                <w:szCs w:val="20"/>
              </w:rPr>
            </w:pPr>
          </w:p>
        </w:tc>
        <w:tc>
          <w:tcPr>
            <w:tcW w:w="3540" w:type="dxa"/>
            <w:tcBorders>
              <w:top w:val="nil"/>
              <w:left w:val="nil"/>
              <w:bottom w:val="nil"/>
              <w:right w:val="nil"/>
            </w:tcBorders>
            <w:shd w:val="clear" w:color="auto" w:fill="auto"/>
            <w:noWrap/>
            <w:vAlign w:val="bottom"/>
            <w:hideMark/>
          </w:tcPr>
          <w:p w:rsidR="00CD4F09" w:rsidRPr="000A7CB4" w:rsidRDefault="00CD4F09" w:rsidP="007F0200">
            <w:pPr>
              <w:rPr>
                <w:rFonts w:cs="Times New Roman"/>
                <w:sz w:val="20"/>
                <w:szCs w:val="20"/>
              </w:rPr>
            </w:pPr>
          </w:p>
        </w:tc>
        <w:tc>
          <w:tcPr>
            <w:tcW w:w="2792" w:type="dxa"/>
            <w:gridSpan w:val="2"/>
            <w:tcBorders>
              <w:top w:val="nil"/>
              <w:left w:val="nil"/>
              <w:bottom w:val="nil"/>
              <w:right w:val="nil"/>
            </w:tcBorders>
            <w:shd w:val="clear" w:color="auto" w:fill="auto"/>
            <w:noWrap/>
            <w:vAlign w:val="bottom"/>
            <w:hideMark/>
          </w:tcPr>
          <w:p w:rsidR="00CD4F09" w:rsidRPr="000A7CB4" w:rsidRDefault="00CD4F09" w:rsidP="007F0200">
            <w:pPr>
              <w:rPr>
                <w:rFonts w:cs="Times New Roman"/>
                <w:sz w:val="20"/>
                <w:szCs w:val="20"/>
              </w:rPr>
            </w:pPr>
          </w:p>
        </w:tc>
        <w:tc>
          <w:tcPr>
            <w:tcW w:w="160" w:type="dxa"/>
            <w:tcBorders>
              <w:top w:val="nil"/>
              <w:left w:val="nil"/>
              <w:bottom w:val="nil"/>
              <w:right w:val="nil"/>
            </w:tcBorders>
            <w:shd w:val="clear" w:color="auto" w:fill="auto"/>
            <w:noWrap/>
            <w:vAlign w:val="bottom"/>
            <w:hideMark/>
          </w:tcPr>
          <w:p w:rsidR="00CD4F09" w:rsidRPr="000A7CB4" w:rsidRDefault="00CD4F09" w:rsidP="007F0200">
            <w:pPr>
              <w:rPr>
                <w:rFonts w:cs="Times New Roman"/>
                <w:sz w:val="20"/>
                <w:szCs w:val="20"/>
              </w:rPr>
            </w:pPr>
          </w:p>
        </w:tc>
        <w:tc>
          <w:tcPr>
            <w:tcW w:w="2716" w:type="dxa"/>
            <w:gridSpan w:val="2"/>
            <w:tcBorders>
              <w:top w:val="nil"/>
              <w:left w:val="nil"/>
              <w:bottom w:val="nil"/>
              <w:right w:val="nil"/>
            </w:tcBorders>
            <w:shd w:val="clear" w:color="auto" w:fill="auto"/>
            <w:noWrap/>
            <w:vAlign w:val="bottom"/>
            <w:hideMark/>
          </w:tcPr>
          <w:p w:rsidR="00CD4F09" w:rsidRPr="000A7CB4" w:rsidRDefault="00CD4F09" w:rsidP="007F0200">
            <w:pPr>
              <w:rPr>
                <w:rFonts w:cs="Times New Roman"/>
                <w:sz w:val="20"/>
                <w:szCs w:val="20"/>
              </w:rPr>
            </w:pPr>
          </w:p>
        </w:tc>
        <w:tc>
          <w:tcPr>
            <w:tcW w:w="160" w:type="dxa"/>
            <w:tcBorders>
              <w:top w:val="nil"/>
              <w:left w:val="nil"/>
              <w:bottom w:val="nil"/>
              <w:right w:val="nil"/>
            </w:tcBorders>
            <w:shd w:val="clear" w:color="auto" w:fill="auto"/>
            <w:noWrap/>
            <w:vAlign w:val="bottom"/>
            <w:hideMark/>
          </w:tcPr>
          <w:p w:rsidR="00CD4F09" w:rsidRPr="000A7CB4" w:rsidRDefault="00CD4F09" w:rsidP="007F0200">
            <w:pPr>
              <w:jc w:val="center"/>
              <w:rPr>
                <w:rFonts w:cs="Times New Roman"/>
                <w:sz w:val="20"/>
                <w:szCs w:val="20"/>
              </w:rPr>
            </w:pPr>
          </w:p>
        </w:tc>
      </w:tr>
      <w:tr w:rsidR="000A7CB4" w:rsidRPr="000A7CB4" w:rsidTr="007F0200">
        <w:trPr>
          <w:gridAfter w:val="2"/>
          <w:wAfter w:w="583" w:type="dxa"/>
          <w:trHeight w:val="451"/>
        </w:trPr>
        <w:tc>
          <w:tcPr>
            <w:tcW w:w="146" w:type="dxa"/>
            <w:tcBorders>
              <w:top w:val="nil"/>
              <w:left w:val="nil"/>
              <w:bottom w:val="nil"/>
              <w:right w:val="nil"/>
            </w:tcBorders>
            <w:shd w:val="clear" w:color="auto" w:fill="auto"/>
            <w:noWrap/>
            <w:vAlign w:val="bottom"/>
            <w:hideMark/>
          </w:tcPr>
          <w:p w:rsidR="00CD4F09" w:rsidRPr="000A7CB4" w:rsidRDefault="00CD4F09" w:rsidP="007F0200">
            <w:pPr>
              <w:rPr>
                <w:rFonts w:cs="Times New Roman"/>
                <w:sz w:val="20"/>
                <w:szCs w:val="20"/>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D4F09" w:rsidRPr="000A7CB4" w:rsidRDefault="00CD4F09" w:rsidP="007F0200">
            <w:pPr>
              <w:jc w:val="center"/>
              <w:rPr>
                <w:rFonts w:cs="Times New Roman"/>
                <w:b/>
                <w:bCs/>
                <w:i/>
                <w:iCs/>
                <w:sz w:val="20"/>
                <w:szCs w:val="20"/>
              </w:rPr>
            </w:pPr>
            <w:r w:rsidRPr="000A7CB4">
              <w:rPr>
                <w:rFonts w:cs="Times New Roman"/>
                <w:b/>
                <w:bCs/>
                <w:i/>
                <w:iCs/>
                <w:sz w:val="20"/>
                <w:szCs w:val="20"/>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Zníženie nákladov v € na PP</w:t>
            </w:r>
          </w:p>
        </w:tc>
      </w:tr>
      <w:tr w:rsidR="000A7CB4" w:rsidRPr="000A7CB4" w:rsidTr="007F0200">
        <w:trPr>
          <w:gridAfter w:val="2"/>
          <w:wAfter w:w="583" w:type="dxa"/>
          <w:trHeight w:val="600"/>
        </w:trPr>
        <w:tc>
          <w:tcPr>
            <w:tcW w:w="146" w:type="dxa"/>
            <w:tcBorders>
              <w:top w:val="nil"/>
              <w:left w:val="nil"/>
              <w:bottom w:val="nil"/>
              <w:right w:val="nil"/>
            </w:tcBorders>
            <w:shd w:val="clear" w:color="auto" w:fill="auto"/>
            <w:noWrap/>
            <w:vAlign w:val="bottom"/>
            <w:hideMark/>
          </w:tcPr>
          <w:p w:rsidR="00CD4F09" w:rsidRPr="000A7CB4" w:rsidRDefault="00CD4F09" w:rsidP="007F0200">
            <w:pPr>
              <w:rPr>
                <w:rFonts w:cs="Times New Roman"/>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CD4F09" w:rsidRPr="000A7CB4" w:rsidRDefault="00CD4F09" w:rsidP="007F0200">
            <w:pPr>
              <w:rPr>
                <w:rFonts w:cs="Times New Roman"/>
                <w:b/>
                <w:bCs/>
                <w:i/>
                <w:iCs/>
                <w:sz w:val="20"/>
                <w:szCs w:val="20"/>
              </w:rPr>
            </w:pPr>
            <w:r w:rsidRPr="000A7CB4">
              <w:rPr>
                <w:rFonts w:cs="Times New Roman"/>
                <w:b/>
                <w:bCs/>
                <w:i/>
                <w:iCs/>
                <w:sz w:val="20"/>
                <w:szCs w:val="20"/>
              </w:rPr>
              <w:t>A. Dane, odvody, clá a poplatky,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 </w:t>
            </w:r>
          </w:p>
        </w:tc>
      </w:tr>
      <w:tr w:rsidR="000A7CB4" w:rsidRPr="000A7CB4" w:rsidTr="007F0200">
        <w:trPr>
          <w:gridAfter w:val="2"/>
          <w:wAfter w:w="583" w:type="dxa"/>
          <w:trHeight w:val="420"/>
        </w:trPr>
        <w:tc>
          <w:tcPr>
            <w:tcW w:w="146" w:type="dxa"/>
            <w:tcBorders>
              <w:top w:val="nil"/>
              <w:left w:val="nil"/>
              <w:bottom w:val="nil"/>
              <w:right w:val="nil"/>
            </w:tcBorders>
            <w:shd w:val="clear" w:color="auto" w:fill="auto"/>
            <w:noWrap/>
            <w:vAlign w:val="bottom"/>
            <w:hideMark/>
          </w:tcPr>
          <w:p w:rsidR="00CD4F09" w:rsidRPr="000A7CB4" w:rsidRDefault="00CD4F09" w:rsidP="007F0200">
            <w:pPr>
              <w:rPr>
                <w:rFonts w:cs="Times New Roman"/>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CD4F09" w:rsidRPr="000A7CB4" w:rsidRDefault="00CD4F09" w:rsidP="007F0200">
            <w:pPr>
              <w:rPr>
                <w:rFonts w:cs="Times New Roman"/>
                <w:b/>
                <w:bCs/>
                <w:i/>
                <w:iCs/>
                <w:sz w:val="20"/>
                <w:szCs w:val="20"/>
              </w:rPr>
            </w:pPr>
            <w:r w:rsidRPr="000A7CB4">
              <w:rPr>
                <w:rFonts w:cs="Times New Roman"/>
                <w:b/>
                <w:bCs/>
                <w:i/>
                <w:iCs/>
                <w:sz w:val="20"/>
                <w:szCs w:val="20"/>
              </w:rPr>
              <w:t>B. Iné poplatky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 </w:t>
            </w:r>
          </w:p>
        </w:tc>
      </w:tr>
      <w:tr w:rsidR="000A7CB4" w:rsidRPr="000A7CB4" w:rsidTr="007F0200">
        <w:trPr>
          <w:gridAfter w:val="2"/>
          <w:wAfter w:w="583" w:type="dxa"/>
          <w:trHeight w:val="435"/>
        </w:trPr>
        <w:tc>
          <w:tcPr>
            <w:tcW w:w="146" w:type="dxa"/>
            <w:tcBorders>
              <w:top w:val="nil"/>
              <w:left w:val="nil"/>
              <w:bottom w:val="nil"/>
              <w:right w:val="nil"/>
            </w:tcBorders>
            <w:shd w:val="clear" w:color="auto" w:fill="auto"/>
            <w:noWrap/>
            <w:vAlign w:val="bottom"/>
            <w:hideMark/>
          </w:tcPr>
          <w:p w:rsidR="00CD4F09" w:rsidRPr="000A7CB4" w:rsidRDefault="00CD4F09" w:rsidP="007F0200">
            <w:pPr>
              <w:rPr>
                <w:rFonts w:cs="Times New Roman"/>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CD4F09" w:rsidRPr="000A7CB4" w:rsidRDefault="00CD4F09" w:rsidP="007F0200">
            <w:pPr>
              <w:rPr>
                <w:rFonts w:cs="Times New Roman"/>
                <w:b/>
                <w:bCs/>
                <w:i/>
                <w:iCs/>
                <w:sz w:val="20"/>
                <w:szCs w:val="20"/>
              </w:rPr>
            </w:pPr>
            <w:r w:rsidRPr="000A7CB4">
              <w:rPr>
                <w:rFonts w:cs="Times New Roman"/>
                <w:b/>
                <w:bCs/>
                <w:i/>
                <w:iCs/>
                <w:sz w:val="20"/>
                <w:szCs w:val="20"/>
              </w:rPr>
              <w:t>C.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 </w:t>
            </w:r>
          </w:p>
        </w:tc>
      </w:tr>
      <w:tr w:rsidR="000A7CB4" w:rsidRPr="000A7CB4" w:rsidTr="007F0200">
        <w:trPr>
          <w:gridAfter w:val="2"/>
          <w:wAfter w:w="583" w:type="dxa"/>
          <w:trHeight w:val="480"/>
        </w:trPr>
        <w:tc>
          <w:tcPr>
            <w:tcW w:w="146" w:type="dxa"/>
            <w:tcBorders>
              <w:top w:val="nil"/>
              <w:left w:val="nil"/>
              <w:bottom w:val="nil"/>
              <w:right w:val="nil"/>
            </w:tcBorders>
            <w:shd w:val="clear" w:color="auto" w:fill="auto"/>
            <w:noWrap/>
            <w:vAlign w:val="bottom"/>
            <w:hideMark/>
          </w:tcPr>
          <w:p w:rsidR="00CD4F09" w:rsidRPr="000A7CB4" w:rsidRDefault="00CD4F09" w:rsidP="007F0200">
            <w:pPr>
              <w:rPr>
                <w:rFonts w:cs="Times New Roman"/>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CD4F09" w:rsidRPr="000A7CB4" w:rsidRDefault="00CD4F09" w:rsidP="007F0200">
            <w:pPr>
              <w:rPr>
                <w:rFonts w:cs="Times New Roman"/>
                <w:b/>
                <w:bCs/>
                <w:i/>
                <w:iCs/>
                <w:sz w:val="20"/>
                <w:szCs w:val="20"/>
              </w:rPr>
            </w:pPr>
            <w:r w:rsidRPr="000A7CB4">
              <w:rPr>
                <w:rFonts w:cs="Times New Roman"/>
                <w:b/>
                <w:bCs/>
                <w:i/>
                <w:iCs/>
                <w:sz w:val="20"/>
                <w:szCs w:val="20"/>
              </w:rPr>
              <w:t xml:space="preserve">D. Nepriame finančné náklady </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 </w:t>
            </w:r>
          </w:p>
        </w:tc>
      </w:tr>
      <w:tr w:rsidR="000A7CB4" w:rsidRPr="000A7CB4" w:rsidTr="007F0200">
        <w:trPr>
          <w:gridAfter w:val="2"/>
          <w:wAfter w:w="583" w:type="dxa"/>
          <w:trHeight w:val="480"/>
        </w:trPr>
        <w:tc>
          <w:tcPr>
            <w:tcW w:w="146" w:type="dxa"/>
            <w:tcBorders>
              <w:top w:val="nil"/>
              <w:left w:val="nil"/>
              <w:bottom w:val="nil"/>
              <w:right w:val="nil"/>
            </w:tcBorders>
            <w:shd w:val="clear" w:color="auto" w:fill="auto"/>
            <w:noWrap/>
            <w:vAlign w:val="bottom"/>
          </w:tcPr>
          <w:p w:rsidR="00CD4F09" w:rsidRPr="000A7CB4" w:rsidRDefault="00CD4F09" w:rsidP="007F0200">
            <w:pPr>
              <w:rPr>
                <w:rFonts w:cs="Times New Roman"/>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tcPr>
          <w:p w:rsidR="00CD4F09" w:rsidRPr="000A7CB4" w:rsidRDefault="00CD4F09" w:rsidP="007F0200">
            <w:pPr>
              <w:rPr>
                <w:rFonts w:cs="Times New Roman"/>
                <w:b/>
                <w:bCs/>
                <w:i/>
                <w:iCs/>
                <w:sz w:val="20"/>
                <w:szCs w:val="20"/>
              </w:rPr>
            </w:pPr>
            <w:r w:rsidRPr="000A7CB4">
              <w:rPr>
                <w:rFonts w:cs="Times New Roman"/>
                <w:b/>
                <w:bCs/>
                <w:i/>
                <w:iCs/>
                <w:sz w:val="20"/>
                <w:szCs w:val="20"/>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rsidR="00CD4F09" w:rsidRPr="000A7CB4" w:rsidRDefault="00CD4F09" w:rsidP="007F0200">
            <w:pPr>
              <w:jc w:val="center"/>
              <w:rPr>
                <w:rFonts w:cs="Times New Roman"/>
                <w:b/>
                <w:bCs/>
                <w:sz w:val="20"/>
                <w:szCs w:val="20"/>
              </w:rPr>
            </w:pP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rsidR="00CD4F09" w:rsidRPr="000A7CB4" w:rsidRDefault="00CD4F09" w:rsidP="007F0200">
            <w:pPr>
              <w:jc w:val="center"/>
              <w:rPr>
                <w:rFonts w:cs="Times New Roman"/>
                <w:b/>
                <w:bCs/>
                <w:sz w:val="20"/>
                <w:szCs w:val="20"/>
              </w:rPr>
            </w:pPr>
          </w:p>
        </w:tc>
      </w:tr>
      <w:tr w:rsidR="000A7CB4" w:rsidRPr="000A7CB4" w:rsidTr="007F0200">
        <w:trPr>
          <w:gridAfter w:val="2"/>
          <w:wAfter w:w="583" w:type="dxa"/>
          <w:trHeight w:val="600"/>
        </w:trPr>
        <w:tc>
          <w:tcPr>
            <w:tcW w:w="146" w:type="dxa"/>
            <w:tcBorders>
              <w:top w:val="nil"/>
              <w:left w:val="nil"/>
              <w:bottom w:val="nil"/>
              <w:right w:val="nil"/>
            </w:tcBorders>
            <w:shd w:val="clear" w:color="auto" w:fill="auto"/>
            <w:noWrap/>
            <w:vAlign w:val="bottom"/>
            <w:hideMark/>
          </w:tcPr>
          <w:p w:rsidR="00CD4F09" w:rsidRPr="000A7CB4" w:rsidRDefault="00CD4F09" w:rsidP="007F0200">
            <w:pPr>
              <w:rPr>
                <w:rFonts w:cs="Times New Roman"/>
                <w:sz w:val="20"/>
                <w:szCs w:val="20"/>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rsidR="00CD4F09" w:rsidRPr="000A7CB4" w:rsidRDefault="00CD4F09" w:rsidP="007F0200">
            <w:pPr>
              <w:rPr>
                <w:rFonts w:cs="Times New Roman"/>
                <w:b/>
                <w:bCs/>
                <w:i/>
                <w:iCs/>
                <w:sz w:val="20"/>
                <w:szCs w:val="20"/>
              </w:rPr>
            </w:pPr>
            <w:r w:rsidRPr="000A7CB4">
              <w:rPr>
                <w:rFonts w:cs="Times New Roman"/>
                <w:b/>
                <w:bCs/>
                <w:i/>
                <w:iCs/>
                <w:sz w:val="20"/>
                <w:szCs w:val="20"/>
              </w:rPr>
              <w:t>Spolu = A+B+C+D+E</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 </w:t>
            </w:r>
          </w:p>
        </w:tc>
      </w:tr>
      <w:tr w:rsidR="000A7CB4" w:rsidRPr="000A7CB4" w:rsidTr="007F0200">
        <w:trPr>
          <w:trHeight w:val="270"/>
        </w:trPr>
        <w:tc>
          <w:tcPr>
            <w:tcW w:w="146" w:type="dxa"/>
            <w:tcBorders>
              <w:top w:val="nil"/>
              <w:left w:val="nil"/>
              <w:bottom w:val="nil"/>
              <w:right w:val="nil"/>
            </w:tcBorders>
            <w:shd w:val="clear" w:color="auto" w:fill="auto"/>
            <w:noWrap/>
            <w:vAlign w:val="bottom"/>
            <w:hideMark/>
          </w:tcPr>
          <w:p w:rsidR="00CD4F09" w:rsidRPr="000A7CB4" w:rsidRDefault="00CD4F09" w:rsidP="007F0200">
            <w:pPr>
              <w:rPr>
                <w:rFonts w:cs="Times New Roman"/>
                <w:sz w:val="20"/>
                <w:szCs w:val="20"/>
              </w:rPr>
            </w:pPr>
          </w:p>
        </w:tc>
        <w:tc>
          <w:tcPr>
            <w:tcW w:w="3540" w:type="dxa"/>
            <w:tcBorders>
              <w:top w:val="nil"/>
              <w:left w:val="nil"/>
              <w:bottom w:val="nil"/>
              <w:right w:val="nil"/>
            </w:tcBorders>
            <w:shd w:val="clear" w:color="auto" w:fill="auto"/>
            <w:noWrap/>
            <w:vAlign w:val="bottom"/>
            <w:hideMark/>
          </w:tcPr>
          <w:p w:rsidR="00CD4F09" w:rsidRPr="000A7CB4" w:rsidRDefault="00CD4F09" w:rsidP="007F0200">
            <w:pPr>
              <w:rPr>
                <w:rFonts w:cs="Times New Roman"/>
                <w:sz w:val="20"/>
                <w:szCs w:val="20"/>
              </w:rPr>
            </w:pPr>
          </w:p>
        </w:tc>
        <w:tc>
          <w:tcPr>
            <w:tcW w:w="2792" w:type="dxa"/>
            <w:gridSpan w:val="2"/>
            <w:tcBorders>
              <w:top w:val="nil"/>
              <w:left w:val="nil"/>
              <w:bottom w:val="nil"/>
              <w:right w:val="nil"/>
            </w:tcBorders>
            <w:shd w:val="clear" w:color="auto" w:fill="auto"/>
            <w:vAlign w:val="center"/>
            <w:hideMark/>
          </w:tcPr>
          <w:p w:rsidR="00CD4F09" w:rsidRPr="000A7CB4" w:rsidRDefault="00CD4F09" w:rsidP="007F0200">
            <w:pPr>
              <w:rPr>
                <w:rFonts w:cs="Times New Roman"/>
                <w:i/>
                <w:iCs/>
                <w:sz w:val="20"/>
                <w:szCs w:val="20"/>
              </w:rPr>
            </w:pPr>
          </w:p>
        </w:tc>
        <w:tc>
          <w:tcPr>
            <w:tcW w:w="160" w:type="dxa"/>
            <w:tcBorders>
              <w:top w:val="nil"/>
              <w:left w:val="nil"/>
              <w:bottom w:val="nil"/>
              <w:right w:val="nil"/>
            </w:tcBorders>
            <w:shd w:val="clear" w:color="auto" w:fill="auto"/>
            <w:vAlign w:val="center"/>
            <w:hideMark/>
          </w:tcPr>
          <w:p w:rsidR="00CD4F09" w:rsidRPr="000A7CB4" w:rsidRDefault="00CD4F09" w:rsidP="007F0200">
            <w:pPr>
              <w:rPr>
                <w:rFonts w:cs="Times New Roman"/>
                <w:i/>
                <w:iCs/>
                <w:sz w:val="20"/>
                <w:szCs w:val="20"/>
              </w:rPr>
            </w:pPr>
          </w:p>
        </w:tc>
        <w:tc>
          <w:tcPr>
            <w:tcW w:w="2716" w:type="dxa"/>
            <w:gridSpan w:val="2"/>
            <w:tcBorders>
              <w:top w:val="nil"/>
              <w:left w:val="nil"/>
              <w:bottom w:val="nil"/>
              <w:right w:val="nil"/>
            </w:tcBorders>
            <w:shd w:val="clear" w:color="auto" w:fill="auto"/>
            <w:vAlign w:val="center"/>
            <w:hideMark/>
          </w:tcPr>
          <w:p w:rsidR="00CD4F09" w:rsidRPr="000A7CB4" w:rsidRDefault="00CD4F09" w:rsidP="007F0200">
            <w:pPr>
              <w:rPr>
                <w:rFonts w:cs="Times New Roman"/>
                <w:i/>
                <w:iCs/>
                <w:sz w:val="20"/>
                <w:szCs w:val="20"/>
              </w:rPr>
            </w:pPr>
          </w:p>
        </w:tc>
        <w:tc>
          <w:tcPr>
            <w:tcW w:w="160" w:type="dxa"/>
            <w:tcBorders>
              <w:top w:val="nil"/>
              <w:left w:val="nil"/>
              <w:bottom w:val="nil"/>
              <w:right w:val="nil"/>
            </w:tcBorders>
            <w:shd w:val="clear" w:color="auto" w:fill="auto"/>
            <w:vAlign w:val="center"/>
            <w:hideMark/>
          </w:tcPr>
          <w:p w:rsidR="00CD4F09" w:rsidRPr="000A7CB4" w:rsidRDefault="00CD4F09" w:rsidP="007F0200">
            <w:pPr>
              <w:rPr>
                <w:rFonts w:cs="Times New Roman"/>
                <w:i/>
                <w:iCs/>
                <w:sz w:val="20"/>
                <w:szCs w:val="20"/>
              </w:rPr>
            </w:pPr>
          </w:p>
        </w:tc>
      </w:tr>
      <w:tr w:rsidR="000A7CB4" w:rsidRPr="000A7CB4" w:rsidTr="007F0200">
        <w:trPr>
          <w:gridAfter w:val="2"/>
          <w:wAfter w:w="583" w:type="dxa"/>
          <w:trHeight w:val="412"/>
        </w:trPr>
        <w:tc>
          <w:tcPr>
            <w:tcW w:w="146" w:type="dxa"/>
            <w:tcBorders>
              <w:top w:val="nil"/>
              <w:left w:val="nil"/>
              <w:bottom w:val="nil"/>
              <w:right w:val="nil"/>
            </w:tcBorders>
            <w:shd w:val="clear" w:color="auto" w:fill="auto"/>
            <w:noWrap/>
            <w:vAlign w:val="bottom"/>
            <w:hideMark/>
          </w:tcPr>
          <w:p w:rsidR="00CD4F09" w:rsidRPr="000A7CB4" w:rsidRDefault="00CD4F09" w:rsidP="007F0200">
            <w:pPr>
              <w:rPr>
                <w:rFonts w:cs="Times New Roman"/>
                <w:sz w:val="20"/>
                <w:szCs w:val="20"/>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D4F09" w:rsidRPr="000A7CB4" w:rsidRDefault="00CD4F09" w:rsidP="007F0200">
            <w:pPr>
              <w:rPr>
                <w:rFonts w:cs="Times New Roman"/>
                <w:i/>
                <w:iCs/>
              </w:rPr>
            </w:pPr>
            <w:r w:rsidRPr="000A7CB4">
              <w:rPr>
                <w:rFonts w:cs="Times New Roman"/>
                <w:i/>
                <w:iCs/>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Zníženie nákladov v € na PP</w:t>
            </w:r>
          </w:p>
        </w:tc>
      </w:tr>
      <w:tr w:rsidR="000A7CB4" w:rsidRPr="000A7CB4" w:rsidTr="007F0200">
        <w:trPr>
          <w:gridAfter w:val="2"/>
          <w:wAfter w:w="583" w:type="dxa"/>
          <w:trHeight w:val="840"/>
        </w:trPr>
        <w:tc>
          <w:tcPr>
            <w:tcW w:w="146" w:type="dxa"/>
            <w:tcBorders>
              <w:top w:val="nil"/>
              <w:left w:val="nil"/>
              <w:bottom w:val="nil"/>
              <w:right w:val="nil"/>
            </w:tcBorders>
            <w:shd w:val="clear" w:color="auto" w:fill="auto"/>
            <w:noWrap/>
            <w:vAlign w:val="bottom"/>
            <w:hideMark/>
          </w:tcPr>
          <w:p w:rsidR="00CD4F09" w:rsidRPr="000A7CB4" w:rsidRDefault="00CD4F09" w:rsidP="007F0200">
            <w:pPr>
              <w:rPr>
                <w:rFonts w:cs="Times New Roman"/>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CD4F09" w:rsidRPr="000A7CB4" w:rsidRDefault="00CD4F09" w:rsidP="007F0200">
            <w:pPr>
              <w:rPr>
                <w:rFonts w:cs="Times New Roman"/>
                <w:b/>
                <w:bCs/>
                <w:i/>
                <w:iCs/>
                <w:sz w:val="20"/>
                <w:szCs w:val="20"/>
              </w:rPr>
            </w:pPr>
            <w:r w:rsidRPr="000A7CB4">
              <w:rPr>
                <w:rFonts w:cs="Times New Roman"/>
                <w:b/>
                <w:bCs/>
                <w:i/>
                <w:iCs/>
                <w:sz w:val="20"/>
                <w:szCs w:val="20"/>
              </w:rPr>
              <w:t>F. Úplná harmonizácia práva EÚ</w:t>
            </w:r>
            <w:r w:rsidRPr="000A7CB4">
              <w:rPr>
                <w:rFonts w:cs="Times New Roman"/>
                <w:b/>
                <w:bCs/>
                <w:i/>
                <w:iCs/>
                <w:sz w:val="20"/>
                <w:szCs w:val="20"/>
              </w:rPr>
              <w:br/>
            </w:r>
            <w:r w:rsidRPr="000A7CB4">
              <w:rPr>
                <w:rFonts w:cs="Times New Roman"/>
                <w:i/>
                <w:iCs/>
                <w:sz w:val="16"/>
                <w:szCs w:val="16"/>
              </w:rPr>
              <w:t>(okrem daní, odvodov, ciel a poplatkov,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 </w:t>
            </w:r>
          </w:p>
        </w:tc>
      </w:tr>
      <w:tr w:rsidR="000A7CB4" w:rsidRPr="000A7CB4" w:rsidTr="007F0200">
        <w:trPr>
          <w:gridAfter w:val="2"/>
          <w:wAfter w:w="583" w:type="dxa"/>
          <w:trHeight w:val="486"/>
        </w:trPr>
        <w:tc>
          <w:tcPr>
            <w:tcW w:w="146" w:type="dxa"/>
            <w:tcBorders>
              <w:top w:val="nil"/>
              <w:left w:val="nil"/>
              <w:bottom w:val="nil"/>
              <w:right w:val="nil"/>
            </w:tcBorders>
            <w:shd w:val="clear" w:color="auto" w:fill="auto"/>
            <w:noWrap/>
            <w:vAlign w:val="bottom"/>
            <w:hideMark/>
          </w:tcPr>
          <w:p w:rsidR="00CD4F09" w:rsidRPr="000A7CB4" w:rsidRDefault="00CD4F09" w:rsidP="007F0200">
            <w:pPr>
              <w:rPr>
                <w:rFonts w:cs="Times New Roman"/>
                <w:sz w:val="20"/>
                <w:szCs w:val="20"/>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rsidR="00CD4F09" w:rsidRPr="000A7CB4" w:rsidRDefault="00CD4F09" w:rsidP="007F0200">
            <w:pPr>
              <w:rPr>
                <w:rFonts w:cs="Times New Roman"/>
                <w:b/>
                <w:bCs/>
                <w:i/>
                <w:iCs/>
                <w:sz w:val="20"/>
                <w:szCs w:val="20"/>
              </w:rPr>
            </w:pPr>
            <w:r w:rsidRPr="000A7CB4">
              <w:rPr>
                <w:rFonts w:cs="Times New Roman"/>
                <w:b/>
                <w:bCs/>
                <w:i/>
                <w:iCs/>
                <w:sz w:val="20"/>
                <w:szCs w:val="20"/>
              </w:rPr>
              <w:t>G. Goldplating</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 </w:t>
            </w:r>
          </w:p>
        </w:tc>
      </w:tr>
      <w:tr w:rsidR="000A7CB4" w:rsidRPr="000A7CB4" w:rsidTr="007F0200">
        <w:trPr>
          <w:trHeight w:val="360"/>
        </w:trPr>
        <w:tc>
          <w:tcPr>
            <w:tcW w:w="146" w:type="dxa"/>
            <w:tcBorders>
              <w:top w:val="nil"/>
              <w:left w:val="nil"/>
              <w:bottom w:val="nil"/>
              <w:right w:val="nil"/>
            </w:tcBorders>
            <w:shd w:val="clear" w:color="auto" w:fill="auto"/>
            <w:noWrap/>
            <w:vAlign w:val="bottom"/>
            <w:hideMark/>
          </w:tcPr>
          <w:p w:rsidR="00CD4F09" w:rsidRPr="000A7CB4" w:rsidRDefault="00CD4F09" w:rsidP="007F0200">
            <w:pPr>
              <w:rPr>
                <w:rFonts w:cs="Times New Roman"/>
                <w:sz w:val="20"/>
                <w:szCs w:val="20"/>
              </w:rPr>
            </w:pPr>
          </w:p>
        </w:tc>
        <w:tc>
          <w:tcPr>
            <w:tcW w:w="3540" w:type="dxa"/>
            <w:tcBorders>
              <w:top w:val="nil"/>
              <w:left w:val="nil"/>
              <w:bottom w:val="nil"/>
              <w:right w:val="nil"/>
            </w:tcBorders>
            <w:shd w:val="clear" w:color="auto" w:fill="auto"/>
            <w:noWrap/>
            <w:vAlign w:val="bottom"/>
            <w:hideMark/>
          </w:tcPr>
          <w:p w:rsidR="00CD4F09" w:rsidRPr="000A7CB4" w:rsidRDefault="00CD4F09" w:rsidP="007F0200">
            <w:pPr>
              <w:rPr>
                <w:rFonts w:cs="Times New Roman"/>
                <w:sz w:val="20"/>
                <w:szCs w:val="20"/>
              </w:rPr>
            </w:pPr>
          </w:p>
        </w:tc>
        <w:tc>
          <w:tcPr>
            <w:tcW w:w="2792" w:type="dxa"/>
            <w:gridSpan w:val="2"/>
            <w:tcBorders>
              <w:top w:val="nil"/>
              <w:left w:val="nil"/>
              <w:bottom w:val="nil"/>
              <w:right w:val="nil"/>
            </w:tcBorders>
            <w:shd w:val="clear" w:color="auto" w:fill="auto"/>
            <w:vAlign w:val="center"/>
            <w:hideMark/>
          </w:tcPr>
          <w:p w:rsidR="00CD4F09" w:rsidRPr="000A7CB4" w:rsidRDefault="00CD4F09" w:rsidP="007F0200">
            <w:pPr>
              <w:rPr>
                <w:rFonts w:cs="Times New Roman"/>
                <w:i/>
                <w:iCs/>
                <w:sz w:val="20"/>
                <w:szCs w:val="20"/>
              </w:rPr>
            </w:pPr>
          </w:p>
        </w:tc>
        <w:tc>
          <w:tcPr>
            <w:tcW w:w="160" w:type="dxa"/>
            <w:tcBorders>
              <w:top w:val="nil"/>
              <w:left w:val="nil"/>
              <w:bottom w:val="nil"/>
              <w:right w:val="nil"/>
            </w:tcBorders>
            <w:shd w:val="clear" w:color="auto" w:fill="auto"/>
            <w:vAlign w:val="center"/>
            <w:hideMark/>
          </w:tcPr>
          <w:p w:rsidR="00CD4F09" w:rsidRPr="000A7CB4" w:rsidRDefault="00CD4F09" w:rsidP="007F0200">
            <w:pPr>
              <w:rPr>
                <w:rFonts w:cs="Times New Roman"/>
                <w:i/>
                <w:iCs/>
                <w:sz w:val="20"/>
                <w:szCs w:val="20"/>
              </w:rPr>
            </w:pPr>
          </w:p>
        </w:tc>
        <w:tc>
          <w:tcPr>
            <w:tcW w:w="2716" w:type="dxa"/>
            <w:gridSpan w:val="2"/>
            <w:tcBorders>
              <w:top w:val="nil"/>
              <w:left w:val="nil"/>
              <w:bottom w:val="nil"/>
              <w:right w:val="nil"/>
            </w:tcBorders>
            <w:shd w:val="clear" w:color="auto" w:fill="auto"/>
            <w:vAlign w:val="center"/>
            <w:hideMark/>
          </w:tcPr>
          <w:p w:rsidR="00CD4F09" w:rsidRPr="000A7CB4" w:rsidRDefault="00CD4F09" w:rsidP="007F0200">
            <w:pPr>
              <w:rPr>
                <w:rFonts w:cs="Times New Roman"/>
                <w:i/>
                <w:iCs/>
                <w:sz w:val="20"/>
                <w:szCs w:val="20"/>
              </w:rPr>
            </w:pPr>
          </w:p>
        </w:tc>
        <w:tc>
          <w:tcPr>
            <w:tcW w:w="160" w:type="dxa"/>
            <w:tcBorders>
              <w:top w:val="nil"/>
              <w:left w:val="nil"/>
              <w:bottom w:val="nil"/>
              <w:right w:val="nil"/>
            </w:tcBorders>
            <w:shd w:val="clear" w:color="auto" w:fill="auto"/>
            <w:vAlign w:val="center"/>
            <w:hideMark/>
          </w:tcPr>
          <w:p w:rsidR="00CD4F09" w:rsidRPr="000A7CB4" w:rsidRDefault="00CD4F09" w:rsidP="007F0200">
            <w:pPr>
              <w:rPr>
                <w:rFonts w:cs="Times New Roman"/>
                <w:i/>
                <w:iCs/>
                <w:sz w:val="20"/>
                <w:szCs w:val="20"/>
              </w:rPr>
            </w:pPr>
          </w:p>
        </w:tc>
      </w:tr>
      <w:tr w:rsidR="000A7CB4" w:rsidRPr="000A7CB4" w:rsidTr="007F0200">
        <w:trPr>
          <w:gridAfter w:val="2"/>
          <w:wAfter w:w="583" w:type="dxa"/>
          <w:trHeight w:val="390"/>
        </w:trPr>
        <w:tc>
          <w:tcPr>
            <w:tcW w:w="146" w:type="dxa"/>
            <w:tcBorders>
              <w:top w:val="nil"/>
              <w:left w:val="nil"/>
              <w:bottom w:val="nil"/>
              <w:right w:val="nil"/>
            </w:tcBorders>
            <w:shd w:val="clear" w:color="auto" w:fill="auto"/>
            <w:noWrap/>
            <w:vAlign w:val="bottom"/>
            <w:hideMark/>
          </w:tcPr>
          <w:p w:rsidR="00CD4F09" w:rsidRPr="000A7CB4" w:rsidRDefault="00CD4F09" w:rsidP="007F0200">
            <w:pPr>
              <w:rPr>
                <w:rFonts w:cs="Times New Roman"/>
                <w:sz w:val="20"/>
                <w:szCs w:val="20"/>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D4F09" w:rsidRPr="000A7CB4" w:rsidRDefault="00CD4F09" w:rsidP="007F0200">
            <w:pPr>
              <w:rPr>
                <w:rFonts w:cs="Times New Roman"/>
                <w:i/>
                <w:iCs/>
                <w:sz w:val="20"/>
                <w:szCs w:val="20"/>
              </w:rPr>
            </w:pPr>
            <w:r w:rsidRPr="000A7CB4">
              <w:rPr>
                <w:rFonts w:cs="Times New Roman"/>
                <w:i/>
                <w:iCs/>
                <w:sz w:val="20"/>
                <w:szCs w:val="20"/>
              </w:rPr>
              <w:t>VÝPOČET PRAVIDLA 1in 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rsidR="00CD4F09" w:rsidRPr="000A7CB4" w:rsidRDefault="00CD4F09" w:rsidP="007F0200">
            <w:pPr>
              <w:jc w:val="center"/>
              <w:rPr>
                <w:rFonts w:cs="Times New Roman"/>
                <w:sz w:val="20"/>
                <w:szCs w:val="20"/>
              </w:rPr>
            </w:pPr>
            <w:r w:rsidRPr="000A7CB4">
              <w:rPr>
                <w:rFonts w:cs="Times New Roman"/>
                <w:sz w:val="20"/>
                <w:szCs w:val="20"/>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rsidR="00CD4F09" w:rsidRPr="000A7CB4" w:rsidRDefault="00CD4F09" w:rsidP="007F0200">
            <w:pPr>
              <w:jc w:val="center"/>
              <w:rPr>
                <w:rFonts w:cs="Times New Roman"/>
                <w:sz w:val="20"/>
                <w:szCs w:val="20"/>
              </w:rPr>
            </w:pPr>
            <w:r w:rsidRPr="000A7CB4">
              <w:rPr>
                <w:rFonts w:cs="Times New Roman"/>
                <w:sz w:val="20"/>
                <w:szCs w:val="20"/>
              </w:rPr>
              <w:t>OUT</w:t>
            </w:r>
          </w:p>
        </w:tc>
      </w:tr>
      <w:tr w:rsidR="000A7CB4" w:rsidRPr="000A7CB4" w:rsidTr="007F0200">
        <w:trPr>
          <w:gridAfter w:val="2"/>
          <w:wAfter w:w="583" w:type="dxa"/>
          <w:trHeight w:val="390"/>
        </w:trPr>
        <w:tc>
          <w:tcPr>
            <w:tcW w:w="146" w:type="dxa"/>
            <w:tcBorders>
              <w:top w:val="nil"/>
              <w:left w:val="nil"/>
              <w:bottom w:val="nil"/>
              <w:right w:val="nil"/>
            </w:tcBorders>
            <w:shd w:val="clear" w:color="auto" w:fill="auto"/>
            <w:noWrap/>
            <w:vAlign w:val="bottom"/>
            <w:hideMark/>
          </w:tcPr>
          <w:p w:rsidR="00CD4F09" w:rsidRPr="000A7CB4" w:rsidRDefault="00CD4F09" w:rsidP="007F0200">
            <w:pPr>
              <w:rPr>
                <w:rFonts w:cs="Times New Roman"/>
                <w:sz w:val="20"/>
                <w:szCs w:val="20"/>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rsidR="00CD4F09" w:rsidRPr="000A7CB4" w:rsidRDefault="00CD4F09" w:rsidP="007F0200">
            <w:pPr>
              <w:rPr>
                <w:rFonts w:cs="Times New Roman"/>
                <w:i/>
                <w:iCs/>
                <w:sz w:val="20"/>
                <w:szCs w:val="20"/>
              </w:rPr>
            </w:pPr>
            <w:r w:rsidRPr="000A7CB4">
              <w:rPr>
                <w:rFonts w:cs="Times New Roman"/>
                <w:b/>
                <w:i/>
                <w:iCs/>
                <w:sz w:val="20"/>
                <w:szCs w:val="20"/>
              </w:rPr>
              <w:t>H.</w:t>
            </w:r>
            <w:r w:rsidRPr="000A7CB4">
              <w:rPr>
                <w:rFonts w:cs="Times New Roman"/>
                <w:i/>
                <w:iCs/>
                <w:sz w:val="20"/>
                <w:szCs w:val="20"/>
              </w:rPr>
              <w:t xml:space="preserve"> Náklady okrem výnimiek = B+D+E-F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 </w:t>
            </w:r>
          </w:p>
        </w:tc>
      </w:tr>
    </w:tbl>
    <w:p w:rsidR="00CD4F09" w:rsidRPr="000A7CB4" w:rsidRDefault="00CD4F09" w:rsidP="00CD4F09">
      <w:pPr>
        <w:rPr>
          <w:rFonts w:eastAsia="Calibri" w:cs="Times New Roman"/>
          <w:b/>
        </w:rPr>
        <w:sectPr w:rsidR="00CD4F09" w:rsidRPr="000A7CB4" w:rsidSect="007F0200">
          <w:footerReference w:type="default" r:id="rId9"/>
          <w:pgSz w:w="11906" w:h="16838"/>
          <w:pgMar w:top="993" w:right="1417" w:bottom="1417" w:left="1417" w:header="708" w:footer="708" w:gutter="0"/>
          <w:pgNumType w:start="1"/>
          <w:cols w:space="708"/>
          <w:docGrid w:linePitch="360"/>
        </w:sectPr>
      </w:pPr>
    </w:p>
    <w:p w:rsidR="00CD4F09" w:rsidRPr="000A7CB4" w:rsidRDefault="00CD4F09" w:rsidP="00CD4F09">
      <w:pPr>
        <w:rPr>
          <w:rFonts w:eastAsia="Calibri" w:cs="Times New Roman"/>
          <w:b/>
          <w:i/>
          <w:iCs/>
        </w:rPr>
      </w:pPr>
      <w:r w:rsidRPr="000A7CB4">
        <w:rPr>
          <w:rFonts w:eastAsia="Calibri" w:cs="Times New Roman"/>
          <w:b/>
          <w:i/>
          <w:iCs/>
        </w:rPr>
        <w:lastRenderedPageBreak/>
        <w:t>3.1.2 Výpočty vplyvov jednotlivých regulácií na zmeny v nákladoch podnikateľov</w:t>
      </w:r>
      <w:r w:rsidRPr="000A7CB4">
        <w:rPr>
          <w:rFonts w:eastAsia="Calibri" w:cs="Times New Roman"/>
          <w:i/>
        </w:rPr>
        <w:tab/>
      </w:r>
      <w:r w:rsidRPr="000A7CB4">
        <w:rPr>
          <w:rFonts w:eastAsia="Calibri" w:cs="Times New Roman"/>
          <w:i/>
        </w:rPr>
        <w:tab/>
      </w:r>
      <w:r w:rsidRPr="000A7CB4">
        <w:rPr>
          <w:rFonts w:eastAsia="Calibri" w:cs="Times New Roman"/>
          <w:i/>
        </w:rPr>
        <w:tab/>
      </w:r>
      <w:r w:rsidRPr="000A7CB4">
        <w:rPr>
          <w:rFonts w:eastAsia="Calibri" w:cs="Times New Roman"/>
          <w:i/>
        </w:rPr>
        <w:tab/>
      </w:r>
      <w:r w:rsidRPr="000A7CB4">
        <w:rPr>
          <w:rFonts w:eastAsia="Calibri" w:cs="Times New Roman"/>
          <w:i/>
        </w:rPr>
        <w:tab/>
      </w:r>
      <w:r w:rsidRPr="000A7CB4">
        <w:rPr>
          <w:rFonts w:eastAsia="Calibri" w:cs="Times New Roman"/>
          <w:i/>
        </w:rPr>
        <w:tab/>
      </w:r>
      <w:r w:rsidRPr="000A7CB4">
        <w:rPr>
          <w:rFonts w:eastAsia="Calibri" w:cs="Times New Roman"/>
          <w:i/>
        </w:rPr>
        <w:tab/>
      </w:r>
      <w:r w:rsidRPr="000A7CB4">
        <w:rPr>
          <w:rFonts w:eastAsia="Calibri" w:cs="Times New Roman"/>
          <w:i/>
        </w:rPr>
        <w:tab/>
      </w:r>
    </w:p>
    <w:p w:rsidR="00CD4F09" w:rsidRPr="000A7CB4" w:rsidRDefault="00CD4F09" w:rsidP="00CD4F09">
      <w:pPr>
        <w:jc w:val="both"/>
        <w:rPr>
          <w:rFonts w:eastAsia="Calibri" w:cs="Times New Roman"/>
          <w:i/>
        </w:rPr>
      </w:pPr>
      <w:r w:rsidRPr="000A7CB4">
        <w:rPr>
          <w:rFonts w:eastAsia="Calibri" w:cs="Times New Roman"/>
          <w:i/>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843"/>
        <w:gridCol w:w="992"/>
        <w:gridCol w:w="1160"/>
        <w:gridCol w:w="1108"/>
        <w:gridCol w:w="851"/>
        <w:gridCol w:w="843"/>
        <w:gridCol w:w="1000"/>
        <w:gridCol w:w="708"/>
        <w:gridCol w:w="1134"/>
      </w:tblGrid>
      <w:tr w:rsidR="000A7CB4" w:rsidRPr="000A7CB4" w:rsidTr="007F0200">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P.č.</w:t>
            </w:r>
          </w:p>
        </w:tc>
        <w:tc>
          <w:tcPr>
            <w:tcW w:w="17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 xml:space="preserve">Zrozumiteľný a stručný opis regulácie </w:t>
            </w:r>
            <w:r w:rsidRPr="000A7CB4">
              <w:rPr>
                <w:rFonts w:cs="Times New Roman"/>
                <w:b/>
                <w:bCs/>
                <w:sz w:val="20"/>
                <w:szCs w:val="20"/>
              </w:rPr>
              <w:br/>
              <w:t>(dôvod zvýšenia/zníženia nákladov na PP a dôvod ponechania nákladov na PP, ktoré sú goldplatngom)</w:t>
            </w:r>
          </w:p>
        </w:tc>
        <w:tc>
          <w:tcPr>
            <w:tcW w:w="992"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Číslo normy</w:t>
            </w:r>
            <w:r w:rsidRPr="000A7CB4">
              <w:rPr>
                <w:rFonts w:cs="Times New Roman"/>
                <w:b/>
                <w:bCs/>
                <w:sz w:val="20"/>
                <w:szCs w:val="20"/>
              </w:rPr>
              <w:br/>
            </w:r>
            <w:r w:rsidRPr="000A7CB4">
              <w:rPr>
                <w:rFonts w:cs="Times New Roman"/>
                <w:sz w:val="20"/>
                <w:szCs w:val="20"/>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Lokalizácia</w:t>
            </w:r>
            <w:r w:rsidRPr="000A7CB4">
              <w:rPr>
                <w:rFonts w:cs="Times New Roman"/>
                <w:b/>
                <w:bCs/>
                <w:sz w:val="20"/>
                <w:szCs w:val="20"/>
              </w:rPr>
              <w:br/>
              <w:t>(§, ods., čl.,...)</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CD4F09" w:rsidRPr="000A7CB4" w:rsidRDefault="00CD4F09" w:rsidP="007F0200">
            <w:pPr>
              <w:jc w:val="center"/>
              <w:rPr>
                <w:rFonts w:cs="Times New Roman"/>
                <w:sz w:val="20"/>
                <w:szCs w:val="20"/>
              </w:rPr>
            </w:pPr>
            <w:r w:rsidRPr="000A7CB4">
              <w:rPr>
                <w:rFonts w:cs="Times New Roman"/>
                <w:b/>
                <w:bCs/>
                <w:sz w:val="20"/>
                <w:szCs w:val="20"/>
              </w:rPr>
              <w:t xml:space="preserve">Pôvod regulácie: </w:t>
            </w:r>
            <w:r w:rsidRPr="000A7CB4">
              <w:rPr>
                <w:rFonts w:cs="Times New Roman"/>
                <w:b/>
                <w:bCs/>
                <w:sz w:val="20"/>
                <w:szCs w:val="20"/>
              </w:rPr>
              <w:br/>
            </w:r>
            <w:r w:rsidRPr="000A7CB4">
              <w:rPr>
                <w:rFonts w:cs="Times New Roman"/>
                <w:sz w:val="20"/>
                <w:szCs w:val="20"/>
              </w:rPr>
              <w:t>SK/EÚ úplná harm./</w:t>
            </w:r>
          </w:p>
          <w:p w:rsidR="00CD4F09" w:rsidRPr="000A7CB4" w:rsidRDefault="00CD4F09" w:rsidP="007F0200">
            <w:pPr>
              <w:jc w:val="center"/>
              <w:rPr>
                <w:rFonts w:cs="Times New Roman"/>
                <w:b/>
                <w:bCs/>
                <w:sz w:val="20"/>
                <w:szCs w:val="20"/>
              </w:rPr>
            </w:pPr>
            <w:r w:rsidRPr="000A7CB4">
              <w:rPr>
                <w:rFonts w:cs="Times New Roman"/>
                <w:sz w:val="20"/>
                <w:szCs w:val="20"/>
              </w:rPr>
              <w:t>Goldplating</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Kategória dotk. subjektov</w:t>
            </w:r>
          </w:p>
        </w:tc>
        <w:tc>
          <w:tcPr>
            <w:tcW w:w="11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CD4F09" w:rsidRPr="000A7CB4" w:rsidRDefault="00CD4F09" w:rsidP="007F0200">
            <w:pPr>
              <w:jc w:val="center"/>
              <w:rPr>
                <w:rFonts w:cs="Times New Roman"/>
                <w:b/>
                <w:bCs/>
                <w:sz w:val="20"/>
                <w:szCs w:val="20"/>
              </w:rPr>
            </w:pPr>
            <w:r w:rsidRPr="000A7CB4">
              <w:rPr>
                <w:rFonts w:cs="Times New Roman"/>
                <w:b/>
                <w:bCs/>
                <w:sz w:val="20"/>
                <w:szCs w:val="20"/>
              </w:rPr>
              <w:t xml:space="preserve">Počet </w:t>
            </w:r>
          </w:p>
          <w:p w:rsidR="00CD4F09" w:rsidRPr="000A7CB4" w:rsidRDefault="00CD4F09" w:rsidP="007F0200">
            <w:pPr>
              <w:jc w:val="center"/>
              <w:rPr>
                <w:rFonts w:cs="Times New Roman"/>
                <w:b/>
                <w:bCs/>
                <w:sz w:val="20"/>
                <w:szCs w:val="20"/>
              </w:rPr>
            </w:pPr>
            <w:r w:rsidRPr="000A7CB4">
              <w:rPr>
                <w:rFonts w:cs="Times New Roman"/>
                <w:b/>
                <w:bCs/>
                <w:sz w:val="20"/>
                <w:szCs w:val="20"/>
              </w:rPr>
              <w:t xml:space="preserve">dotk. subjektov spolu </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CD4F09" w:rsidRPr="000A7CB4" w:rsidRDefault="00CD4F09" w:rsidP="007F0200">
            <w:pPr>
              <w:jc w:val="center"/>
              <w:rPr>
                <w:rFonts w:cs="Times New Roman"/>
                <w:b/>
                <w:bCs/>
                <w:sz w:val="20"/>
                <w:szCs w:val="20"/>
              </w:rPr>
            </w:pPr>
            <w:r w:rsidRPr="000A7CB4">
              <w:rPr>
                <w:rFonts w:cs="Times New Roman"/>
                <w:b/>
                <w:bCs/>
                <w:sz w:val="20"/>
                <w:szCs w:val="20"/>
              </w:rPr>
              <w:t>Vplyv na kateg. dotk. subjekt. v €</w:t>
            </w:r>
          </w:p>
        </w:tc>
        <w:tc>
          <w:tcPr>
            <w:tcW w:w="10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CD4F09" w:rsidRPr="000A7CB4" w:rsidRDefault="00CD4F09" w:rsidP="007F0200">
            <w:pPr>
              <w:jc w:val="center"/>
              <w:rPr>
                <w:rFonts w:cs="Times New Roman"/>
                <w:bCs/>
                <w:sz w:val="20"/>
                <w:szCs w:val="20"/>
              </w:rPr>
            </w:pPr>
            <w:r w:rsidRPr="000A7CB4">
              <w:rPr>
                <w:rFonts w:cs="Times New Roman"/>
                <w:b/>
                <w:bCs/>
                <w:sz w:val="20"/>
                <w:szCs w:val="20"/>
              </w:rPr>
              <w:t>Druh vplyvu</w:t>
            </w:r>
            <w:r w:rsidRPr="000A7CB4">
              <w:rPr>
                <w:rFonts w:cs="Times New Roman"/>
                <w:b/>
                <w:bCs/>
                <w:sz w:val="20"/>
                <w:szCs w:val="20"/>
              </w:rPr>
              <w:br/>
            </w:r>
            <w:r w:rsidRPr="000A7CB4">
              <w:rPr>
                <w:rFonts w:cs="Times New Roman"/>
                <w:bCs/>
                <w:sz w:val="20"/>
                <w:szCs w:val="20"/>
              </w:rPr>
              <w:t xml:space="preserve">In (zvyšuje náklady) / </w:t>
            </w:r>
          </w:p>
          <w:p w:rsidR="00CD4F09" w:rsidRPr="000A7CB4" w:rsidRDefault="00CD4F09" w:rsidP="007F0200">
            <w:pPr>
              <w:jc w:val="center"/>
              <w:rPr>
                <w:rFonts w:cs="Times New Roman"/>
                <w:b/>
                <w:bCs/>
                <w:sz w:val="20"/>
                <w:szCs w:val="20"/>
              </w:rPr>
            </w:pPr>
            <w:r w:rsidRPr="000A7CB4">
              <w:rPr>
                <w:rFonts w:cs="Times New Roman"/>
                <w:bCs/>
                <w:sz w:val="20"/>
                <w:szCs w:val="20"/>
              </w:rPr>
              <w:t>Out (znižuje náklady</w:t>
            </w:r>
            <w:r w:rsidRPr="000A7CB4">
              <w:rPr>
                <w:rFonts w:cs="Times New Roman"/>
                <w:b/>
                <w:bCs/>
                <w:sz w:val="20"/>
                <w:szCs w:val="20"/>
              </w:rPr>
              <w:t>)</w:t>
            </w:r>
          </w:p>
          <w:p w:rsidR="00CD4F09" w:rsidRPr="000A7CB4" w:rsidRDefault="00CD4F09" w:rsidP="007F0200">
            <w:pPr>
              <w:jc w:val="center"/>
              <w:rPr>
                <w:rFonts w:cs="Times New Roman"/>
                <w:b/>
                <w:bCs/>
                <w:sz w:val="20"/>
                <w:szCs w:val="20"/>
              </w:rPr>
            </w:pPr>
            <w:r w:rsidRPr="000A7CB4">
              <w:rPr>
                <w:rFonts w:cs="Times New Roman"/>
                <w:sz w:val="20"/>
                <w:szCs w:val="20"/>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CD4F09" w:rsidRPr="000A7CB4" w:rsidRDefault="00CD4F09" w:rsidP="007F0200">
            <w:pPr>
              <w:jc w:val="center"/>
              <w:rPr>
                <w:rFonts w:cs="Times New Roman"/>
                <w:b/>
                <w:bCs/>
                <w:sz w:val="18"/>
                <w:szCs w:val="18"/>
              </w:rPr>
            </w:pPr>
            <w:r w:rsidRPr="000A7CB4">
              <w:rPr>
                <w:rFonts w:cs="Times New Roman"/>
                <w:b/>
                <w:bCs/>
                <w:sz w:val="18"/>
                <w:szCs w:val="18"/>
              </w:rPr>
              <w:t>1in</w:t>
            </w:r>
          </w:p>
          <w:p w:rsidR="00CD4F09" w:rsidRPr="000A7CB4" w:rsidRDefault="00CD4F09" w:rsidP="007F0200">
            <w:pPr>
              <w:jc w:val="center"/>
              <w:rPr>
                <w:rFonts w:cs="Times New Roman"/>
                <w:b/>
                <w:bCs/>
                <w:sz w:val="18"/>
                <w:szCs w:val="18"/>
              </w:rPr>
            </w:pPr>
            <w:r w:rsidRPr="000A7CB4">
              <w:rPr>
                <w:rFonts w:cs="Times New Roman"/>
                <w:b/>
                <w:bCs/>
                <w:sz w:val="18"/>
                <w:szCs w:val="18"/>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CD4F09" w:rsidRPr="000A7CB4" w:rsidRDefault="00CD4F09" w:rsidP="007F0200">
            <w:pPr>
              <w:jc w:val="center"/>
              <w:rPr>
                <w:rFonts w:cs="Times New Roman"/>
                <w:b/>
                <w:bCs/>
                <w:sz w:val="18"/>
                <w:szCs w:val="18"/>
              </w:rPr>
            </w:pPr>
            <w:r w:rsidRPr="000A7CB4">
              <w:rPr>
                <w:rFonts w:cs="Times New Roman"/>
                <w:b/>
                <w:bCs/>
                <w:sz w:val="18"/>
                <w:szCs w:val="18"/>
              </w:rPr>
              <w:t>Goldplating celkom</w:t>
            </w:r>
          </w:p>
        </w:tc>
      </w:tr>
      <w:tr w:rsidR="000A7CB4" w:rsidRPr="000A7CB4" w:rsidTr="007F02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CD4F09" w:rsidRPr="000A7CB4" w:rsidRDefault="00CD4F09" w:rsidP="007F0200">
            <w:pPr>
              <w:rPr>
                <w:rFonts w:cs="Times New Roman"/>
                <w:sz w:val="20"/>
                <w:szCs w:val="20"/>
              </w:rPr>
            </w:pPr>
          </w:p>
        </w:tc>
        <w:tc>
          <w:tcPr>
            <w:tcW w:w="1740" w:type="dxa"/>
            <w:shd w:val="clear" w:color="auto" w:fill="auto"/>
            <w:vAlign w:val="center"/>
          </w:tcPr>
          <w:p w:rsidR="00CD4F09" w:rsidRPr="000A7CB4" w:rsidRDefault="00CD4F09" w:rsidP="007F0200">
            <w:pPr>
              <w:rPr>
                <w:rFonts w:cs="Times New Roman"/>
                <w:sz w:val="20"/>
                <w:szCs w:val="20"/>
              </w:rPr>
            </w:pPr>
          </w:p>
        </w:tc>
        <w:tc>
          <w:tcPr>
            <w:tcW w:w="992" w:type="dxa"/>
          </w:tcPr>
          <w:p w:rsidR="00CD4F09" w:rsidRPr="000A7CB4" w:rsidRDefault="00CD4F09" w:rsidP="007F0200">
            <w:pPr>
              <w:rPr>
                <w:rFonts w:cs="Times New Roman"/>
                <w:sz w:val="20"/>
                <w:szCs w:val="20"/>
              </w:rPr>
            </w:pPr>
          </w:p>
        </w:tc>
        <w:tc>
          <w:tcPr>
            <w:tcW w:w="1134" w:type="dxa"/>
          </w:tcPr>
          <w:p w:rsidR="00CD4F09" w:rsidRPr="000A7CB4" w:rsidRDefault="00CD4F09" w:rsidP="007F0200">
            <w:pPr>
              <w:rPr>
                <w:rFonts w:cs="Times New Roman"/>
                <w:sz w:val="20"/>
                <w:szCs w:val="20"/>
              </w:rPr>
            </w:pPr>
          </w:p>
        </w:tc>
        <w:tc>
          <w:tcPr>
            <w:tcW w:w="1843" w:type="dxa"/>
            <w:shd w:val="clear" w:color="auto" w:fill="auto"/>
            <w:vAlign w:val="center"/>
          </w:tcPr>
          <w:p w:rsidR="00CD4F09" w:rsidRPr="000A7CB4" w:rsidRDefault="00CD4F09" w:rsidP="007F0200">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rsidR="00CD4F09" w:rsidRPr="000A7CB4" w:rsidRDefault="00CD4F09" w:rsidP="007F0200">
            <w:pPr>
              <w:rPr>
                <w:rFonts w:cs="Times New Roman"/>
                <w:sz w:val="20"/>
                <w:szCs w:val="20"/>
              </w:rPr>
            </w:pPr>
          </w:p>
        </w:tc>
        <w:tc>
          <w:tcPr>
            <w:tcW w:w="1160" w:type="dxa"/>
            <w:shd w:val="clear" w:color="auto" w:fill="auto"/>
            <w:noWrap/>
            <w:vAlign w:val="center"/>
          </w:tcPr>
          <w:p w:rsidR="00CD4F09" w:rsidRPr="000A7CB4" w:rsidRDefault="00CD4F09" w:rsidP="007F0200">
            <w:pPr>
              <w:rPr>
                <w:rFonts w:cs="Times New Roman"/>
                <w:sz w:val="20"/>
                <w:szCs w:val="20"/>
              </w:rPr>
            </w:pPr>
          </w:p>
        </w:tc>
        <w:tc>
          <w:tcPr>
            <w:tcW w:w="1108" w:type="dxa"/>
          </w:tcPr>
          <w:p w:rsidR="00CD4F09" w:rsidRPr="000A7CB4" w:rsidRDefault="00CD4F09" w:rsidP="007F0200">
            <w:pPr>
              <w:rPr>
                <w:rFonts w:cs="Times New Roman"/>
                <w:sz w:val="20"/>
                <w:szCs w:val="20"/>
              </w:rPr>
            </w:pPr>
          </w:p>
        </w:tc>
        <w:tc>
          <w:tcPr>
            <w:tcW w:w="851" w:type="dxa"/>
            <w:shd w:val="clear" w:color="auto" w:fill="auto"/>
            <w:noWrap/>
            <w:vAlign w:val="center"/>
          </w:tcPr>
          <w:p w:rsidR="00CD4F09" w:rsidRPr="000A7CB4" w:rsidRDefault="00CD4F09" w:rsidP="007F0200">
            <w:pPr>
              <w:rPr>
                <w:rFonts w:cs="Times New Roman"/>
                <w:sz w:val="20"/>
                <w:szCs w:val="20"/>
              </w:rPr>
            </w:pPr>
          </w:p>
        </w:tc>
        <w:tc>
          <w:tcPr>
            <w:tcW w:w="843" w:type="dxa"/>
            <w:shd w:val="clear" w:color="auto" w:fill="auto"/>
            <w:noWrap/>
            <w:vAlign w:val="center"/>
          </w:tcPr>
          <w:p w:rsidR="00CD4F09" w:rsidRPr="000A7CB4" w:rsidRDefault="00CD4F09" w:rsidP="007F0200">
            <w:pPr>
              <w:rPr>
                <w:rFonts w:cs="Times New Roman"/>
                <w:sz w:val="20"/>
                <w:szCs w:val="20"/>
              </w:rPr>
            </w:pPr>
          </w:p>
        </w:tc>
        <w:tc>
          <w:tcPr>
            <w:tcW w:w="1000" w:type="dxa"/>
            <w:shd w:val="clear" w:color="auto" w:fill="auto"/>
            <w:noWrap/>
            <w:vAlign w:val="center"/>
          </w:tcPr>
          <w:p w:rsidR="00CD4F09" w:rsidRPr="000A7CB4" w:rsidRDefault="00CD4F09" w:rsidP="007F0200">
            <w:pPr>
              <w:rPr>
                <w:rFonts w:cs="Times New Roman"/>
                <w:sz w:val="20"/>
                <w:szCs w:val="20"/>
              </w:rPr>
            </w:pPr>
          </w:p>
        </w:tc>
        <w:tc>
          <w:tcPr>
            <w:tcW w:w="708" w:type="dxa"/>
            <w:shd w:val="clear" w:color="auto" w:fill="auto"/>
            <w:noWrap/>
            <w:vAlign w:val="center"/>
          </w:tcPr>
          <w:p w:rsidR="00CD4F09" w:rsidRPr="000A7CB4" w:rsidRDefault="00CD4F09" w:rsidP="007F0200">
            <w:pPr>
              <w:rPr>
                <w:rFonts w:cs="Times New Roman"/>
                <w:sz w:val="20"/>
                <w:szCs w:val="20"/>
              </w:rPr>
            </w:pPr>
          </w:p>
        </w:tc>
        <w:tc>
          <w:tcPr>
            <w:tcW w:w="1134" w:type="dxa"/>
            <w:vAlign w:val="center"/>
          </w:tcPr>
          <w:p w:rsidR="00CD4F09" w:rsidRPr="000A7CB4" w:rsidRDefault="00CD4F09" w:rsidP="007F0200">
            <w:pPr>
              <w:rPr>
                <w:rFonts w:cs="Times New Roman"/>
                <w:sz w:val="20"/>
                <w:szCs w:val="20"/>
              </w:rPr>
            </w:pPr>
          </w:p>
        </w:tc>
      </w:tr>
      <w:tr w:rsidR="000A7CB4" w:rsidRPr="000A7CB4" w:rsidTr="007F02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CD4F09" w:rsidRPr="000A7CB4" w:rsidRDefault="00CD4F09" w:rsidP="007F0200">
            <w:pPr>
              <w:rPr>
                <w:rFonts w:cs="Times New Roman"/>
                <w:sz w:val="20"/>
                <w:szCs w:val="20"/>
              </w:rPr>
            </w:pPr>
          </w:p>
        </w:tc>
        <w:tc>
          <w:tcPr>
            <w:tcW w:w="1740" w:type="dxa"/>
            <w:shd w:val="clear" w:color="auto" w:fill="auto"/>
            <w:vAlign w:val="center"/>
          </w:tcPr>
          <w:p w:rsidR="00CD4F09" w:rsidRPr="000A7CB4" w:rsidRDefault="00CD4F09" w:rsidP="007F0200">
            <w:pPr>
              <w:rPr>
                <w:rFonts w:cs="Times New Roman"/>
                <w:sz w:val="20"/>
                <w:szCs w:val="20"/>
              </w:rPr>
            </w:pPr>
          </w:p>
        </w:tc>
        <w:tc>
          <w:tcPr>
            <w:tcW w:w="992" w:type="dxa"/>
          </w:tcPr>
          <w:p w:rsidR="00CD4F09" w:rsidRPr="000A7CB4" w:rsidRDefault="00CD4F09" w:rsidP="007F0200">
            <w:pPr>
              <w:rPr>
                <w:rFonts w:cs="Times New Roman"/>
                <w:sz w:val="20"/>
                <w:szCs w:val="20"/>
              </w:rPr>
            </w:pPr>
          </w:p>
        </w:tc>
        <w:tc>
          <w:tcPr>
            <w:tcW w:w="1134" w:type="dxa"/>
          </w:tcPr>
          <w:p w:rsidR="00CD4F09" w:rsidRPr="000A7CB4" w:rsidRDefault="00CD4F09" w:rsidP="007F0200">
            <w:pPr>
              <w:rPr>
                <w:rFonts w:cs="Times New Roman"/>
                <w:sz w:val="20"/>
                <w:szCs w:val="20"/>
              </w:rPr>
            </w:pPr>
          </w:p>
        </w:tc>
        <w:tc>
          <w:tcPr>
            <w:tcW w:w="1843" w:type="dxa"/>
            <w:shd w:val="clear" w:color="auto" w:fill="auto"/>
            <w:vAlign w:val="center"/>
          </w:tcPr>
          <w:p w:rsidR="00CD4F09" w:rsidRPr="000A7CB4" w:rsidDel="00801596" w:rsidRDefault="00CD4F09" w:rsidP="007F0200">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rsidR="00CD4F09" w:rsidRPr="000A7CB4" w:rsidRDefault="00CD4F09" w:rsidP="007F0200">
            <w:pPr>
              <w:rPr>
                <w:rFonts w:cs="Times New Roman"/>
                <w:sz w:val="20"/>
                <w:szCs w:val="20"/>
              </w:rPr>
            </w:pPr>
          </w:p>
        </w:tc>
        <w:tc>
          <w:tcPr>
            <w:tcW w:w="1160" w:type="dxa"/>
            <w:shd w:val="clear" w:color="auto" w:fill="auto"/>
            <w:noWrap/>
            <w:vAlign w:val="center"/>
          </w:tcPr>
          <w:p w:rsidR="00CD4F09" w:rsidRPr="000A7CB4" w:rsidRDefault="00CD4F09" w:rsidP="007F0200">
            <w:pPr>
              <w:rPr>
                <w:rFonts w:cs="Times New Roman"/>
                <w:sz w:val="20"/>
                <w:szCs w:val="20"/>
              </w:rPr>
            </w:pPr>
          </w:p>
        </w:tc>
        <w:tc>
          <w:tcPr>
            <w:tcW w:w="1108" w:type="dxa"/>
          </w:tcPr>
          <w:p w:rsidR="00CD4F09" w:rsidRPr="000A7CB4" w:rsidRDefault="00CD4F09" w:rsidP="007F0200">
            <w:pPr>
              <w:rPr>
                <w:rFonts w:cs="Times New Roman"/>
                <w:sz w:val="20"/>
                <w:szCs w:val="20"/>
              </w:rPr>
            </w:pPr>
          </w:p>
        </w:tc>
        <w:tc>
          <w:tcPr>
            <w:tcW w:w="851" w:type="dxa"/>
            <w:shd w:val="clear" w:color="auto" w:fill="auto"/>
            <w:noWrap/>
            <w:vAlign w:val="center"/>
          </w:tcPr>
          <w:p w:rsidR="00CD4F09" w:rsidRPr="000A7CB4" w:rsidRDefault="00CD4F09" w:rsidP="007F0200">
            <w:pPr>
              <w:rPr>
                <w:rFonts w:cs="Times New Roman"/>
                <w:sz w:val="20"/>
                <w:szCs w:val="20"/>
              </w:rPr>
            </w:pPr>
          </w:p>
        </w:tc>
        <w:tc>
          <w:tcPr>
            <w:tcW w:w="843" w:type="dxa"/>
            <w:shd w:val="clear" w:color="auto" w:fill="auto"/>
            <w:noWrap/>
            <w:vAlign w:val="center"/>
          </w:tcPr>
          <w:p w:rsidR="00CD4F09" w:rsidRPr="000A7CB4" w:rsidRDefault="00CD4F09" w:rsidP="007F0200">
            <w:pPr>
              <w:rPr>
                <w:rFonts w:cs="Times New Roman"/>
                <w:sz w:val="20"/>
                <w:szCs w:val="20"/>
              </w:rPr>
            </w:pPr>
          </w:p>
        </w:tc>
        <w:tc>
          <w:tcPr>
            <w:tcW w:w="1000" w:type="dxa"/>
            <w:shd w:val="clear" w:color="auto" w:fill="auto"/>
            <w:noWrap/>
            <w:vAlign w:val="center"/>
          </w:tcPr>
          <w:p w:rsidR="00CD4F09" w:rsidRPr="000A7CB4" w:rsidRDefault="00CD4F09" w:rsidP="007F0200">
            <w:pPr>
              <w:rPr>
                <w:rFonts w:cs="Times New Roman"/>
                <w:sz w:val="20"/>
                <w:szCs w:val="20"/>
              </w:rPr>
            </w:pPr>
          </w:p>
        </w:tc>
        <w:tc>
          <w:tcPr>
            <w:tcW w:w="708" w:type="dxa"/>
            <w:shd w:val="clear" w:color="auto" w:fill="auto"/>
            <w:noWrap/>
            <w:vAlign w:val="center"/>
          </w:tcPr>
          <w:p w:rsidR="00CD4F09" w:rsidRPr="000A7CB4" w:rsidRDefault="00CD4F09" w:rsidP="007F0200">
            <w:pPr>
              <w:rPr>
                <w:rFonts w:cs="Times New Roman"/>
                <w:sz w:val="20"/>
                <w:szCs w:val="20"/>
              </w:rPr>
            </w:pPr>
          </w:p>
        </w:tc>
        <w:tc>
          <w:tcPr>
            <w:tcW w:w="1134" w:type="dxa"/>
            <w:vAlign w:val="center"/>
          </w:tcPr>
          <w:p w:rsidR="00CD4F09" w:rsidRPr="000A7CB4" w:rsidRDefault="00CD4F09" w:rsidP="007F0200">
            <w:pPr>
              <w:rPr>
                <w:rFonts w:cs="Times New Roman"/>
                <w:sz w:val="20"/>
                <w:szCs w:val="20"/>
              </w:rPr>
            </w:pPr>
          </w:p>
        </w:tc>
      </w:tr>
      <w:tr w:rsidR="000A7CB4" w:rsidRPr="000A7CB4" w:rsidTr="007F02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CD4F09" w:rsidRPr="000A7CB4" w:rsidRDefault="00CD4F09" w:rsidP="007F0200">
            <w:pPr>
              <w:rPr>
                <w:rFonts w:cs="Times New Roman"/>
                <w:sz w:val="20"/>
                <w:szCs w:val="20"/>
              </w:rPr>
            </w:pPr>
          </w:p>
        </w:tc>
        <w:tc>
          <w:tcPr>
            <w:tcW w:w="1740" w:type="dxa"/>
            <w:shd w:val="clear" w:color="auto" w:fill="auto"/>
            <w:vAlign w:val="center"/>
          </w:tcPr>
          <w:p w:rsidR="00CD4F09" w:rsidRPr="000A7CB4" w:rsidRDefault="00CD4F09" w:rsidP="007F0200">
            <w:pPr>
              <w:rPr>
                <w:rFonts w:cs="Times New Roman"/>
                <w:sz w:val="20"/>
                <w:szCs w:val="20"/>
              </w:rPr>
            </w:pPr>
          </w:p>
        </w:tc>
        <w:tc>
          <w:tcPr>
            <w:tcW w:w="992" w:type="dxa"/>
          </w:tcPr>
          <w:p w:rsidR="00CD4F09" w:rsidRPr="000A7CB4" w:rsidRDefault="00CD4F09" w:rsidP="007F0200">
            <w:pPr>
              <w:rPr>
                <w:rFonts w:cs="Times New Roman"/>
                <w:sz w:val="20"/>
                <w:szCs w:val="20"/>
              </w:rPr>
            </w:pPr>
          </w:p>
        </w:tc>
        <w:tc>
          <w:tcPr>
            <w:tcW w:w="1134" w:type="dxa"/>
          </w:tcPr>
          <w:p w:rsidR="00CD4F09" w:rsidRPr="000A7CB4" w:rsidRDefault="00CD4F09" w:rsidP="007F0200">
            <w:pPr>
              <w:rPr>
                <w:rFonts w:cs="Times New Roman"/>
                <w:sz w:val="20"/>
                <w:szCs w:val="20"/>
              </w:rPr>
            </w:pPr>
          </w:p>
        </w:tc>
        <w:tc>
          <w:tcPr>
            <w:tcW w:w="1843" w:type="dxa"/>
            <w:shd w:val="clear" w:color="auto" w:fill="auto"/>
            <w:vAlign w:val="center"/>
          </w:tcPr>
          <w:p w:rsidR="00CD4F09" w:rsidRPr="000A7CB4" w:rsidDel="00801596" w:rsidRDefault="00CD4F09" w:rsidP="007F0200">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rsidR="00CD4F09" w:rsidRPr="000A7CB4" w:rsidRDefault="00CD4F09" w:rsidP="007F0200">
            <w:pPr>
              <w:rPr>
                <w:rFonts w:cs="Times New Roman"/>
                <w:sz w:val="20"/>
                <w:szCs w:val="20"/>
              </w:rPr>
            </w:pPr>
          </w:p>
        </w:tc>
        <w:tc>
          <w:tcPr>
            <w:tcW w:w="1160" w:type="dxa"/>
            <w:shd w:val="clear" w:color="auto" w:fill="auto"/>
            <w:noWrap/>
            <w:vAlign w:val="center"/>
          </w:tcPr>
          <w:p w:rsidR="00CD4F09" w:rsidRPr="000A7CB4" w:rsidRDefault="00CD4F09" w:rsidP="007F0200">
            <w:pPr>
              <w:rPr>
                <w:rFonts w:cs="Times New Roman"/>
                <w:sz w:val="20"/>
                <w:szCs w:val="20"/>
              </w:rPr>
            </w:pPr>
          </w:p>
        </w:tc>
        <w:tc>
          <w:tcPr>
            <w:tcW w:w="1108" w:type="dxa"/>
          </w:tcPr>
          <w:p w:rsidR="00CD4F09" w:rsidRPr="000A7CB4" w:rsidRDefault="00CD4F09" w:rsidP="007F0200">
            <w:pPr>
              <w:rPr>
                <w:rFonts w:cs="Times New Roman"/>
                <w:sz w:val="20"/>
                <w:szCs w:val="20"/>
              </w:rPr>
            </w:pPr>
          </w:p>
        </w:tc>
        <w:tc>
          <w:tcPr>
            <w:tcW w:w="851" w:type="dxa"/>
            <w:shd w:val="clear" w:color="auto" w:fill="auto"/>
            <w:noWrap/>
            <w:vAlign w:val="center"/>
          </w:tcPr>
          <w:p w:rsidR="00CD4F09" w:rsidRPr="000A7CB4" w:rsidRDefault="00CD4F09" w:rsidP="007F0200">
            <w:pPr>
              <w:rPr>
                <w:rFonts w:cs="Times New Roman"/>
                <w:sz w:val="20"/>
                <w:szCs w:val="20"/>
              </w:rPr>
            </w:pPr>
          </w:p>
        </w:tc>
        <w:tc>
          <w:tcPr>
            <w:tcW w:w="843" w:type="dxa"/>
            <w:shd w:val="clear" w:color="auto" w:fill="auto"/>
            <w:noWrap/>
            <w:vAlign w:val="center"/>
          </w:tcPr>
          <w:p w:rsidR="00CD4F09" w:rsidRPr="000A7CB4" w:rsidRDefault="00CD4F09" w:rsidP="007F0200">
            <w:pPr>
              <w:rPr>
                <w:rFonts w:cs="Times New Roman"/>
                <w:sz w:val="20"/>
                <w:szCs w:val="20"/>
              </w:rPr>
            </w:pPr>
          </w:p>
        </w:tc>
        <w:tc>
          <w:tcPr>
            <w:tcW w:w="1000" w:type="dxa"/>
            <w:shd w:val="clear" w:color="auto" w:fill="auto"/>
            <w:noWrap/>
            <w:vAlign w:val="center"/>
          </w:tcPr>
          <w:p w:rsidR="00CD4F09" w:rsidRPr="000A7CB4" w:rsidRDefault="00CD4F09" w:rsidP="007F0200">
            <w:pPr>
              <w:rPr>
                <w:rFonts w:cs="Times New Roman"/>
                <w:sz w:val="20"/>
                <w:szCs w:val="20"/>
              </w:rPr>
            </w:pPr>
          </w:p>
        </w:tc>
        <w:tc>
          <w:tcPr>
            <w:tcW w:w="708" w:type="dxa"/>
            <w:shd w:val="clear" w:color="auto" w:fill="auto"/>
            <w:noWrap/>
            <w:vAlign w:val="center"/>
          </w:tcPr>
          <w:p w:rsidR="00CD4F09" w:rsidRPr="000A7CB4" w:rsidRDefault="00CD4F09" w:rsidP="007F0200">
            <w:pPr>
              <w:rPr>
                <w:rFonts w:cs="Times New Roman"/>
                <w:sz w:val="20"/>
                <w:szCs w:val="20"/>
              </w:rPr>
            </w:pPr>
          </w:p>
        </w:tc>
        <w:tc>
          <w:tcPr>
            <w:tcW w:w="1134" w:type="dxa"/>
            <w:vAlign w:val="center"/>
          </w:tcPr>
          <w:p w:rsidR="00CD4F09" w:rsidRPr="000A7CB4" w:rsidRDefault="00CD4F09" w:rsidP="007F0200">
            <w:pPr>
              <w:rPr>
                <w:rFonts w:cs="Times New Roman"/>
                <w:sz w:val="20"/>
                <w:szCs w:val="20"/>
              </w:rPr>
            </w:pPr>
          </w:p>
        </w:tc>
      </w:tr>
      <w:tr w:rsidR="000A7CB4" w:rsidRPr="000A7CB4" w:rsidTr="007F02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CD4F09" w:rsidRPr="000A7CB4" w:rsidRDefault="00CD4F09" w:rsidP="007F0200">
            <w:pPr>
              <w:rPr>
                <w:rFonts w:cs="Times New Roman"/>
                <w:sz w:val="20"/>
                <w:szCs w:val="20"/>
              </w:rPr>
            </w:pPr>
          </w:p>
        </w:tc>
        <w:tc>
          <w:tcPr>
            <w:tcW w:w="1740" w:type="dxa"/>
            <w:shd w:val="clear" w:color="auto" w:fill="auto"/>
            <w:vAlign w:val="center"/>
          </w:tcPr>
          <w:p w:rsidR="00CD4F09" w:rsidRPr="000A7CB4" w:rsidRDefault="00CD4F09" w:rsidP="007F0200">
            <w:pPr>
              <w:rPr>
                <w:rFonts w:cs="Times New Roman"/>
                <w:sz w:val="20"/>
                <w:szCs w:val="20"/>
              </w:rPr>
            </w:pPr>
          </w:p>
        </w:tc>
        <w:tc>
          <w:tcPr>
            <w:tcW w:w="992" w:type="dxa"/>
          </w:tcPr>
          <w:p w:rsidR="00CD4F09" w:rsidRPr="000A7CB4" w:rsidRDefault="00CD4F09" w:rsidP="007F0200">
            <w:pPr>
              <w:rPr>
                <w:rFonts w:cs="Times New Roman"/>
                <w:sz w:val="20"/>
                <w:szCs w:val="20"/>
              </w:rPr>
            </w:pPr>
          </w:p>
        </w:tc>
        <w:tc>
          <w:tcPr>
            <w:tcW w:w="1134" w:type="dxa"/>
          </w:tcPr>
          <w:p w:rsidR="00CD4F09" w:rsidRPr="000A7CB4" w:rsidRDefault="00CD4F09" w:rsidP="007F0200">
            <w:pPr>
              <w:rPr>
                <w:rFonts w:cs="Times New Roman"/>
                <w:sz w:val="20"/>
                <w:szCs w:val="20"/>
              </w:rPr>
            </w:pPr>
          </w:p>
        </w:tc>
        <w:tc>
          <w:tcPr>
            <w:tcW w:w="1843" w:type="dxa"/>
            <w:shd w:val="clear" w:color="auto" w:fill="auto"/>
            <w:vAlign w:val="center"/>
          </w:tcPr>
          <w:p w:rsidR="00CD4F09" w:rsidRPr="000A7CB4" w:rsidDel="00801596" w:rsidRDefault="00CD4F09" w:rsidP="007F0200">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rsidR="00CD4F09" w:rsidRPr="000A7CB4" w:rsidRDefault="00CD4F09" w:rsidP="007F0200">
            <w:pPr>
              <w:rPr>
                <w:rFonts w:cs="Times New Roman"/>
                <w:sz w:val="20"/>
                <w:szCs w:val="20"/>
              </w:rPr>
            </w:pPr>
          </w:p>
        </w:tc>
        <w:tc>
          <w:tcPr>
            <w:tcW w:w="1160" w:type="dxa"/>
            <w:shd w:val="clear" w:color="auto" w:fill="auto"/>
            <w:noWrap/>
            <w:vAlign w:val="center"/>
          </w:tcPr>
          <w:p w:rsidR="00CD4F09" w:rsidRPr="000A7CB4" w:rsidRDefault="00CD4F09" w:rsidP="007F0200">
            <w:pPr>
              <w:rPr>
                <w:rFonts w:cs="Times New Roman"/>
                <w:sz w:val="20"/>
                <w:szCs w:val="20"/>
              </w:rPr>
            </w:pPr>
          </w:p>
        </w:tc>
        <w:tc>
          <w:tcPr>
            <w:tcW w:w="1108" w:type="dxa"/>
          </w:tcPr>
          <w:p w:rsidR="00CD4F09" w:rsidRPr="000A7CB4" w:rsidRDefault="00CD4F09" w:rsidP="007F0200">
            <w:pPr>
              <w:rPr>
                <w:rFonts w:cs="Times New Roman"/>
                <w:sz w:val="20"/>
                <w:szCs w:val="20"/>
              </w:rPr>
            </w:pPr>
          </w:p>
        </w:tc>
        <w:tc>
          <w:tcPr>
            <w:tcW w:w="851" w:type="dxa"/>
            <w:shd w:val="clear" w:color="auto" w:fill="auto"/>
            <w:noWrap/>
            <w:vAlign w:val="center"/>
          </w:tcPr>
          <w:p w:rsidR="00CD4F09" w:rsidRPr="000A7CB4" w:rsidRDefault="00CD4F09" w:rsidP="007F0200">
            <w:pPr>
              <w:rPr>
                <w:rFonts w:cs="Times New Roman"/>
                <w:sz w:val="20"/>
                <w:szCs w:val="20"/>
              </w:rPr>
            </w:pPr>
          </w:p>
        </w:tc>
        <w:tc>
          <w:tcPr>
            <w:tcW w:w="843" w:type="dxa"/>
            <w:shd w:val="clear" w:color="auto" w:fill="auto"/>
            <w:noWrap/>
            <w:vAlign w:val="center"/>
          </w:tcPr>
          <w:p w:rsidR="00CD4F09" w:rsidRPr="000A7CB4" w:rsidRDefault="00CD4F09" w:rsidP="007F0200">
            <w:pPr>
              <w:rPr>
                <w:rFonts w:cs="Times New Roman"/>
                <w:sz w:val="20"/>
                <w:szCs w:val="20"/>
              </w:rPr>
            </w:pPr>
          </w:p>
        </w:tc>
        <w:tc>
          <w:tcPr>
            <w:tcW w:w="1000" w:type="dxa"/>
            <w:shd w:val="clear" w:color="auto" w:fill="auto"/>
            <w:noWrap/>
            <w:vAlign w:val="center"/>
          </w:tcPr>
          <w:p w:rsidR="00CD4F09" w:rsidRPr="000A7CB4" w:rsidRDefault="00CD4F09" w:rsidP="007F0200">
            <w:pPr>
              <w:rPr>
                <w:rFonts w:cs="Times New Roman"/>
                <w:sz w:val="20"/>
                <w:szCs w:val="20"/>
              </w:rPr>
            </w:pPr>
          </w:p>
        </w:tc>
        <w:tc>
          <w:tcPr>
            <w:tcW w:w="708" w:type="dxa"/>
            <w:shd w:val="clear" w:color="auto" w:fill="auto"/>
            <w:noWrap/>
            <w:vAlign w:val="center"/>
          </w:tcPr>
          <w:p w:rsidR="00CD4F09" w:rsidRPr="000A7CB4" w:rsidRDefault="00CD4F09" w:rsidP="007F0200">
            <w:pPr>
              <w:rPr>
                <w:rFonts w:cs="Times New Roman"/>
                <w:sz w:val="20"/>
                <w:szCs w:val="20"/>
              </w:rPr>
            </w:pPr>
          </w:p>
        </w:tc>
        <w:tc>
          <w:tcPr>
            <w:tcW w:w="1134" w:type="dxa"/>
            <w:vAlign w:val="center"/>
          </w:tcPr>
          <w:p w:rsidR="00CD4F09" w:rsidRPr="000A7CB4" w:rsidRDefault="00CD4F09" w:rsidP="007F0200">
            <w:pPr>
              <w:rPr>
                <w:rFonts w:cs="Times New Roman"/>
                <w:sz w:val="20"/>
                <w:szCs w:val="20"/>
              </w:rPr>
            </w:pPr>
          </w:p>
        </w:tc>
      </w:tr>
      <w:tr w:rsidR="000A7CB4" w:rsidRPr="000A7CB4" w:rsidTr="007F02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CD4F09" w:rsidRPr="000A7CB4" w:rsidRDefault="00CD4F09" w:rsidP="007F0200">
            <w:pPr>
              <w:rPr>
                <w:rFonts w:cs="Times New Roman"/>
                <w:sz w:val="20"/>
                <w:szCs w:val="20"/>
              </w:rPr>
            </w:pPr>
          </w:p>
        </w:tc>
        <w:tc>
          <w:tcPr>
            <w:tcW w:w="1740" w:type="dxa"/>
            <w:shd w:val="clear" w:color="auto" w:fill="auto"/>
            <w:vAlign w:val="center"/>
          </w:tcPr>
          <w:p w:rsidR="00CD4F09" w:rsidRPr="000A7CB4" w:rsidRDefault="00CD4F09" w:rsidP="007F0200">
            <w:pPr>
              <w:rPr>
                <w:rFonts w:cs="Times New Roman"/>
                <w:sz w:val="20"/>
                <w:szCs w:val="20"/>
              </w:rPr>
            </w:pPr>
          </w:p>
        </w:tc>
        <w:tc>
          <w:tcPr>
            <w:tcW w:w="992" w:type="dxa"/>
          </w:tcPr>
          <w:p w:rsidR="00CD4F09" w:rsidRPr="000A7CB4" w:rsidRDefault="00CD4F09" w:rsidP="007F0200">
            <w:pPr>
              <w:rPr>
                <w:rFonts w:cs="Times New Roman"/>
                <w:sz w:val="20"/>
                <w:szCs w:val="20"/>
              </w:rPr>
            </w:pPr>
          </w:p>
        </w:tc>
        <w:tc>
          <w:tcPr>
            <w:tcW w:w="1134" w:type="dxa"/>
          </w:tcPr>
          <w:p w:rsidR="00CD4F09" w:rsidRPr="000A7CB4" w:rsidRDefault="00CD4F09" w:rsidP="007F0200">
            <w:pPr>
              <w:rPr>
                <w:rFonts w:cs="Times New Roman"/>
                <w:sz w:val="20"/>
                <w:szCs w:val="20"/>
              </w:rPr>
            </w:pPr>
          </w:p>
        </w:tc>
        <w:tc>
          <w:tcPr>
            <w:tcW w:w="1843" w:type="dxa"/>
            <w:shd w:val="clear" w:color="auto" w:fill="auto"/>
            <w:vAlign w:val="center"/>
          </w:tcPr>
          <w:p w:rsidR="00CD4F09" w:rsidRPr="000A7CB4" w:rsidDel="00801596" w:rsidRDefault="00CD4F09" w:rsidP="007F0200">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rsidR="00CD4F09" w:rsidRPr="000A7CB4" w:rsidRDefault="00CD4F09" w:rsidP="007F0200">
            <w:pPr>
              <w:rPr>
                <w:rFonts w:cs="Times New Roman"/>
                <w:sz w:val="20"/>
                <w:szCs w:val="20"/>
              </w:rPr>
            </w:pPr>
          </w:p>
        </w:tc>
        <w:tc>
          <w:tcPr>
            <w:tcW w:w="1160" w:type="dxa"/>
            <w:shd w:val="clear" w:color="auto" w:fill="auto"/>
            <w:noWrap/>
            <w:vAlign w:val="center"/>
          </w:tcPr>
          <w:p w:rsidR="00CD4F09" w:rsidRPr="000A7CB4" w:rsidRDefault="00CD4F09" w:rsidP="007F0200">
            <w:pPr>
              <w:rPr>
                <w:rFonts w:cs="Times New Roman"/>
                <w:sz w:val="20"/>
                <w:szCs w:val="20"/>
              </w:rPr>
            </w:pPr>
          </w:p>
        </w:tc>
        <w:tc>
          <w:tcPr>
            <w:tcW w:w="1108" w:type="dxa"/>
          </w:tcPr>
          <w:p w:rsidR="00CD4F09" w:rsidRPr="000A7CB4" w:rsidRDefault="00CD4F09" w:rsidP="007F0200">
            <w:pPr>
              <w:rPr>
                <w:rFonts w:cs="Times New Roman"/>
                <w:sz w:val="20"/>
                <w:szCs w:val="20"/>
              </w:rPr>
            </w:pPr>
          </w:p>
        </w:tc>
        <w:tc>
          <w:tcPr>
            <w:tcW w:w="851" w:type="dxa"/>
            <w:shd w:val="clear" w:color="auto" w:fill="auto"/>
            <w:noWrap/>
            <w:vAlign w:val="center"/>
          </w:tcPr>
          <w:p w:rsidR="00CD4F09" w:rsidRPr="000A7CB4" w:rsidRDefault="00CD4F09" w:rsidP="007F0200">
            <w:pPr>
              <w:rPr>
                <w:rFonts w:cs="Times New Roman"/>
                <w:sz w:val="20"/>
                <w:szCs w:val="20"/>
              </w:rPr>
            </w:pPr>
          </w:p>
        </w:tc>
        <w:tc>
          <w:tcPr>
            <w:tcW w:w="843" w:type="dxa"/>
            <w:shd w:val="clear" w:color="auto" w:fill="auto"/>
            <w:noWrap/>
            <w:vAlign w:val="center"/>
          </w:tcPr>
          <w:p w:rsidR="00CD4F09" w:rsidRPr="000A7CB4" w:rsidRDefault="00CD4F09" w:rsidP="007F0200">
            <w:pPr>
              <w:rPr>
                <w:rFonts w:cs="Times New Roman"/>
                <w:sz w:val="20"/>
                <w:szCs w:val="20"/>
              </w:rPr>
            </w:pPr>
          </w:p>
        </w:tc>
        <w:tc>
          <w:tcPr>
            <w:tcW w:w="1000" w:type="dxa"/>
            <w:shd w:val="clear" w:color="auto" w:fill="auto"/>
            <w:noWrap/>
            <w:vAlign w:val="center"/>
          </w:tcPr>
          <w:p w:rsidR="00CD4F09" w:rsidRPr="000A7CB4" w:rsidRDefault="00CD4F09" w:rsidP="007F0200">
            <w:pPr>
              <w:rPr>
                <w:rFonts w:cs="Times New Roman"/>
                <w:sz w:val="20"/>
                <w:szCs w:val="20"/>
              </w:rPr>
            </w:pPr>
          </w:p>
        </w:tc>
        <w:tc>
          <w:tcPr>
            <w:tcW w:w="708" w:type="dxa"/>
            <w:shd w:val="clear" w:color="auto" w:fill="auto"/>
            <w:noWrap/>
            <w:vAlign w:val="center"/>
          </w:tcPr>
          <w:p w:rsidR="00CD4F09" w:rsidRPr="000A7CB4" w:rsidRDefault="00CD4F09" w:rsidP="007F0200">
            <w:pPr>
              <w:rPr>
                <w:rFonts w:cs="Times New Roman"/>
                <w:sz w:val="20"/>
                <w:szCs w:val="20"/>
              </w:rPr>
            </w:pPr>
          </w:p>
        </w:tc>
        <w:tc>
          <w:tcPr>
            <w:tcW w:w="1134" w:type="dxa"/>
            <w:vAlign w:val="center"/>
          </w:tcPr>
          <w:p w:rsidR="00CD4F09" w:rsidRPr="000A7CB4" w:rsidRDefault="00CD4F09" w:rsidP="007F0200">
            <w:pPr>
              <w:rPr>
                <w:rFonts w:cs="Times New Roman"/>
                <w:sz w:val="20"/>
                <w:szCs w:val="20"/>
              </w:rPr>
            </w:pPr>
          </w:p>
        </w:tc>
      </w:tr>
      <w:tr w:rsidR="000A7CB4" w:rsidRPr="000A7CB4" w:rsidTr="007F02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CD4F09" w:rsidRPr="000A7CB4" w:rsidRDefault="00CD4F09" w:rsidP="007F0200">
            <w:pPr>
              <w:rPr>
                <w:rFonts w:cs="Times New Roman"/>
                <w:sz w:val="20"/>
                <w:szCs w:val="20"/>
              </w:rPr>
            </w:pPr>
          </w:p>
        </w:tc>
        <w:tc>
          <w:tcPr>
            <w:tcW w:w="1740" w:type="dxa"/>
            <w:shd w:val="clear" w:color="auto" w:fill="auto"/>
            <w:vAlign w:val="center"/>
          </w:tcPr>
          <w:p w:rsidR="00CD4F09" w:rsidRPr="000A7CB4" w:rsidRDefault="00CD4F09" w:rsidP="007F0200">
            <w:pPr>
              <w:rPr>
                <w:rFonts w:cs="Times New Roman"/>
                <w:sz w:val="20"/>
                <w:szCs w:val="20"/>
              </w:rPr>
            </w:pPr>
          </w:p>
        </w:tc>
        <w:tc>
          <w:tcPr>
            <w:tcW w:w="992" w:type="dxa"/>
          </w:tcPr>
          <w:p w:rsidR="00CD4F09" w:rsidRPr="000A7CB4" w:rsidRDefault="00CD4F09" w:rsidP="007F0200">
            <w:pPr>
              <w:rPr>
                <w:rFonts w:cs="Times New Roman"/>
                <w:sz w:val="20"/>
                <w:szCs w:val="20"/>
              </w:rPr>
            </w:pPr>
          </w:p>
        </w:tc>
        <w:tc>
          <w:tcPr>
            <w:tcW w:w="1134" w:type="dxa"/>
          </w:tcPr>
          <w:p w:rsidR="00CD4F09" w:rsidRPr="000A7CB4" w:rsidRDefault="00CD4F09" w:rsidP="007F0200">
            <w:pPr>
              <w:rPr>
                <w:rFonts w:cs="Times New Roman"/>
                <w:sz w:val="20"/>
                <w:szCs w:val="20"/>
              </w:rPr>
            </w:pPr>
          </w:p>
        </w:tc>
        <w:tc>
          <w:tcPr>
            <w:tcW w:w="1843" w:type="dxa"/>
            <w:shd w:val="clear" w:color="auto" w:fill="auto"/>
            <w:vAlign w:val="center"/>
          </w:tcPr>
          <w:p w:rsidR="00CD4F09" w:rsidRPr="000A7CB4" w:rsidDel="00801596" w:rsidRDefault="00CD4F09" w:rsidP="007F0200">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rsidR="00CD4F09" w:rsidRPr="000A7CB4" w:rsidRDefault="00CD4F09" w:rsidP="007F0200">
            <w:pPr>
              <w:rPr>
                <w:rFonts w:cs="Times New Roman"/>
                <w:sz w:val="20"/>
                <w:szCs w:val="20"/>
              </w:rPr>
            </w:pPr>
          </w:p>
        </w:tc>
        <w:tc>
          <w:tcPr>
            <w:tcW w:w="1160" w:type="dxa"/>
            <w:shd w:val="clear" w:color="auto" w:fill="auto"/>
            <w:noWrap/>
            <w:vAlign w:val="center"/>
          </w:tcPr>
          <w:p w:rsidR="00CD4F09" w:rsidRPr="000A7CB4" w:rsidRDefault="00CD4F09" w:rsidP="007F0200">
            <w:pPr>
              <w:rPr>
                <w:rFonts w:cs="Times New Roman"/>
                <w:sz w:val="20"/>
                <w:szCs w:val="20"/>
              </w:rPr>
            </w:pPr>
          </w:p>
        </w:tc>
        <w:tc>
          <w:tcPr>
            <w:tcW w:w="1108" w:type="dxa"/>
          </w:tcPr>
          <w:p w:rsidR="00CD4F09" w:rsidRPr="000A7CB4" w:rsidRDefault="00CD4F09" w:rsidP="007F0200">
            <w:pPr>
              <w:rPr>
                <w:rFonts w:cs="Times New Roman"/>
                <w:sz w:val="20"/>
                <w:szCs w:val="20"/>
              </w:rPr>
            </w:pPr>
          </w:p>
        </w:tc>
        <w:tc>
          <w:tcPr>
            <w:tcW w:w="851" w:type="dxa"/>
            <w:shd w:val="clear" w:color="auto" w:fill="auto"/>
            <w:noWrap/>
            <w:vAlign w:val="center"/>
          </w:tcPr>
          <w:p w:rsidR="00CD4F09" w:rsidRPr="000A7CB4" w:rsidRDefault="00CD4F09" w:rsidP="007F0200">
            <w:pPr>
              <w:rPr>
                <w:rFonts w:cs="Times New Roman"/>
                <w:sz w:val="20"/>
                <w:szCs w:val="20"/>
              </w:rPr>
            </w:pPr>
          </w:p>
        </w:tc>
        <w:tc>
          <w:tcPr>
            <w:tcW w:w="843" w:type="dxa"/>
            <w:shd w:val="clear" w:color="auto" w:fill="auto"/>
            <w:noWrap/>
            <w:vAlign w:val="center"/>
          </w:tcPr>
          <w:p w:rsidR="00CD4F09" w:rsidRPr="000A7CB4" w:rsidRDefault="00CD4F09" w:rsidP="007F0200">
            <w:pPr>
              <w:rPr>
                <w:rFonts w:cs="Times New Roman"/>
                <w:sz w:val="20"/>
                <w:szCs w:val="20"/>
              </w:rPr>
            </w:pPr>
          </w:p>
        </w:tc>
        <w:tc>
          <w:tcPr>
            <w:tcW w:w="1000" w:type="dxa"/>
            <w:shd w:val="clear" w:color="auto" w:fill="auto"/>
            <w:noWrap/>
            <w:vAlign w:val="center"/>
          </w:tcPr>
          <w:p w:rsidR="00CD4F09" w:rsidRPr="000A7CB4" w:rsidRDefault="00CD4F09" w:rsidP="007F0200">
            <w:pPr>
              <w:rPr>
                <w:rFonts w:cs="Times New Roman"/>
                <w:sz w:val="20"/>
                <w:szCs w:val="20"/>
              </w:rPr>
            </w:pPr>
          </w:p>
        </w:tc>
        <w:tc>
          <w:tcPr>
            <w:tcW w:w="708" w:type="dxa"/>
            <w:shd w:val="clear" w:color="auto" w:fill="auto"/>
            <w:noWrap/>
            <w:vAlign w:val="center"/>
          </w:tcPr>
          <w:p w:rsidR="00CD4F09" w:rsidRPr="000A7CB4" w:rsidRDefault="00CD4F09" w:rsidP="007F0200">
            <w:pPr>
              <w:rPr>
                <w:rFonts w:cs="Times New Roman"/>
                <w:sz w:val="20"/>
                <w:szCs w:val="20"/>
              </w:rPr>
            </w:pPr>
          </w:p>
        </w:tc>
        <w:tc>
          <w:tcPr>
            <w:tcW w:w="1134" w:type="dxa"/>
            <w:vAlign w:val="center"/>
          </w:tcPr>
          <w:p w:rsidR="00CD4F09" w:rsidRPr="000A7CB4" w:rsidRDefault="00CD4F09" w:rsidP="007F0200">
            <w:pPr>
              <w:rPr>
                <w:rFonts w:cs="Times New Roman"/>
                <w:sz w:val="20"/>
                <w:szCs w:val="20"/>
              </w:rPr>
            </w:pPr>
          </w:p>
        </w:tc>
      </w:tr>
      <w:tr w:rsidR="000A7CB4" w:rsidRPr="000A7CB4" w:rsidTr="007F02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CD4F09" w:rsidRPr="000A7CB4" w:rsidRDefault="00CD4F09" w:rsidP="007F0200">
            <w:pPr>
              <w:rPr>
                <w:rFonts w:cs="Times New Roman"/>
                <w:sz w:val="20"/>
                <w:szCs w:val="20"/>
              </w:rPr>
            </w:pPr>
          </w:p>
        </w:tc>
        <w:tc>
          <w:tcPr>
            <w:tcW w:w="1740" w:type="dxa"/>
            <w:shd w:val="clear" w:color="auto" w:fill="auto"/>
            <w:vAlign w:val="center"/>
          </w:tcPr>
          <w:p w:rsidR="00CD4F09" w:rsidRPr="000A7CB4" w:rsidRDefault="00CD4F09" w:rsidP="007F0200">
            <w:pPr>
              <w:rPr>
                <w:rFonts w:cs="Times New Roman"/>
                <w:sz w:val="20"/>
                <w:szCs w:val="20"/>
              </w:rPr>
            </w:pPr>
          </w:p>
        </w:tc>
        <w:tc>
          <w:tcPr>
            <w:tcW w:w="992" w:type="dxa"/>
          </w:tcPr>
          <w:p w:rsidR="00CD4F09" w:rsidRPr="000A7CB4" w:rsidRDefault="00CD4F09" w:rsidP="007F0200">
            <w:pPr>
              <w:rPr>
                <w:rFonts w:cs="Times New Roman"/>
                <w:sz w:val="20"/>
                <w:szCs w:val="20"/>
              </w:rPr>
            </w:pPr>
          </w:p>
        </w:tc>
        <w:tc>
          <w:tcPr>
            <w:tcW w:w="1134" w:type="dxa"/>
          </w:tcPr>
          <w:p w:rsidR="00CD4F09" w:rsidRPr="000A7CB4" w:rsidRDefault="00CD4F09" w:rsidP="007F0200">
            <w:pPr>
              <w:rPr>
                <w:rFonts w:cs="Times New Roman"/>
                <w:sz w:val="20"/>
                <w:szCs w:val="20"/>
              </w:rPr>
            </w:pPr>
          </w:p>
        </w:tc>
        <w:tc>
          <w:tcPr>
            <w:tcW w:w="1843" w:type="dxa"/>
            <w:shd w:val="clear" w:color="auto" w:fill="auto"/>
            <w:vAlign w:val="center"/>
          </w:tcPr>
          <w:p w:rsidR="00CD4F09" w:rsidRPr="000A7CB4" w:rsidDel="00801596" w:rsidRDefault="00CD4F09" w:rsidP="007F0200">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rsidR="00CD4F09" w:rsidRPr="000A7CB4" w:rsidRDefault="00CD4F09" w:rsidP="007F0200">
            <w:pPr>
              <w:rPr>
                <w:rFonts w:cs="Times New Roman"/>
                <w:sz w:val="20"/>
                <w:szCs w:val="20"/>
              </w:rPr>
            </w:pPr>
          </w:p>
        </w:tc>
        <w:tc>
          <w:tcPr>
            <w:tcW w:w="1160" w:type="dxa"/>
            <w:shd w:val="clear" w:color="auto" w:fill="auto"/>
            <w:noWrap/>
            <w:vAlign w:val="center"/>
          </w:tcPr>
          <w:p w:rsidR="00CD4F09" w:rsidRPr="000A7CB4" w:rsidRDefault="00CD4F09" w:rsidP="007F0200">
            <w:pPr>
              <w:rPr>
                <w:rFonts w:cs="Times New Roman"/>
                <w:sz w:val="20"/>
                <w:szCs w:val="20"/>
              </w:rPr>
            </w:pPr>
          </w:p>
        </w:tc>
        <w:tc>
          <w:tcPr>
            <w:tcW w:w="1108" w:type="dxa"/>
          </w:tcPr>
          <w:p w:rsidR="00CD4F09" w:rsidRPr="000A7CB4" w:rsidRDefault="00CD4F09" w:rsidP="007F0200">
            <w:pPr>
              <w:rPr>
                <w:rFonts w:cs="Times New Roman"/>
                <w:sz w:val="20"/>
                <w:szCs w:val="20"/>
              </w:rPr>
            </w:pPr>
          </w:p>
        </w:tc>
        <w:tc>
          <w:tcPr>
            <w:tcW w:w="851" w:type="dxa"/>
            <w:shd w:val="clear" w:color="auto" w:fill="auto"/>
            <w:noWrap/>
            <w:vAlign w:val="center"/>
          </w:tcPr>
          <w:p w:rsidR="00CD4F09" w:rsidRPr="000A7CB4" w:rsidRDefault="00CD4F09" w:rsidP="007F0200">
            <w:pPr>
              <w:rPr>
                <w:rFonts w:cs="Times New Roman"/>
                <w:sz w:val="20"/>
                <w:szCs w:val="20"/>
              </w:rPr>
            </w:pPr>
          </w:p>
        </w:tc>
        <w:tc>
          <w:tcPr>
            <w:tcW w:w="843" w:type="dxa"/>
            <w:shd w:val="clear" w:color="auto" w:fill="auto"/>
            <w:noWrap/>
            <w:vAlign w:val="center"/>
          </w:tcPr>
          <w:p w:rsidR="00CD4F09" w:rsidRPr="000A7CB4" w:rsidRDefault="00CD4F09" w:rsidP="007F0200">
            <w:pPr>
              <w:rPr>
                <w:rFonts w:cs="Times New Roman"/>
                <w:sz w:val="20"/>
                <w:szCs w:val="20"/>
              </w:rPr>
            </w:pPr>
          </w:p>
        </w:tc>
        <w:tc>
          <w:tcPr>
            <w:tcW w:w="1000" w:type="dxa"/>
            <w:shd w:val="clear" w:color="auto" w:fill="auto"/>
            <w:noWrap/>
            <w:vAlign w:val="center"/>
          </w:tcPr>
          <w:p w:rsidR="00CD4F09" w:rsidRPr="000A7CB4" w:rsidRDefault="00CD4F09" w:rsidP="007F0200">
            <w:pPr>
              <w:rPr>
                <w:rFonts w:cs="Times New Roman"/>
                <w:sz w:val="20"/>
                <w:szCs w:val="20"/>
              </w:rPr>
            </w:pPr>
          </w:p>
        </w:tc>
        <w:tc>
          <w:tcPr>
            <w:tcW w:w="708" w:type="dxa"/>
            <w:shd w:val="clear" w:color="auto" w:fill="auto"/>
            <w:noWrap/>
            <w:vAlign w:val="center"/>
          </w:tcPr>
          <w:p w:rsidR="00CD4F09" w:rsidRPr="000A7CB4" w:rsidRDefault="00CD4F09" w:rsidP="007F0200">
            <w:pPr>
              <w:rPr>
                <w:rFonts w:cs="Times New Roman"/>
                <w:sz w:val="20"/>
                <w:szCs w:val="20"/>
              </w:rPr>
            </w:pPr>
          </w:p>
        </w:tc>
        <w:tc>
          <w:tcPr>
            <w:tcW w:w="1134" w:type="dxa"/>
            <w:vAlign w:val="center"/>
          </w:tcPr>
          <w:p w:rsidR="00CD4F09" w:rsidRPr="000A7CB4" w:rsidRDefault="00CD4F09" w:rsidP="007F0200">
            <w:pPr>
              <w:rPr>
                <w:rFonts w:cs="Times New Roman"/>
                <w:sz w:val="20"/>
                <w:szCs w:val="20"/>
              </w:rPr>
            </w:pPr>
          </w:p>
        </w:tc>
      </w:tr>
    </w:tbl>
    <w:p w:rsidR="00CD4F09" w:rsidRPr="000A7CB4" w:rsidRDefault="00CD4F09" w:rsidP="00CD4F09">
      <w:pPr>
        <w:jc w:val="both"/>
        <w:rPr>
          <w:rFonts w:eastAsia="Calibri" w:cs="Times New Roman"/>
          <w:i/>
        </w:rPr>
      </w:pPr>
    </w:p>
    <w:p w:rsidR="00CD4F09" w:rsidRPr="000A7CB4" w:rsidRDefault="00CD4F09" w:rsidP="00CD4F09">
      <w:pPr>
        <w:jc w:val="both"/>
        <w:rPr>
          <w:rFonts w:eastAsia="Calibri" w:cs="Times New Roman"/>
          <w:b/>
          <w:bCs/>
          <w:i/>
        </w:rPr>
        <w:sectPr w:rsidR="00CD4F09" w:rsidRPr="000A7CB4" w:rsidSect="007F0200">
          <w:pgSz w:w="16838" w:h="11906" w:orient="landscape"/>
          <w:pgMar w:top="1417" w:right="1417" w:bottom="1417" w:left="1417" w:header="708" w:footer="708" w:gutter="0"/>
          <w:cols w:space="708"/>
          <w:docGrid w:linePitch="360"/>
        </w:sectPr>
      </w:pPr>
    </w:p>
    <w:p w:rsidR="00CD4F09" w:rsidRPr="000A7CB4" w:rsidRDefault="00CD4F09" w:rsidP="000A7CB4">
      <w:pPr>
        <w:jc w:val="both"/>
        <w:rPr>
          <w:rFonts w:eastAsia="Calibri" w:cs="Times New Roman"/>
          <w:b/>
          <w:bCs/>
          <w:i/>
          <w:u w:val="single"/>
        </w:rPr>
      </w:pPr>
      <w:r w:rsidRPr="000A7CB4">
        <w:rPr>
          <w:rFonts w:eastAsia="Calibri" w:cs="Times New Roman"/>
          <w:b/>
          <w:bCs/>
          <w:i/>
          <w:u w:val="single"/>
        </w:rPr>
        <w:lastRenderedPageBreak/>
        <w:t xml:space="preserve">3.1.3 Doplňujúce informácie k spôsobu výpočtu vplyvov jednotlivých regulácií na zmenu nákladov </w:t>
      </w:r>
    </w:p>
    <w:p w:rsidR="00CD4F09" w:rsidRPr="000A7CB4" w:rsidRDefault="00CD4F09" w:rsidP="000A7CB4">
      <w:pPr>
        <w:jc w:val="both"/>
        <w:rPr>
          <w:rFonts w:eastAsia="Calibri" w:cs="Times New Roman"/>
          <w:bCs/>
          <w:i/>
          <w:iCs/>
        </w:rPr>
      </w:pPr>
      <w:r w:rsidRPr="000A7CB4">
        <w:rPr>
          <w:rFonts w:eastAsia="Calibri" w:cs="Times New Roman"/>
          <w:bCs/>
          <w:i/>
          <w:iCs/>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 a poplatky, ktorých cieľom je znižovať negatívne externality, B. Iné poplatky, C. Sankcie, D. Nepriame finančné náklady, E. Administratívne náklady). Rozčleňte ich a vypočítajte v súlade s metodickým postupom. </w:t>
      </w:r>
    </w:p>
    <w:p w:rsidR="00CD4F09" w:rsidRPr="000A7CB4" w:rsidRDefault="00CD4F09" w:rsidP="000A7CB4">
      <w:pPr>
        <w:jc w:val="both"/>
        <w:rPr>
          <w:rFonts w:eastAsia="Calibri" w:cs="Times New Roman"/>
          <w:bCs/>
          <w:i/>
          <w:iCs/>
        </w:rPr>
      </w:pPr>
    </w:p>
    <w:p w:rsidR="00CD4F09" w:rsidRPr="000A7CB4" w:rsidRDefault="00CD4F09" w:rsidP="000A7CB4">
      <w:pPr>
        <w:jc w:val="both"/>
        <w:rPr>
          <w:rFonts w:eastAsia="Calibri" w:cs="Times New Roman"/>
          <w:b/>
          <w:bCs/>
          <w:i/>
          <w:u w:val="single"/>
        </w:rPr>
      </w:pPr>
      <w:r w:rsidRPr="000A7CB4">
        <w:rPr>
          <w:rFonts w:eastAsia="Calibri" w:cs="Times New Roman"/>
          <w:b/>
          <w:bCs/>
          <w:i/>
          <w:u w:val="single"/>
        </w:rPr>
        <w:t>3.1.4 Odôvodnenie goldplatingu podľa bodu 4 časti III jednotnej metodiky a ďalšie doplňujúce informácie</w:t>
      </w:r>
      <w:r w:rsidRPr="000A7CB4">
        <w:rPr>
          <w:rStyle w:val="Odkaznapoznmkupodiarou"/>
          <w:rFonts w:eastAsia="Calibri" w:cs="Times New Roman"/>
          <w:b/>
          <w:bCs/>
          <w:i/>
          <w:u w:val="single"/>
        </w:rPr>
        <w:footnoteReference w:id="2"/>
      </w:r>
      <w:r w:rsidRPr="000A7CB4">
        <w:rPr>
          <w:rFonts w:eastAsia="Calibri" w:cs="Times New Roman"/>
          <w:b/>
          <w:bCs/>
          <w:i/>
          <w:u w:val="single"/>
        </w:rPr>
        <w:t xml:space="preserve"> </w:t>
      </w:r>
    </w:p>
    <w:p w:rsidR="00CD4F09" w:rsidRPr="000A7CB4" w:rsidRDefault="00CD4F09" w:rsidP="000A7CB4">
      <w:pPr>
        <w:jc w:val="both"/>
        <w:rPr>
          <w:rFonts w:eastAsia="Calibri" w:cs="Times New Roman"/>
          <w:bCs/>
          <w:i/>
          <w:iCs/>
        </w:rPr>
      </w:pPr>
      <w:r w:rsidRPr="000A7CB4">
        <w:rPr>
          <w:rFonts w:eastAsia="Calibri" w:cs="Times New Roman"/>
          <w:bCs/>
          <w:i/>
          <w:iCs/>
        </w:rPr>
        <w:t xml:space="preserve">Požadované informácie uveďte osobitne ku každému identifikovanému goldplatingu (ku každej hodnotenej regulácii s goldplatingom osobitne). </w:t>
      </w:r>
    </w:p>
    <w:p w:rsidR="00CD4F09" w:rsidRPr="000A7CB4" w:rsidRDefault="00CD4F09" w:rsidP="000A7CB4">
      <w:pPr>
        <w:jc w:val="both"/>
        <w:rPr>
          <w:rFonts w:eastAsia="Calibri" w:cs="Times New Roman"/>
          <w:bCs/>
          <w:i/>
          <w:iCs/>
        </w:rPr>
      </w:pPr>
      <w:r w:rsidRPr="000A7CB4">
        <w:rPr>
          <w:rFonts w:eastAsia="Calibri" w:cs="Times New Roman"/>
          <w:bCs/>
          <w:i/>
          <w:iCs/>
        </w:rPr>
        <w:t>Uveďte odôvodnenie goldplatingu z hľadiska jeho nespochybniteľnej nevyhnutnosti. Odôvodnenie doložte dôkladným hodnotením prínosov a nákladov. Uveďte zvážené alternatívne riešenia..</w:t>
      </w:r>
    </w:p>
    <w:p w:rsidR="00CD4F09" w:rsidRPr="000A7CB4" w:rsidRDefault="00CD4F09" w:rsidP="000A7CB4">
      <w:pPr>
        <w:jc w:val="both"/>
        <w:rPr>
          <w:rFonts w:eastAsia="Calibri" w:cs="Times New Roman"/>
          <w:bCs/>
          <w:i/>
          <w:iCs/>
        </w:rPr>
      </w:pPr>
      <w:r w:rsidRPr="000A7CB4">
        <w:rPr>
          <w:rFonts w:eastAsia="Calibri" w:cs="Times New Roman"/>
          <w:bCs/>
          <w:i/>
          <w:iCs/>
        </w:rPr>
        <w:t xml:space="preserve">Zároveň uveďte konkrétne informácie súvisiace s kategóriou goldplatingu podľa jednotnej metodiky,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 požiadavky. </w:t>
      </w:r>
    </w:p>
    <w:p w:rsidR="00CD4F09" w:rsidRPr="000A7CB4" w:rsidRDefault="00CD4F09" w:rsidP="000A7CB4">
      <w:pPr>
        <w:jc w:val="both"/>
        <w:rPr>
          <w:rFonts w:eastAsia="Calibri" w:cs="Times New Roman"/>
          <w:bCs/>
          <w:i/>
          <w:iCs/>
        </w:rPr>
      </w:pPr>
      <w:r w:rsidRPr="000A7CB4">
        <w:rPr>
          <w:rFonts w:eastAsia="Calibri" w:cs="Times New Roman"/>
          <w:bCs/>
          <w:i/>
          <w:iCs/>
        </w:rPr>
        <w:t>Využitie goldplatingu pri transpozícii alebo implementácii legislatívy EÚ je v zásade nežiadúce, keďže takýto postup môže viesť k zníženiu konkurencieschopnosti domácich podnikov v porovnaní s podnikmi z krajín, kde právne predpisy nie sú natoľko prísne. Využitie goldplatingu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rsidR="00CD4F09" w:rsidRPr="000A7CB4" w:rsidRDefault="00CD4F09" w:rsidP="000A7CB4">
      <w:pPr>
        <w:jc w:val="both"/>
        <w:rPr>
          <w:rFonts w:eastAsia="Calibri" w:cs="Times New Roman"/>
          <w:bCs/>
          <w:i/>
          <w:iCs/>
        </w:rPr>
      </w:pPr>
    </w:p>
    <w:p w:rsidR="00CD4F09" w:rsidRPr="000A7CB4" w:rsidRDefault="00CD4F09" w:rsidP="000A7CB4">
      <w:pPr>
        <w:jc w:val="both"/>
        <w:rPr>
          <w:rFonts w:cs="Times New Roman"/>
        </w:rPr>
      </w:pPr>
      <w:r w:rsidRPr="000A7CB4">
        <w:rPr>
          <w:rFonts w:eastAsia="Calibri" w:cs="Times New Roman"/>
        </w:rPr>
        <w:t xml:space="preserve">Predkladaným návrhom nedochádza ku goldplatingu.  </w:t>
      </w:r>
    </w:p>
    <w:p w:rsidR="00CD4F09" w:rsidRPr="000A7CB4" w:rsidRDefault="00CD4F09" w:rsidP="000A7CB4">
      <w:pPr>
        <w:jc w:val="both"/>
        <w:rPr>
          <w:rFonts w:eastAsia="Calibri" w:cs="Times New Roman"/>
          <w:bCs/>
          <w:i/>
          <w:iCs/>
        </w:rPr>
      </w:pPr>
    </w:p>
    <w:p w:rsidR="00CD4F09" w:rsidRPr="000A7CB4" w:rsidRDefault="00CD4F09" w:rsidP="000A7CB4">
      <w:pPr>
        <w:jc w:val="both"/>
        <w:rPr>
          <w:rFonts w:eastAsia="Calibri" w:cs="Times New Roman"/>
          <w:b/>
        </w:rPr>
      </w:pPr>
      <w:r w:rsidRPr="000A7CB4">
        <w:rPr>
          <w:rFonts w:eastAsia="Calibri" w:cs="Times New Roman"/>
          <w:b/>
        </w:rPr>
        <w:t>3.2 Vyhodnotenie konzultácií s podnikateľskými subjektmi pred predbežným pripomienkovým konaním</w:t>
      </w:r>
    </w:p>
    <w:p w:rsidR="00CD4F09" w:rsidRPr="000A7CB4" w:rsidRDefault="00CD4F09" w:rsidP="000A7CB4">
      <w:pPr>
        <w:jc w:val="both"/>
        <w:rPr>
          <w:rFonts w:eastAsia="Calibri" w:cs="Times New Roman"/>
          <w:i/>
        </w:rPr>
      </w:pPr>
      <w:r w:rsidRPr="000A7CB4">
        <w:rPr>
          <w:rFonts w:eastAsia="Calibri" w:cs="Times New Roman"/>
          <w:i/>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rsidR="00CD4F09" w:rsidRPr="000A7CB4" w:rsidRDefault="00CD4F09" w:rsidP="000A7CB4">
      <w:pPr>
        <w:jc w:val="both"/>
        <w:rPr>
          <w:rFonts w:eastAsia="Calibri" w:cs="Times New Roman"/>
          <w:i/>
        </w:rPr>
      </w:pPr>
      <w:r w:rsidRPr="000A7CB4">
        <w:rPr>
          <w:rFonts w:eastAsia="Calibri" w:cs="Times New Roman"/>
          <w:i/>
        </w:rPr>
        <w:t xml:space="preserve">Uveďte hlavné body konzultácií a ich závery. </w:t>
      </w:r>
    </w:p>
    <w:p w:rsidR="00CD4F09" w:rsidRPr="000A7CB4" w:rsidRDefault="00CD4F09" w:rsidP="000A7CB4">
      <w:pPr>
        <w:jc w:val="both"/>
        <w:rPr>
          <w:rFonts w:eastAsia="Calibri" w:cs="Times New Roman"/>
          <w:i/>
        </w:rPr>
      </w:pPr>
      <w:r w:rsidRPr="000A7CB4">
        <w:rPr>
          <w:rFonts w:eastAsia="Calibri" w:cs="Times New Roman"/>
          <w:i/>
        </w:rPr>
        <w:t xml:space="preserve">Uveďte zoznam predložených alternatívnych riešení problematiky od konzultujúcich subjektov, ako aj návrhy od konzultujúcich subjektov na zníženie nákladov regulácií na PP, ktoré neboli </w:t>
      </w:r>
      <w:r w:rsidRPr="000A7CB4">
        <w:rPr>
          <w:rFonts w:eastAsia="Calibri" w:cs="Times New Roman"/>
          <w:i/>
        </w:rPr>
        <w:lastRenderedPageBreak/>
        <w:t xml:space="preserve">akceptované a dôvod neakceptovania. </w:t>
      </w:r>
    </w:p>
    <w:p w:rsidR="00CD4F09" w:rsidRPr="000A7CB4" w:rsidRDefault="00CD4F09" w:rsidP="000A7CB4">
      <w:pPr>
        <w:jc w:val="both"/>
        <w:rPr>
          <w:rFonts w:eastAsia="Calibri" w:cs="Times New Roman"/>
          <w:i/>
        </w:rPr>
      </w:pPr>
      <w:r w:rsidRPr="000A7CB4">
        <w:rPr>
          <w:rFonts w:eastAsia="Calibri" w:cs="Times New Roman"/>
          <w:i/>
        </w:rPr>
        <w:t xml:space="preserve">Alternatívne namiesto vypĺňania bodu 3.2 môžete uviesť ako samostatnú prílohu tejto analýzy Záznam z konzultácií obsahujúci požadované informácie. </w:t>
      </w:r>
    </w:p>
    <w:p w:rsidR="00CD4F09" w:rsidRPr="000A7CB4" w:rsidRDefault="00CD4F09" w:rsidP="000A7CB4">
      <w:pPr>
        <w:jc w:val="both"/>
        <w:rPr>
          <w:rFonts w:eastAsia="Calibri" w:cs="Times New Roman"/>
          <w:i/>
        </w:rPr>
      </w:pPr>
    </w:p>
    <w:p w:rsidR="00CD4F09" w:rsidRPr="000A7CB4" w:rsidRDefault="00CD4F09" w:rsidP="000A7CB4">
      <w:pPr>
        <w:jc w:val="both"/>
        <w:rPr>
          <w:rFonts w:cs="Times New Roman"/>
        </w:rPr>
      </w:pPr>
      <w:r w:rsidRPr="000A7CB4">
        <w:rPr>
          <w:rFonts w:cs="Times New Roman"/>
        </w:rPr>
        <w:t>Úrad vykonal z vlastnej iniciatívy konzultácie s podnikateľskými subjektmi. Dňa 26.05.2025 bola zverejnená informácia o začatí konzultácií s podnikateľskými subjektmi na webovom sídle úradu a Ministerstva hospodárstva Slovenskej republiky, ktoré trvali do 25.06.2025. O konzultácie neprejavili záujem žiadne podnikateľské subjekty.</w:t>
      </w:r>
    </w:p>
    <w:p w:rsidR="00CD4F09" w:rsidRPr="000A7CB4" w:rsidRDefault="00CD4F09" w:rsidP="000A7CB4">
      <w:pPr>
        <w:jc w:val="both"/>
        <w:rPr>
          <w:rFonts w:eastAsia="Calibri" w:cs="Times New Roman"/>
          <w:i/>
        </w:rPr>
      </w:pPr>
    </w:p>
    <w:p w:rsidR="00CD4F09" w:rsidRPr="000A7CB4" w:rsidRDefault="00CD4F09" w:rsidP="000A7CB4">
      <w:pPr>
        <w:jc w:val="both"/>
        <w:rPr>
          <w:rFonts w:eastAsia="Calibri" w:cs="Times New Roman"/>
          <w:b/>
        </w:rPr>
      </w:pPr>
      <w:bookmarkStart w:id="1" w:name="_Hlk47698091"/>
      <w:r w:rsidRPr="000A7CB4">
        <w:rPr>
          <w:rFonts w:eastAsia="Calibri" w:cs="Times New Roman"/>
          <w:b/>
        </w:rPr>
        <w:t>3.3 Vplyvy na konkurencieschopnosť a produktivitu</w:t>
      </w:r>
    </w:p>
    <w:bookmarkEnd w:id="1"/>
    <w:p w:rsidR="00CD4F09" w:rsidRPr="000A7CB4" w:rsidRDefault="00CD4F09" w:rsidP="000A7CB4">
      <w:pPr>
        <w:jc w:val="both"/>
        <w:rPr>
          <w:rFonts w:eastAsia="Calibri" w:cs="Times New Roman"/>
          <w:i/>
        </w:rPr>
      </w:pPr>
      <w:r w:rsidRPr="000A7CB4">
        <w:rPr>
          <w:rFonts w:eastAsia="Calibri" w:cs="Times New Roman"/>
          <w:i/>
        </w:rPr>
        <w:t xml:space="preserve">Dochádza k vytvoreniu resp. k zmene bariér na trhu? </w:t>
      </w:r>
    </w:p>
    <w:p w:rsidR="00CD4F09" w:rsidRPr="000A7CB4" w:rsidRDefault="00CD4F09" w:rsidP="000A7CB4">
      <w:pPr>
        <w:jc w:val="both"/>
        <w:rPr>
          <w:rFonts w:eastAsia="Calibri" w:cs="Times New Roman"/>
        </w:rPr>
      </w:pPr>
      <w:r w:rsidRPr="000A7CB4">
        <w:rPr>
          <w:rFonts w:eastAsia="Calibri" w:cs="Times New Roman"/>
        </w:rPr>
        <w:t>Nie, nedochádza.</w:t>
      </w:r>
    </w:p>
    <w:p w:rsidR="00CD4F09" w:rsidRPr="000A7CB4" w:rsidRDefault="00CD4F09" w:rsidP="000A7CB4">
      <w:pPr>
        <w:jc w:val="both"/>
        <w:rPr>
          <w:rFonts w:eastAsia="Calibri" w:cs="Times New Roman"/>
          <w:i/>
        </w:rPr>
      </w:pPr>
    </w:p>
    <w:p w:rsidR="00CD4F09" w:rsidRPr="000A7CB4" w:rsidRDefault="00CD4F09" w:rsidP="000A7CB4">
      <w:pPr>
        <w:jc w:val="both"/>
        <w:rPr>
          <w:rFonts w:eastAsia="Calibri" w:cs="Times New Roman"/>
          <w:i/>
        </w:rPr>
      </w:pPr>
      <w:r w:rsidRPr="000A7CB4">
        <w:rPr>
          <w:rFonts w:eastAsia="Calibri" w:cs="Times New Roman"/>
          <w:i/>
        </w:rPr>
        <w:t>Bude sa s niektorými podnikmi alebo produktmi zaobchádzať v porovnateľnej situácii rôzne (napr. špeciálne režimy pre mikro, malé a stredné podniky tzv. MSP)?</w:t>
      </w:r>
    </w:p>
    <w:p w:rsidR="00CD4F09" w:rsidRPr="000A7CB4" w:rsidRDefault="00CD4F09" w:rsidP="000A7CB4">
      <w:pPr>
        <w:jc w:val="both"/>
        <w:rPr>
          <w:rFonts w:eastAsia="Calibri" w:cs="Times New Roman"/>
        </w:rPr>
      </w:pPr>
      <w:r w:rsidRPr="000A7CB4">
        <w:rPr>
          <w:rFonts w:eastAsia="Calibri" w:cs="Times New Roman"/>
        </w:rPr>
        <w:t>Nie, nebude. Budú sa aplikovať rovnaké podmienky pre všetkých bez ohľadu na veľkosť podniku.</w:t>
      </w:r>
    </w:p>
    <w:p w:rsidR="00CD4F09" w:rsidRPr="000A7CB4" w:rsidRDefault="00CD4F09" w:rsidP="000A7CB4">
      <w:pPr>
        <w:jc w:val="both"/>
        <w:rPr>
          <w:rFonts w:eastAsia="Calibri" w:cs="Times New Roman"/>
          <w:i/>
        </w:rPr>
      </w:pPr>
    </w:p>
    <w:p w:rsidR="00CD4F09" w:rsidRPr="000A7CB4" w:rsidRDefault="00CD4F09" w:rsidP="000A7CB4">
      <w:pPr>
        <w:jc w:val="both"/>
        <w:rPr>
          <w:rFonts w:eastAsia="Calibri" w:cs="Times New Roman"/>
          <w:i/>
        </w:rPr>
      </w:pPr>
      <w:r w:rsidRPr="000A7CB4">
        <w:rPr>
          <w:rFonts w:eastAsia="Calibri" w:cs="Times New Roman"/>
          <w:i/>
        </w:rPr>
        <w:t>Ovplyvňuje zmena regulácie cezhraničné investície (príliv/odliv zahraničných investícií resp. uplatnenie slovenských podnikov na zahraničných trhoch)?</w:t>
      </w:r>
    </w:p>
    <w:p w:rsidR="00CD4F09" w:rsidRPr="000A7CB4" w:rsidRDefault="00CD4F09" w:rsidP="000A7CB4">
      <w:pPr>
        <w:jc w:val="both"/>
        <w:rPr>
          <w:rFonts w:eastAsia="Calibri" w:cs="Times New Roman"/>
        </w:rPr>
      </w:pPr>
      <w:r w:rsidRPr="000A7CB4">
        <w:rPr>
          <w:rFonts w:eastAsia="Calibri" w:cs="Times New Roman"/>
        </w:rPr>
        <w:t xml:space="preserve">Nie, neovplyvňuje. </w:t>
      </w:r>
    </w:p>
    <w:p w:rsidR="00CD4F09" w:rsidRPr="000A7CB4" w:rsidRDefault="00CD4F09" w:rsidP="000A7CB4">
      <w:pPr>
        <w:jc w:val="both"/>
        <w:rPr>
          <w:rFonts w:eastAsia="Calibri" w:cs="Times New Roman"/>
          <w:i/>
        </w:rPr>
      </w:pPr>
    </w:p>
    <w:p w:rsidR="00CD4F09" w:rsidRPr="000A7CB4" w:rsidRDefault="00CD4F09" w:rsidP="000A7CB4">
      <w:pPr>
        <w:jc w:val="both"/>
        <w:rPr>
          <w:rFonts w:eastAsia="Calibri" w:cs="Times New Roman"/>
          <w:i/>
        </w:rPr>
      </w:pPr>
      <w:r w:rsidRPr="000A7CB4">
        <w:rPr>
          <w:rFonts w:eastAsia="Calibri" w:cs="Times New Roman"/>
          <w:i/>
        </w:rPr>
        <w:t xml:space="preserve">Ovplyvní dostupnosť základných zdrojov (financie, pracovná sila, suroviny, mechanizmy, energie atď.)? </w:t>
      </w:r>
    </w:p>
    <w:p w:rsidR="00CD4F09" w:rsidRPr="000A7CB4" w:rsidRDefault="00CD4F09" w:rsidP="000A7CB4">
      <w:pPr>
        <w:jc w:val="both"/>
        <w:rPr>
          <w:rFonts w:eastAsia="Calibri" w:cs="Times New Roman"/>
          <w:i/>
        </w:rPr>
      </w:pPr>
      <w:r w:rsidRPr="000A7CB4">
        <w:rPr>
          <w:rFonts w:eastAsia="Calibri" w:cs="Times New Roman"/>
        </w:rPr>
        <w:t>Áno, pozitívne ovplyvní. Stanovujú sa núdzové postupy, ktoré budú aktivované v prípade narušenia fungovania vnútorného trhu, čím by sa malo zabezpečiť, že určené výrobky označené ako tovar dôležitý počas krízy bude možné rýchlo uviesť na vnútorný trh.</w:t>
      </w:r>
    </w:p>
    <w:p w:rsidR="00CD4F09" w:rsidRPr="000A7CB4" w:rsidRDefault="00CD4F09" w:rsidP="000A7CB4">
      <w:pPr>
        <w:jc w:val="both"/>
        <w:rPr>
          <w:rFonts w:eastAsia="Calibri" w:cs="Times New Roman"/>
          <w:i/>
        </w:rPr>
      </w:pPr>
    </w:p>
    <w:p w:rsidR="00CD4F09" w:rsidRPr="000A7CB4" w:rsidRDefault="00CD4F09" w:rsidP="000A7CB4">
      <w:pPr>
        <w:jc w:val="both"/>
        <w:rPr>
          <w:rFonts w:eastAsia="Calibri" w:cs="Times New Roman"/>
          <w:i/>
        </w:rPr>
      </w:pPr>
      <w:r w:rsidRPr="000A7CB4">
        <w:rPr>
          <w:rFonts w:eastAsia="Calibri" w:cs="Times New Roman"/>
          <w:i/>
        </w:rPr>
        <w:t>Ovplyvňuje zmena regulácie inovácie, vedu a výskum?</w:t>
      </w:r>
    </w:p>
    <w:p w:rsidR="00CD4F09" w:rsidRPr="000A7CB4" w:rsidRDefault="00CD4F09" w:rsidP="000A7CB4">
      <w:pPr>
        <w:jc w:val="both"/>
        <w:rPr>
          <w:rFonts w:eastAsia="Calibri" w:cs="Times New Roman"/>
        </w:rPr>
      </w:pPr>
      <w:r w:rsidRPr="000A7CB4">
        <w:rPr>
          <w:rFonts w:eastAsia="Calibri" w:cs="Times New Roman"/>
        </w:rPr>
        <w:t xml:space="preserve">Nie, neovplyvňuje. </w:t>
      </w:r>
    </w:p>
    <w:p w:rsidR="00CD4F09" w:rsidRPr="000A7CB4" w:rsidRDefault="00CD4F09" w:rsidP="000A7CB4">
      <w:pPr>
        <w:jc w:val="both"/>
        <w:rPr>
          <w:rFonts w:eastAsia="Calibri" w:cs="Times New Roman"/>
          <w:i/>
        </w:rPr>
      </w:pPr>
    </w:p>
    <w:p w:rsidR="00CD4F09" w:rsidRPr="000A7CB4" w:rsidRDefault="00CD4F09" w:rsidP="000A7CB4">
      <w:pPr>
        <w:jc w:val="both"/>
        <w:rPr>
          <w:rFonts w:eastAsia="Calibri" w:cs="Times New Roman"/>
          <w:i/>
        </w:rPr>
      </w:pPr>
      <w:r w:rsidRPr="000A7CB4">
        <w:rPr>
          <w:rFonts w:eastAsia="Calibri" w:cs="Times New Roman"/>
          <w:i/>
        </w:rPr>
        <w:t>Ak bol identifikovaný goldplating, prispieva k zníženiu konkurencieschopnosti a produktivity?</w:t>
      </w:r>
    </w:p>
    <w:p w:rsidR="00CD4F09" w:rsidRPr="000A7CB4" w:rsidRDefault="00CD4F09" w:rsidP="000A7CB4">
      <w:pPr>
        <w:jc w:val="both"/>
        <w:rPr>
          <w:rFonts w:eastAsia="Calibri" w:cs="Times New Roman"/>
          <w:i/>
        </w:rPr>
      </w:pPr>
      <w:r w:rsidRPr="000A7CB4">
        <w:rPr>
          <w:rFonts w:eastAsia="Calibri" w:cs="Times New Roman"/>
          <w:i/>
        </w:rPr>
        <w:t>Akým spôsobom?</w:t>
      </w:r>
    </w:p>
    <w:p w:rsidR="00CD4F09" w:rsidRPr="000A7CB4" w:rsidRDefault="00CD4F09" w:rsidP="000A7CB4">
      <w:pPr>
        <w:jc w:val="both"/>
        <w:rPr>
          <w:rFonts w:eastAsia="Calibri" w:cs="Times New Roman"/>
        </w:rPr>
      </w:pPr>
      <w:r w:rsidRPr="000A7CB4">
        <w:rPr>
          <w:rFonts w:eastAsia="Calibri" w:cs="Times New Roman"/>
        </w:rPr>
        <w:t xml:space="preserve">Nie, goldplating nebol identifikovaný. </w:t>
      </w:r>
    </w:p>
    <w:p w:rsidR="00CD4F09" w:rsidRPr="000A7CB4" w:rsidRDefault="00CD4F09" w:rsidP="000A7CB4">
      <w:pPr>
        <w:jc w:val="both"/>
        <w:rPr>
          <w:rFonts w:eastAsia="Calibri" w:cs="Times New Roman"/>
          <w:i/>
          <w:iCs/>
        </w:rPr>
      </w:pPr>
    </w:p>
    <w:p w:rsidR="00CD4F09" w:rsidRPr="000A7CB4" w:rsidRDefault="00CD4F09" w:rsidP="000A7CB4">
      <w:pPr>
        <w:jc w:val="both"/>
        <w:rPr>
          <w:rFonts w:eastAsia="Calibri" w:cs="Times New Roman"/>
          <w:i/>
          <w:iCs/>
        </w:rPr>
      </w:pPr>
      <w:r w:rsidRPr="000A7CB4">
        <w:rPr>
          <w:rFonts w:eastAsia="Calibri" w:cs="Times New Roman"/>
          <w:i/>
          <w:iCs/>
        </w:rPr>
        <w:t>Ako prispieva zmena regulácie k cieľu Slovenska mať najlepšie podnikateľské prostredie spomedzi susediacich krajín EÚ?</w:t>
      </w:r>
    </w:p>
    <w:p w:rsidR="00CD4F09" w:rsidRPr="000A7CB4" w:rsidRDefault="00CD4F09" w:rsidP="000A7CB4">
      <w:pPr>
        <w:jc w:val="both"/>
        <w:rPr>
          <w:rFonts w:eastAsia="Calibri" w:cs="Times New Roman"/>
        </w:rPr>
      </w:pPr>
      <w:r w:rsidRPr="000A7CB4">
        <w:rPr>
          <w:rFonts w:eastAsia="Calibri" w:cs="Times New Roman"/>
        </w:rPr>
        <w:t>Implementáciou a transpozíciou právnych predpisov EÚ sa podporuje inovácia, zvyšuje transparentnosť a zabezpečuje právna istota. Prijatím návrhu zákona sa zabezpečí, aby určený výrobok označený ako tovar dôležitý počas krízy bolo možné rýchlo uviesť na vnútorný trh, čím dôjde k zmierneniu narušení na trhu (napr. nedostatok tovaru, obmedzenie voľného pohybu tovaru na vnútornom trhu, atď.).</w:t>
      </w:r>
    </w:p>
    <w:p w:rsidR="00CD4F09" w:rsidRPr="000A7CB4" w:rsidRDefault="00CD4F09" w:rsidP="000A7CB4">
      <w:pPr>
        <w:jc w:val="both"/>
        <w:rPr>
          <w:rFonts w:eastAsia="Calibri" w:cs="Times New Roman"/>
          <w:i/>
        </w:rPr>
      </w:pPr>
    </w:p>
    <w:p w:rsidR="00CD4F09" w:rsidRPr="000A7CB4" w:rsidRDefault="00CD4F09" w:rsidP="000A7CB4">
      <w:pPr>
        <w:jc w:val="both"/>
        <w:rPr>
          <w:rFonts w:eastAsia="Calibri" w:cs="Times New Roman"/>
          <w:b/>
          <w:i/>
        </w:rPr>
      </w:pPr>
      <w:r w:rsidRPr="000A7CB4">
        <w:rPr>
          <w:rFonts w:eastAsia="Calibri" w:cs="Times New Roman"/>
          <w:b/>
          <w:i/>
        </w:rPr>
        <w:t>Konkurencieschopnosť:</w:t>
      </w:r>
    </w:p>
    <w:p w:rsidR="00CD4F09" w:rsidRPr="000A7CB4" w:rsidRDefault="00CD4F09" w:rsidP="000A7CB4">
      <w:pPr>
        <w:jc w:val="both"/>
        <w:rPr>
          <w:rFonts w:eastAsia="Calibri" w:cs="Times New Roman"/>
          <w:i/>
        </w:rPr>
      </w:pPr>
      <w:r w:rsidRPr="000A7CB4">
        <w:rPr>
          <w:rFonts w:eastAsia="Calibri" w:cs="Times New Roman"/>
          <w:i/>
        </w:rPr>
        <w:t>Na základe uvedených odpovedí zaškrtnite a popíšte, či materiál konkurencieschopnosť:</w:t>
      </w:r>
    </w:p>
    <w:p w:rsidR="00CD4F09" w:rsidRPr="000A7CB4" w:rsidRDefault="00C800E4" w:rsidP="000A7CB4">
      <w:pPr>
        <w:jc w:val="both"/>
        <w:rPr>
          <w:rFonts w:eastAsia="Calibri" w:cs="Times New Roman"/>
          <w:i/>
        </w:rPr>
      </w:pPr>
      <w:sdt>
        <w:sdtPr>
          <w:rPr>
            <w:rFonts w:eastAsia="Calibri" w:cs="Times New Roman"/>
            <w:i/>
          </w:rPr>
          <w:id w:val="798576880"/>
        </w:sdtPr>
        <w:sdtEndPr/>
        <w:sdtContent>
          <w:sdt>
            <w:sdtPr>
              <w:rPr>
                <w:rFonts w:eastAsia="Calibri" w:cs="Times New Roman"/>
                <w:i/>
              </w:rPr>
              <w:id w:val="1729873660"/>
            </w:sdtPr>
            <w:sdtEndPr/>
            <w:sdtContent>
              <w:r w:rsidR="00CD4F09" w:rsidRPr="000A7CB4">
                <w:rPr>
                  <w:rFonts w:eastAsia="Calibri" w:cs="Times New Roman"/>
                  <w:i/>
                </w:rPr>
                <w:t>x</w:t>
              </w:r>
            </w:sdtContent>
          </w:sdt>
        </w:sdtContent>
      </w:sdt>
      <w:r w:rsidR="00CD4F09" w:rsidRPr="000A7CB4">
        <w:rPr>
          <w:rFonts w:eastAsia="Calibri" w:cs="Times New Roman"/>
          <w:i/>
        </w:rPr>
        <w:t xml:space="preserve"> zvyšuje  </w:t>
      </w:r>
      <w:r w:rsidR="00CD4F09" w:rsidRPr="000A7CB4">
        <w:rPr>
          <w:rFonts w:eastAsia="Calibri" w:cs="Times New Roman"/>
          <w:i/>
        </w:rPr>
        <w:tab/>
      </w:r>
      <w:sdt>
        <w:sdtPr>
          <w:rPr>
            <w:rFonts w:eastAsia="Calibri" w:cs="Times New Roman"/>
            <w:i/>
          </w:rPr>
          <w:id w:val="410579887"/>
        </w:sdtPr>
        <w:sdtEndPr/>
        <w:sdtContent>
          <w:sdt>
            <w:sdtPr>
              <w:rPr>
                <w:rFonts w:eastAsia="Calibri" w:cs="Times New Roman"/>
                <w:i/>
              </w:rPr>
              <w:id w:val="-80300261"/>
            </w:sdtPr>
            <w:sdtEndPr/>
            <w:sdtContent>
              <w:sdt>
                <w:sdtPr>
                  <w:rPr>
                    <w:rFonts w:eastAsia="Calibri" w:cs="Times New Roman"/>
                    <w:i/>
                  </w:rPr>
                  <w:id w:val="1691489471"/>
                </w:sdtPr>
                <w:sdtEndPr/>
                <w:sdtContent>
                  <w:r w:rsidR="00CD4F09" w:rsidRPr="000A7CB4">
                    <w:rPr>
                      <w:rFonts w:ascii="Segoe UI Symbol" w:eastAsia="Calibri" w:hAnsi="Segoe UI Symbol" w:cs="Segoe UI Symbol"/>
                      <w:i/>
                    </w:rPr>
                    <w:t>☐</w:t>
                  </w:r>
                </w:sdtContent>
              </w:sdt>
            </w:sdtContent>
          </w:sdt>
        </w:sdtContent>
      </w:sdt>
      <w:r w:rsidR="00CD4F09" w:rsidRPr="000A7CB4">
        <w:rPr>
          <w:rFonts w:eastAsia="Calibri" w:cs="Times New Roman"/>
          <w:i/>
        </w:rPr>
        <w:t xml:space="preserve"> nemení</w:t>
      </w:r>
      <w:r w:rsidR="00CD4F09" w:rsidRPr="000A7CB4">
        <w:rPr>
          <w:rFonts w:eastAsia="Calibri" w:cs="Times New Roman"/>
          <w:i/>
        </w:rPr>
        <w:tab/>
      </w:r>
      <w:sdt>
        <w:sdtPr>
          <w:rPr>
            <w:rFonts w:eastAsia="Calibri" w:cs="Times New Roman"/>
            <w:i/>
          </w:rPr>
          <w:id w:val="-474604883"/>
        </w:sdtPr>
        <w:sdtEndPr/>
        <w:sdtContent>
          <w:sdt>
            <w:sdtPr>
              <w:rPr>
                <w:rFonts w:eastAsia="Calibri" w:cs="Times New Roman"/>
                <w:i/>
              </w:rPr>
              <w:id w:val="-1706551548"/>
            </w:sdtPr>
            <w:sdtEndPr/>
            <w:sdtContent>
              <w:r w:rsidR="00CD4F09" w:rsidRPr="000A7CB4">
                <w:rPr>
                  <w:rFonts w:ascii="Segoe UI Symbol" w:eastAsia="Calibri" w:hAnsi="Segoe UI Symbol" w:cs="Segoe UI Symbol"/>
                  <w:i/>
                </w:rPr>
                <w:t>☐</w:t>
              </w:r>
            </w:sdtContent>
          </w:sdt>
        </w:sdtContent>
      </w:sdt>
      <w:r w:rsidR="00CD4F09" w:rsidRPr="000A7CB4">
        <w:rPr>
          <w:rFonts w:eastAsia="Calibri" w:cs="Times New Roman"/>
          <w:i/>
        </w:rPr>
        <w:t xml:space="preserve"> znižuje</w:t>
      </w:r>
    </w:p>
    <w:p w:rsidR="00CD4F09" w:rsidRPr="000A7CB4" w:rsidRDefault="00CD4F09" w:rsidP="000A7CB4">
      <w:pPr>
        <w:jc w:val="both"/>
        <w:rPr>
          <w:rFonts w:eastAsia="Calibri"/>
        </w:rPr>
      </w:pPr>
    </w:p>
    <w:p w:rsidR="00CD4F09" w:rsidRPr="000A7CB4" w:rsidRDefault="00CD4F09" w:rsidP="000A7CB4">
      <w:pPr>
        <w:jc w:val="both"/>
        <w:rPr>
          <w:rFonts w:eastAsia="Calibri" w:cs="Times New Roman"/>
        </w:rPr>
      </w:pPr>
      <w:r w:rsidRPr="000A7CB4">
        <w:rPr>
          <w:rFonts w:eastAsia="Calibri" w:cs="Times New Roman"/>
        </w:rPr>
        <w:lastRenderedPageBreak/>
        <w:t>Úrad očakáva, že sa dosiahne menšie riziko vzniku bariér na trhu počas krízovej alebo núdzovej situácie na jednotnom trhu EÚ, teda menšie obmedzenia pre voľný pohyb tovarov. Zároveň by sa mala dosiahnuť lepšia dostupnosť tovarov dôležitých počas krízy. Výsledkom je teda pozitívny vplyv opatrení na konkurencieschopnosť hospodárskych subjektov, ktorá by vďaka opatreniam mala byť menej dotknutá negatívnymi prejavmi krízovej situácie. MSP nie sú vyňaté z režimu návrhu nariadenia.</w:t>
      </w:r>
    </w:p>
    <w:p w:rsidR="00CD4F09" w:rsidRPr="000A7CB4" w:rsidRDefault="00CD4F09" w:rsidP="000A7CB4">
      <w:pPr>
        <w:jc w:val="both"/>
        <w:rPr>
          <w:rFonts w:eastAsia="Calibri" w:cs="Times New Roman"/>
          <w:i/>
        </w:rPr>
      </w:pPr>
    </w:p>
    <w:p w:rsidR="00CD4F09" w:rsidRPr="000A7CB4" w:rsidRDefault="00CD4F09" w:rsidP="000A7CB4">
      <w:pPr>
        <w:jc w:val="both"/>
        <w:rPr>
          <w:rFonts w:eastAsia="Calibri" w:cs="Times New Roman"/>
          <w:b/>
          <w:i/>
        </w:rPr>
      </w:pPr>
      <w:r w:rsidRPr="000A7CB4">
        <w:rPr>
          <w:rFonts w:eastAsia="Calibri" w:cs="Times New Roman"/>
          <w:b/>
          <w:i/>
        </w:rPr>
        <w:t>Produktivita:</w:t>
      </w:r>
    </w:p>
    <w:p w:rsidR="00CD4F09" w:rsidRPr="000A7CB4" w:rsidRDefault="00CD4F09" w:rsidP="000A7CB4">
      <w:pPr>
        <w:jc w:val="both"/>
        <w:rPr>
          <w:rFonts w:eastAsia="Calibri" w:cs="Times New Roman"/>
          <w:i/>
        </w:rPr>
      </w:pPr>
      <w:r w:rsidRPr="000A7CB4">
        <w:rPr>
          <w:rFonts w:eastAsia="Calibri" w:cs="Times New Roman"/>
          <w:i/>
        </w:rPr>
        <w:t xml:space="preserve">Aký má materiál vplyv na zmenu pomeru medzi produkciou podnikov a ich nákladmi? </w:t>
      </w:r>
    </w:p>
    <w:p w:rsidR="00CD4F09" w:rsidRPr="000A7CB4" w:rsidRDefault="00CD4F09" w:rsidP="000A7CB4">
      <w:pPr>
        <w:jc w:val="both"/>
        <w:rPr>
          <w:rFonts w:eastAsia="Calibri" w:cs="Times New Roman"/>
          <w:i/>
        </w:rPr>
      </w:pPr>
    </w:p>
    <w:p w:rsidR="00CD4F09" w:rsidRPr="000A7CB4" w:rsidRDefault="00CD4F09" w:rsidP="000A7CB4">
      <w:pPr>
        <w:jc w:val="both"/>
        <w:rPr>
          <w:rFonts w:eastAsia="Calibri" w:cs="Times New Roman"/>
          <w:i/>
        </w:rPr>
      </w:pPr>
      <w:r w:rsidRPr="000A7CB4">
        <w:rPr>
          <w:rFonts w:eastAsia="Calibri" w:cs="Times New Roman"/>
          <w:i/>
        </w:rPr>
        <w:t>Na základe uvedenej odpovede zaškrtnite a popíšte, či materiál produktivitu:</w:t>
      </w:r>
    </w:p>
    <w:p w:rsidR="00CD4F09" w:rsidRPr="000A7CB4" w:rsidRDefault="00C800E4" w:rsidP="000A7CB4">
      <w:pPr>
        <w:jc w:val="both"/>
        <w:rPr>
          <w:rFonts w:eastAsia="Calibri" w:cs="Times New Roman"/>
          <w:i/>
        </w:rPr>
      </w:pPr>
      <w:sdt>
        <w:sdtPr>
          <w:rPr>
            <w:rFonts w:eastAsia="Calibri" w:cs="Times New Roman"/>
            <w:i/>
          </w:rPr>
          <w:id w:val="-1545903528"/>
        </w:sdtPr>
        <w:sdtEndPr/>
        <w:sdtContent>
          <w:sdt>
            <w:sdtPr>
              <w:rPr>
                <w:rFonts w:eastAsia="Calibri" w:cs="Times New Roman"/>
                <w:i/>
              </w:rPr>
              <w:id w:val="825715010"/>
            </w:sdtPr>
            <w:sdtEndPr/>
            <w:sdtContent>
              <w:r w:rsidR="00CD4F09" w:rsidRPr="000A7CB4">
                <w:rPr>
                  <w:rFonts w:ascii="Segoe UI Symbol" w:eastAsia="Calibri" w:hAnsi="Segoe UI Symbol" w:cs="Segoe UI Symbol"/>
                  <w:i/>
                </w:rPr>
                <w:t>☐</w:t>
              </w:r>
            </w:sdtContent>
          </w:sdt>
        </w:sdtContent>
      </w:sdt>
      <w:r w:rsidR="00CD4F09" w:rsidRPr="000A7CB4">
        <w:rPr>
          <w:rFonts w:eastAsia="Calibri" w:cs="Times New Roman"/>
          <w:i/>
        </w:rPr>
        <w:t xml:space="preserve"> zvyšuje  </w:t>
      </w:r>
      <w:r w:rsidR="00CD4F09" w:rsidRPr="000A7CB4">
        <w:rPr>
          <w:rFonts w:eastAsia="Calibri" w:cs="Times New Roman"/>
          <w:i/>
        </w:rPr>
        <w:tab/>
      </w:r>
      <w:sdt>
        <w:sdtPr>
          <w:rPr>
            <w:rFonts w:eastAsia="Calibri" w:cs="Times New Roman"/>
            <w:i/>
          </w:rPr>
          <w:id w:val="-353966921"/>
        </w:sdtPr>
        <w:sdtEndPr/>
        <w:sdtContent>
          <w:sdt>
            <w:sdtPr>
              <w:rPr>
                <w:rFonts w:eastAsia="Calibri" w:cs="Times New Roman"/>
                <w:i/>
              </w:rPr>
              <w:id w:val="-1222205104"/>
            </w:sdtPr>
            <w:sdtEndPr/>
            <w:sdtContent>
              <w:r w:rsidR="00CD4F09" w:rsidRPr="000A7CB4">
                <w:rPr>
                  <w:rFonts w:eastAsia="Calibri" w:cs="Times New Roman"/>
                  <w:i/>
                </w:rPr>
                <w:t>x</w:t>
              </w:r>
            </w:sdtContent>
          </w:sdt>
        </w:sdtContent>
      </w:sdt>
      <w:r w:rsidR="00CD4F09" w:rsidRPr="000A7CB4">
        <w:rPr>
          <w:rFonts w:eastAsia="Calibri" w:cs="Times New Roman"/>
          <w:i/>
        </w:rPr>
        <w:t xml:space="preserve"> nemení</w:t>
      </w:r>
      <w:r w:rsidR="00CD4F09" w:rsidRPr="000A7CB4">
        <w:rPr>
          <w:rFonts w:eastAsia="Calibri" w:cs="Times New Roman"/>
          <w:i/>
        </w:rPr>
        <w:tab/>
      </w:r>
      <w:sdt>
        <w:sdtPr>
          <w:rPr>
            <w:rFonts w:eastAsia="Calibri" w:cs="Times New Roman"/>
            <w:i/>
          </w:rPr>
          <w:id w:val="-1457723544"/>
        </w:sdtPr>
        <w:sdtEndPr/>
        <w:sdtContent>
          <w:sdt>
            <w:sdtPr>
              <w:rPr>
                <w:rFonts w:eastAsia="Calibri" w:cs="Times New Roman"/>
                <w:i/>
              </w:rPr>
              <w:id w:val="-623767955"/>
            </w:sdtPr>
            <w:sdtEndPr/>
            <w:sdtContent>
              <w:r w:rsidR="00CD4F09" w:rsidRPr="000A7CB4">
                <w:rPr>
                  <w:rFonts w:ascii="Segoe UI Symbol" w:eastAsia="Calibri" w:hAnsi="Segoe UI Symbol" w:cs="Segoe UI Symbol"/>
                  <w:i/>
                </w:rPr>
                <w:t>☐</w:t>
              </w:r>
            </w:sdtContent>
          </w:sdt>
        </w:sdtContent>
      </w:sdt>
      <w:r w:rsidR="00CD4F09" w:rsidRPr="000A7CB4">
        <w:rPr>
          <w:rFonts w:eastAsia="Calibri" w:cs="Times New Roman"/>
          <w:i/>
        </w:rPr>
        <w:t xml:space="preserve"> znižuje</w:t>
      </w:r>
    </w:p>
    <w:p w:rsidR="00CD4F09" w:rsidRPr="000A7CB4" w:rsidRDefault="00CD4F09" w:rsidP="000A7CB4">
      <w:pPr>
        <w:jc w:val="both"/>
        <w:rPr>
          <w:rFonts w:eastAsia="Calibri" w:cs="Times New Roman"/>
          <w:i/>
        </w:rPr>
      </w:pPr>
    </w:p>
    <w:p w:rsidR="00CD4F09" w:rsidRPr="000A7CB4" w:rsidRDefault="00CD4F09" w:rsidP="000A7CB4">
      <w:pPr>
        <w:jc w:val="both"/>
        <w:rPr>
          <w:rFonts w:eastAsia="Calibri" w:cs="Times New Roman"/>
          <w:b/>
        </w:rPr>
      </w:pPr>
      <w:r w:rsidRPr="000A7CB4">
        <w:rPr>
          <w:rFonts w:eastAsia="Calibri" w:cs="Times New Roman"/>
          <w:b/>
        </w:rPr>
        <w:t xml:space="preserve">3.4  Iné vplyvy na podnikateľské prostredie </w:t>
      </w:r>
    </w:p>
    <w:p w:rsidR="00CD4F09" w:rsidRPr="000A7CB4" w:rsidRDefault="00CD4F09" w:rsidP="000A7CB4">
      <w:pPr>
        <w:pStyle w:val="Odsekzoznamu"/>
        <w:spacing w:before="240" w:after="240" w:line="240" w:lineRule="auto"/>
        <w:ind w:left="0"/>
        <w:contextualSpacing w:val="0"/>
        <w:jc w:val="both"/>
        <w:rPr>
          <w:rFonts w:ascii="Times New Roman" w:eastAsia="Calibri" w:hAnsi="Times New Roman"/>
          <w:sz w:val="24"/>
          <w:szCs w:val="24"/>
        </w:rPr>
      </w:pPr>
      <w:r w:rsidRPr="000A7CB4">
        <w:rPr>
          <w:rFonts w:ascii="Times New Roman" w:hAnsi="Times New Roman"/>
          <w:iCs/>
          <w:sz w:val="24"/>
          <w:szCs w:val="24"/>
          <w:shd w:val="clear" w:color="auto" w:fill="FFFFFF"/>
          <w:lang w:eastAsia="sk-SK"/>
        </w:rPr>
        <w:t xml:space="preserve">Návrh zákona v časti týkajúcej sa transpozície čl. 3 smernice (EÚ) 2024/2749 a implementácie </w:t>
      </w:r>
      <w:r w:rsidRPr="000A7CB4">
        <w:rPr>
          <w:rFonts w:ascii="Times New Roman" w:hAnsi="Times New Roman"/>
          <w:sz w:val="24"/>
          <w:szCs w:val="24"/>
        </w:rPr>
        <w:t>čl. 2, čl. 3, čl. 4, čl. 6 nariadenia (EÚ) 2024/2748</w:t>
      </w:r>
      <w:r w:rsidRPr="000A7CB4">
        <w:rPr>
          <w:rFonts w:ascii="Times New Roman" w:hAnsi="Times New Roman"/>
          <w:iCs/>
          <w:sz w:val="24"/>
          <w:szCs w:val="24"/>
          <w:shd w:val="clear" w:color="auto" w:fill="FFFFFF"/>
          <w:lang w:eastAsia="sk-SK"/>
        </w:rPr>
        <w:t xml:space="preserve"> </w:t>
      </w:r>
      <w:r w:rsidRPr="000A7CB4">
        <w:rPr>
          <w:rFonts w:ascii="Times New Roman" w:eastAsia="Calibri" w:hAnsi="Times New Roman"/>
          <w:sz w:val="24"/>
          <w:szCs w:val="24"/>
        </w:rPr>
        <w:t>predpokladá pozitívny vplyv na podnikateľské prostredie,</w:t>
      </w:r>
      <w:r w:rsidRPr="000A7CB4">
        <w:rPr>
          <w:rFonts w:ascii="Times New Roman" w:hAnsi="Times New Roman"/>
          <w:sz w:val="24"/>
          <w:szCs w:val="24"/>
        </w:rPr>
        <w:t xml:space="preserve"> </w:t>
      </w:r>
      <w:r w:rsidRPr="000A7CB4">
        <w:rPr>
          <w:rFonts w:ascii="Times New Roman" w:eastAsia="Calibri" w:hAnsi="Times New Roman"/>
          <w:sz w:val="24"/>
          <w:szCs w:val="24"/>
        </w:rPr>
        <w:t xml:space="preserve">pokiaľ ide o zníženie administratívnej záťaže, ako aj časového horizontu pre výrobcov v súvislosti s podanou žiadosťou o výnimku, ktoré budú pravdepodobne viesť k znižovaniu nákladov pre MSP. Očakáva sa tiež pozitívny vplyv na podniky, ktoré by vďaka lepšej koordinácii medzi členskými štátmi a Európskou komisiou mali menej pocítiť negatívne vplyvy krízovej situácie pokiaľ ide o dostupnosť tovarov. Pozitívnym vplyvom je aj určenie výrobkov dôležitých v krízovej situácii, uprednostnenie posudzovania zhody týchto výrobkov, možnosť vydávania dočasných povolení pre tieto výrobky, možnosť použitia príslušných medzinárodných a vnútroštátnych technických noriem, ak harmonizované technické normy nie sú k dispozícii, prijímanie technických špecifikácií a uprednostnenie činností dohľadu nad trhom, čím sa zabezpečí, aby určený výrobok označený ako tovar dôležitý počas krízy bolo možné rýchlo uviesť na vnútorný trh. </w:t>
      </w:r>
    </w:p>
    <w:p w:rsidR="00CD4F09" w:rsidRPr="000A7CB4" w:rsidRDefault="00CD4F09" w:rsidP="000A7CB4">
      <w:pPr>
        <w:pStyle w:val="Odsekzoznamu"/>
        <w:spacing w:before="240" w:after="240" w:line="240" w:lineRule="auto"/>
        <w:ind w:left="0"/>
        <w:contextualSpacing w:val="0"/>
        <w:jc w:val="both"/>
        <w:rPr>
          <w:rFonts w:ascii="Times New Roman" w:hAnsi="Times New Roman"/>
          <w:sz w:val="24"/>
          <w:szCs w:val="24"/>
        </w:rPr>
      </w:pPr>
      <w:r w:rsidRPr="000A7CB4">
        <w:rPr>
          <w:rFonts w:ascii="Times New Roman" w:hAnsi="Times New Roman"/>
          <w:sz w:val="24"/>
          <w:szCs w:val="24"/>
        </w:rPr>
        <w:t>V súvislosti s tým úrad očakáva čiastočne negatívny vplyv smerom k činnosti notifikovaných osôb v oblasti posudzovania zhody, kedy tieto budú musieť vynaložiť maximálne úsilie na to, aby prednostne vybavili všetky žiadosti o posudzovanie zhody určených výrobkov označených ako tovar dôležitý počas krízy a aby zvýšili svoje skúšobné kapacity. Pozitívnym vplyvom bude, že tieto činnosti nesmú viesť k vzniku dodatočných neprimeraných nákladov pre výrobcov, ktorí tieto žiadosti podali. Na strane druhej však uprednostňovanie posudzovania zhody určených výrobkov označených ako tovar dôležitý počas krízy môže mať negatívny vplyv na výrobcov, ktorý budú musieť počkať na posudzovanie zhody svojich výrobkov, ktoré nebudú označené ako tovar dôležitý počas krízy.</w:t>
      </w:r>
    </w:p>
    <w:p w:rsidR="000A7CB4" w:rsidRPr="000A7CB4" w:rsidRDefault="00CD4F09" w:rsidP="000A7CB4">
      <w:pPr>
        <w:pStyle w:val="Odsekzoznamu"/>
        <w:spacing w:before="240" w:after="240" w:line="240" w:lineRule="auto"/>
        <w:ind w:left="0"/>
        <w:contextualSpacing w:val="0"/>
        <w:jc w:val="both"/>
        <w:rPr>
          <w:rFonts w:ascii="Times New Roman" w:hAnsi="Times New Roman"/>
          <w:sz w:val="24"/>
          <w:szCs w:val="24"/>
        </w:rPr>
      </w:pPr>
      <w:r w:rsidRPr="000A7CB4">
        <w:rPr>
          <w:rFonts w:ascii="Times New Roman" w:hAnsi="Times New Roman"/>
          <w:sz w:val="24"/>
          <w:szCs w:val="24"/>
        </w:rPr>
        <w:t>V súčasnosti nie je možné aktuálne kvantitatívne vymedziť presný počet podnikateľských subjektov, na ktoré bude mať návrh zákona pozitívny a negatívny vplyv, nakoľko nie je možné dopredu kvantifikovať, ktoré určené výrobky budú označené ako tovar dôležitý počas krízy, ako dlho sa budú uplatňovať núdzové postupy a akého okruhu hospodárskych subjektov sa bude aktivácia núdzových postupov dotýkať a ktoré núdzové postupy budú aktivované, čo bude až predmetom právnych aktov Rady a Európskej komisie.</w:t>
      </w:r>
    </w:p>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53"/>
        <w:gridCol w:w="3217"/>
        <w:gridCol w:w="6327"/>
      </w:tblGrid>
      <w:tr w:rsidR="000A7CB4" w:rsidRPr="000A7CB4" w:rsidTr="008529A1">
        <w:trPr>
          <w:trHeight w:val="534"/>
          <w:jc w:val="center"/>
        </w:trPr>
        <w:tc>
          <w:tcPr>
            <w:tcW w:w="5000" w:type="pct"/>
            <w:gridSpan w:val="3"/>
            <w:tcBorders>
              <w:bottom w:val="single" w:sz="4" w:space="0" w:color="auto"/>
            </w:tcBorders>
            <w:shd w:val="clear" w:color="auto" w:fill="808080" w:themeFill="background1" w:themeFillShade="80"/>
          </w:tcPr>
          <w:p w:rsidR="000A7CB4" w:rsidRPr="000A7CB4" w:rsidRDefault="000A7CB4" w:rsidP="008529A1">
            <w:pPr>
              <w:ind w:left="-284" w:firstLine="284"/>
              <w:jc w:val="center"/>
              <w:rPr>
                <w:rFonts w:eastAsia="Calibri" w:cs="Times New Roman"/>
                <w:b/>
              </w:rPr>
            </w:pPr>
            <w:r w:rsidRPr="000A7CB4">
              <w:rPr>
                <w:rFonts w:eastAsia="Calibri" w:cs="Times New Roman"/>
                <w:b/>
                <w:sz w:val="28"/>
              </w:rPr>
              <w:lastRenderedPageBreak/>
              <w:t>Analýza sociálnych vplyvov</w:t>
            </w:r>
          </w:p>
          <w:p w:rsidR="000A7CB4" w:rsidRPr="000A7CB4" w:rsidRDefault="000A7CB4" w:rsidP="008529A1">
            <w:pPr>
              <w:jc w:val="center"/>
              <w:rPr>
                <w:rFonts w:eastAsia="Calibri" w:cs="Times New Roman"/>
                <w:b/>
              </w:rPr>
            </w:pPr>
            <w:r w:rsidRPr="000A7CB4">
              <w:rPr>
                <w:rFonts w:eastAsia="Calibri" w:cs="Times New Roman"/>
                <w:b/>
              </w:rPr>
              <w:t>Vplyvy na hospodárenie domácností, prístup k zdrojom, právam, tovarom a službám, sociálnu inklúziu, rovnosť príležitostí a rovnosť žien a mužov a vplyvy na zamestnanosť</w:t>
            </w:r>
          </w:p>
          <w:p w:rsidR="000A7CB4" w:rsidRPr="000A7CB4" w:rsidRDefault="000A7CB4" w:rsidP="008529A1">
            <w:pPr>
              <w:jc w:val="both"/>
              <w:rPr>
                <w:rFonts w:eastAsia="Calibri" w:cs="Times New Roman"/>
                <w:b/>
              </w:rPr>
            </w:pPr>
            <w:r w:rsidRPr="000A7CB4">
              <w:rPr>
                <w:rFonts w:eastAsia="Calibri" w:cs="Times New Roman"/>
                <w:b/>
                <w:sz w:val="18"/>
              </w:rPr>
              <w:t>(</w:t>
            </w:r>
            <w:r w:rsidRPr="000A7CB4">
              <w:rPr>
                <w:rFonts w:eastAsia="Calibri" w:cs="Times New Roman"/>
                <w:sz w:val="18"/>
              </w:rPr>
              <w:t>Ak v niektorej z hodnotených oblastí sociálnych vplyvov (bodov 4.1 až 4.4) nebol identifikovaný vplyv, uveďte v príslušnom riadku analýzy poznámku „Bez vplyvu.“.)</w:t>
            </w:r>
          </w:p>
        </w:tc>
      </w:tr>
      <w:tr w:rsidR="000A7CB4" w:rsidRPr="000A7CB4" w:rsidTr="008529A1">
        <w:trPr>
          <w:jc w:val="center"/>
        </w:trPr>
        <w:tc>
          <w:tcPr>
            <w:tcW w:w="5000" w:type="pct"/>
            <w:gridSpan w:val="3"/>
            <w:tcBorders>
              <w:bottom w:val="single" w:sz="4" w:space="0" w:color="auto"/>
            </w:tcBorders>
            <w:shd w:val="clear" w:color="auto" w:fill="A6A6A6" w:themeFill="background1" w:themeFillShade="A6"/>
          </w:tcPr>
          <w:p w:rsidR="000A7CB4" w:rsidRPr="000A7CB4" w:rsidRDefault="000A7CB4" w:rsidP="008529A1">
            <w:pPr>
              <w:rPr>
                <w:rFonts w:eastAsia="Calibri" w:cs="Times New Roman"/>
                <w:b/>
              </w:rPr>
            </w:pPr>
            <w:r w:rsidRPr="000A7CB4">
              <w:rPr>
                <w:rFonts w:eastAsia="Calibri" w:cs="Times New Roman"/>
                <w:b/>
              </w:rPr>
              <w:t>4.1 Identifikujte, popíšte a kvantifikujte vplyv na hospodárenie domácností a špecifikujte ovplyvnené skupiny domácností, ktoré budú pozitívne/negatívne ovplyvnené.</w:t>
            </w:r>
          </w:p>
        </w:tc>
      </w:tr>
      <w:tr w:rsidR="000A7CB4" w:rsidRPr="000A7CB4" w:rsidTr="008529A1">
        <w:trPr>
          <w:jc w:val="center"/>
        </w:trPr>
        <w:tc>
          <w:tcPr>
            <w:tcW w:w="5000" w:type="pct"/>
            <w:gridSpan w:val="3"/>
            <w:tcBorders>
              <w:bottom w:val="single" w:sz="4" w:space="0" w:color="auto"/>
            </w:tcBorders>
            <w:shd w:val="clear" w:color="auto" w:fill="F2F2F2"/>
          </w:tcPr>
          <w:p w:rsidR="000A7CB4" w:rsidRPr="000A7CB4" w:rsidRDefault="000A7CB4" w:rsidP="008529A1">
            <w:pPr>
              <w:rPr>
                <w:rFonts w:eastAsia="Calibri" w:cs="Times New Roman"/>
                <w:i/>
                <w:sz w:val="20"/>
              </w:rPr>
            </w:pPr>
            <w:r w:rsidRPr="000A7CB4">
              <w:rPr>
                <w:rFonts w:eastAsia="Calibri" w:cs="Times New Roman"/>
                <w:i/>
                <w:sz w:val="20"/>
              </w:rPr>
              <w:t xml:space="preserve">Vedie návrh k zvýšeniu alebo zníženiu príjmov alebo výdavkov domácností? </w:t>
            </w:r>
          </w:p>
          <w:p w:rsidR="000A7CB4" w:rsidRPr="000A7CB4" w:rsidRDefault="000A7CB4" w:rsidP="008529A1">
            <w:pPr>
              <w:rPr>
                <w:rFonts w:eastAsia="Calibri" w:cs="Times New Roman"/>
                <w:i/>
                <w:sz w:val="20"/>
              </w:rPr>
            </w:pPr>
            <w:r w:rsidRPr="000A7CB4">
              <w:rPr>
                <w:rFonts w:eastAsia="Calibri" w:cs="Times New Roman"/>
                <w:i/>
                <w:sz w:val="20"/>
              </w:rPr>
              <w:t xml:space="preserve">Ktoré skupiny domácností/obyvateľstva sú takto ovplyvnené a akým spôsobom? </w:t>
            </w:r>
          </w:p>
          <w:p w:rsidR="000A7CB4" w:rsidRPr="000A7CB4" w:rsidRDefault="000A7CB4" w:rsidP="008529A1">
            <w:pPr>
              <w:rPr>
                <w:rFonts w:eastAsia="Calibri" w:cs="Times New Roman"/>
                <w:i/>
                <w:sz w:val="20"/>
              </w:rPr>
            </w:pPr>
            <w:r w:rsidRPr="000A7CB4">
              <w:rPr>
                <w:rFonts w:eastAsia="Calibri" w:cs="Times New Roman"/>
                <w:i/>
                <w:sz w:val="20"/>
              </w:rPr>
              <w:t>Sú medzi potenciálne ovplyvnenými skupinami skupiny v riziku chudoby alebo sociálneho vylúčenia?</w:t>
            </w:r>
          </w:p>
          <w:p w:rsidR="000A7CB4" w:rsidRPr="000A7CB4" w:rsidRDefault="000A7CB4" w:rsidP="008529A1">
            <w:pPr>
              <w:rPr>
                <w:rFonts w:eastAsia="Calibri" w:cs="Times New Roman"/>
                <w:b/>
                <w:sz w:val="18"/>
              </w:rPr>
            </w:pPr>
            <w:r w:rsidRPr="000A7CB4">
              <w:rPr>
                <w:rFonts w:eastAsia="Calibri" w:cs="Times New Roman"/>
                <w:b/>
                <w:sz w:val="18"/>
              </w:rPr>
              <w:t>(V prípade vyššieho počtu hodnotených opatrení doplňte podľa potreby do tabuľky pred bod 4.2 ďalšie sekcie - 4.1.1 Pozitívny vplyv/4.1.2 Negatívny vplyv).</w:t>
            </w:r>
          </w:p>
        </w:tc>
      </w:tr>
      <w:tr w:rsidR="000A7CB4" w:rsidRPr="000A7CB4" w:rsidTr="008529A1">
        <w:trPr>
          <w:trHeight w:val="170"/>
          <w:jc w:val="center"/>
        </w:trPr>
        <w:tc>
          <w:tcPr>
            <w:tcW w:w="129" w:type="pct"/>
            <w:tcBorders>
              <w:top w:val="single" w:sz="4" w:space="0" w:color="auto"/>
              <w:bottom w:val="single" w:sz="4" w:space="0" w:color="auto"/>
            </w:tcBorders>
            <w:shd w:val="clear" w:color="auto" w:fill="DDDDDD"/>
            <w:vAlign w:val="center"/>
          </w:tcPr>
          <w:p w:rsidR="000A7CB4" w:rsidRPr="000A7CB4" w:rsidRDefault="000A7CB4" w:rsidP="008529A1">
            <w:pPr>
              <w:jc w:val="center"/>
              <w:rPr>
                <w:rFonts w:eastAsia="Calibri" w:cs="Times New Roman"/>
                <w:i/>
                <w:sz w:val="18"/>
                <w:szCs w:val="18"/>
              </w:rPr>
            </w:pPr>
            <w:r w:rsidRPr="000A7CB4">
              <w:rPr>
                <w:rFonts w:eastAsia="Calibri" w:cs="Times New Roman"/>
                <w:i/>
                <w:sz w:val="18"/>
                <w:szCs w:val="18"/>
              </w:rPr>
              <w:t>a)</w:t>
            </w:r>
          </w:p>
        </w:tc>
        <w:tc>
          <w:tcPr>
            <w:tcW w:w="4871" w:type="pct"/>
            <w:gridSpan w:val="2"/>
            <w:tcBorders>
              <w:top w:val="single" w:sz="4" w:space="0" w:color="auto"/>
              <w:bottom w:val="single" w:sz="4" w:space="0" w:color="auto"/>
            </w:tcBorders>
            <w:shd w:val="clear" w:color="auto" w:fill="DDDDDD"/>
            <w:vAlign w:val="center"/>
          </w:tcPr>
          <w:p w:rsidR="000A7CB4" w:rsidRPr="000A7CB4" w:rsidRDefault="000A7CB4" w:rsidP="008529A1">
            <w:pPr>
              <w:jc w:val="center"/>
              <w:rPr>
                <w:rFonts w:eastAsia="Calibri" w:cs="Times New Roman"/>
                <w:b/>
                <w:sz w:val="20"/>
                <w:szCs w:val="20"/>
              </w:rPr>
            </w:pPr>
            <w:r w:rsidRPr="000A7CB4">
              <w:rPr>
                <w:rFonts w:eastAsia="Calibri" w:cs="Times New Roman"/>
                <w:b/>
                <w:i/>
                <w:sz w:val="20"/>
                <w:szCs w:val="20"/>
              </w:rPr>
              <w:t>4.1.1 Pozitívny vplyv</w:t>
            </w:r>
          </w:p>
        </w:tc>
      </w:tr>
      <w:tr w:rsidR="000A7CB4" w:rsidRPr="000A7CB4" w:rsidTr="008529A1">
        <w:trPr>
          <w:trHeight w:val="759"/>
          <w:jc w:val="center"/>
        </w:trPr>
        <w:tc>
          <w:tcPr>
            <w:tcW w:w="129" w:type="pct"/>
            <w:tcBorders>
              <w:top w:val="single" w:sz="4" w:space="0" w:color="auto"/>
              <w:bottom w:val="single" w:sz="4" w:space="0" w:color="auto"/>
            </w:tcBorders>
            <w:shd w:val="clear" w:color="auto" w:fill="auto"/>
            <w:vAlign w:val="center"/>
          </w:tcPr>
          <w:p w:rsidR="000A7CB4" w:rsidRPr="000A7CB4" w:rsidRDefault="000A7CB4" w:rsidP="008529A1">
            <w:pPr>
              <w:contextualSpacing/>
              <w:jc w:val="center"/>
              <w:rPr>
                <w:rFonts w:eastAsia="Calibri" w:cs="Times New Roman"/>
                <w:i/>
                <w:sz w:val="18"/>
                <w:szCs w:val="18"/>
              </w:rPr>
            </w:pPr>
            <w:r w:rsidRPr="000A7CB4">
              <w:rPr>
                <w:rFonts w:eastAsia="Calibri" w:cs="Times New Roman"/>
                <w:i/>
                <w:sz w:val="18"/>
                <w:szCs w:val="18"/>
              </w:rPr>
              <w:t>b)</w:t>
            </w:r>
          </w:p>
        </w:tc>
        <w:tc>
          <w:tcPr>
            <w:tcW w:w="1642" w:type="pct"/>
            <w:tcBorders>
              <w:top w:val="single" w:sz="4" w:space="0" w:color="auto"/>
              <w:bottom w:val="single" w:sz="4" w:space="0" w:color="auto"/>
            </w:tcBorders>
            <w:shd w:val="clear" w:color="auto" w:fill="auto"/>
            <w:vAlign w:val="center"/>
          </w:tcPr>
          <w:p w:rsidR="000A7CB4" w:rsidRPr="000A7CB4" w:rsidRDefault="000A7CB4" w:rsidP="008529A1">
            <w:pPr>
              <w:jc w:val="both"/>
              <w:rPr>
                <w:rFonts w:eastAsia="Calibri" w:cs="Times New Roman"/>
                <w:i/>
                <w:sz w:val="20"/>
                <w:szCs w:val="20"/>
              </w:rPr>
            </w:pPr>
            <w:r w:rsidRPr="000A7CB4">
              <w:rPr>
                <w:rFonts w:eastAsia="Calibri" w:cs="Times New Roman"/>
                <w:b/>
                <w:i/>
                <w:sz w:val="20"/>
                <w:szCs w:val="20"/>
              </w:rPr>
              <w:t xml:space="preserve">Popíšte </w:t>
            </w:r>
            <w:r w:rsidRPr="000A7CB4">
              <w:rPr>
                <w:rFonts w:eastAsia="Calibri" w:cs="Times New Roman"/>
                <w:i/>
                <w:sz w:val="20"/>
                <w:szCs w:val="20"/>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0A7CB4" w:rsidRPr="000A7CB4" w:rsidRDefault="000A7CB4" w:rsidP="008529A1">
            <w:pPr>
              <w:ind w:left="720"/>
              <w:contextualSpacing/>
              <w:rPr>
                <w:rFonts w:eastAsia="Calibri" w:cs="Times New Roman"/>
                <w:sz w:val="20"/>
                <w:szCs w:val="20"/>
              </w:rPr>
            </w:pPr>
          </w:p>
        </w:tc>
      </w:tr>
      <w:tr w:rsidR="000A7CB4" w:rsidRPr="000A7CB4" w:rsidTr="008529A1">
        <w:trPr>
          <w:trHeight w:val="397"/>
          <w:jc w:val="center"/>
        </w:trPr>
        <w:tc>
          <w:tcPr>
            <w:tcW w:w="129" w:type="pct"/>
            <w:vMerge w:val="restart"/>
            <w:tcBorders>
              <w:top w:val="single" w:sz="4" w:space="0" w:color="auto"/>
            </w:tcBorders>
            <w:shd w:val="clear" w:color="auto" w:fill="auto"/>
            <w:vAlign w:val="center"/>
          </w:tcPr>
          <w:p w:rsidR="000A7CB4" w:rsidRPr="000A7CB4" w:rsidRDefault="000A7CB4" w:rsidP="008529A1">
            <w:pPr>
              <w:jc w:val="center"/>
              <w:rPr>
                <w:rFonts w:eastAsia="Calibri" w:cs="Times New Roman"/>
                <w:i/>
                <w:sz w:val="18"/>
                <w:szCs w:val="18"/>
              </w:rPr>
            </w:pPr>
            <w:r w:rsidRPr="000A7CB4">
              <w:rPr>
                <w:rFonts w:eastAsia="Calibri" w:cs="Times New Roman"/>
                <w:i/>
                <w:sz w:val="18"/>
                <w:szCs w:val="18"/>
              </w:rPr>
              <w:t>c)</w:t>
            </w:r>
          </w:p>
        </w:tc>
        <w:tc>
          <w:tcPr>
            <w:tcW w:w="1642" w:type="pct"/>
            <w:tcBorders>
              <w:top w:val="single" w:sz="4" w:space="0" w:color="auto"/>
            </w:tcBorders>
            <w:shd w:val="clear" w:color="auto" w:fill="auto"/>
          </w:tcPr>
          <w:p w:rsidR="000A7CB4" w:rsidRPr="000A7CB4" w:rsidRDefault="000A7CB4" w:rsidP="008529A1">
            <w:pPr>
              <w:rPr>
                <w:rFonts w:eastAsia="Calibri" w:cs="Times New Roman"/>
                <w:i/>
                <w:sz w:val="20"/>
                <w:szCs w:val="20"/>
              </w:rPr>
            </w:pPr>
            <w:r w:rsidRPr="000A7CB4">
              <w:rPr>
                <w:rFonts w:eastAsia="Calibri" w:cs="Times New Roman"/>
                <w:b/>
                <w:i/>
                <w:sz w:val="20"/>
                <w:szCs w:val="20"/>
              </w:rPr>
              <w:t xml:space="preserve">Špecifikujte </w:t>
            </w:r>
            <w:r w:rsidRPr="000A7CB4">
              <w:rPr>
                <w:rFonts w:eastAsia="Calibri" w:cs="Times New Roman"/>
                <w:i/>
                <w:sz w:val="20"/>
                <w:szCs w:val="20"/>
              </w:rPr>
              <w:t>ovplyvnené skupiny:</w:t>
            </w:r>
          </w:p>
        </w:tc>
        <w:tc>
          <w:tcPr>
            <w:tcW w:w="3229" w:type="pct"/>
            <w:tcBorders>
              <w:top w:val="single" w:sz="4" w:space="0" w:color="auto"/>
            </w:tcBorders>
            <w:shd w:val="clear" w:color="auto" w:fill="auto"/>
          </w:tcPr>
          <w:p w:rsidR="000A7CB4" w:rsidRPr="000A7CB4" w:rsidRDefault="000A7CB4" w:rsidP="008529A1">
            <w:pPr>
              <w:rPr>
                <w:rFonts w:eastAsia="Calibri" w:cs="Times New Roman"/>
                <w:i/>
                <w:sz w:val="20"/>
                <w:szCs w:val="20"/>
              </w:rPr>
            </w:pPr>
            <w:r w:rsidRPr="000A7CB4">
              <w:rPr>
                <w:rFonts w:eastAsia="Calibri" w:cs="Times New Roman"/>
                <w:i/>
                <w:sz w:val="18"/>
                <w:szCs w:val="20"/>
              </w:rPr>
              <w:t>Ovplyvnená skupina č. 1</w:t>
            </w:r>
          </w:p>
        </w:tc>
      </w:tr>
      <w:tr w:rsidR="000A7CB4" w:rsidRPr="000A7CB4" w:rsidTr="008529A1">
        <w:trPr>
          <w:trHeight w:val="397"/>
          <w:jc w:val="center"/>
        </w:trPr>
        <w:tc>
          <w:tcPr>
            <w:tcW w:w="129" w:type="pct"/>
            <w:vMerge/>
            <w:shd w:val="clear" w:color="auto" w:fill="auto"/>
            <w:vAlign w:val="center"/>
          </w:tcPr>
          <w:p w:rsidR="000A7CB4" w:rsidRPr="000A7CB4" w:rsidRDefault="000A7CB4" w:rsidP="008529A1">
            <w:pPr>
              <w:jc w:val="center"/>
              <w:rPr>
                <w:rFonts w:eastAsia="Calibri" w:cs="Times New Roman"/>
                <w:i/>
                <w:sz w:val="18"/>
                <w:szCs w:val="18"/>
              </w:rPr>
            </w:pPr>
          </w:p>
        </w:tc>
        <w:tc>
          <w:tcPr>
            <w:tcW w:w="1642" w:type="pct"/>
            <w:shd w:val="clear" w:color="auto" w:fill="auto"/>
          </w:tcPr>
          <w:p w:rsidR="000A7CB4" w:rsidRPr="000A7CB4" w:rsidRDefault="000A7CB4" w:rsidP="008529A1">
            <w:pPr>
              <w:rPr>
                <w:rFonts w:eastAsia="Calibri" w:cs="Times New Roman"/>
                <w:i/>
                <w:sz w:val="20"/>
                <w:szCs w:val="20"/>
              </w:rPr>
            </w:pPr>
            <w:r w:rsidRPr="000A7CB4">
              <w:rPr>
                <w:rFonts w:eastAsia="Calibri" w:cs="Times New Roman"/>
                <w:i/>
                <w:sz w:val="18"/>
                <w:szCs w:val="20"/>
              </w:rPr>
              <w:t>Ovplyvnená skupina č. 3</w:t>
            </w:r>
          </w:p>
        </w:tc>
        <w:tc>
          <w:tcPr>
            <w:tcW w:w="3229" w:type="pct"/>
            <w:tcBorders>
              <w:top w:val="dotted" w:sz="4" w:space="0" w:color="auto"/>
            </w:tcBorders>
            <w:shd w:val="clear" w:color="auto" w:fill="auto"/>
          </w:tcPr>
          <w:p w:rsidR="000A7CB4" w:rsidRPr="000A7CB4" w:rsidRDefault="000A7CB4" w:rsidP="008529A1">
            <w:pPr>
              <w:rPr>
                <w:rFonts w:eastAsia="Calibri" w:cs="Times New Roman"/>
                <w:sz w:val="20"/>
                <w:szCs w:val="20"/>
              </w:rPr>
            </w:pPr>
            <w:r w:rsidRPr="000A7CB4">
              <w:rPr>
                <w:rFonts w:eastAsia="Calibri" w:cs="Times New Roman"/>
                <w:i/>
                <w:sz w:val="18"/>
                <w:szCs w:val="20"/>
              </w:rPr>
              <w:t>Ovplyvnená skupina č. 2</w:t>
            </w:r>
          </w:p>
        </w:tc>
      </w:tr>
      <w:tr w:rsidR="000A7CB4" w:rsidRPr="000A7CB4" w:rsidTr="008529A1">
        <w:trPr>
          <w:trHeight w:val="454"/>
          <w:jc w:val="center"/>
        </w:trPr>
        <w:tc>
          <w:tcPr>
            <w:tcW w:w="129" w:type="pct"/>
            <w:tcBorders>
              <w:top w:val="dotted" w:sz="4" w:space="0" w:color="auto"/>
            </w:tcBorders>
            <w:shd w:val="clear" w:color="auto" w:fill="F2F2F2"/>
            <w:vAlign w:val="center"/>
          </w:tcPr>
          <w:p w:rsidR="000A7CB4" w:rsidRPr="000A7CB4" w:rsidRDefault="000A7CB4" w:rsidP="008529A1">
            <w:pPr>
              <w:jc w:val="center"/>
              <w:rPr>
                <w:rFonts w:eastAsia="Calibri" w:cs="Times New Roman"/>
                <w:i/>
                <w:sz w:val="18"/>
                <w:szCs w:val="18"/>
              </w:rPr>
            </w:pPr>
            <w:r w:rsidRPr="000A7CB4">
              <w:rPr>
                <w:rFonts w:eastAsia="Calibri" w:cs="Times New Roman"/>
                <w:i/>
                <w:sz w:val="18"/>
                <w:szCs w:val="18"/>
              </w:rPr>
              <w:t>d)</w:t>
            </w:r>
          </w:p>
        </w:tc>
        <w:tc>
          <w:tcPr>
            <w:tcW w:w="4871" w:type="pct"/>
            <w:gridSpan w:val="2"/>
            <w:tcBorders>
              <w:top w:val="dotted" w:sz="4" w:space="0" w:color="auto"/>
            </w:tcBorders>
            <w:shd w:val="clear" w:color="auto" w:fill="F2F2F2"/>
            <w:vAlign w:val="center"/>
          </w:tcPr>
          <w:p w:rsidR="000A7CB4" w:rsidRPr="000A7CB4" w:rsidRDefault="000A7CB4" w:rsidP="008529A1">
            <w:pPr>
              <w:rPr>
                <w:rFonts w:eastAsia="Calibri" w:cs="Times New Roman"/>
                <w:sz w:val="20"/>
                <w:szCs w:val="20"/>
              </w:rPr>
            </w:pPr>
            <w:r w:rsidRPr="000A7CB4">
              <w:rPr>
                <w:rFonts w:eastAsia="Calibri" w:cs="Times New Roman"/>
                <w:b/>
                <w:i/>
                <w:sz w:val="20"/>
                <w:szCs w:val="20"/>
              </w:rPr>
              <w:t>Kvantifikujte</w:t>
            </w:r>
            <w:r w:rsidRPr="000A7CB4">
              <w:rPr>
                <w:rFonts w:eastAsia="Calibri" w:cs="Times New Roman"/>
                <w:i/>
                <w:sz w:val="20"/>
                <w:szCs w:val="20"/>
              </w:rPr>
              <w:t xml:space="preserve"> rast príjmov alebo pokles výdavkov </w:t>
            </w:r>
            <w:r w:rsidRPr="000A7CB4">
              <w:rPr>
                <w:rFonts w:eastAsia="Calibri" w:cs="Times New Roman"/>
                <w:b/>
                <w:i/>
                <w:sz w:val="20"/>
                <w:szCs w:val="20"/>
              </w:rPr>
              <w:t>za jednotlivé</w:t>
            </w:r>
            <w:r w:rsidRPr="000A7CB4">
              <w:rPr>
                <w:rFonts w:eastAsia="Calibri" w:cs="Times New Roman"/>
                <w:i/>
                <w:sz w:val="20"/>
                <w:szCs w:val="20"/>
              </w:rPr>
              <w:t xml:space="preserve"> </w:t>
            </w:r>
            <w:r w:rsidRPr="000A7CB4">
              <w:rPr>
                <w:rFonts w:eastAsia="Calibri" w:cs="Times New Roman"/>
                <w:b/>
                <w:i/>
                <w:sz w:val="20"/>
                <w:szCs w:val="20"/>
              </w:rPr>
              <w:t>ovplyvnené</w:t>
            </w:r>
            <w:r w:rsidRPr="000A7CB4">
              <w:rPr>
                <w:rFonts w:eastAsia="Calibri" w:cs="Times New Roman"/>
                <w:i/>
                <w:sz w:val="20"/>
                <w:szCs w:val="20"/>
              </w:rPr>
              <w:t xml:space="preserve"> </w:t>
            </w:r>
            <w:r w:rsidRPr="000A7CB4">
              <w:rPr>
                <w:rFonts w:eastAsia="Calibri" w:cs="Times New Roman"/>
                <w:b/>
                <w:i/>
                <w:sz w:val="20"/>
                <w:szCs w:val="20"/>
              </w:rPr>
              <w:t>skupiny</w:t>
            </w:r>
            <w:r w:rsidRPr="000A7CB4">
              <w:rPr>
                <w:rFonts w:eastAsia="Calibri" w:cs="Times New Roman"/>
                <w:i/>
                <w:sz w:val="20"/>
                <w:szCs w:val="20"/>
              </w:rPr>
              <w:t xml:space="preserve"> domácností / skupiny jednotlivcov a počet obyvateľstva/domácností ovplyvnených predkladaným návrhom.</w:t>
            </w:r>
          </w:p>
        </w:tc>
      </w:tr>
      <w:tr w:rsidR="000A7CB4" w:rsidRPr="000A7CB4" w:rsidTr="008529A1">
        <w:trPr>
          <w:trHeight w:val="680"/>
          <w:jc w:val="center"/>
        </w:trPr>
        <w:tc>
          <w:tcPr>
            <w:tcW w:w="129" w:type="pct"/>
            <w:vMerge w:val="restart"/>
            <w:tcBorders>
              <w:top w:val="dotted" w:sz="4" w:space="0" w:color="auto"/>
            </w:tcBorders>
            <w:shd w:val="clear" w:color="auto" w:fill="auto"/>
            <w:vAlign w:val="center"/>
          </w:tcPr>
          <w:p w:rsidR="000A7CB4" w:rsidRPr="000A7CB4" w:rsidRDefault="000A7CB4" w:rsidP="008529A1">
            <w:pPr>
              <w:jc w:val="center"/>
              <w:rPr>
                <w:rFonts w:eastAsia="Calibri" w:cs="Times New Roman"/>
                <w:i/>
                <w:sz w:val="18"/>
                <w:szCs w:val="18"/>
              </w:rPr>
            </w:pPr>
            <w:r w:rsidRPr="000A7CB4">
              <w:rPr>
                <w:rFonts w:eastAsia="Calibri" w:cs="Times New Roman"/>
                <w:i/>
                <w:sz w:val="18"/>
                <w:szCs w:val="18"/>
              </w:rPr>
              <w:t>e)</w:t>
            </w:r>
          </w:p>
        </w:tc>
        <w:tc>
          <w:tcPr>
            <w:tcW w:w="1642" w:type="pct"/>
            <w:tcBorders>
              <w:top w:val="dotted" w:sz="4" w:space="0" w:color="auto"/>
            </w:tcBorders>
            <w:shd w:val="clear" w:color="auto" w:fill="auto"/>
          </w:tcPr>
          <w:p w:rsidR="000A7CB4" w:rsidRPr="000A7CB4" w:rsidRDefault="000A7CB4" w:rsidP="000A7CB4">
            <w:pPr>
              <w:widowControl/>
              <w:numPr>
                <w:ilvl w:val="0"/>
                <w:numId w:val="8"/>
              </w:numPr>
              <w:adjustRightInd/>
              <w:contextualSpacing/>
              <w:jc w:val="both"/>
              <w:rPr>
                <w:rFonts w:eastAsia="Calibri" w:cs="Times New Roman"/>
                <w:i/>
                <w:sz w:val="18"/>
                <w:szCs w:val="20"/>
              </w:rPr>
            </w:pPr>
            <w:r w:rsidRPr="000A7CB4">
              <w:rPr>
                <w:rFonts w:eastAsia="Calibri" w:cs="Times New Roman"/>
                <w:i/>
                <w:sz w:val="18"/>
                <w:szCs w:val="20"/>
              </w:rPr>
              <w:t>priemerný rast príjmov/ pokles výdavkov v skupine v eurách a/alebo v % / obdobie:</w:t>
            </w:r>
          </w:p>
          <w:p w:rsidR="000A7CB4" w:rsidRPr="000A7CB4" w:rsidRDefault="000A7CB4" w:rsidP="000A7CB4">
            <w:pPr>
              <w:widowControl/>
              <w:numPr>
                <w:ilvl w:val="0"/>
                <w:numId w:val="8"/>
              </w:numPr>
              <w:adjustRightInd/>
              <w:contextualSpacing/>
              <w:jc w:val="both"/>
              <w:rPr>
                <w:rFonts w:eastAsia="Calibri" w:cs="Times New Roman"/>
                <w:i/>
                <w:sz w:val="20"/>
                <w:szCs w:val="20"/>
              </w:rPr>
            </w:pPr>
            <w:r w:rsidRPr="000A7CB4">
              <w:rPr>
                <w:rFonts w:eastAsia="Calibri" w:cs="Times New Roman"/>
                <w:i/>
                <w:sz w:val="18"/>
                <w:szCs w:val="20"/>
              </w:rPr>
              <w:t>veľkosť skupiny (počet obyvateľov):</w:t>
            </w:r>
          </w:p>
        </w:tc>
        <w:tc>
          <w:tcPr>
            <w:tcW w:w="3229" w:type="pct"/>
            <w:tcBorders>
              <w:top w:val="dotted" w:sz="4" w:space="0" w:color="auto"/>
            </w:tcBorders>
            <w:shd w:val="clear" w:color="auto" w:fill="auto"/>
          </w:tcPr>
          <w:p w:rsidR="000A7CB4" w:rsidRPr="000A7CB4" w:rsidRDefault="000A7CB4" w:rsidP="008529A1">
            <w:pPr>
              <w:rPr>
                <w:rFonts w:eastAsia="Calibri" w:cs="Times New Roman"/>
                <w:sz w:val="20"/>
                <w:szCs w:val="20"/>
              </w:rPr>
            </w:pPr>
            <w:r w:rsidRPr="000A7CB4">
              <w:rPr>
                <w:rFonts w:eastAsia="Calibri" w:cs="Times New Roman"/>
                <w:i/>
                <w:sz w:val="18"/>
                <w:szCs w:val="20"/>
              </w:rPr>
              <w:t>Ovplyvnená skupina č. 1</w:t>
            </w:r>
          </w:p>
        </w:tc>
      </w:tr>
      <w:tr w:rsidR="000A7CB4" w:rsidRPr="000A7CB4" w:rsidTr="008529A1">
        <w:trPr>
          <w:trHeight w:val="680"/>
          <w:jc w:val="center"/>
        </w:trPr>
        <w:tc>
          <w:tcPr>
            <w:tcW w:w="129" w:type="pct"/>
            <w:vMerge/>
            <w:shd w:val="clear" w:color="auto" w:fill="auto"/>
            <w:vAlign w:val="center"/>
          </w:tcPr>
          <w:p w:rsidR="000A7CB4" w:rsidRPr="000A7CB4" w:rsidRDefault="000A7CB4" w:rsidP="008529A1">
            <w:pPr>
              <w:jc w:val="center"/>
              <w:rPr>
                <w:rFonts w:eastAsia="Calibri" w:cs="Times New Roman"/>
                <w:i/>
                <w:sz w:val="18"/>
                <w:szCs w:val="18"/>
              </w:rPr>
            </w:pPr>
          </w:p>
        </w:tc>
        <w:tc>
          <w:tcPr>
            <w:tcW w:w="1642" w:type="pct"/>
            <w:shd w:val="clear" w:color="auto" w:fill="auto"/>
          </w:tcPr>
          <w:p w:rsidR="000A7CB4" w:rsidRPr="000A7CB4" w:rsidRDefault="000A7CB4" w:rsidP="008529A1">
            <w:pPr>
              <w:rPr>
                <w:rFonts w:eastAsia="Calibri" w:cs="Times New Roman"/>
                <w:i/>
                <w:sz w:val="20"/>
                <w:szCs w:val="20"/>
              </w:rPr>
            </w:pPr>
            <w:r w:rsidRPr="000A7CB4">
              <w:rPr>
                <w:rFonts w:eastAsia="Calibri" w:cs="Times New Roman"/>
                <w:i/>
                <w:sz w:val="18"/>
                <w:szCs w:val="20"/>
              </w:rPr>
              <w:t>Ovplyvnená skupina č. 3</w:t>
            </w:r>
          </w:p>
        </w:tc>
        <w:tc>
          <w:tcPr>
            <w:tcW w:w="3229" w:type="pct"/>
            <w:tcBorders>
              <w:top w:val="dotted" w:sz="4" w:space="0" w:color="auto"/>
            </w:tcBorders>
            <w:shd w:val="clear" w:color="auto" w:fill="auto"/>
          </w:tcPr>
          <w:p w:rsidR="000A7CB4" w:rsidRPr="000A7CB4" w:rsidRDefault="000A7CB4" w:rsidP="008529A1">
            <w:pPr>
              <w:rPr>
                <w:rFonts w:eastAsia="Calibri" w:cs="Times New Roman"/>
                <w:sz w:val="20"/>
                <w:szCs w:val="20"/>
              </w:rPr>
            </w:pPr>
            <w:r w:rsidRPr="000A7CB4">
              <w:rPr>
                <w:rFonts w:eastAsia="Calibri" w:cs="Times New Roman"/>
                <w:i/>
                <w:sz w:val="18"/>
                <w:szCs w:val="20"/>
              </w:rPr>
              <w:t>Ovplyvnená skupina č. 2</w:t>
            </w:r>
          </w:p>
        </w:tc>
      </w:tr>
      <w:tr w:rsidR="000A7CB4" w:rsidRPr="000A7CB4" w:rsidTr="008529A1">
        <w:trPr>
          <w:trHeight w:val="397"/>
          <w:jc w:val="center"/>
        </w:trPr>
        <w:tc>
          <w:tcPr>
            <w:tcW w:w="129" w:type="pct"/>
            <w:tcBorders>
              <w:top w:val="dotted" w:sz="4" w:space="0" w:color="auto"/>
            </w:tcBorders>
            <w:shd w:val="clear" w:color="auto" w:fill="auto"/>
            <w:vAlign w:val="center"/>
          </w:tcPr>
          <w:p w:rsidR="000A7CB4" w:rsidRPr="000A7CB4" w:rsidRDefault="000A7CB4" w:rsidP="008529A1">
            <w:pPr>
              <w:jc w:val="center"/>
              <w:rPr>
                <w:rFonts w:eastAsia="Calibri" w:cs="Times New Roman"/>
                <w:i/>
                <w:sz w:val="18"/>
                <w:szCs w:val="18"/>
              </w:rPr>
            </w:pPr>
            <w:r w:rsidRPr="000A7CB4">
              <w:rPr>
                <w:rFonts w:eastAsia="Calibri" w:cs="Times New Roman"/>
                <w:i/>
                <w:sz w:val="18"/>
                <w:szCs w:val="18"/>
              </w:rPr>
              <w:t>f)</w:t>
            </w:r>
          </w:p>
        </w:tc>
        <w:tc>
          <w:tcPr>
            <w:tcW w:w="1642" w:type="pct"/>
            <w:tcBorders>
              <w:top w:val="dotted" w:sz="4" w:space="0" w:color="auto"/>
            </w:tcBorders>
            <w:shd w:val="clear" w:color="auto" w:fill="auto"/>
          </w:tcPr>
          <w:p w:rsidR="000A7CB4" w:rsidRPr="000A7CB4" w:rsidRDefault="000A7CB4" w:rsidP="008529A1">
            <w:pPr>
              <w:rPr>
                <w:rFonts w:eastAsia="Calibri" w:cs="Times New Roman"/>
                <w:i/>
                <w:sz w:val="20"/>
                <w:szCs w:val="20"/>
              </w:rPr>
            </w:pPr>
            <w:r w:rsidRPr="000A7CB4">
              <w:rPr>
                <w:rFonts w:eastAsia="Calibri" w:cs="Times New Roman"/>
                <w:i/>
                <w:sz w:val="20"/>
                <w:szCs w:val="20"/>
              </w:rPr>
              <w:t>Dôvod chýbajúcej kvantifikácie:</w:t>
            </w:r>
          </w:p>
        </w:tc>
        <w:tc>
          <w:tcPr>
            <w:tcW w:w="3229" w:type="pct"/>
            <w:tcBorders>
              <w:top w:val="dotted" w:sz="4" w:space="0" w:color="auto"/>
            </w:tcBorders>
            <w:shd w:val="clear" w:color="auto" w:fill="auto"/>
          </w:tcPr>
          <w:p w:rsidR="000A7CB4" w:rsidRPr="000A7CB4" w:rsidRDefault="000A7CB4" w:rsidP="008529A1">
            <w:pPr>
              <w:rPr>
                <w:rFonts w:eastAsia="Calibri" w:cs="Times New Roman"/>
                <w:sz w:val="20"/>
                <w:szCs w:val="20"/>
              </w:rPr>
            </w:pPr>
          </w:p>
        </w:tc>
      </w:tr>
      <w:tr w:rsidR="000A7CB4" w:rsidRPr="000A7CB4" w:rsidTr="008529A1">
        <w:trPr>
          <w:trHeight w:val="170"/>
          <w:jc w:val="center"/>
        </w:trPr>
        <w:tc>
          <w:tcPr>
            <w:tcW w:w="129" w:type="pct"/>
            <w:tcBorders>
              <w:top w:val="nil"/>
              <w:bottom w:val="single" w:sz="4" w:space="0" w:color="auto"/>
            </w:tcBorders>
            <w:shd w:val="clear" w:color="auto" w:fill="F2F2F2"/>
            <w:vAlign w:val="center"/>
          </w:tcPr>
          <w:p w:rsidR="000A7CB4" w:rsidRPr="000A7CB4" w:rsidRDefault="000A7CB4" w:rsidP="008529A1">
            <w:pPr>
              <w:jc w:val="center"/>
              <w:rPr>
                <w:rFonts w:eastAsia="Calibri" w:cs="Times New Roman"/>
                <w:i/>
                <w:sz w:val="18"/>
                <w:szCs w:val="18"/>
              </w:rPr>
            </w:pPr>
            <w:r w:rsidRPr="000A7CB4">
              <w:rPr>
                <w:rFonts w:eastAsia="Calibri" w:cs="Times New Roman"/>
                <w:i/>
                <w:sz w:val="18"/>
                <w:szCs w:val="18"/>
              </w:rPr>
              <w:t>g)</w:t>
            </w:r>
          </w:p>
        </w:tc>
        <w:tc>
          <w:tcPr>
            <w:tcW w:w="4871" w:type="pct"/>
            <w:gridSpan w:val="2"/>
            <w:tcBorders>
              <w:top w:val="nil"/>
              <w:bottom w:val="single" w:sz="4" w:space="0" w:color="auto"/>
            </w:tcBorders>
            <w:shd w:val="clear" w:color="auto" w:fill="F2F2F2"/>
            <w:vAlign w:val="center"/>
          </w:tcPr>
          <w:p w:rsidR="000A7CB4" w:rsidRPr="000A7CB4" w:rsidRDefault="000A7CB4" w:rsidP="008529A1">
            <w:pPr>
              <w:rPr>
                <w:rFonts w:eastAsia="Calibri" w:cs="Times New Roman"/>
                <w:b/>
                <w:i/>
                <w:sz w:val="20"/>
                <w:szCs w:val="20"/>
              </w:rPr>
            </w:pPr>
            <w:r w:rsidRPr="000A7CB4">
              <w:rPr>
                <w:rFonts w:eastAsia="Calibri" w:cs="Times New Roman"/>
                <w:b/>
                <w:i/>
                <w:sz w:val="20"/>
                <w:szCs w:val="20"/>
              </w:rPr>
              <w:t>4.1.1.1</w:t>
            </w:r>
            <w:r w:rsidRPr="000A7CB4">
              <w:rPr>
                <w:rFonts w:eastAsia="Calibri" w:cs="Times New Roman"/>
                <w:i/>
                <w:sz w:val="20"/>
                <w:szCs w:val="20"/>
              </w:rPr>
              <w:t xml:space="preserve"> </w:t>
            </w:r>
            <w:r w:rsidRPr="000A7CB4">
              <w:rPr>
                <w:rFonts w:eastAsia="Calibri" w:cs="Times New Roman"/>
                <w:b/>
                <w:i/>
                <w:sz w:val="20"/>
                <w:szCs w:val="20"/>
              </w:rPr>
              <w:t>Z toho pozitívny vplyv na skupiny v riziku chudoby alebo sociálneho vylúčenia</w:t>
            </w:r>
          </w:p>
          <w:p w:rsidR="000A7CB4" w:rsidRPr="000A7CB4" w:rsidRDefault="000A7CB4" w:rsidP="008529A1">
            <w:pPr>
              <w:rPr>
                <w:rFonts w:eastAsia="Calibri" w:cs="Times New Roman"/>
                <w:b/>
                <w:sz w:val="20"/>
                <w:szCs w:val="20"/>
              </w:rPr>
            </w:pPr>
            <w:r w:rsidRPr="000A7CB4">
              <w:rPr>
                <w:rFonts w:eastAsia="Calibri" w:cs="Times New Roman"/>
                <w:i/>
                <w:sz w:val="18"/>
                <w:szCs w:val="20"/>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0A7CB4" w:rsidRPr="000A7CB4" w:rsidTr="008529A1">
        <w:trPr>
          <w:trHeight w:val="759"/>
          <w:jc w:val="center"/>
        </w:trPr>
        <w:tc>
          <w:tcPr>
            <w:tcW w:w="129" w:type="pct"/>
            <w:tcBorders>
              <w:top w:val="single" w:sz="4" w:space="0" w:color="auto"/>
              <w:bottom w:val="single" w:sz="4" w:space="0" w:color="auto"/>
            </w:tcBorders>
            <w:shd w:val="clear" w:color="auto" w:fill="auto"/>
            <w:vAlign w:val="center"/>
          </w:tcPr>
          <w:p w:rsidR="000A7CB4" w:rsidRPr="000A7CB4" w:rsidRDefault="000A7CB4" w:rsidP="008529A1">
            <w:pPr>
              <w:jc w:val="center"/>
              <w:rPr>
                <w:rFonts w:eastAsia="Calibri" w:cs="Times New Roman"/>
                <w:i/>
                <w:sz w:val="18"/>
                <w:szCs w:val="18"/>
              </w:rPr>
            </w:pPr>
            <w:r w:rsidRPr="000A7CB4">
              <w:rPr>
                <w:rFonts w:eastAsia="Calibri" w:cs="Times New Roman"/>
                <w:i/>
                <w:sz w:val="18"/>
                <w:szCs w:val="18"/>
              </w:rPr>
              <w:t>h)</w:t>
            </w:r>
          </w:p>
        </w:tc>
        <w:tc>
          <w:tcPr>
            <w:tcW w:w="1642" w:type="pct"/>
            <w:tcBorders>
              <w:top w:val="single" w:sz="4" w:space="0" w:color="auto"/>
              <w:bottom w:val="single" w:sz="4" w:space="0" w:color="auto"/>
            </w:tcBorders>
            <w:shd w:val="clear" w:color="auto" w:fill="auto"/>
          </w:tcPr>
          <w:p w:rsidR="000A7CB4" w:rsidRPr="000A7CB4" w:rsidRDefault="000A7CB4" w:rsidP="008529A1">
            <w:pPr>
              <w:jc w:val="both"/>
              <w:rPr>
                <w:rFonts w:eastAsia="Calibri" w:cs="Times New Roman"/>
                <w:i/>
                <w:sz w:val="20"/>
                <w:szCs w:val="20"/>
              </w:rPr>
            </w:pPr>
            <w:r w:rsidRPr="000A7CB4">
              <w:rPr>
                <w:rFonts w:eastAsia="Calibri" w:cs="Times New Roman"/>
                <w:b/>
                <w:i/>
                <w:sz w:val="20"/>
                <w:szCs w:val="20"/>
              </w:rPr>
              <w:t xml:space="preserve">Popíšte </w:t>
            </w:r>
            <w:r w:rsidRPr="000A7CB4">
              <w:rPr>
                <w:rFonts w:eastAsia="Calibri" w:cs="Times New Roman"/>
                <w:i/>
                <w:sz w:val="20"/>
                <w:szCs w:val="20"/>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0A7CB4" w:rsidRPr="000A7CB4" w:rsidRDefault="000A7CB4" w:rsidP="008529A1">
            <w:pPr>
              <w:rPr>
                <w:rFonts w:eastAsia="Calibri" w:cs="Times New Roman"/>
                <w:sz w:val="20"/>
                <w:szCs w:val="20"/>
              </w:rPr>
            </w:pPr>
          </w:p>
        </w:tc>
      </w:tr>
      <w:tr w:rsidR="000A7CB4" w:rsidRPr="000A7CB4" w:rsidTr="008529A1">
        <w:trPr>
          <w:trHeight w:val="397"/>
          <w:jc w:val="center"/>
        </w:trPr>
        <w:tc>
          <w:tcPr>
            <w:tcW w:w="129" w:type="pct"/>
            <w:vMerge w:val="restart"/>
            <w:tcBorders>
              <w:top w:val="single" w:sz="4" w:space="0" w:color="auto"/>
            </w:tcBorders>
            <w:shd w:val="clear" w:color="auto" w:fill="auto"/>
            <w:vAlign w:val="center"/>
          </w:tcPr>
          <w:p w:rsidR="000A7CB4" w:rsidRPr="000A7CB4" w:rsidRDefault="000A7CB4" w:rsidP="008529A1">
            <w:pPr>
              <w:jc w:val="center"/>
              <w:rPr>
                <w:rFonts w:eastAsia="Calibri" w:cs="Times New Roman"/>
                <w:i/>
                <w:sz w:val="18"/>
                <w:szCs w:val="18"/>
              </w:rPr>
            </w:pPr>
            <w:r w:rsidRPr="000A7CB4">
              <w:rPr>
                <w:rFonts w:eastAsia="Calibri" w:cs="Times New Roman"/>
                <w:i/>
                <w:sz w:val="18"/>
                <w:szCs w:val="18"/>
              </w:rPr>
              <w:t>i)</w:t>
            </w:r>
          </w:p>
        </w:tc>
        <w:tc>
          <w:tcPr>
            <w:tcW w:w="1642" w:type="pct"/>
            <w:tcBorders>
              <w:top w:val="single" w:sz="4" w:space="0" w:color="auto"/>
            </w:tcBorders>
            <w:shd w:val="clear" w:color="auto" w:fill="auto"/>
          </w:tcPr>
          <w:p w:rsidR="000A7CB4" w:rsidRPr="000A7CB4" w:rsidRDefault="000A7CB4" w:rsidP="008529A1">
            <w:pPr>
              <w:rPr>
                <w:rFonts w:eastAsia="Calibri" w:cs="Times New Roman"/>
                <w:i/>
                <w:sz w:val="20"/>
                <w:szCs w:val="20"/>
              </w:rPr>
            </w:pPr>
            <w:r w:rsidRPr="000A7CB4">
              <w:rPr>
                <w:rFonts w:eastAsia="Calibri" w:cs="Times New Roman"/>
                <w:b/>
                <w:i/>
                <w:sz w:val="20"/>
                <w:szCs w:val="20"/>
              </w:rPr>
              <w:t xml:space="preserve">Špecifikujte </w:t>
            </w:r>
            <w:r w:rsidRPr="000A7CB4">
              <w:rPr>
                <w:rFonts w:eastAsia="Calibri" w:cs="Times New Roman"/>
                <w:i/>
                <w:sz w:val="20"/>
                <w:szCs w:val="20"/>
              </w:rPr>
              <w:t>ovplyvnené skupiny:</w:t>
            </w:r>
          </w:p>
        </w:tc>
        <w:tc>
          <w:tcPr>
            <w:tcW w:w="3229" w:type="pct"/>
            <w:tcBorders>
              <w:top w:val="single" w:sz="4" w:space="0" w:color="auto"/>
            </w:tcBorders>
            <w:shd w:val="clear" w:color="auto" w:fill="auto"/>
          </w:tcPr>
          <w:p w:rsidR="000A7CB4" w:rsidRPr="000A7CB4" w:rsidRDefault="000A7CB4" w:rsidP="008529A1">
            <w:pPr>
              <w:rPr>
                <w:rFonts w:eastAsia="Calibri" w:cs="Times New Roman"/>
                <w:i/>
                <w:sz w:val="18"/>
                <w:szCs w:val="20"/>
              </w:rPr>
            </w:pPr>
            <w:r w:rsidRPr="000A7CB4">
              <w:rPr>
                <w:rFonts w:eastAsia="Calibri" w:cs="Times New Roman"/>
                <w:i/>
                <w:sz w:val="18"/>
                <w:szCs w:val="20"/>
              </w:rPr>
              <w:t>Ovplyvnená skupina č. 1</w:t>
            </w:r>
          </w:p>
        </w:tc>
      </w:tr>
      <w:tr w:rsidR="000A7CB4" w:rsidRPr="000A7CB4" w:rsidTr="008529A1">
        <w:trPr>
          <w:trHeight w:val="397"/>
          <w:jc w:val="center"/>
        </w:trPr>
        <w:tc>
          <w:tcPr>
            <w:tcW w:w="129" w:type="pct"/>
            <w:vMerge/>
            <w:shd w:val="clear" w:color="auto" w:fill="auto"/>
            <w:vAlign w:val="center"/>
          </w:tcPr>
          <w:p w:rsidR="000A7CB4" w:rsidRPr="000A7CB4" w:rsidRDefault="000A7CB4" w:rsidP="008529A1">
            <w:pPr>
              <w:jc w:val="center"/>
              <w:rPr>
                <w:rFonts w:eastAsia="Calibri" w:cs="Times New Roman"/>
                <w:i/>
                <w:sz w:val="18"/>
                <w:szCs w:val="18"/>
              </w:rPr>
            </w:pPr>
          </w:p>
        </w:tc>
        <w:tc>
          <w:tcPr>
            <w:tcW w:w="1642" w:type="pct"/>
            <w:shd w:val="clear" w:color="auto" w:fill="auto"/>
          </w:tcPr>
          <w:p w:rsidR="000A7CB4" w:rsidRPr="000A7CB4" w:rsidRDefault="000A7CB4" w:rsidP="008529A1">
            <w:pPr>
              <w:rPr>
                <w:rFonts w:eastAsia="Calibri" w:cs="Times New Roman"/>
                <w:i/>
                <w:sz w:val="20"/>
                <w:szCs w:val="20"/>
              </w:rPr>
            </w:pPr>
            <w:r w:rsidRPr="000A7CB4">
              <w:rPr>
                <w:rFonts w:eastAsia="Calibri" w:cs="Times New Roman"/>
                <w:i/>
                <w:sz w:val="18"/>
                <w:szCs w:val="20"/>
              </w:rPr>
              <w:t>Ovplyvnená skupina č. 3</w:t>
            </w:r>
          </w:p>
        </w:tc>
        <w:tc>
          <w:tcPr>
            <w:tcW w:w="3229" w:type="pct"/>
            <w:tcBorders>
              <w:top w:val="dotted" w:sz="4" w:space="0" w:color="auto"/>
            </w:tcBorders>
            <w:shd w:val="clear" w:color="auto" w:fill="auto"/>
          </w:tcPr>
          <w:p w:rsidR="000A7CB4" w:rsidRPr="000A7CB4" w:rsidRDefault="000A7CB4" w:rsidP="008529A1">
            <w:pPr>
              <w:rPr>
                <w:rFonts w:eastAsia="Calibri" w:cs="Times New Roman"/>
                <w:sz w:val="20"/>
                <w:szCs w:val="20"/>
              </w:rPr>
            </w:pPr>
            <w:r w:rsidRPr="000A7CB4">
              <w:rPr>
                <w:rFonts w:eastAsia="Calibri" w:cs="Times New Roman"/>
                <w:i/>
                <w:sz w:val="18"/>
                <w:szCs w:val="20"/>
              </w:rPr>
              <w:t>Ovplyvnená skupina č. 2</w:t>
            </w:r>
          </w:p>
        </w:tc>
      </w:tr>
      <w:tr w:rsidR="000A7CB4" w:rsidRPr="000A7CB4" w:rsidTr="008529A1">
        <w:trPr>
          <w:trHeight w:val="397"/>
          <w:jc w:val="center"/>
        </w:trPr>
        <w:tc>
          <w:tcPr>
            <w:tcW w:w="129" w:type="pct"/>
            <w:tcBorders>
              <w:top w:val="dotted" w:sz="4" w:space="0" w:color="auto"/>
            </w:tcBorders>
            <w:shd w:val="clear" w:color="auto" w:fill="F2F2F2"/>
            <w:vAlign w:val="center"/>
          </w:tcPr>
          <w:p w:rsidR="000A7CB4" w:rsidRPr="000A7CB4" w:rsidRDefault="000A7CB4" w:rsidP="008529A1">
            <w:pPr>
              <w:jc w:val="center"/>
              <w:rPr>
                <w:rFonts w:eastAsia="Calibri" w:cs="Times New Roman"/>
                <w:sz w:val="18"/>
                <w:szCs w:val="18"/>
              </w:rPr>
            </w:pPr>
            <w:r w:rsidRPr="000A7CB4">
              <w:rPr>
                <w:rFonts w:eastAsia="Calibri" w:cs="Times New Roman"/>
                <w:i/>
                <w:sz w:val="18"/>
                <w:szCs w:val="18"/>
              </w:rPr>
              <w:t>j</w:t>
            </w:r>
            <w:r w:rsidRPr="000A7CB4">
              <w:rPr>
                <w:rFonts w:eastAsia="Calibri" w:cs="Times New Roman"/>
                <w:sz w:val="18"/>
                <w:szCs w:val="18"/>
              </w:rPr>
              <w:t>)</w:t>
            </w:r>
          </w:p>
        </w:tc>
        <w:tc>
          <w:tcPr>
            <w:tcW w:w="4871" w:type="pct"/>
            <w:gridSpan w:val="2"/>
            <w:tcBorders>
              <w:top w:val="dotted" w:sz="4" w:space="0" w:color="auto"/>
            </w:tcBorders>
            <w:shd w:val="clear" w:color="auto" w:fill="F2F2F2"/>
          </w:tcPr>
          <w:p w:rsidR="000A7CB4" w:rsidRPr="000A7CB4" w:rsidRDefault="000A7CB4" w:rsidP="008529A1">
            <w:pPr>
              <w:rPr>
                <w:rFonts w:eastAsia="Calibri" w:cs="Times New Roman"/>
                <w:i/>
                <w:sz w:val="20"/>
                <w:szCs w:val="20"/>
              </w:rPr>
            </w:pPr>
            <w:r w:rsidRPr="000A7CB4">
              <w:rPr>
                <w:rFonts w:eastAsia="Calibri" w:cs="Times New Roman"/>
                <w:b/>
                <w:i/>
                <w:sz w:val="20"/>
                <w:szCs w:val="20"/>
              </w:rPr>
              <w:t xml:space="preserve">Kvantifikujte </w:t>
            </w:r>
            <w:r w:rsidRPr="000A7CB4">
              <w:rPr>
                <w:rFonts w:eastAsia="Calibri" w:cs="Times New Roman"/>
                <w:i/>
                <w:sz w:val="20"/>
                <w:szCs w:val="20"/>
              </w:rPr>
              <w:t xml:space="preserve">rast príjmov alebo pokles výdavkov </w:t>
            </w:r>
            <w:r w:rsidRPr="000A7CB4">
              <w:rPr>
                <w:rFonts w:eastAsia="Calibri" w:cs="Times New Roman"/>
                <w:b/>
                <w:i/>
                <w:sz w:val="20"/>
                <w:szCs w:val="20"/>
              </w:rPr>
              <w:t>za jednotlivé ovplyvnené skupiny</w:t>
            </w:r>
            <w:r w:rsidRPr="000A7CB4">
              <w:rPr>
                <w:rFonts w:eastAsia="Calibri" w:cs="Times New Roman"/>
                <w:i/>
                <w:sz w:val="20"/>
                <w:szCs w:val="20"/>
              </w:rPr>
              <w:t xml:space="preserve"> domácností / skupiny jednotlivcov a počet obyvateľstva/domácností ovplyvnených predkladaným návrhom.</w:t>
            </w:r>
          </w:p>
        </w:tc>
      </w:tr>
      <w:tr w:rsidR="000A7CB4" w:rsidRPr="000A7CB4" w:rsidTr="008529A1">
        <w:trPr>
          <w:trHeight w:val="680"/>
          <w:jc w:val="center"/>
        </w:trPr>
        <w:tc>
          <w:tcPr>
            <w:tcW w:w="129" w:type="pct"/>
            <w:vMerge w:val="restart"/>
            <w:tcBorders>
              <w:top w:val="dotted" w:sz="4" w:space="0" w:color="auto"/>
            </w:tcBorders>
            <w:shd w:val="clear" w:color="auto" w:fill="auto"/>
            <w:vAlign w:val="center"/>
          </w:tcPr>
          <w:p w:rsidR="000A7CB4" w:rsidRPr="000A7CB4" w:rsidRDefault="000A7CB4" w:rsidP="008529A1">
            <w:pPr>
              <w:jc w:val="center"/>
              <w:rPr>
                <w:rFonts w:eastAsia="Calibri" w:cs="Times New Roman"/>
                <w:i/>
                <w:sz w:val="18"/>
                <w:szCs w:val="18"/>
              </w:rPr>
            </w:pPr>
            <w:r w:rsidRPr="000A7CB4">
              <w:rPr>
                <w:rFonts w:eastAsia="Calibri" w:cs="Times New Roman"/>
                <w:i/>
                <w:sz w:val="18"/>
                <w:szCs w:val="18"/>
              </w:rPr>
              <w:t>k)</w:t>
            </w:r>
          </w:p>
        </w:tc>
        <w:tc>
          <w:tcPr>
            <w:tcW w:w="1642" w:type="pct"/>
            <w:tcBorders>
              <w:top w:val="dotted" w:sz="4" w:space="0" w:color="auto"/>
            </w:tcBorders>
            <w:shd w:val="clear" w:color="auto" w:fill="auto"/>
          </w:tcPr>
          <w:p w:rsidR="000A7CB4" w:rsidRPr="000A7CB4" w:rsidRDefault="000A7CB4" w:rsidP="000A7CB4">
            <w:pPr>
              <w:widowControl/>
              <w:numPr>
                <w:ilvl w:val="0"/>
                <w:numId w:val="8"/>
              </w:numPr>
              <w:adjustRightInd/>
              <w:contextualSpacing/>
              <w:rPr>
                <w:rFonts w:eastAsia="Calibri" w:cs="Times New Roman"/>
                <w:i/>
                <w:sz w:val="18"/>
                <w:szCs w:val="20"/>
              </w:rPr>
            </w:pPr>
            <w:r w:rsidRPr="000A7CB4">
              <w:rPr>
                <w:rFonts w:eastAsia="Calibri" w:cs="Times New Roman"/>
                <w:i/>
                <w:sz w:val="18"/>
                <w:szCs w:val="20"/>
              </w:rPr>
              <w:t>priemerný rast príjmov/ pokles výdavkov v skupine v eurách a/alebo v % / obdobie:</w:t>
            </w:r>
          </w:p>
          <w:p w:rsidR="000A7CB4" w:rsidRPr="000A7CB4" w:rsidRDefault="000A7CB4" w:rsidP="000A7CB4">
            <w:pPr>
              <w:widowControl/>
              <w:numPr>
                <w:ilvl w:val="0"/>
                <w:numId w:val="8"/>
              </w:numPr>
              <w:adjustRightInd/>
              <w:contextualSpacing/>
              <w:rPr>
                <w:rFonts w:eastAsia="Calibri" w:cs="Times New Roman"/>
                <w:i/>
                <w:sz w:val="20"/>
                <w:szCs w:val="20"/>
              </w:rPr>
            </w:pPr>
            <w:r w:rsidRPr="000A7CB4">
              <w:rPr>
                <w:rFonts w:eastAsia="Calibri" w:cs="Times New Roman"/>
                <w:i/>
                <w:sz w:val="18"/>
                <w:szCs w:val="20"/>
              </w:rPr>
              <w:t>veľkosť skupiny (počet obyvateľov):</w:t>
            </w:r>
          </w:p>
        </w:tc>
        <w:tc>
          <w:tcPr>
            <w:tcW w:w="3229" w:type="pct"/>
            <w:tcBorders>
              <w:top w:val="dotted" w:sz="4" w:space="0" w:color="auto"/>
            </w:tcBorders>
            <w:shd w:val="clear" w:color="auto" w:fill="auto"/>
          </w:tcPr>
          <w:p w:rsidR="000A7CB4" w:rsidRPr="000A7CB4" w:rsidRDefault="000A7CB4" w:rsidP="008529A1">
            <w:pPr>
              <w:rPr>
                <w:rFonts w:eastAsia="Calibri" w:cs="Times New Roman"/>
                <w:sz w:val="20"/>
                <w:szCs w:val="20"/>
              </w:rPr>
            </w:pPr>
            <w:r w:rsidRPr="000A7CB4">
              <w:rPr>
                <w:rFonts w:eastAsia="Calibri" w:cs="Times New Roman"/>
                <w:i/>
                <w:sz w:val="18"/>
                <w:szCs w:val="20"/>
              </w:rPr>
              <w:t>Ovplyvnená skupina č. 1</w:t>
            </w:r>
          </w:p>
        </w:tc>
      </w:tr>
      <w:tr w:rsidR="000A7CB4" w:rsidRPr="000A7CB4" w:rsidTr="008529A1">
        <w:trPr>
          <w:trHeight w:val="680"/>
          <w:jc w:val="center"/>
        </w:trPr>
        <w:tc>
          <w:tcPr>
            <w:tcW w:w="129" w:type="pct"/>
            <w:vMerge/>
            <w:shd w:val="clear" w:color="auto" w:fill="auto"/>
            <w:vAlign w:val="center"/>
          </w:tcPr>
          <w:p w:rsidR="000A7CB4" w:rsidRPr="000A7CB4" w:rsidRDefault="000A7CB4" w:rsidP="008529A1">
            <w:pPr>
              <w:jc w:val="center"/>
              <w:rPr>
                <w:rFonts w:eastAsia="Calibri" w:cs="Times New Roman"/>
                <w:i/>
                <w:sz w:val="18"/>
                <w:szCs w:val="18"/>
              </w:rPr>
            </w:pPr>
          </w:p>
        </w:tc>
        <w:tc>
          <w:tcPr>
            <w:tcW w:w="1642" w:type="pct"/>
            <w:shd w:val="clear" w:color="auto" w:fill="auto"/>
          </w:tcPr>
          <w:p w:rsidR="000A7CB4" w:rsidRPr="000A7CB4" w:rsidRDefault="000A7CB4" w:rsidP="008529A1">
            <w:pPr>
              <w:rPr>
                <w:rFonts w:eastAsia="Calibri" w:cs="Times New Roman"/>
                <w:i/>
                <w:sz w:val="20"/>
                <w:szCs w:val="20"/>
              </w:rPr>
            </w:pPr>
            <w:r w:rsidRPr="000A7CB4">
              <w:rPr>
                <w:rFonts w:eastAsia="Calibri" w:cs="Times New Roman"/>
                <w:i/>
                <w:sz w:val="18"/>
                <w:szCs w:val="20"/>
              </w:rPr>
              <w:t>Ovplyvnená skupina č. 3</w:t>
            </w:r>
          </w:p>
        </w:tc>
        <w:tc>
          <w:tcPr>
            <w:tcW w:w="3229" w:type="pct"/>
            <w:tcBorders>
              <w:top w:val="dotted" w:sz="4" w:space="0" w:color="auto"/>
            </w:tcBorders>
            <w:shd w:val="clear" w:color="auto" w:fill="auto"/>
          </w:tcPr>
          <w:p w:rsidR="000A7CB4" w:rsidRPr="000A7CB4" w:rsidRDefault="000A7CB4" w:rsidP="008529A1">
            <w:pPr>
              <w:rPr>
                <w:rFonts w:eastAsia="Calibri" w:cs="Times New Roman"/>
                <w:sz w:val="20"/>
                <w:szCs w:val="20"/>
              </w:rPr>
            </w:pPr>
            <w:r w:rsidRPr="000A7CB4">
              <w:rPr>
                <w:rFonts w:eastAsia="Calibri" w:cs="Times New Roman"/>
                <w:i/>
                <w:sz w:val="18"/>
                <w:szCs w:val="20"/>
              </w:rPr>
              <w:t>Ovplyvnená skupina č. 2</w:t>
            </w:r>
          </w:p>
        </w:tc>
      </w:tr>
      <w:tr w:rsidR="000A7CB4" w:rsidRPr="000A7CB4" w:rsidTr="008529A1">
        <w:trPr>
          <w:trHeight w:val="350"/>
          <w:jc w:val="center"/>
        </w:trPr>
        <w:tc>
          <w:tcPr>
            <w:tcW w:w="129" w:type="pct"/>
            <w:tcBorders>
              <w:top w:val="dotted" w:sz="4" w:space="0" w:color="auto"/>
              <w:bottom w:val="single" w:sz="4" w:space="0" w:color="auto"/>
            </w:tcBorders>
            <w:shd w:val="clear" w:color="auto" w:fill="auto"/>
            <w:vAlign w:val="center"/>
          </w:tcPr>
          <w:p w:rsidR="000A7CB4" w:rsidRPr="000A7CB4" w:rsidRDefault="000A7CB4" w:rsidP="008529A1">
            <w:pPr>
              <w:jc w:val="center"/>
              <w:rPr>
                <w:rFonts w:eastAsia="Calibri" w:cs="Times New Roman"/>
                <w:i/>
                <w:sz w:val="18"/>
                <w:szCs w:val="18"/>
              </w:rPr>
            </w:pPr>
            <w:r w:rsidRPr="000A7CB4">
              <w:rPr>
                <w:rFonts w:eastAsia="Calibri" w:cs="Times New Roman"/>
                <w:i/>
                <w:sz w:val="18"/>
                <w:szCs w:val="18"/>
              </w:rPr>
              <w:t>l)</w:t>
            </w:r>
          </w:p>
        </w:tc>
        <w:tc>
          <w:tcPr>
            <w:tcW w:w="1642" w:type="pct"/>
            <w:tcBorders>
              <w:top w:val="dotted" w:sz="4" w:space="0" w:color="auto"/>
              <w:bottom w:val="single" w:sz="4" w:space="0" w:color="auto"/>
            </w:tcBorders>
            <w:shd w:val="clear" w:color="auto" w:fill="auto"/>
          </w:tcPr>
          <w:p w:rsidR="000A7CB4" w:rsidRPr="000A7CB4" w:rsidRDefault="000A7CB4" w:rsidP="008529A1">
            <w:pPr>
              <w:rPr>
                <w:rFonts w:eastAsia="Calibri" w:cs="Times New Roman"/>
                <w:i/>
                <w:sz w:val="20"/>
                <w:szCs w:val="20"/>
              </w:rPr>
            </w:pPr>
            <w:r w:rsidRPr="000A7CB4">
              <w:rPr>
                <w:rFonts w:eastAsia="Calibri" w:cs="Times New Roman"/>
                <w:i/>
                <w:sz w:val="20"/>
                <w:szCs w:val="20"/>
              </w:rPr>
              <w:t>Dôvod chýbajúcej kvantifikácie:</w:t>
            </w:r>
          </w:p>
        </w:tc>
        <w:tc>
          <w:tcPr>
            <w:tcW w:w="3229" w:type="pct"/>
            <w:tcBorders>
              <w:top w:val="dotted" w:sz="4" w:space="0" w:color="auto"/>
              <w:bottom w:val="single" w:sz="4" w:space="0" w:color="auto"/>
            </w:tcBorders>
            <w:shd w:val="clear" w:color="auto" w:fill="auto"/>
          </w:tcPr>
          <w:p w:rsidR="000A7CB4" w:rsidRPr="000A7CB4" w:rsidRDefault="000A7CB4" w:rsidP="008529A1">
            <w:pPr>
              <w:rPr>
                <w:rFonts w:eastAsia="Calibri" w:cs="Times New Roman"/>
                <w:sz w:val="20"/>
                <w:szCs w:val="20"/>
              </w:rPr>
            </w:pPr>
          </w:p>
        </w:tc>
      </w:tr>
      <w:tr w:rsidR="000A7CB4" w:rsidRPr="000A7CB4" w:rsidTr="008529A1">
        <w:trPr>
          <w:trHeight w:val="170"/>
          <w:jc w:val="center"/>
        </w:trPr>
        <w:tc>
          <w:tcPr>
            <w:tcW w:w="129" w:type="pct"/>
            <w:tcBorders>
              <w:top w:val="single" w:sz="4" w:space="0" w:color="auto"/>
              <w:bottom w:val="single" w:sz="4" w:space="0" w:color="auto"/>
            </w:tcBorders>
            <w:shd w:val="clear" w:color="auto" w:fill="DDDDDD"/>
            <w:vAlign w:val="center"/>
          </w:tcPr>
          <w:p w:rsidR="000A7CB4" w:rsidRPr="000A7CB4" w:rsidRDefault="000A7CB4" w:rsidP="008529A1">
            <w:pPr>
              <w:jc w:val="center"/>
              <w:rPr>
                <w:rFonts w:eastAsia="Calibri" w:cs="Times New Roman"/>
                <w:i/>
                <w:sz w:val="18"/>
                <w:szCs w:val="18"/>
              </w:rPr>
            </w:pPr>
            <w:r w:rsidRPr="000A7CB4">
              <w:rPr>
                <w:rFonts w:eastAsia="Calibri" w:cs="Times New Roman"/>
                <w:i/>
                <w:sz w:val="18"/>
                <w:szCs w:val="18"/>
              </w:rPr>
              <w:t>a)</w:t>
            </w:r>
          </w:p>
        </w:tc>
        <w:tc>
          <w:tcPr>
            <w:tcW w:w="4871" w:type="pct"/>
            <w:gridSpan w:val="2"/>
            <w:tcBorders>
              <w:top w:val="single" w:sz="4" w:space="0" w:color="auto"/>
              <w:bottom w:val="single" w:sz="4" w:space="0" w:color="auto"/>
            </w:tcBorders>
            <w:shd w:val="clear" w:color="auto" w:fill="DDDDDD"/>
            <w:vAlign w:val="center"/>
          </w:tcPr>
          <w:p w:rsidR="000A7CB4" w:rsidRPr="000A7CB4" w:rsidRDefault="000A7CB4" w:rsidP="008529A1">
            <w:pPr>
              <w:jc w:val="center"/>
              <w:rPr>
                <w:rFonts w:eastAsia="Calibri" w:cs="Times New Roman"/>
                <w:b/>
                <w:sz w:val="20"/>
                <w:szCs w:val="20"/>
              </w:rPr>
            </w:pPr>
            <w:r w:rsidRPr="000A7CB4">
              <w:rPr>
                <w:rFonts w:eastAsia="Calibri" w:cs="Times New Roman"/>
                <w:b/>
                <w:i/>
                <w:sz w:val="20"/>
                <w:szCs w:val="20"/>
              </w:rPr>
              <w:t>4.1.2 Negatívny vplyv</w:t>
            </w:r>
          </w:p>
        </w:tc>
      </w:tr>
      <w:tr w:rsidR="000A7CB4" w:rsidRPr="000A7CB4" w:rsidTr="008529A1">
        <w:trPr>
          <w:trHeight w:val="759"/>
          <w:jc w:val="center"/>
        </w:trPr>
        <w:tc>
          <w:tcPr>
            <w:tcW w:w="129" w:type="pct"/>
            <w:tcBorders>
              <w:top w:val="single" w:sz="4" w:space="0" w:color="auto"/>
              <w:bottom w:val="single" w:sz="4" w:space="0" w:color="auto"/>
            </w:tcBorders>
            <w:shd w:val="clear" w:color="auto" w:fill="auto"/>
            <w:vAlign w:val="center"/>
          </w:tcPr>
          <w:p w:rsidR="000A7CB4" w:rsidRPr="000A7CB4" w:rsidRDefault="000A7CB4" w:rsidP="008529A1">
            <w:pPr>
              <w:contextualSpacing/>
              <w:jc w:val="center"/>
              <w:rPr>
                <w:rFonts w:eastAsia="Calibri" w:cs="Times New Roman"/>
                <w:i/>
                <w:sz w:val="18"/>
                <w:szCs w:val="18"/>
              </w:rPr>
            </w:pPr>
            <w:r w:rsidRPr="000A7CB4">
              <w:rPr>
                <w:rFonts w:eastAsia="Calibri" w:cs="Times New Roman"/>
                <w:i/>
                <w:sz w:val="18"/>
                <w:szCs w:val="18"/>
              </w:rPr>
              <w:lastRenderedPageBreak/>
              <w:t>b)</w:t>
            </w:r>
          </w:p>
          <w:p w:rsidR="000A7CB4" w:rsidRPr="000A7CB4" w:rsidRDefault="000A7CB4" w:rsidP="008529A1">
            <w:pPr>
              <w:ind w:left="360"/>
              <w:contextualSpacing/>
              <w:jc w:val="center"/>
              <w:rPr>
                <w:rFonts w:eastAsia="Calibri" w:cs="Times New Roman"/>
                <w:i/>
                <w:sz w:val="18"/>
                <w:szCs w:val="18"/>
              </w:rPr>
            </w:pPr>
          </w:p>
        </w:tc>
        <w:tc>
          <w:tcPr>
            <w:tcW w:w="1642" w:type="pct"/>
            <w:tcBorders>
              <w:top w:val="single" w:sz="4" w:space="0" w:color="auto"/>
              <w:bottom w:val="single" w:sz="4" w:space="0" w:color="auto"/>
            </w:tcBorders>
            <w:shd w:val="clear" w:color="auto" w:fill="auto"/>
            <w:vAlign w:val="center"/>
          </w:tcPr>
          <w:p w:rsidR="000A7CB4" w:rsidRPr="000A7CB4" w:rsidRDefault="000A7CB4" w:rsidP="008529A1">
            <w:pPr>
              <w:jc w:val="both"/>
              <w:rPr>
                <w:rFonts w:eastAsia="Calibri" w:cs="Times New Roman"/>
                <w:i/>
                <w:sz w:val="20"/>
                <w:szCs w:val="20"/>
              </w:rPr>
            </w:pPr>
            <w:r w:rsidRPr="000A7CB4">
              <w:rPr>
                <w:rFonts w:eastAsia="Calibri" w:cs="Times New Roman"/>
                <w:b/>
                <w:i/>
                <w:sz w:val="20"/>
                <w:szCs w:val="20"/>
              </w:rPr>
              <w:t xml:space="preserve">Popíšte </w:t>
            </w:r>
            <w:r w:rsidRPr="000A7CB4">
              <w:rPr>
                <w:rFonts w:eastAsia="Calibri" w:cs="Times New Roman"/>
                <w:i/>
                <w:sz w:val="20"/>
                <w:szCs w:val="20"/>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0A7CB4" w:rsidRPr="000A7CB4" w:rsidRDefault="000A7CB4" w:rsidP="008529A1">
            <w:pPr>
              <w:ind w:left="720"/>
              <w:contextualSpacing/>
              <w:rPr>
                <w:rFonts w:eastAsia="Calibri" w:cs="Times New Roman"/>
                <w:sz w:val="20"/>
                <w:szCs w:val="20"/>
              </w:rPr>
            </w:pPr>
          </w:p>
        </w:tc>
      </w:tr>
      <w:tr w:rsidR="000A7CB4" w:rsidRPr="000A7CB4" w:rsidTr="008529A1">
        <w:trPr>
          <w:trHeight w:val="397"/>
          <w:jc w:val="center"/>
        </w:trPr>
        <w:tc>
          <w:tcPr>
            <w:tcW w:w="129" w:type="pct"/>
            <w:vMerge w:val="restart"/>
            <w:tcBorders>
              <w:top w:val="single" w:sz="4" w:space="0" w:color="auto"/>
            </w:tcBorders>
            <w:shd w:val="clear" w:color="auto" w:fill="auto"/>
            <w:vAlign w:val="center"/>
          </w:tcPr>
          <w:p w:rsidR="000A7CB4" w:rsidRPr="000A7CB4" w:rsidRDefault="000A7CB4" w:rsidP="008529A1">
            <w:pPr>
              <w:jc w:val="center"/>
              <w:rPr>
                <w:rFonts w:eastAsia="Calibri" w:cs="Times New Roman"/>
                <w:i/>
                <w:sz w:val="18"/>
                <w:szCs w:val="18"/>
              </w:rPr>
            </w:pPr>
            <w:r w:rsidRPr="000A7CB4">
              <w:rPr>
                <w:rFonts w:eastAsia="Calibri" w:cs="Times New Roman"/>
                <w:i/>
                <w:sz w:val="18"/>
                <w:szCs w:val="18"/>
              </w:rPr>
              <w:t>c)</w:t>
            </w:r>
          </w:p>
        </w:tc>
        <w:tc>
          <w:tcPr>
            <w:tcW w:w="1642" w:type="pct"/>
            <w:tcBorders>
              <w:top w:val="single" w:sz="4" w:space="0" w:color="auto"/>
            </w:tcBorders>
            <w:shd w:val="clear" w:color="auto" w:fill="auto"/>
          </w:tcPr>
          <w:p w:rsidR="000A7CB4" w:rsidRPr="000A7CB4" w:rsidRDefault="000A7CB4" w:rsidP="008529A1">
            <w:pPr>
              <w:rPr>
                <w:rFonts w:eastAsia="Calibri" w:cs="Times New Roman"/>
                <w:i/>
                <w:sz w:val="20"/>
                <w:szCs w:val="20"/>
              </w:rPr>
            </w:pPr>
            <w:r w:rsidRPr="000A7CB4">
              <w:rPr>
                <w:rFonts w:eastAsia="Calibri" w:cs="Times New Roman"/>
                <w:b/>
                <w:i/>
                <w:sz w:val="20"/>
                <w:szCs w:val="20"/>
              </w:rPr>
              <w:t>Špecifikujte</w:t>
            </w:r>
            <w:r w:rsidRPr="000A7CB4">
              <w:rPr>
                <w:rFonts w:eastAsia="Calibri" w:cs="Times New Roman"/>
                <w:i/>
                <w:sz w:val="20"/>
                <w:szCs w:val="20"/>
              </w:rPr>
              <w:t xml:space="preserve"> ovplyvnené skupiny:</w:t>
            </w:r>
          </w:p>
        </w:tc>
        <w:tc>
          <w:tcPr>
            <w:tcW w:w="3229" w:type="pct"/>
            <w:tcBorders>
              <w:top w:val="single" w:sz="4" w:space="0" w:color="auto"/>
            </w:tcBorders>
            <w:shd w:val="clear" w:color="auto" w:fill="auto"/>
          </w:tcPr>
          <w:p w:rsidR="000A7CB4" w:rsidRPr="000A7CB4" w:rsidRDefault="000A7CB4" w:rsidP="008529A1">
            <w:pPr>
              <w:rPr>
                <w:rFonts w:eastAsia="Calibri" w:cs="Times New Roman"/>
                <w:i/>
                <w:sz w:val="20"/>
                <w:szCs w:val="20"/>
              </w:rPr>
            </w:pPr>
            <w:r w:rsidRPr="000A7CB4">
              <w:rPr>
                <w:rFonts w:eastAsia="Calibri" w:cs="Times New Roman"/>
                <w:i/>
                <w:sz w:val="18"/>
                <w:szCs w:val="20"/>
              </w:rPr>
              <w:t>Ovplyvnená skupina č. 1</w:t>
            </w:r>
          </w:p>
        </w:tc>
      </w:tr>
      <w:tr w:rsidR="000A7CB4" w:rsidRPr="000A7CB4" w:rsidTr="008529A1">
        <w:trPr>
          <w:trHeight w:val="397"/>
          <w:jc w:val="center"/>
        </w:trPr>
        <w:tc>
          <w:tcPr>
            <w:tcW w:w="129" w:type="pct"/>
            <w:vMerge/>
            <w:tcBorders>
              <w:bottom w:val="single" w:sz="4" w:space="0" w:color="auto"/>
            </w:tcBorders>
            <w:shd w:val="clear" w:color="auto" w:fill="auto"/>
            <w:vAlign w:val="center"/>
          </w:tcPr>
          <w:p w:rsidR="000A7CB4" w:rsidRPr="000A7CB4" w:rsidRDefault="000A7CB4" w:rsidP="008529A1">
            <w:pPr>
              <w:jc w:val="center"/>
              <w:rPr>
                <w:rFonts w:eastAsia="Calibri" w:cs="Times New Roman"/>
                <w:i/>
                <w:sz w:val="18"/>
                <w:szCs w:val="18"/>
              </w:rPr>
            </w:pPr>
          </w:p>
        </w:tc>
        <w:tc>
          <w:tcPr>
            <w:tcW w:w="1642" w:type="pct"/>
            <w:tcBorders>
              <w:bottom w:val="single" w:sz="4" w:space="0" w:color="auto"/>
            </w:tcBorders>
            <w:shd w:val="clear" w:color="auto" w:fill="auto"/>
          </w:tcPr>
          <w:p w:rsidR="000A7CB4" w:rsidRPr="000A7CB4" w:rsidRDefault="000A7CB4" w:rsidP="008529A1">
            <w:pPr>
              <w:rPr>
                <w:rFonts w:eastAsia="Calibri" w:cs="Times New Roman"/>
                <w:i/>
                <w:sz w:val="20"/>
                <w:szCs w:val="20"/>
              </w:rPr>
            </w:pPr>
            <w:r w:rsidRPr="000A7CB4">
              <w:rPr>
                <w:rFonts w:eastAsia="Calibri" w:cs="Times New Roman"/>
                <w:i/>
                <w:sz w:val="18"/>
                <w:szCs w:val="20"/>
              </w:rPr>
              <w:t>Ovplyvnená skupina č. 3</w:t>
            </w:r>
          </w:p>
        </w:tc>
        <w:tc>
          <w:tcPr>
            <w:tcW w:w="3229" w:type="pct"/>
            <w:tcBorders>
              <w:top w:val="dotted" w:sz="4" w:space="0" w:color="auto"/>
              <w:bottom w:val="single" w:sz="4" w:space="0" w:color="auto"/>
            </w:tcBorders>
            <w:shd w:val="clear" w:color="auto" w:fill="auto"/>
          </w:tcPr>
          <w:p w:rsidR="000A7CB4" w:rsidRPr="000A7CB4" w:rsidRDefault="000A7CB4" w:rsidP="008529A1">
            <w:pPr>
              <w:rPr>
                <w:rFonts w:eastAsia="Calibri" w:cs="Times New Roman"/>
                <w:sz w:val="20"/>
                <w:szCs w:val="20"/>
              </w:rPr>
            </w:pPr>
            <w:r w:rsidRPr="000A7CB4">
              <w:rPr>
                <w:rFonts w:eastAsia="Calibri" w:cs="Times New Roman"/>
                <w:i/>
                <w:sz w:val="18"/>
                <w:szCs w:val="20"/>
              </w:rPr>
              <w:t>Ovplyvnená skupina č. 2</w:t>
            </w:r>
          </w:p>
        </w:tc>
      </w:tr>
      <w:tr w:rsidR="000A7CB4" w:rsidRPr="000A7CB4" w:rsidTr="008529A1">
        <w:trPr>
          <w:trHeight w:val="397"/>
          <w:jc w:val="center"/>
        </w:trPr>
        <w:tc>
          <w:tcPr>
            <w:tcW w:w="129" w:type="pct"/>
            <w:tcBorders>
              <w:top w:val="single" w:sz="4" w:space="0" w:color="auto"/>
            </w:tcBorders>
            <w:shd w:val="clear" w:color="auto" w:fill="F2F2F2"/>
            <w:vAlign w:val="center"/>
          </w:tcPr>
          <w:p w:rsidR="000A7CB4" w:rsidRPr="000A7CB4" w:rsidRDefault="000A7CB4" w:rsidP="008529A1">
            <w:pPr>
              <w:jc w:val="center"/>
              <w:rPr>
                <w:rFonts w:eastAsia="Calibri" w:cs="Times New Roman"/>
                <w:i/>
                <w:sz w:val="18"/>
                <w:szCs w:val="18"/>
              </w:rPr>
            </w:pPr>
            <w:r w:rsidRPr="000A7CB4">
              <w:rPr>
                <w:rFonts w:eastAsia="Calibri" w:cs="Times New Roman"/>
                <w:i/>
                <w:sz w:val="18"/>
                <w:szCs w:val="18"/>
              </w:rPr>
              <w:t>d)</w:t>
            </w:r>
          </w:p>
        </w:tc>
        <w:tc>
          <w:tcPr>
            <w:tcW w:w="4871" w:type="pct"/>
            <w:gridSpan w:val="2"/>
            <w:tcBorders>
              <w:top w:val="single" w:sz="4" w:space="0" w:color="auto"/>
            </w:tcBorders>
            <w:shd w:val="clear" w:color="auto" w:fill="F2F2F2"/>
            <w:vAlign w:val="center"/>
          </w:tcPr>
          <w:p w:rsidR="000A7CB4" w:rsidRPr="000A7CB4" w:rsidRDefault="000A7CB4" w:rsidP="008529A1">
            <w:pPr>
              <w:rPr>
                <w:rFonts w:eastAsia="Calibri" w:cs="Times New Roman"/>
                <w:sz w:val="20"/>
                <w:szCs w:val="20"/>
              </w:rPr>
            </w:pPr>
            <w:r w:rsidRPr="000A7CB4">
              <w:rPr>
                <w:rFonts w:eastAsia="Calibri" w:cs="Times New Roman"/>
                <w:b/>
                <w:i/>
                <w:sz w:val="20"/>
                <w:szCs w:val="20"/>
              </w:rPr>
              <w:t>Kvantifikujte</w:t>
            </w:r>
            <w:r w:rsidRPr="000A7CB4">
              <w:rPr>
                <w:rFonts w:eastAsia="Calibri" w:cs="Times New Roman"/>
                <w:i/>
                <w:sz w:val="20"/>
                <w:szCs w:val="20"/>
              </w:rPr>
              <w:t xml:space="preserve"> pokles príjmov alebo rast výdavkov </w:t>
            </w:r>
            <w:r w:rsidRPr="000A7CB4">
              <w:rPr>
                <w:rFonts w:eastAsia="Calibri" w:cs="Times New Roman"/>
                <w:b/>
                <w:i/>
                <w:sz w:val="20"/>
                <w:szCs w:val="20"/>
              </w:rPr>
              <w:t>za jednotlivé</w:t>
            </w:r>
            <w:r w:rsidRPr="000A7CB4">
              <w:rPr>
                <w:rFonts w:eastAsia="Calibri" w:cs="Times New Roman"/>
                <w:i/>
                <w:sz w:val="20"/>
                <w:szCs w:val="20"/>
              </w:rPr>
              <w:t xml:space="preserve"> </w:t>
            </w:r>
            <w:r w:rsidRPr="000A7CB4">
              <w:rPr>
                <w:rFonts w:eastAsia="Calibri" w:cs="Times New Roman"/>
                <w:b/>
                <w:i/>
                <w:sz w:val="20"/>
                <w:szCs w:val="20"/>
              </w:rPr>
              <w:t>ovplyvnené</w:t>
            </w:r>
            <w:r w:rsidRPr="000A7CB4">
              <w:rPr>
                <w:rFonts w:eastAsia="Calibri" w:cs="Times New Roman"/>
                <w:i/>
                <w:sz w:val="20"/>
                <w:szCs w:val="20"/>
              </w:rPr>
              <w:t xml:space="preserve"> </w:t>
            </w:r>
            <w:r w:rsidRPr="000A7CB4">
              <w:rPr>
                <w:rFonts w:eastAsia="Calibri" w:cs="Times New Roman"/>
                <w:b/>
                <w:i/>
                <w:sz w:val="20"/>
                <w:szCs w:val="20"/>
              </w:rPr>
              <w:t>skupiny</w:t>
            </w:r>
            <w:r w:rsidRPr="000A7CB4">
              <w:rPr>
                <w:rFonts w:eastAsia="Calibri" w:cs="Times New Roman"/>
                <w:i/>
                <w:sz w:val="20"/>
                <w:szCs w:val="20"/>
              </w:rPr>
              <w:t xml:space="preserve"> domácností / skupiny jednotlivcov a počet obyvateľstva/domácností ovplyvnených predkladaným návrhom.</w:t>
            </w:r>
          </w:p>
        </w:tc>
      </w:tr>
      <w:tr w:rsidR="000A7CB4" w:rsidRPr="000A7CB4" w:rsidTr="008529A1">
        <w:trPr>
          <w:trHeight w:val="680"/>
          <w:jc w:val="center"/>
        </w:trPr>
        <w:tc>
          <w:tcPr>
            <w:tcW w:w="129" w:type="pct"/>
            <w:vMerge w:val="restart"/>
            <w:tcBorders>
              <w:top w:val="dotted" w:sz="4" w:space="0" w:color="auto"/>
            </w:tcBorders>
            <w:shd w:val="clear" w:color="auto" w:fill="auto"/>
            <w:vAlign w:val="center"/>
          </w:tcPr>
          <w:p w:rsidR="000A7CB4" w:rsidRPr="000A7CB4" w:rsidRDefault="000A7CB4" w:rsidP="008529A1">
            <w:pPr>
              <w:jc w:val="center"/>
              <w:rPr>
                <w:rFonts w:eastAsia="Calibri" w:cs="Times New Roman"/>
                <w:i/>
                <w:sz w:val="18"/>
                <w:szCs w:val="18"/>
              </w:rPr>
            </w:pPr>
            <w:r w:rsidRPr="000A7CB4">
              <w:rPr>
                <w:rFonts w:eastAsia="Calibri" w:cs="Times New Roman"/>
                <w:i/>
                <w:sz w:val="18"/>
                <w:szCs w:val="18"/>
              </w:rPr>
              <w:t>e)</w:t>
            </w:r>
          </w:p>
        </w:tc>
        <w:tc>
          <w:tcPr>
            <w:tcW w:w="1642" w:type="pct"/>
            <w:tcBorders>
              <w:top w:val="dotted" w:sz="4" w:space="0" w:color="auto"/>
            </w:tcBorders>
            <w:shd w:val="clear" w:color="auto" w:fill="auto"/>
          </w:tcPr>
          <w:p w:rsidR="000A7CB4" w:rsidRPr="000A7CB4" w:rsidRDefault="000A7CB4" w:rsidP="000A7CB4">
            <w:pPr>
              <w:widowControl/>
              <w:numPr>
                <w:ilvl w:val="0"/>
                <w:numId w:val="8"/>
              </w:numPr>
              <w:adjustRightInd/>
              <w:contextualSpacing/>
              <w:jc w:val="both"/>
              <w:rPr>
                <w:rFonts w:eastAsia="Calibri" w:cs="Times New Roman"/>
                <w:i/>
                <w:sz w:val="18"/>
                <w:szCs w:val="20"/>
              </w:rPr>
            </w:pPr>
            <w:r w:rsidRPr="000A7CB4">
              <w:rPr>
                <w:rFonts w:eastAsia="Calibri" w:cs="Times New Roman"/>
                <w:i/>
                <w:sz w:val="18"/>
                <w:szCs w:val="20"/>
              </w:rPr>
              <w:t>priemerný pokles príjmov/ rast výdavkov v skupine v eurách a/alebo v % / obdobie:</w:t>
            </w:r>
          </w:p>
          <w:p w:rsidR="000A7CB4" w:rsidRPr="000A7CB4" w:rsidRDefault="000A7CB4" w:rsidP="000A7CB4">
            <w:pPr>
              <w:widowControl/>
              <w:numPr>
                <w:ilvl w:val="0"/>
                <w:numId w:val="8"/>
              </w:numPr>
              <w:adjustRightInd/>
              <w:contextualSpacing/>
              <w:jc w:val="both"/>
              <w:rPr>
                <w:rFonts w:eastAsia="Calibri" w:cs="Times New Roman"/>
                <w:i/>
                <w:sz w:val="18"/>
                <w:szCs w:val="20"/>
              </w:rPr>
            </w:pPr>
            <w:r w:rsidRPr="000A7CB4">
              <w:rPr>
                <w:rFonts w:eastAsia="Calibri" w:cs="Times New Roman"/>
                <w:i/>
                <w:sz w:val="18"/>
                <w:szCs w:val="20"/>
              </w:rPr>
              <w:t>veľkosť skupiny (počet obyvateľov):</w:t>
            </w:r>
          </w:p>
        </w:tc>
        <w:tc>
          <w:tcPr>
            <w:tcW w:w="3229" w:type="pct"/>
            <w:tcBorders>
              <w:top w:val="dotted" w:sz="4" w:space="0" w:color="auto"/>
            </w:tcBorders>
            <w:shd w:val="clear" w:color="auto" w:fill="auto"/>
          </w:tcPr>
          <w:p w:rsidR="000A7CB4" w:rsidRPr="000A7CB4" w:rsidRDefault="000A7CB4" w:rsidP="008529A1">
            <w:pPr>
              <w:rPr>
                <w:rFonts w:eastAsia="Calibri" w:cs="Times New Roman"/>
                <w:sz w:val="20"/>
                <w:szCs w:val="20"/>
              </w:rPr>
            </w:pPr>
            <w:r w:rsidRPr="000A7CB4">
              <w:rPr>
                <w:rFonts w:eastAsia="Calibri" w:cs="Times New Roman"/>
                <w:i/>
                <w:sz w:val="18"/>
                <w:szCs w:val="20"/>
              </w:rPr>
              <w:t>Ovplyvnená skupina č. 1</w:t>
            </w:r>
          </w:p>
        </w:tc>
      </w:tr>
      <w:tr w:rsidR="000A7CB4" w:rsidRPr="000A7CB4" w:rsidTr="008529A1">
        <w:trPr>
          <w:trHeight w:val="680"/>
          <w:jc w:val="center"/>
        </w:trPr>
        <w:tc>
          <w:tcPr>
            <w:tcW w:w="129" w:type="pct"/>
            <w:vMerge/>
            <w:shd w:val="clear" w:color="auto" w:fill="auto"/>
            <w:vAlign w:val="center"/>
          </w:tcPr>
          <w:p w:rsidR="000A7CB4" w:rsidRPr="000A7CB4" w:rsidRDefault="000A7CB4" w:rsidP="008529A1">
            <w:pPr>
              <w:jc w:val="center"/>
              <w:rPr>
                <w:rFonts w:eastAsia="Calibri" w:cs="Times New Roman"/>
                <w:i/>
                <w:sz w:val="18"/>
                <w:szCs w:val="18"/>
              </w:rPr>
            </w:pPr>
          </w:p>
        </w:tc>
        <w:tc>
          <w:tcPr>
            <w:tcW w:w="1642" w:type="pct"/>
            <w:shd w:val="clear" w:color="auto" w:fill="auto"/>
          </w:tcPr>
          <w:p w:rsidR="000A7CB4" w:rsidRPr="000A7CB4" w:rsidRDefault="000A7CB4" w:rsidP="008529A1">
            <w:pPr>
              <w:rPr>
                <w:rFonts w:eastAsia="Calibri" w:cs="Times New Roman"/>
                <w:i/>
                <w:sz w:val="20"/>
                <w:szCs w:val="20"/>
              </w:rPr>
            </w:pPr>
            <w:r w:rsidRPr="000A7CB4">
              <w:rPr>
                <w:rFonts w:eastAsia="Calibri" w:cs="Times New Roman"/>
                <w:i/>
                <w:sz w:val="18"/>
                <w:szCs w:val="20"/>
              </w:rPr>
              <w:t>Ovplyvnená skupina č. 3</w:t>
            </w:r>
          </w:p>
        </w:tc>
        <w:tc>
          <w:tcPr>
            <w:tcW w:w="3229" w:type="pct"/>
            <w:tcBorders>
              <w:top w:val="dotted" w:sz="4" w:space="0" w:color="auto"/>
            </w:tcBorders>
            <w:shd w:val="clear" w:color="auto" w:fill="auto"/>
          </w:tcPr>
          <w:p w:rsidR="000A7CB4" w:rsidRPr="000A7CB4" w:rsidRDefault="000A7CB4" w:rsidP="008529A1">
            <w:pPr>
              <w:rPr>
                <w:rFonts w:eastAsia="Calibri" w:cs="Times New Roman"/>
                <w:sz w:val="20"/>
                <w:szCs w:val="20"/>
              </w:rPr>
            </w:pPr>
            <w:r w:rsidRPr="000A7CB4">
              <w:rPr>
                <w:rFonts w:eastAsia="Calibri" w:cs="Times New Roman"/>
                <w:i/>
                <w:sz w:val="18"/>
                <w:szCs w:val="20"/>
              </w:rPr>
              <w:t>Ovplyvnená skupina č. 2</w:t>
            </w:r>
          </w:p>
        </w:tc>
      </w:tr>
      <w:tr w:rsidR="000A7CB4" w:rsidRPr="000A7CB4" w:rsidTr="008529A1">
        <w:trPr>
          <w:trHeight w:val="397"/>
          <w:jc w:val="center"/>
        </w:trPr>
        <w:tc>
          <w:tcPr>
            <w:tcW w:w="129" w:type="pct"/>
            <w:tcBorders>
              <w:top w:val="dotted" w:sz="4" w:space="0" w:color="auto"/>
            </w:tcBorders>
            <w:shd w:val="clear" w:color="auto" w:fill="auto"/>
            <w:vAlign w:val="center"/>
          </w:tcPr>
          <w:p w:rsidR="000A7CB4" w:rsidRPr="000A7CB4" w:rsidRDefault="000A7CB4" w:rsidP="008529A1">
            <w:pPr>
              <w:jc w:val="center"/>
              <w:rPr>
                <w:rFonts w:eastAsia="Calibri" w:cs="Times New Roman"/>
                <w:i/>
                <w:sz w:val="18"/>
                <w:szCs w:val="18"/>
              </w:rPr>
            </w:pPr>
            <w:r w:rsidRPr="000A7CB4">
              <w:rPr>
                <w:rFonts w:eastAsia="Calibri" w:cs="Times New Roman"/>
                <w:i/>
                <w:sz w:val="18"/>
                <w:szCs w:val="18"/>
              </w:rPr>
              <w:t>f)</w:t>
            </w:r>
          </w:p>
        </w:tc>
        <w:tc>
          <w:tcPr>
            <w:tcW w:w="1642" w:type="pct"/>
            <w:tcBorders>
              <w:top w:val="dotted" w:sz="4" w:space="0" w:color="auto"/>
            </w:tcBorders>
            <w:shd w:val="clear" w:color="auto" w:fill="auto"/>
          </w:tcPr>
          <w:p w:rsidR="000A7CB4" w:rsidRPr="000A7CB4" w:rsidRDefault="000A7CB4" w:rsidP="008529A1">
            <w:pPr>
              <w:rPr>
                <w:rFonts w:eastAsia="Calibri" w:cs="Times New Roman"/>
                <w:i/>
                <w:sz w:val="20"/>
                <w:szCs w:val="20"/>
              </w:rPr>
            </w:pPr>
            <w:r w:rsidRPr="000A7CB4">
              <w:rPr>
                <w:rFonts w:eastAsia="Calibri" w:cs="Times New Roman"/>
                <w:i/>
                <w:sz w:val="20"/>
                <w:szCs w:val="20"/>
              </w:rPr>
              <w:t>Dôvod chýbajúcej kvantifikácie:</w:t>
            </w:r>
          </w:p>
        </w:tc>
        <w:tc>
          <w:tcPr>
            <w:tcW w:w="3229" w:type="pct"/>
            <w:tcBorders>
              <w:top w:val="dotted" w:sz="4" w:space="0" w:color="auto"/>
            </w:tcBorders>
            <w:shd w:val="clear" w:color="auto" w:fill="auto"/>
          </w:tcPr>
          <w:p w:rsidR="000A7CB4" w:rsidRPr="000A7CB4" w:rsidRDefault="000A7CB4" w:rsidP="008529A1">
            <w:pPr>
              <w:rPr>
                <w:rFonts w:eastAsia="Calibri" w:cs="Times New Roman"/>
                <w:sz w:val="20"/>
                <w:szCs w:val="20"/>
              </w:rPr>
            </w:pPr>
          </w:p>
        </w:tc>
      </w:tr>
      <w:tr w:rsidR="000A7CB4" w:rsidRPr="000A7CB4" w:rsidTr="008529A1">
        <w:trPr>
          <w:trHeight w:val="227"/>
          <w:jc w:val="center"/>
        </w:trPr>
        <w:tc>
          <w:tcPr>
            <w:tcW w:w="129" w:type="pct"/>
            <w:tcBorders>
              <w:top w:val="nil"/>
              <w:bottom w:val="single" w:sz="4" w:space="0" w:color="auto"/>
            </w:tcBorders>
            <w:shd w:val="clear" w:color="auto" w:fill="F2F2F2"/>
            <w:vAlign w:val="center"/>
          </w:tcPr>
          <w:p w:rsidR="000A7CB4" w:rsidRPr="000A7CB4" w:rsidRDefault="000A7CB4" w:rsidP="008529A1">
            <w:pPr>
              <w:jc w:val="center"/>
              <w:rPr>
                <w:rFonts w:eastAsia="Calibri" w:cs="Times New Roman"/>
                <w:i/>
                <w:sz w:val="18"/>
                <w:szCs w:val="18"/>
              </w:rPr>
            </w:pPr>
            <w:r w:rsidRPr="000A7CB4">
              <w:rPr>
                <w:rFonts w:eastAsia="Calibri" w:cs="Times New Roman"/>
                <w:i/>
                <w:sz w:val="18"/>
                <w:szCs w:val="18"/>
              </w:rPr>
              <w:t>g)</w:t>
            </w:r>
          </w:p>
        </w:tc>
        <w:tc>
          <w:tcPr>
            <w:tcW w:w="4871" w:type="pct"/>
            <w:gridSpan w:val="2"/>
            <w:tcBorders>
              <w:top w:val="nil"/>
              <w:bottom w:val="single" w:sz="4" w:space="0" w:color="auto"/>
            </w:tcBorders>
            <w:shd w:val="clear" w:color="auto" w:fill="F2F2F2"/>
          </w:tcPr>
          <w:p w:rsidR="000A7CB4" w:rsidRPr="000A7CB4" w:rsidRDefault="000A7CB4" w:rsidP="008529A1">
            <w:pPr>
              <w:rPr>
                <w:rFonts w:eastAsia="Calibri" w:cs="Times New Roman"/>
                <w:i/>
                <w:sz w:val="20"/>
                <w:szCs w:val="20"/>
              </w:rPr>
            </w:pPr>
            <w:r w:rsidRPr="000A7CB4">
              <w:rPr>
                <w:rFonts w:eastAsia="Calibri" w:cs="Times New Roman"/>
                <w:b/>
                <w:i/>
                <w:sz w:val="20"/>
                <w:szCs w:val="20"/>
              </w:rPr>
              <w:t>4.1.2.1</w:t>
            </w:r>
            <w:r w:rsidRPr="000A7CB4">
              <w:rPr>
                <w:rFonts w:eastAsia="Calibri" w:cs="Times New Roman"/>
                <w:i/>
                <w:sz w:val="20"/>
                <w:szCs w:val="20"/>
              </w:rPr>
              <w:t xml:space="preserve"> </w:t>
            </w:r>
            <w:r w:rsidRPr="000A7CB4">
              <w:rPr>
                <w:rFonts w:eastAsia="Calibri" w:cs="Times New Roman"/>
                <w:b/>
                <w:i/>
                <w:sz w:val="20"/>
                <w:szCs w:val="20"/>
              </w:rPr>
              <w:t>Z toho negatívny vplyv na skupiny v riziku chudoby alebo sociálneho vylúčenia</w:t>
            </w:r>
          </w:p>
          <w:p w:rsidR="000A7CB4" w:rsidRPr="000A7CB4" w:rsidRDefault="000A7CB4" w:rsidP="008529A1">
            <w:pPr>
              <w:rPr>
                <w:rFonts w:eastAsia="Calibri" w:cs="Times New Roman"/>
                <w:b/>
                <w:sz w:val="20"/>
                <w:szCs w:val="20"/>
              </w:rPr>
            </w:pPr>
            <w:r w:rsidRPr="000A7CB4">
              <w:rPr>
                <w:rFonts w:eastAsia="Calibri" w:cs="Times New Roman"/>
                <w:i/>
                <w:sz w:val="20"/>
                <w:szCs w:val="20"/>
              </w:rPr>
              <w:t>(</w:t>
            </w:r>
            <w:r w:rsidRPr="000A7CB4">
              <w:rPr>
                <w:rFonts w:eastAsia="Calibri" w:cs="Times New Roman"/>
                <w:i/>
                <w:sz w:val="18"/>
                <w:szCs w:val="20"/>
              </w:rPr>
              <w:t>V prípade významných vplyvov na príjmy alebo výdavky domácností v riziku chudoby, identifikujte a kvantifikujte  negatívny vplyv na chudobu obyvateľstva (napr. zvyšovanie miery rizika chudoby, priemerný pokles príjmov/ rast výdavkov v skupine</w:t>
            </w:r>
            <w:r w:rsidRPr="000A7CB4">
              <w:rPr>
                <w:rFonts w:eastAsia="Calibri" w:cs="Times New Roman"/>
                <w:i/>
                <w:sz w:val="20"/>
                <w:szCs w:val="20"/>
              </w:rPr>
              <w:t>)</w:t>
            </w:r>
          </w:p>
        </w:tc>
      </w:tr>
      <w:tr w:rsidR="000A7CB4" w:rsidRPr="000A7CB4" w:rsidTr="008529A1">
        <w:trPr>
          <w:trHeight w:val="759"/>
          <w:jc w:val="center"/>
        </w:trPr>
        <w:tc>
          <w:tcPr>
            <w:tcW w:w="129" w:type="pct"/>
            <w:tcBorders>
              <w:top w:val="single" w:sz="4" w:space="0" w:color="auto"/>
              <w:bottom w:val="single" w:sz="4" w:space="0" w:color="auto"/>
            </w:tcBorders>
            <w:shd w:val="clear" w:color="auto" w:fill="auto"/>
            <w:vAlign w:val="center"/>
          </w:tcPr>
          <w:p w:rsidR="000A7CB4" w:rsidRPr="000A7CB4" w:rsidRDefault="000A7CB4" w:rsidP="008529A1">
            <w:pPr>
              <w:jc w:val="center"/>
              <w:rPr>
                <w:rFonts w:eastAsia="Calibri" w:cs="Times New Roman"/>
                <w:i/>
                <w:sz w:val="18"/>
                <w:szCs w:val="18"/>
              </w:rPr>
            </w:pPr>
            <w:r w:rsidRPr="000A7CB4">
              <w:rPr>
                <w:rFonts w:eastAsia="Calibri" w:cs="Times New Roman"/>
                <w:i/>
                <w:sz w:val="18"/>
                <w:szCs w:val="18"/>
              </w:rPr>
              <w:t>h)</w:t>
            </w:r>
          </w:p>
        </w:tc>
        <w:tc>
          <w:tcPr>
            <w:tcW w:w="1642" w:type="pct"/>
            <w:tcBorders>
              <w:top w:val="single" w:sz="4" w:space="0" w:color="auto"/>
              <w:bottom w:val="single" w:sz="4" w:space="0" w:color="auto"/>
            </w:tcBorders>
            <w:shd w:val="clear" w:color="auto" w:fill="auto"/>
          </w:tcPr>
          <w:p w:rsidR="000A7CB4" w:rsidRPr="000A7CB4" w:rsidRDefault="000A7CB4" w:rsidP="008529A1">
            <w:pPr>
              <w:jc w:val="both"/>
              <w:rPr>
                <w:rFonts w:eastAsia="Calibri" w:cs="Times New Roman"/>
                <w:i/>
                <w:sz w:val="20"/>
                <w:szCs w:val="20"/>
              </w:rPr>
            </w:pPr>
            <w:r w:rsidRPr="000A7CB4">
              <w:rPr>
                <w:rFonts w:eastAsia="Calibri" w:cs="Times New Roman"/>
                <w:b/>
                <w:i/>
                <w:sz w:val="20"/>
                <w:szCs w:val="20"/>
              </w:rPr>
              <w:t>Popíšte</w:t>
            </w:r>
            <w:r w:rsidRPr="000A7CB4">
              <w:rPr>
                <w:rFonts w:eastAsia="Calibri" w:cs="Times New Roman"/>
                <w:i/>
                <w:sz w:val="20"/>
                <w:szCs w:val="20"/>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0A7CB4" w:rsidRPr="000A7CB4" w:rsidRDefault="000A7CB4" w:rsidP="008529A1">
            <w:pPr>
              <w:rPr>
                <w:rFonts w:eastAsia="Calibri" w:cs="Times New Roman"/>
                <w:sz w:val="20"/>
                <w:szCs w:val="20"/>
              </w:rPr>
            </w:pPr>
          </w:p>
        </w:tc>
      </w:tr>
      <w:tr w:rsidR="000A7CB4" w:rsidRPr="000A7CB4" w:rsidTr="008529A1">
        <w:trPr>
          <w:trHeight w:val="397"/>
          <w:jc w:val="center"/>
        </w:trPr>
        <w:tc>
          <w:tcPr>
            <w:tcW w:w="129" w:type="pct"/>
            <w:vMerge w:val="restart"/>
            <w:tcBorders>
              <w:top w:val="single" w:sz="4" w:space="0" w:color="auto"/>
            </w:tcBorders>
            <w:shd w:val="clear" w:color="auto" w:fill="auto"/>
            <w:vAlign w:val="center"/>
          </w:tcPr>
          <w:p w:rsidR="000A7CB4" w:rsidRPr="000A7CB4" w:rsidRDefault="000A7CB4" w:rsidP="008529A1">
            <w:pPr>
              <w:jc w:val="center"/>
              <w:rPr>
                <w:rFonts w:eastAsia="Calibri" w:cs="Times New Roman"/>
                <w:i/>
                <w:sz w:val="18"/>
                <w:szCs w:val="18"/>
              </w:rPr>
            </w:pPr>
            <w:r w:rsidRPr="000A7CB4">
              <w:rPr>
                <w:rFonts w:eastAsia="Calibri" w:cs="Times New Roman"/>
                <w:i/>
                <w:sz w:val="18"/>
                <w:szCs w:val="18"/>
              </w:rPr>
              <w:t>i)</w:t>
            </w:r>
          </w:p>
        </w:tc>
        <w:tc>
          <w:tcPr>
            <w:tcW w:w="1642" w:type="pct"/>
            <w:tcBorders>
              <w:top w:val="single" w:sz="4" w:space="0" w:color="auto"/>
            </w:tcBorders>
            <w:shd w:val="clear" w:color="auto" w:fill="auto"/>
          </w:tcPr>
          <w:p w:rsidR="000A7CB4" w:rsidRPr="000A7CB4" w:rsidRDefault="000A7CB4" w:rsidP="008529A1">
            <w:pPr>
              <w:rPr>
                <w:rFonts w:eastAsia="Calibri" w:cs="Times New Roman"/>
                <w:i/>
                <w:sz w:val="20"/>
                <w:szCs w:val="20"/>
              </w:rPr>
            </w:pPr>
            <w:r w:rsidRPr="000A7CB4">
              <w:rPr>
                <w:rFonts w:eastAsia="Calibri" w:cs="Times New Roman"/>
                <w:b/>
                <w:i/>
                <w:sz w:val="20"/>
                <w:szCs w:val="20"/>
              </w:rPr>
              <w:t xml:space="preserve">Špecifikujte </w:t>
            </w:r>
            <w:r w:rsidRPr="000A7CB4">
              <w:rPr>
                <w:rFonts w:eastAsia="Calibri" w:cs="Times New Roman"/>
                <w:i/>
                <w:sz w:val="20"/>
                <w:szCs w:val="20"/>
              </w:rPr>
              <w:t>ovplyvnené skupiny:</w:t>
            </w:r>
          </w:p>
        </w:tc>
        <w:tc>
          <w:tcPr>
            <w:tcW w:w="3229" w:type="pct"/>
            <w:tcBorders>
              <w:top w:val="single" w:sz="4" w:space="0" w:color="auto"/>
            </w:tcBorders>
            <w:shd w:val="clear" w:color="auto" w:fill="auto"/>
          </w:tcPr>
          <w:p w:rsidR="000A7CB4" w:rsidRPr="000A7CB4" w:rsidRDefault="000A7CB4" w:rsidP="008529A1">
            <w:pPr>
              <w:rPr>
                <w:rFonts w:eastAsia="Calibri" w:cs="Times New Roman"/>
                <w:i/>
                <w:sz w:val="18"/>
                <w:szCs w:val="20"/>
              </w:rPr>
            </w:pPr>
            <w:r w:rsidRPr="000A7CB4">
              <w:rPr>
                <w:rFonts w:eastAsia="Calibri" w:cs="Times New Roman"/>
                <w:i/>
                <w:sz w:val="18"/>
                <w:szCs w:val="20"/>
              </w:rPr>
              <w:t>Ovplyvnená skupina č. 1</w:t>
            </w:r>
          </w:p>
        </w:tc>
      </w:tr>
      <w:tr w:rsidR="000A7CB4" w:rsidRPr="000A7CB4" w:rsidTr="008529A1">
        <w:trPr>
          <w:trHeight w:val="397"/>
          <w:jc w:val="center"/>
        </w:trPr>
        <w:tc>
          <w:tcPr>
            <w:tcW w:w="129" w:type="pct"/>
            <w:vMerge/>
            <w:shd w:val="clear" w:color="auto" w:fill="auto"/>
            <w:vAlign w:val="center"/>
          </w:tcPr>
          <w:p w:rsidR="000A7CB4" w:rsidRPr="000A7CB4" w:rsidRDefault="000A7CB4" w:rsidP="008529A1">
            <w:pPr>
              <w:jc w:val="center"/>
              <w:rPr>
                <w:rFonts w:eastAsia="Calibri" w:cs="Times New Roman"/>
                <w:i/>
                <w:sz w:val="18"/>
                <w:szCs w:val="18"/>
              </w:rPr>
            </w:pPr>
          </w:p>
        </w:tc>
        <w:tc>
          <w:tcPr>
            <w:tcW w:w="1642" w:type="pct"/>
            <w:shd w:val="clear" w:color="auto" w:fill="auto"/>
          </w:tcPr>
          <w:p w:rsidR="000A7CB4" w:rsidRPr="000A7CB4" w:rsidRDefault="000A7CB4" w:rsidP="008529A1">
            <w:pPr>
              <w:rPr>
                <w:rFonts w:eastAsia="Calibri" w:cs="Times New Roman"/>
                <w:i/>
                <w:sz w:val="20"/>
                <w:szCs w:val="20"/>
              </w:rPr>
            </w:pPr>
            <w:r w:rsidRPr="000A7CB4">
              <w:rPr>
                <w:rFonts w:eastAsia="Calibri" w:cs="Times New Roman"/>
                <w:i/>
                <w:sz w:val="18"/>
                <w:szCs w:val="20"/>
              </w:rPr>
              <w:t>Ovplyvnená skupina č. 3</w:t>
            </w:r>
          </w:p>
        </w:tc>
        <w:tc>
          <w:tcPr>
            <w:tcW w:w="3229" w:type="pct"/>
            <w:tcBorders>
              <w:top w:val="dotted" w:sz="4" w:space="0" w:color="auto"/>
            </w:tcBorders>
            <w:shd w:val="clear" w:color="auto" w:fill="auto"/>
          </w:tcPr>
          <w:p w:rsidR="000A7CB4" w:rsidRPr="000A7CB4" w:rsidRDefault="000A7CB4" w:rsidP="008529A1">
            <w:pPr>
              <w:rPr>
                <w:rFonts w:eastAsia="Calibri" w:cs="Times New Roman"/>
                <w:sz w:val="20"/>
                <w:szCs w:val="20"/>
              </w:rPr>
            </w:pPr>
            <w:r w:rsidRPr="000A7CB4">
              <w:rPr>
                <w:rFonts w:eastAsia="Calibri" w:cs="Times New Roman"/>
                <w:i/>
                <w:sz w:val="18"/>
                <w:szCs w:val="20"/>
              </w:rPr>
              <w:t>Ovplyvnená skupina č. 2</w:t>
            </w:r>
          </w:p>
        </w:tc>
      </w:tr>
      <w:tr w:rsidR="000A7CB4" w:rsidRPr="000A7CB4" w:rsidTr="008529A1">
        <w:trPr>
          <w:trHeight w:val="454"/>
          <w:jc w:val="center"/>
        </w:trPr>
        <w:tc>
          <w:tcPr>
            <w:tcW w:w="129" w:type="pct"/>
            <w:tcBorders>
              <w:top w:val="dotted" w:sz="4" w:space="0" w:color="auto"/>
            </w:tcBorders>
            <w:shd w:val="clear" w:color="auto" w:fill="F2F2F2"/>
            <w:vAlign w:val="center"/>
          </w:tcPr>
          <w:p w:rsidR="000A7CB4" w:rsidRPr="000A7CB4" w:rsidRDefault="000A7CB4" w:rsidP="008529A1">
            <w:pPr>
              <w:jc w:val="center"/>
              <w:rPr>
                <w:rFonts w:eastAsia="Calibri" w:cs="Times New Roman"/>
                <w:sz w:val="18"/>
                <w:szCs w:val="18"/>
              </w:rPr>
            </w:pPr>
            <w:r w:rsidRPr="000A7CB4">
              <w:rPr>
                <w:rFonts w:eastAsia="Calibri" w:cs="Times New Roman"/>
                <w:i/>
                <w:sz w:val="18"/>
                <w:szCs w:val="18"/>
              </w:rPr>
              <w:t>j</w:t>
            </w:r>
            <w:r w:rsidRPr="000A7CB4">
              <w:rPr>
                <w:rFonts w:eastAsia="Calibri" w:cs="Times New Roman"/>
                <w:sz w:val="18"/>
                <w:szCs w:val="18"/>
              </w:rPr>
              <w:t>)</w:t>
            </w:r>
          </w:p>
        </w:tc>
        <w:tc>
          <w:tcPr>
            <w:tcW w:w="4871" w:type="pct"/>
            <w:gridSpan w:val="2"/>
            <w:tcBorders>
              <w:top w:val="dotted" w:sz="4" w:space="0" w:color="auto"/>
            </w:tcBorders>
            <w:shd w:val="clear" w:color="auto" w:fill="F2F2F2"/>
            <w:vAlign w:val="center"/>
          </w:tcPr>
          <w:p w:rsidR="000A7CB4" w:rsidRPr="000A7CB4" w:rsidRDefault="000A7CB4" w:rsidP="008529A1">
            <w:pPr>
              <w:rPr>
                <w:rFonts w:eastAsia="Calibri" w:cs="Times New Roman"/>
                <w:i/>
                <w:sz w:val="20"/>
                <w:szCs w:val="20"/>
              </w:rPr>
            </w:pPr>
            <w:r w:rsidRPr="000A7CB4">
              <w:rPr>
                <w:rFonts w:eastAsia="Calibri" w:cs="Times New Roman"/>
                <w:b/>
                <w:i/>
                <w:sz w:val="20"/>
                <w:szCs w:val="20"/>
              </w:rPr>
              <w:t>Kvantifikujte</w:t>
            </w:r>
            <w:r w:rsidRPr="000A7CB4">
              <w:rPr>
                <w:rFonts w:eastAsia="Calibri" w:cs="Times New Roman"/>
                <w:i/>
                <w:sz w:val="20"/>
                <w:szCs w:val="20"/>
              </w:rPr>
              <w:t xml:space="preserve"> pokles príjmov alebo rast výdavkov </w:t>
            </w:r>
            <w:r w:rsidRPr="000A7CB4">
              <w:rPr>
                <w:rFonts w:eastAsia="Calibri" w:cs="Times New Roman"/>
                <w:b/>
                <w:i/>
                <w:sz w:val="20"/>
                <w:szCs w:val="20"/>
              </w:rPr>
              <w:t>za jednotlivé ovplyvnené skupiny</w:t>
            </w:r>
            <w:r w:rsidRPr="000A7CB4">
              <w:rPr>
                <w:rFonts w:eastAsia="Calibri" w:cs="Times New Roman"/>
                <w:i/>
                <w:sz w:val="20"/>
                <w:szCs w:val="20"/>
              </w:rPr>
              <w:t xml:space="preserve"> domácností / skupiny jednotlivcov a počet obyvateľstva/domácností ovplyvnených predkladaným návrhom.</w:t>
            </w:r>
          </w:p>
        </w:tc>
      </w:tr>
      <w:tr w:rsidR="000A7CB4" w:rsidRPr="000A7CB4" w:rsidTr="008529A1">
        <w:trPr>
          <w:trHeight w:val="680"/>
          <w:jc w:val="center"/>
        </w:trPr>
        <w:tc>
          <w:tcPr>
            <w:tcW w:w="129" w:type="pct"/>
            <w:vMerge w:val="restart"/>
            <w:tcBorders>
              <w:top w:val="dotted" w:sz="4" w:space="0" w:color="auto"/>
            </w:tcBorders>
            <w:shd w:val="clear" w:color="auto" w:fill="auto"/>
            <w:vAlign w:val="center"/>
          </w:tcPr>
          <w:p w:rsidR="000A7CB4" w:rsidRPr="000A7CB4" w:rsidRDefault="000A7CB4" w:rsidP="008529A1">
            <w:pPr>
              <w:jc w:val="center"/>
              <w:rPr>
                <w:rFonts w:eastAsia="Calibri" w:cs="Times New Roman"/>
                <w:i/>
                <w:sz w:val="18"/>
                <w:szCs w:val="18"/>
              </w:rPr>
            </w:pPr>
            <w:r w:rsidRPr="000A7CB4">
              <w:rPr>
                <w:rFonts w:eastAsia="Calibri" w:cs="Times New Roman"/>
                <w:i/>
                <w:sz w:val="18"/>
                <w:szCs w:val="18"/>
              </w:rPr>
              <w:t>k)</w:t>
            </w:r>
          </w:p>
        </w:tc>
        <w:tc>
          <w:tcPr>
            <w:tcW w:w="1642" w:type="pct"/>
            <w:tcBorders>
              <w:top w:val="dotted" w:sz="4" w:space="0" w:color="auto"/>
            </w:tcBorders>
            <w:shd w:val="clear" w:color="auto" w:fill="auto"/>
          </w:tcPr>
          <w:p w:rsidR="000A7CB4" w:rsidRPr="000A7CB4" w:rsidRDefault="000A7CB4" w:rsidP="000A7CB4">
            <w:pPr>
              <w:widowControl/>
              <w:numPr>
                <w:ilvl w:val="0"/>
                <w:numId w:val="8"/>
              </w:numPr>
              <w:adjustRightInd/>
              <w:contextualSpacing/>
              <w:rPr>
                <w:rFonts w:eastAsia="Calibri" w:cs="Times New Roman"/>
                <w:i/>
                <w:sz w:val="18"/>
                <w:szCs w:val="20"/>
              </w:rPr>
            </w:pPr>
            <w:r w:rsidRPr="000A7CB4">
              <w:rPr>
                <w:rFonts w:eastAsia="Calibri" w:cs="Times New Roman"/>
                <w:i/>
                <w:sz w:val="18"/>
                <w:szCs w:val="20"/>
              </w:rPr>
              <w:t>priemerný pokles príjmov/ rast výdavkov v skupine v eurách a/alebo v % / obdobie:</w:t>
            </w:r>
          </w:p>
          <w:p w:rsidR="000A7CB4" w:rsidRPr="000A7CB4" w:rsidRDefault="000A7CB4" w:rsidP="000A7CB4">
            <w:pPr>
              <w:widowControl/>
              <w:numPr>
                <w:ilvl w:val="0"/>
                <w:numId w:val="8"/>
              </w:numPr>
              <w:adjustRightInd/>
              <w:contextualSpacing/>
              <w:rPr>
                <w:rFonts w:eastAsia="Calibri" w:cs="Times New Roman"/>
                <w:i/>
                <w:sz w:val="20"/>
                <w:szCs w:val="20"/>
              </w:rPr>
            </w:pPr>
            <w:r w:rsidRPr="000A7CB4">
              <w:rPr>
                <w:rFonts w:eastAsia="Calibri" w:cs="Times New Roman"/>
                <w:i/>
                <w:sz w:val="18"/>
                <w:szCs w:val="20"/>
              </w:rPr>
              <w:t>veľkosť skupiny (počet obyvateľov):</w:t>
            </w:r>
          </w:p>
        </w:tc>
        <w:tc>
          <w:tcPr>
            <w:tcW w:w="3229" w:type="pct"/>
            <w:tcBorders>
              <w:top w:val="dotted" w:sz="4" w:space="0" w:color="auto"/>
            </w:tcBorders>
            <w:shd w:val="clear" w:color="auto" w:fill="auto"/>
          </w:tcPr>
          <w:p w:rsidR="000A7CB4" w:rsidRPr="000A7CB4" w:rsidRDefault="000A7CB4" w:rsidP="008529A1">
            <w:pPr>
              <w:rPr>
                <w:rFonts w:eastAsia="Calibri" w:cs="Times New Roman"/>
                <w:sz w:val="20"/>
                <w:szCs w:val="20"/>
              </w:rPr>
            </w:pPr>
            <w:r w:rsidRPr="000A7CB4">
              <w:rPr>
                <w:rFonts w:eastAsia="Calibri" w:cs="Times New Roman"/>
                <w:i/>
                <w:sz w:val="18"/>
                <w:szCs w:val="20"/>
              </w:rPr>
              <w:t>Ovplyvnená skupina č. 1</w:t>
            </w:r>
          </w:p>
        </w:tc>
      </w:tr>
      <w:tr w:rsidR="000A7CB4" w:rsidRPr="000A7CB4" w:rsidTr="008529A1">
        <w:trPr>
          <w:trHeight w:val="680"/>
          <w:jc w:val="center"/>
        </w:trPr>
        <w:tc>
          <w:tcPr>
            <w:tcW w:w="129" w:type="pct"/>
            <w:vMerge/>
            <w:shd w:val="clear" w:color="auto" w:fill="auto"/>
            <w:vAlign w:val="center"/>
          </w:tcPr>
          <w:p w:rsidR="000A7CB4" w:rsidRPr="000A7CB4" w:rsidRDefault="000A7CB4" w:rsidP="008529A1">
            <w:pPr>
              <w:jc w:val="center"/>
              <w:rPr>
                <w:rFonts w:eastAsia="Calibri" w:cs="Times New Roman"/>
                <w:i/>
                <w:sz w:val="18"/>
                <w:szCs w:val="18"/>
              </w:rPr>
            </w:pPr>
          </w:p>
        </w:tc>
        <w:tc>
          <w:tcPr>
            <w:tcW w:w="1642" w:type="pct"/>
            <w:shd w:val="clear" w:color="auto" w:fill="auto"/>
          </w:tcPr>
          <w:p w:rsidR="000A7CB4" w:rsidRPr="000A7CB4" w:rsidRDefault="000A7CB4" w:rsidP="008529A1">
            <w:pPr>
              <w:rPr>
                <w:rFonts w:eastAsia="Calibri" w:cs="Times New Roman"/>
                <w:i/>
                <w:sz w:val="20"/>
                <w:szCs w:val="20"/>
              </w:rPr>
            </w:pPr>
            <w:r w:rsidRPr="000A7CB4">
              <w:rPr>
                <w:rFonts w:eastAsia="Calibri" w:cs="Times New Roman"/>
                <w:i/>
                <w:sz w:val="18"/>
                <w:szCs w:val="20"/>
              </w:rPr>
              <w:t>Ovplyvnená skupina č. 3</w:t>
            </w:r>
          </w:p>
        </w:tc>
        <w:tc>
          <w:tcPr>
            <w:tcW w:w="3229" w:type="pct"/>
            <w:tcBorders>
              <w:top w:val="dotted" w:sz="4" w:space="0" w:color="auto"/>
            </w:tcBorders>
            <w:shd w:val="clear" w:color="auto" w:fill="auto"/>
          </w:tcPr>
          <w:p w:rsidR="000A7CB4" w:rsidRPr="000A7CB4" w:rsidRDefault="000A7CB4" w:rsidP="008529A1">
            <w:pPr>
              <w:rPr>
                <w:rFonts w:eastAsia="Calibri" w:cs="Times New Roman"/>
                <w:sz w:val="20"/>
                <w:szCs w:val="20"/>
              </w:rPr>
            </w:pPr>
            <w:r w:rsidRPr="000A7CB4">
              <w:rPr>
                <w:rFonts w:eastAsia="Calibri" w:cs="Times New Roman"/>
                <w:i/>
                <w:sz w:val="18"/>
                <w:szCs w:val="20"/>
              </w:rPr>
              <w:t>Ovplyvnená skupina č. 2</w:t>
            </w:r>
          </w:p>
        </w:tc>
      </w:tr>
      <w:tr w:rsidR="000A7CB4" w:rsidRPr="000A7CB4" w:rsidTr="008529A1">
        <w:trPr>
          <w:trHeight w:val="454"/>
          <w:jc w:val="center"/>
        </w:trPr>
        <w:tc>
          <w:tcPr>
            <w:tcW w:w="129" w:type="pct"/>
            <w:tcBorders>
              <w:top w:val="dotted" w:sz="4" w:space="0" w:color="auto"/>
              <w:bottom w:val="single" w:sz="4" w:space="0" w:color="auto"/>
            </w:tcBorders>
            <w:shd w:val="clear" w:color="auto" w:fill="auto"/>
            <w:vAlign w:val="center"/>
          </w:tcPr>
          <w:p w:rsidR="000A7CB4" w:rsidRPr="000A7CB4" w:rsidRDefault="000A7CB4" w:rsidP="008529A1">
            <w:pPr>
              <w:jc w:val="center"/>
              <w:rPr>
                <w:rFonts w:eastAsia="Calibri" w:cs="Times New Roman"/>
                <w:i/>
                <w:sz w:val="18"/>
                <w:szCs w:val="18"/>
              </w:rPr>
            </w:pPr>
            <w:r w:rsidRPr="000A7CB4">
              <w:rPr>
                <w:rFonts w:eastAsia="Calibri" w:cs="Times New Roman"/>
                <w:i/>
                <w:sz w:val="18"/>
                <w:szCs w:val="18"/>
              </w:rPr>
              <w:t>l)</w:t>
            </w:r>
          </w:p>
        </w:tc>
        <w:tc>
          <w:tcPr>
            <w:tcW w:w="1642" w:type="pct"/>
            <w:tcBorders>
              <w:top w:val="dotted" w:sz="4" w:space="0" w:color="auto"/>
              <w:bottom w:val="single" w:sz="4" w:space="0" w:color="auto"/>
            </w:tcBorders>
            <w:shd w:val="clear" w:color="auto" w:fill="auto"/>
          </w:tcPr>
          <w:p w:rsidR="000A7CB4" w:rsidRPr="000A7CB4" w:rsidRDefault="000A7CB4" w:rsidP="008529A1">
            <w:pPr>
              <w:rPr>
                <w:rFonts w:eastAsia="Calibri" w:cs="Times New Roman"/>
                <w:i/>
                <w:sz w:val="20"/>
                <w:szCs w:val="20"/>
              </w:rPr>
            </w:pPr>
            <w:r w:rsidRPr="000A7CB4">
              <w:rPr>
                <w:rFonts w:eastAsia="Calibri" w:cs="Times New Roman"/>
                <w:i/>
                <w:sz w:val="20"/>
                <w:szCs w:val="20"/>
              </w:rPr>
              <w:t>Dôvod chýbajúcej kvantifikácie:</w:t>
            </w:r>
          </w:p>
        </w:tc>
        <w:tc>
          <w:tcPr>
            <w:tcW w:w="3229" w:type="pct"/>
            <w:tcBorders>
              <w:top w:val="dotted" w:sz="4" w:space="0" w:color="auto"/>
              <w:bottom w:val="single" w:sz="4" w:space="0" w:color="auto"/>
            </w:tcBorders>
            <w:shd w:val="clear" w:color="auto" w:fill="auto"/>
          </w:tcPr>
          <w:p w:rsidR="000A7CB4" w:rsidRPr="000A7CB4" w:rsidRDefault="000A7CB4" w:rsidP="008529A1">
            <w:pPr>
              <w:rPr>
                <w:rFonts w:eastAsia="Calibri" w:cs="Times New Roman"/>
                <w:sz w:val="20"/>
                <w:szCs w:val="20"/>
              </w:rPr>
            </w:pPr>
          </w:p>
        </w:tc>
      </w:tr>
    </w:tbl>
    <w:p w:rsidR="005F49E4" w:rsidRDefault="000A7CB4">
      <w:pPr>
        <w:widowControl/>
        <w:adjustRightInd/>
        <w:spacing w:after="160" w:line="259" w:lineRule="auto"/>
      </w:pPr>
      <w:r w:rsidRPr="000A7CB4">
        <w:br w:type="page"/>
      </w: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53"/>
        <w:gridCol w:w="3624"/>
        <w:gridCol w:w="86"/>
        <w:gridCol w:w="5738"/>
      </w:tblGrid>
      <w:tr w:rsidR="005F49E4" w:rsidRPr="002644DE" w:rsidTr="00B959E3">
        <w:trPr>
          <w:trHeight w:val="339"/>
          <w:jc w:val="center"/>
        </w:trPr>
        <w:tc>
          <w:tcPr>
            <w:tcW w:w="5000" w:type="pct"/>
            <w:gridSpan w:val="4"/>
            <w:tcBorders>
              <w:bottom w:val="single" w:sz="4" w:space="0" w:color="auto"/>
            </w:tcBorders>
            <w:shd w:val="clear" w:color="auto" w:fill="D9D9D9"/>
          </w:tcPr>
          <w:p w:rsidR="005F49E4" w:rsidRPr="002644DE" w:rsidRDefault="005F49E4" w:rsidP="00B959E3">
            <w:pPr>
              <w:rPr>
                <w:rFonts w:eastAsia="Calibri" w:cs="Times New Roman"/>
                <w:b/>
              </w:rPr>
            </w:pPr>
            <w:r w:rsidRPr="002644DE">
              <w:rPr>
                <w:rFonts w:eastAsia="Calibri" w:cs="Times New Roman"/>
                <w:b/>
              </w:rPr>
              <w:lastRenderedPageBreak/>
              <w:t>4.2 Identifikujte, popíšte a kvantifikujte vplyvy na prístup k zdrojom, právam, tovarom a službám u jednotlivých ovplyvnených skupín obyvateľstva a vplyv na sociálnu inklúziu.</w:t>
            </w:r>
          </w:p>
        </w:tc>
      </w:tr>
      <w:tr w:rsidR="005F49E4" w:rsidRPr="002644DE" w:rsidTr="00B959E3">
        <w:trPr>
          <w:trHeight w:val="290"/>
          <w:jc w:val="center"/>
        </w:trPr>
        <w:tc>
          <w:tcPr>
            <w:tcW w:w="5000" w:type="pct"/>
            <w:gridSpan w:val="4"/>
            <w:tcBorders>
              <w:bottom w:val="single" w:sz="4" w:space="0" w:color="auto"/>
            </w:tcBorders>
            <w:shd w:val="clear" w:color="auto" w:fill="F2F2F2"/>
            <w:vAlign w:val="center"/>
          </w:tcPr>
          <w:p w:rsidR="005F49E4" w:rsidRPr="002644DE" w:rsidRDefault="005F49E4" w:rsidP="00B959E3">
            <w:pPr>
              <w:jc w:val="both"/>
              <w:rPr>
                <w:rFonts w:eastAsia="Calibri" w:cs="Times New Roman"/>
                <w:i/>
                <w:sz w:val="20"/>
              </w:rPr>
            </w:pPr>
            <w:r w:rsidRPr="002644DE">
              <w:rPr>
                <w:rFonts w:eastAsia="Calibri" w:cs="Times New Roman"/>
                <w:i/>
                <w:sz w:val="20"/>
              </w:rPr>
              <w:t xml:space="preserve">Má návrh vplyv na prístup k zdrojom, právam, tovarom a službám? </w:t>
            </w:r>
          </w:p>
          <w:p w:rsidR="005F49E4" w:rsidRPr="002644DE" w:rsidRDefault="005F49E4" w:rsidP="00B959E3">
            <w:pPr>
              <w:jc w:val="both"/>
              <w:rPr>
                <w:rFonts w:ascii="Calibri" w:eastAsia="Calibri" w:hAnsi="Calibri" w:cs="Times New Roman"/>
                <w:i/>
              </w:rPr>
            </w:pPr>
            <w:r w:rsidRPr="002644DE">
              <w:rPr>
                <w:rFonts w:eastAsia="Calibri" w:cs="Times New Roman"/>
                <w:i/>
                <w:sz w:val="20"/>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5F49E4" w:rsidRPr="002644DE" w:rsidTr="00B959E3">
        <w:tblPrEx>
          <w:tblBorders>
            <w:top w:val="none" w:sz="0" w:space="0" w:color="auto"/>
            <w:bottom w:val="none" w:sz="0" w:space="0" w:color="auto"/>
          </w:tblBorders>
        </w:tblPrEx>
        <w:trPr>
          <w:trHeight w:val="557"/>
          <w:jc w:val="center"/>
        </w:trPr>
        <w:tc>
          <w:tcPr>
            <w:tcW w:w="180" w:type="pct"/>
            <w:shd w:val="clear" w:color="auto" w:fill="auto"/>
            <w:vAlign w:val="center"/>
          </w:tcPr>
          <w:p w:rsidR="005F49E4" w:rsidRPr="002644DE" w:rsidRDefault="005F49E4" w:rsidP="00B959E3">
            <w:pPr>
              <w:jc w:val="center"/>
              <w:rPr>
                <w:rFonts w:eastAsia="Calibri" w:cs="Times New Roman"/>
                <w:i/>
                <w:sz w:val="18"/>
                <w:szCs w:val="18"/>
              </w:rPr>
            </w:pPr>
            <w:r w:rsidRPr="002644DE">
              <w:rPr>
                <w:rFonts w:eastAsia="Calibri" w:cs="Times New Roman"/>
                <w:i/>
                <w:sz w:val="18"/>
                <w:szCs w:val="18"/>
              </w:rPr>
              <w:t>a)</w:t>
            </w:r>
          </w:p>
        </w:tc>
        <w:tc>
          <w:tcPr>
            <w:tcW w:w="1893" w:type="pct"/>
            <w:gridSpan w:val="2"/>
            <w:shd w:val="clear" w:color="auto" w:fill="auto"/>
          </w:tcPr>
          <w:p w:rsidR="005F49E4" w:rsidRPr="002644DE" w:rsidRDefault="005F49E4" w:rsidP="00B959E3">
            <w:pPr>
              <w:jc w:val="both"/>
              <w:rPr>
                <w:rFonts w:eastAsia="Calibri" w:cs="Times New Roman"/>
                <w:i/>
                <w:sz w:val="18"/>
                <w:szCs w:val="18"/>
              </w:rPr>
            </w:pPr>
            <w:r w:rsidRPr="002644DE">
              <w:rPr>
                <w:rFonts w:eastAsia="Calibri" w:cs="Times New Roman"/>
                <w:i/>
                <w:sz w:val="18"/>
                <w:szCs w:val="18"/>
              </w:rPr>
              <w:t>Rozumie sa najmä na prístup k:</w:t>
            </w:r>
          </w:p>
          <w:p w:rsidR="005F49E4" w:rsidRPr="002644DE" w:rsidRDefault="005F49E4" w:rsidP="005F49E4">
            <w:pPr>
              <w:widowControl/>
              <w:numPr>
                <w:ilvl w:val="0"/>
                <w:numId w:val="9"/>
              </w:numPr>
              <w:adjustRightInd/>
              <w:ind w:left="170" w:hanging="170"/>
              <w:jc w:val="both"/>
              <w:rPr>
                <w:rFonts w:eastAsia="Calibri" w:cs="Times New Roman"/>
                <w:i/>
                <w:sz w:val="18"/>
                <w:szCs w:val="18"/>
              </w:rPr>
            </w:pPr>
            <w:r w:rsidRPr="002644DE">
              <w:rPr>
                <w:rFonts w:eastAsia="Calibri" w:cs="Times New Roman"/>
                <w:i/>
                <w:sz w:val="18"/>
                <w:szCs w:val="18"/>
              </w:rPr>
              <w:t xml:space="preserve">sociálnej ochrane, sociálno-právnej ochrane, sociálnym službám (vrátane služieb starostlivosti o deti, starších ľudí a ľudí so    zdravotným postihnutím), </w:t>
            </w:r>
          </w:p>
          <w:p w:rsidR="005F49E4" w:rsidRPr="002644DE" w:rsidRDefault="005F49E4" w:rsidP="005F49E4">
            <w:pPr>
              <w:widowControl/>
              <w:numPr>
                <w:ilvl w:val="0"/>
                <w:numId w:val="9"/>
              </w:numPr>
              <w:adjustRightInd/>
              <w:ind w:left="170" w:hanging="170"/>
              <w:jc w:val="both"/>
              <w:rPr>
                <w:rFonts w:eastAsia="Calibri" w:cs="Times New Roman"/>
                <w:i/>
                <w:sz w:val="18"/>
                <w:szCs w:val="18"/>
              </w:rPr>
            </w:pPr>
            <w:r w:rsidRPr="002644DE">
              <w:rPr>
                <w:rFonts w:eastAsia="Calibri" w:cs="Times New Roman"/>
                <w:i/>
                <w:sz w:val="18"/>
                <w:szCs w:val="18"/>
              </w:rPr>
              <w:t>kvalitnej práci, ochrane zdravia, dôstojnosti a bezpečnosti pri práci pre zamestnancov a existujúcim zamestnaneckým právam,</w:t>
            </w:r>
          </w:p>
          <w:p w:rsidR="005F49E4" w:rsidRPr="002644DE" w:rsidRDefault="005F49E4" w:rsidP="005F49E4">
            <w:pPr>
              <w:widowControl/>
              <w:numPr>
                <w:ilvl w:val="0"/>
                <w:numId w:val="9"/>
              </w:numPr>
              <w:adjustRightInd/>
              <w:ind w:left="170" w:hanging="170"/>
              <w:jc w:val="both"/>
              <w:rPr>
                <w:rFonts w:eastAsia="Calibri" w:cs="Times New Roman"/>
                <w:i/>
                <w:sz w:val="18"/>
                <w:szCs w:val="18"/>
              </w:rPr>
            </w:pPr>
            <w:r w:rsidRPr="002644DE">
              <w:rPr>
                <w:rFonts w:eastAsia="Calibri" w:cs="Times New Roman"/>
                <w:i/>
                <w:sz w:val="18"/>
                <w:szCs w:val="18"/>
              </w:rPr>
              <w:t xml:space="preserve">pomoci pri úhrade výdavkov súvisiacich so zdravotným postihnutím, </w:t>
            </w:r>
          </w:p>
          <w:p w:rsidR="005F49E4" w:rsidRPr="002644DE" w:rsidRDefault="005F49E4" w:rsidP="005F49E4">
            <w:pPr>
              <w:widowControl/>
              <w:numPr>
                <w:ilvl w:val="0"/>
                <w:numId w:val="9"/>
              </w:numPr>
              <w:adjustRightInd/>
              <w:ind w:left="170" w:hanging="170"/>
              <w:jc w:val="both"/>
              <w:rPr>
                <w:rFonts w:eastAsia="Calibri" w:cs="Times New Roman"/>
                <w:i/>
                <w:sz w:val="18"/>
                <w:szCs w:val="18"/>
              </w:rPr>
            </w:pPr>
            <w:r w:rsidRPr="002644DE">
              <w:rPr>
                <w:rFonts w:eastAsia="Calibri" w:cs="Times New Roman"/>
                <w:i/>
                <w:sz w:val="18"/>
                <w:szCs w:val="18"/>
              </w:rPr>
              <w:t>zamestnaniu, na trh práce (napr. uľahčenie zosúladenia rodinných a pracovných povinností, služby zamestnanosti), k školeniam, odbornému vzdelávaniu a príprave na trh práce,</w:t>
            </w:r>
          </w:p>
          <w:p w:rsidR="005F49E4" w:rsidRPr="002644DE" w:rsidRDefault="005F49E4" w:rsidP="005F49E4">
            <w:pPr>
              <w:widowControl/>
              <w:numPr>
                <w:ilvl w:val="0"/>
                <w:numId w:val="9"/>
              </w:numPr>
              <w:adjustRightInd/>
              <w:ind w:left="170" w:hanging="170"/>
              <w:jc w:val="both"/>
              <w:rPr>
                <w:rFonts w:eastAsia="Calibri" w:cs="Times New Roman"/>
                <w:i/>
                <w:sz w:val="18"/>
                <w:szCs w:val="18"/>
              </w:rPr>
            </w:pPr>
            <w:r w:rsidRPr="002644DE">
              <w:rPr>
                <w:rFonts w:eastAsia="Calibri" w:cs="Times New Roman"/>
                <w:i/>
                <w:sz w:val="18"/>
                <w:szCs w:val="18"/>
              </w:rPr>
              <w:t xml:space="preserve">zdravotnej starostlivosti vrátane cenovo dostupných pomôcok pre občanov so zdravotným postihnutím, </w:t>
            </w:r>
          </w:p>
          <w:p w:rsidR="005F49E4" w:rsidRPr="002644DE" w:rsidRDefault="005F49E4" w:rsidP="005F49E4">
            <w:pPr>
              <w:widowControl/>
              <w:numPr>
                <w:ilvl w:val="0"/>
                <w:numId w:val="9"/>
              </w:numPr>
              <w:adjustRightInd/>
              <w:ind w:left="170" w:hanging="170"/>
              <w:jc w:val="both"/>
              <w:rPr>
                <w:rFonts w:eastAsia="Calibri" w:cs="Times New Roman"/>
                <w:i/>
                <w:sz w:val="18"/>
                <w:szCs w:val="18"/>
              </w:rPr>
            </w:pPr>
            <w:r w:rsidRPr="002644DE">
              <w:rPr>
                <w:rFonts w:eastAsia="Calibri" w:cs="Times New Roman"/>
                <w:i/>
                <w:sz w:val="18"/>
                <w:szCs w:val="18"/>
              </w:rPr>
              <w:t>k formálnemu i neformálnemu vzdelávaniu a celo</w:t>
            </w:r>
            <w:r w:rsidRPr="002644DE">
              <w:rPr>
                <w:rFonts w:eastAsia="Calibri" w:cs="Times New Roman"/>
                <w:i/>
                <w:sz w:val="18"/>
                <w:szCs w:val="18"/>
              </w:rPr>
              <w:softHyphen/>
              <w:t xml:space="preserve">životnému vzdelávaniu, </w:t>
            </w:r>
          </w:p>
          <w:p w:rsidR="005F49E4" w:rsidRPr="002644DE" w:rsidRDefault="005F49E4" w:rsidP="005F49E4">
            <w:pPr>
              <w:widowControl/>
              <w:numPr>
                <w:ilvl w:val="0"/>
                <w:numId w:val="9"/>
              </w:numPr>
              <w:adjustRightInd/>
              <w:ind w:left="170" w:hanging="170"/>
              <w:jc w:val="both"/>
              <w:rPr>
                <w:rFonts w:eastAsia="Calibri" w:cs="Times New Roman"/>
                <w:i/>
                <w:sz w:val="18"/>
                <w:szCs w:val="18"/>
              </w:rPr>
            </w:pPr>
            <w:r w:rsidRPr="002644DE">
              <w:rPr>
                <w:rFonts w:eastAsia="Calibri" w:cs="Times New Roman"/>
                <w:i/>
                <w:sz w:val="18"/>
                <w:szCs w:val="18"/>
              </w:rPr>
              <w:t>bývaniu a súvisiacim základným komunálnym službám,</w:t>
            </w:r>
          </w:p>
          <w:p w:rsidR="005F49E4" w:rsidRPr="002644DE" w:rsidRDefault="005F49E4" w:rsidP="005F49E4">
            <w:pPr>
              <w:widowControl/>
              <w:numPr>
                <w:ilvl w:val="0"/>
                <w:numId w:val="9"/>
              </w:numPr>
              <w:adjustRightInd/>
              <w:ind w:left="170" w:hanging="170"/>
              <w:jc w:val="both"/>
              <w:rPr>
                <w:rFonts w:eastAsia="Calibri" w:cs="Times New Roman"/>
                <w:i/>
                <w:sz w:val="18"/>
                <w:szCs w:val="18"/>
              </w:rPr>
            </w:pPr>
            <w:r w:rsidRPr="002644DE">
              <w:rPr>
                <w:rFonts w:eastAsia="Calibri" w:cs="Times New Roman"/>
                <w:i/>
                <w:sz w:val="18"/>
                <w:szCs w:val="18"/>
              </w:rPr>
              <w:t>doprave,</w:t>
            </w:r>
          </w:p>
          <w:p w:rsidR="005F49E4" w:rsidRPr="002644DE" w:rsidRDefault="005F49E4" w:rsidP="005F49E4">
            <w:pPr>
              <w:widowControl/>
              <w:numPr>
                <w:ilvl w:val="0"/>
                <w:numId w:val="9"/>
              </w:numPr>
              <w:adjustRightInd/>
              <w:ind w:left="170" w:hanging="170"/>
              <w:jc w:val="both"/>
              <w:rPr>
                <w:rFonts w:eastAsia="Calibri" w:cs="Times New Roman"/>
                <w:i/>
                <w:sz w:val="18"/>
                <w:szCs w:val="18"/>
              </w:rPr>
            </w:pPr>
            <w:r w:rsidRPr="002644DE">
              <w:rPr>
                <w:rFonts w:eastAsia="Calibri" w:cs="Times New Roman"/>
                <w:i/>
                <w:sz w:val="18"/>
                <w:szCs w:val="18"/>
              </w:rPr>
              <w:t>ďalším službám najmä službám všeobecného záujmu a tovarom,</w:t>
            </w:r>
          </w:p>
          <w:p w:rsidR="005F49E4" w:rsidRPr="002644DE" w:rsidRDefault="005F49E4" w:rsidP="005F49E4">
            <w:pPr>
              <w:widowControl/>
              <w:numPr>
                <w:ilvl w:val="0"/>
                <w:numId w:val="9"/>
              </w:numPr>
              <w:adjustRightInd/>
              <w:ind w:left="170" w:hanging="170"/>
              <w:jc w:val="both"/>
              <w:rPr>
                <w:rFonts w:eastAsia="Calibri" w:cs="Times New Roman"/>
                <w:i/>
                <w:sz w:val="18"/>
                <w:szCs w:val="18"/>
              </w:rPr>
            </w:pPr>
            <w:r w:rsidRPr="002644DE">
              <w:rPr>
                <w:rFonts w:eastAsia="Calibri" w:cs="Times New Roman"/>
                <w:i/>
                <w:sz w:val="18"/>
                <w:szCs w:val="18"/>
              </w:rPr>
              <w:t>spravodlivosti, právnej ochrane, právnym službám,</w:t>
            </w:r>
          </w:p>
          <w:p w:rsidR="005F49E4" w:rsidRPr="002644DE" w:rsidRDefault="005F49E4" w:rsidP="005F49E4">
            <w:pPr>
              <w:widowControl/>
              <w:numPr>
                <w:ilvl w:val="0"/>
                <w:numId w:val="9"/>
              </w:numPr>
              <w:adjustRightInd/>
              <w:ind w:left="170" w:hanging="170"/>
              <w:jc w:val="both"/>
              <w:rPr>
                <w:rFonts w:eastAsia="Calibri" w:cs="Times New Roman"/>
                <w:i/>
                <w:sz w:val="18"/>
                <w:szCs w:val="18"/>
              </w:rPr>
            </w:pPr>
            <w:r w:rsidRPr="002644DE">
              <w:rPr>
                <w:rFonts w:eastAsia="Calibri" w:cs="Times New Roman"/>
                <w:i/>
                <w:sz w:val="18"/>
                <w:szCs w:val="18"/>
              </w:rPr>
              <w:t>informáciám,</w:t>
            </w:r>
          </w:p>
          <w:p w:rsidR="005F49E4" w:rsidRPr="002644DE" w:rsidRDefault="005F49E4" w:rsidP="005F49E4">
            <w:pPr>
              <w:widowControl/>
              <w:numPr>
                <w:ilvl w:val="0"/>
                <w:numId w:val="9"/>
              </w:numPr>
              <w:adjustRightInd/>
              <w:ind w:left="170" w:hanging="170"/>
              <w:jc w:val="both"/>
              <w:rPr>
                <w:rFonts w:ascii="Calibri" w:eastAsia="Calibri" w:hAnsi="Calibri" w:cs="Times New Roman"/>
                <w:i/>
                <w:sz w:val="20"/>
                <w:szCs w:val="20"/>
              </w:rPr>
            </w:pPr>
            <w:r w:rsidRPr="002644DE">
              <w:rPr>
                <w:rFonts w:eastAsia="Calibri" w:cs="Times New Roman"/>
                <w:i/>
                <w:sz w:val="18"/>
                <w:szCs w:val="18"/>
              </w:rPr>
              <w:t>k iným právam (napr. politickým).</w:t>
            </w:r>
          </w:p>
        </w:tc>
        <w:tc>
          <w:tcPr>
            <w:tcW w:w="2927" w:type="pct"/>
            <w:shd w:val="clear" w:color="auto" w:fill="auto"/>
          </w:tcPr>
          <w:p w:rsidR="005F49E4" w:rsidRPr="002644DE" w:rsidRDefault="005F49E4" w:rsidP="00B959E3">
            <w:pPr>
              <w:rPr>
                <w:rFonts w:eastAsia="Calibri" w:cs="Times New Roman"/>
                <w:sz w:val="20"/>
                <w:szCs w:val="20"/>
              </w:rPr>
            </w:pPr>
          </w:p>
          <w:p w:rsidR="005F49E4" w:rsidRPr="005A41BC" w:rsidRDefault="00574F47" w:rsidP="00B959E3">
            <w:pPr>
              <w:overflowPunct w:val="0"/>
              <w:autoSpaceDE w:val="0"/>
              <w:autoSpaceDN w:val="0"/>
              <w:jc w:val="both"/>
              <w:rPr>
                <w:rFonts w:eastAsia="Calibri" w:cs="Times New Roman"/>
                <w:sz w:val="20"/>
                <w:szCs w:val="20"/>
              </w:rPr>
            </w:pPr>
            <w:r w:rsidRPr="00574F47">
              <w:rPr>
                <w:sz w:val="20"/>
                <w:szCs w:val="20"/>
              </w:rPr>
              <w:t>Vládny návrh zákona, ktorým sa mení a dopĺňa zákon č. 56/2018 Z. z. o posudzovaní zhody výrobku, sprístupňovaní určeného výrobku na trhu a o zmene a doplnení niektorých zákonov v znení neskorších predpisov a ktorým sa menia a dopĺňajú niektoré zákony</w:t>
            </w:r>
            <w:r>
              <w:rPr>
                <w:sz w:val="20"/>
                <w:szCs w:val="20"/>
              </w:rPr>
              <w:t xml:space="preserve"> </w:t>
            </w:r>
            <w:r w:rsidR="005F49E4" w:rsidRPr="005A41BC">
              <w:rPr>
                <w:rFonts w:cs="Times New Roman"/>
                <w:iCs/>
                <w:sz w:val="20"/>
                <w:szCs w:val="20"/>
                <w:shd w:val="clear" w:color="auto" w:fill="FFFFFF"/>
              </w:rPr>
              <w:t xml:space="preserve">v časti týkajúcej sa transpozície čl. 3 smernice (EÚ) 2024/2749 a implementácie </w:t>
            </w:r>
            <w:r w:rsidR="005F49E4">
              <w:rPr>
                <w:rFonts w:cs="Times New Roman"/>
                <w:sz w:val="20"/>
                <w:szCs w:val="20"/>
              </w:rPr>
              <w:t>článkov</w:t>
            </w:r>
            <w:r w:rsidR="005F49E4" w:rsidRPr="005A41BC">
              <w:rPr>
                <w:rFonts w:cs="Times New Roman"/>
                <w:sz w:val="20"/>
                <w:szCs w:val="20"/>
              </w:rPr>
              <w:t xml:space="preserve"> 2, 3, </w:t>
            </w:r>
            <w:r w:rsidR="005F49E4">
              <w:rPr>
                <w:rFonts w:cs="Times New Roman"/>
                <w:sz w:val="20"/>
                <w:szCs w:val="20"/>
              </w:rPr>
              <w:t>4 a</w:t>
            </w:r>
            <w:r w:rsidR="005F49E4" w:rsidRPr="005A41BC">
              <w:rPr>
                <w:rFonts w:cs="Times New Roman"/>
                <w:sz w:val="20"/>
                <w:szCs w:val="20"/>
              </w:rPr>
              <w:t xml:space="preserve"> 6 nariadenia (EÚ) 2024/2748 </w:t>
            </w:r>
            <w:r w:rsidR="005F49E4" w:rsidRPr="005A41BC">
              <w:rPr>
                <w:rFonts w:eastAsia="Calibri" w:cs="Times New Roman"/>
                <w:sz w:val="20"/>
                <w:szCs w:val="20"/>
              </w:rPr>
              <w:t>predpokladá pozitívny vplyv na sociálne prostredie, pretože sa zavádza prístup k zdrojom, právam, tovarom a službám, t. j. k určeným výrobkom v čase krízovej situácie. Určujú sa výrobky dôležité v krízovej situácii, uprednostnenie posudzovania zhody týchto výrobkov, možnosť vydávania dočasných povolení pre tieto výrobky, možnosť použitia príslušných medzinárodných a vnútroštátnych technických noriem, ak harmonizované technické normy nie sú k dispozícii, prijímanie technických špecifikácií a uprednostnenie činností dohľadu nad trhom, čím sa zabezpečí, aby určený výrobok označený ako tovar dôležitý počas krízy, bolo možné rýchlo uviesť na vnútorný trh.</w:t>
            </w:r>
          </w:p>
          <w:p w:rsidR="005F49E4" w:rsidRDefault="005F49E4" w:rsidP="00B959E3">
            <w:pPr>
              <w:overflowPunct w:val="0"/>
              <w:autoSpaceDE w:val="0"/>
              <w:autoSpaceDN w:val="0"/>
              <w:jc w:val="both"/>
              <w:rPr>
                <w:rFonts w:eastAsia="Calibri" w:cs="Times New Roman"/>
                <w:sz w:val="20"/>
                <w:szCs w:val="20"/>
              </w:rPr>
            </w:pPr>
          </w:p>
          <w:p w:rsidR="005F49E4" w:rsidRPr="002644DE" w:rsidRDefault="005F49E4" w:rsidP="00B959E3">
            <w:pPr>
              <w:overflowPunct w:val="0"/>
              <w:autoSpaceDE w:val="0"/>
              <w:autoSpaceDN w:val="0"/>
              <w:jc w:val="both"/>
              <w:rPr>
                <w:rFonts w:eastAsia="Calibri" w:cs="Times New Roman"/>
                <w:sz w:val="20"/>
                <w:szCs w:val="20"/>
              </w:rPr>
            </w:pPr>
            <w:r w:rsidRPr="00850297">
              <w:rPr>
                <w:rFonts w:eastAsia="Calibri" w:cs="Times New Roman"/>
                <w:sz w:val="20"/>
                <w:szCs w:val="20"/>
              </w:rPr>
              <w:t xml:space="preserve"> </w:t>
            </w:r>
          </w:p>
        </w:tc>
      </w:tr>
      <w:tr w:rsidR="005F49E4" w:rsidRPr="002644DE" w:rsidTr="00B959E3">
        <w:trPr>
          <w:jc w:val="center"/>
        </w:trPr>
        <w:tc>
          <w:tcPr>
            <w:tcW w:w="180" w:type="pct"/>
            <w:tcBorders>
              <w:bottom w:val="single" w:sz="4" w:space="0" w:color="auto"/>
            </w:tcBorders>
            <w:shd w:val="clear" w:color="auto" w:fill="F2F2F2"/>
            <w:vAlign w:val="center"/>
          </w:tcPr>
          <w:p w:rsidR="005F49E4" w:rsidRPr="002644DE" w:rsidRDefault="005F49E4" w:rsidP="00B959E3">
            <w:pPr>
              <w:rPr>
                <w:rFonts w:eastAsia="Calibri" w:cs="Times New Roman"/>
                <w:i/>
                <w:sz w:val="18"/>
              </w:rPr>
            </w:pPr>
            <w:r w:rsidRPr="002644DE">
              <w:rPr>
                <w:rFonts w:eastAsia="Calibri" w:cs="Times New Roman"/>
                <w:i/>
                <w:sz w:val="18"/>
              </w:rPr>
              <w:t>b)</w:t>
            </w:r>
          </w:p>
        </w:tc>
        <w:tc>
          <w:tcPr>
            <w:tcW w:w="4820" w:type="pct"/>
            <w:gridSpan w:val="3"/>
            <w:tcBorders>
              <w:bottom w:val="single" w:sz="4" w:space="0" w:color="auto"/>
            </w:tcBorders>
            <w:shd w:val="clear" w:color="auto" w:fill="F2F2F2"/>
          </w:tcPr>
          <w:p w:rsidR="005F49E4" w:rsidRPr="002644DE" w:rsidRDefault="005F49E4" w:rsidP="00B959E3">
            <w:pPr>
              <w:jc w:val="both"/>
              <w:rPr>
                <w:rFonts w:eastAsia="Calibri" w:cs="Times New Roman"/>
                <w:i/>
                <w:sz w:val="20"/>
                <w:szCs w:val="20"/>
              </w:rPr>
            </w:pPr>
            <w:r w:rsidRPr="002644DE">
              <w:rPr>
                <w:rFonts w:eastAsia="Calibri" w:cs="Times New Roman"/>
                <w:i/>
                <w:sz w:val="20"/>
                <w:szCs w:val="20"/>
              </w:rPr>
              <w:t xml:space="preserve">Má návrh významný vplyv na niektorú zo zraniteľných skupín obyvateľstva alebo skupín v riziku chudoby alebo sociálneho vylúčenia? </w:t>
            </w:r>
          </w:p>
          <w:p w:rsidR="005F49E4" w:rsidRPr="002644DE" w:rsidRDefault="005F49E4" w:rsidP="00B959E3">
            <w:pPr>
              <w:jc w:val="both"/>
              <w:rPr>
                <w:rFonts w:ascii="Calibri" w:eastAsia="Calibri" w:hAnsi="Calibri" w:cs="Times New Roman"/>
                <w:i/>
              </w:rPr>
            </w:pPr>
            <w:r w:rsidRPr="002644DE">
              <w:rPr>
                <w:rFonts w:eastAsia="Calibri" w:cs="Times New Roman"/>
                <w:i/>
                <w:sz w:val="20"/>
                <w:szCs w:val="20"/>
              </w:rPr>
              <w:t>Špecifikujte ovplyvnené skupiny v riziku chudoby a sociálneho vylúčenia a popíšte vplyv na ne. Je tento vplyv väčší ako vplyv na iné skupiny či subjekty? Uveďte veľkosť jednotlivých ovplyvnených skupín.</w:t>
            </w:r>
          </w:p>
        </w:tc>
      </w:tr>
      <w:tr w:rsidR="005F49E4" w:rsidRPr="002644DE" w:rsidTr="00B959E3">
        <w:tblPrEx>
          <w:tblBorders>
            <w:top w:val="none" w:sz="0" w:space="0" w:color="auto"/>
          </w:tblBorders>
        </w:tblPrEx>
        <w:trPr>
          <w:trHeight w:val="677"/>
          <w:jc w:val="center"/>
        </w:trPr>
        <w:tc>
          <w:tcPr>
            <w:tcW w:w="180" w:type="pct"/>
            <w:shd w:val="clear" w:color="auto" w:fill="auto"/>
            <w:vAlign w:val="center"/>
          </w:tcPr>
          <w:p w:rsidR="005F49E4" w:rsidRPr="002644DE" w:rsidRDefault="005F49E4" w:rsidP="00B959E3">
            <w:pPr>
              <w:rPr>
                <w:rFonts w:eastAsia="Calibri" w:cs="Times New Roman"/>
                <w:i/>
                <w:sz w:val="18"/>
                <w:szCs w:val="18"/>
              </w:rPr>
            </w:pPr>
            <w:r w:rsidRPr="002644DE">
              <w:rPr>
                <w:rFonts w:eastAsia="Calibri" w:cs="Times New Roman"/>
                <w:i/>
                <w:sz w:val="18"/>
                <w:szCs w:val="18"/>
              </w:rPr>
              <w:t>c)</w:t>
            </w:r>
          </w:p>
        </w:tc>
        <w:tc>
          <w:tcPr>
            <w:tcW w:w="1849" w:type="pct"/>
            <w:shd w:val="clear" w:color="auto" w:fill="auto"/>
          </w:tcPr>
          <w:p w:rsidR="005F49E4" w:rsidRPr="002644DE" w:rsidRDefault="005F49E4" w:rsidP="00B959E3">
            <w:pPr>
              <w:jc w:val="both"/>
              <w:rPr>
                <w:rFonts w:eastAsia="Calibri" w:cs="Times New Roman"/>
                <w:i/>
                <w:sz w:val="18"/>
                <w:szCs w:val="18"/>
              </w:rPr>
            </w:pPr>
            <w:r w:rsidRPr="002644DE">
              <w:rPr>
                <w:rFonts w:eastAsia="Calibri" w:cs="Times New Roman"/>
                <w:i/>
                <w:sz w:val="18"/>
                <w:szCs w:val="18"/>
              </w:rPr>
              <w:t>Zraniteľné skupiny alebo skupiny v riziku chudoby alebo sociálneho vylúčenia sú napr.:</w:t>
            </w:r>
          </w:p>
          <w:p w:rsidR="005F49E4" w:rsidRPr="002644DE" w:rsidRDefault="005F49E4" w:rsidP="005F49E4">
            <w:pPr>
              <w:widowControl/>
              <w:numPr>
                <w:ilvl w:val="0"/>
                <w:numId w:val="9"/>
              </w:numPr>
              <w:adjustRightInd/>
              <w:ind w:left="170" w:hanging="170"/>
              <w:jc w:val="both"/>
              <w:rPr>
                <w:rFonts w:eastAsia="Calibri" w:cs="Times New Roman"/>
                <w:i/>
                <w:sz w:val="18"/>
                <w:szCs w:val="18"/>
              </w:rPr>
            </w:pPr>
            <w:r w:rsidRPr="002644DE">
              <w:rPr>
                <w:rFonts w:eastAsia="Calibri" w:cs="Times New Roman"/>
                <w:i/>
                <w:sz w:val="18"/>
                <w:szCs w:val="18"/>
              </w:rPr>
              <w:t>domácnosti s nízkym príjmom (napr. žijúce iba zo sociálnych príjmov, alebo z príjmov pod hranicou rizika chudoby, alebo s príjmom pod životným minimom, alebo patriace medzi 25% domácností s najnižším príjmom),</w:t>
            </w:r>
          </w:p>
          <w:p w:rsidR="005F49E4" w:rsidRPr="002644DE" w:rsidRDefault="005F49E4" w:rsidP="005F49E4">
            <w:pPr>
              <w:widowControl/>
              <w:numPr>
                <w:ilvl w:val="0"/>
                <w:numId w:val="9"/>
              </w:numPr>
              <w:adjustRightInd/>
              <w:ind w:left="170" w:hanging="170"/>
              <w:jc w:val="both"/>
              <w:rPr>
                <w:rFonts w:eastAsia="Calibri" w:cs="Times New Roman"/>
                <w:i/>
                <w:sz w:val="18"/>
                <w:szCs w:val="18"/>
              </w:rPr>
            </w:pPr>
            <w:r w:rsidRPr="002644DE">
              <w:rPr>
                <w:rFonts w:eastAsia="Calibri" w:cs="Times New Roman"/>
                <w:i/>
                <w:sz w:val="18"/>
                <w:szCs w:val="18"/>
              </w:rPr>
              <w:t>nezamestnaní, najmä dlhodobo nezamestnaní, mladí nezamestnaní a nezamestnaní nad 50 rokov,</w:t>
            </w:r>
          </w:p>
          <w:p w:rsidR="005F49E4" w:rsidRPr="002644DE" w:rsidRDefault="005F49E4" w:rsidP="005F49E4">
            <w:pPr>
              <w:widowControl/>
              <w:numPr>
                <w:ilvl w:val="0"/>
                <w:numId w:val="9"/>
              </w:numPr>
              <w:adjustRightInd/>
              <w:ind w:left="170" w:hanging="170"/>
              <w:jc w:val="both"/>
              <w:rPr>
                <w:rFonts w:eastAsia="Calibri" w:cs="Times New Roman"/>
                <w:i/>
                <w:sz w:val="18"/>
                <w:szCs w:val="18"/>
              </w:rPr>
            </w:pPr>
            <w:r w:rsidRPr="002644DE">
              <w:rPr>
                <w:rFonts w:eastAsia="Calibri" w:cs="Times New Roman"/>
                <w:i/>
                <w:sz w:val="18"/>
                <w:szCs w:val="18"/>
              </w:rPr>
              <w:t>deti (0 – 17),</w:t>
            </w:r>
          </w:p>
          <w:p w:rsidR="005F49E4" w:rsidRPr="002644DE" w:rsidRDefault="005F49E4" w:rsidP="005F49E4">
            <w:pPr>
              <w:widowControl/>
              <w:numPr>
                <w:ilvl w:val="0"/>
                <w:numId w:val="9"/>
              </w:numPr>
              <w:adjustRightInd/>
              <w:ind w:left="170" w:hanging="170"/>
              <w:jc w:val="both"/>
              <w:rPr>
                <w:rFonts w:eastAsia="Calibri" w:cs="Times New Roman"/>
                <w:i/>
                <w:sz w:val="18"/>
                <w:szCs w:val="18"/>
              </w:rPr>
            </w:pPr>
            <w:r w:rsidRPr="002644DE">
              <w:rPr>
                <w:rFonts w:eastAsia="Calibri" w:cs="Times New Roman"/>
                <w:i/>
                <w:sz w:val="18"/>
                <w:szCs w:val="18"/>
              </w:rPr>
              <w:t>mladí ľudia (18 – 25 rokov),</w:t>
            </w:r>
          </w:p>
          <w:p w:rsidR="005F49E4" w:rsidRPr="002644DE" w:rsidRDefault="005F49E4" w:rsidP="005F49E4">
            <w:pPr>
              <w:widowControl/>
              <w:numPr>
                <w:ilvl w:val="0"/>
                <w:numId w:val="9"/>
              </w:numPr>
              <w:adjustRightInd/>
              <w:ind w:left="170" w:hanging="170"/>
              <w:jc w:val="both"/>
              <w:rPr>
                <w:rFonts w:eastAsia="Calibri" w:cs="Times New Roman"/>
                <w:i/>
                <w:sz w:val="18"/>
                <w:szCs w:val="18"/>
              </w:rPr>
            </w:pPr>
            <w:r w:rsidRPr="002644DE">
              <w:rPr>
                <w:rFonts w:eastAsia="Calibri" w:cs="Times New Roman"/>
                <w:i/>
                <w:sz w:val="18"/>
                <w:szCs w:val="18"/>
              </w:rPr>
              <w:t>starší ľudia, napr. ľudia vo veku nad 65 rokov alebo dôchodcovia,</w:t>
            </w:r>
          </w:p>
          <w:p w:rsidR="005F49E4" w:rsidRPr="002644DE" w:rsidRDefault="005F49E4" w:rsidP="005F49E4">
            <w:pPr>
              <w:widowControl/>
              <w:numPr>
                <w:ilvl w:val="0"/>
                <w:numId w:val="9"/>
              </w:numPr>
              <w:adjustRightInd/>
              <w:ind w:left="170" w:hanging="170"/>
              <w:jc w:val="both"/>
              <w:rPr>
                <w:rFonts w:eastAsia="Calibri" w:cs="Times New Roman"/>
                <w:i/>
                <w:sz w:val="18"/>
                <w:szCs w:val="18"/>
              </w:rPr>
            </w:pPr>
            <w:r w:rsidRPr="002644DE">
              <w:rPr>
                <w:rFonts w:eastAsia="Calibri" w:cs="Times New Roman"/>
                <w:i/>
                <w:sz w:val="18"/>
                <w:szCs w:val="18"/>
              </w:rPr>
              <w:t>ľudia so zdravotným postihnutím,</w:t>
            </w:r>
          </w:p>
          <w:p w:rsidR="005F49E4" w:rsidRPr="002644DE" w:rsidRDefault="005F49E4" w:rsidP="005F49E4">
            <w:pPr>
              <w:widowControl/>
              <w:numPr>
                <w:ilvl w:val="0"/>
                <w:numId w:val="9"/>
              </w:numPr>
              <w:adjustRightInd/>
              <w:ind w:left="170" w:hanging="170"/>
              <w:jc w:val="both"/>
              <w:rPr>
                <w:rFonts w:eastAsia="Calibri" w:cs="Times New Roman"/>
                <w:i/>
                <w:sz w:val="18"/>
                <w:szCs w:val="18"/>
              </w:rPr>
            </w:pPr>
            <w:r w:rsidRPr="002644DE">
              <w:rPr>
                <w:rFonts w:eastAsia="Calibri" w:cs="Times New Roman"/>
                <w:i/>
                <w:sz w:val="18"/>
                <w:szCs w:val="18"/>
              </w:rPr>
              <w:t xml:space="preserve">marginalizované rómske komunity </w:t>
            </w:r>
          </w:p>
          <w:p w:rsidR="005F49E4" w:rsidRPr="002644DE" w:rsidRDefault="005F49E4" w:rsidP="005F49E4">
            <w:pPr>
              <w:widowControl/>
              <w:numPr>
                <w:ilvl w:val="0"/>
                <w:numId w:val="9"/>
              </w:numPr>
              <w:adjustRightInd/>
              <w:ind w:left="170" w:hanging="170"/>
              <w:jc w:val="both"/>
              <w:rPr>
                <w:rFonts w:eastAsia="Calibri" w:cs="Times New Roman"/>
                <w:i/>
                <w:sz w:val="18"/>
                <w:szCs w:val="18"/>
              </w:rPr>
            </w:pPr>
            <w:r w:rsidRPr="002644DE">
              <w:rPr>
                <w:rFonts w:eastAsia="Calibri" w:cs="Times New Roman"/>
                <w:i/>
                <w:sz w:val="18"/>
                <w:szCs w:val="18"/>
              </w:rPr>
              <w:t>domácnosti s 3 a viac deťmi,</w:t>
            </w:r>
          </w:p>
          <w:p w:rsidR="005F49E4" w:rsidRPr="002644DE" w:rsidRDefault="005F49E4" w:rsidP="005F49E4">
            <w:pPr>
              <w:widowControl/>
              <w:numPr>
                <w:ilvl w:val="0"/>
                <w:numId w:val="9"/>
              </w:numPr>
              <w:adjustRightInd/>
              <w:ind w:left="170" w:hanging="170"/>
              <w:jc w:val="both"/>
              <w:rPr>
                <w:rFonts w:eastAsia="Calibri" w:cs="Times New Roman"/>
                <w:i/>
                <w:sz w:val="18"/>
                <w:szCs w:val="18"/>
              </w:rPr>
            </w:pPr>
            <w:r w:rsidRPr="002644DE">
              <w:rPr>
                <w:rFonts w:eastAsia="Calibri" w:cs="Times New Roman"/>
                <w:i/>
                <w:sz w:val="18"/>
                <w:szCs w:val="18"/>
              </w:rPr>
              <w:t>jednorodičovské domácnosti s deťmi (neúplné rodiny, ktoré tvoria najmä osamelé matky s deťmi),</w:t>
            </w:r>
          </w:p>
          <w:p w:rsidR="005F49E4" w:rsidRPr="002644DE" w:rsidRDefault="005F49E4" w:rsidP="005F49E4">
            <w:pPr>
              <w:widowControl/>
              <w:numPr>
                <w:ilvl w:val="0"/>
                <w:numId w:val="9"/>
              </w:numPr>
              <w:adjustRightInd/>
              <w:ind w:left="170" w:hanging="170"/>
              <w:jc w:val="both"/>
              <w:rPr>
                <w:rFonts w:eastAsia="Calibri" w:cs="Times New Roman"/>
                <w:i/>
                <w:sz w:val="18"/>
                <w:szCs w:val="18"/>
              </w:rPr>
            </w:pPr>
            <w:r w:rsidRPr="002644DE">
              <w:rPr>
                <w:rFonts w:eastAsia="Calibri" w:cs="Times New Roman"/>
                <w:i/>
                <w:sz w:val="18"/>
                <w:szCs w:val="18"/>
              </w:rPr>
              <w:t>príslušníci tretích krajín, azylanti, žiadatelia o azyl,</w:t>
            </w:r>
          </w:p>
          <w:p w:rsidR="005F49E4" w:rsidRPr="002644DE" w:rsidRDefault="005F49E4" w:rsidP="005F49E4">
            <w:pPr>
              <w:widowControl/>
              <w:numPr>
                <w:ilvl w:val="0"/>
                <w:numId w:val="9"/>
              </w:numPr>
              <w:adjustRightInd/>
              <w:ind w:left="170" w:hanging="170"/>
              <w:jc w:val="both"/>
              <w:rPr>
                <w:rFonts w:eastAsia="Calibri" w:cs="Times New Roman"/>
                <w:sz w:val="20"/>
              </w:rPr>
            </w:pPr>
            <w:r w:rsidRPr="002644DE">
              <w:rPr>
                <w:rFonts w:eastAsia="Calibri" w:cs="Times New Roman"/>
                <w:i/>
                <w:sz w:val="18"/>
                <w:szCs w:val="18"/>
              </w:rPr>
              <w:lastRenderedPageBreak/>
              <w:t>iné zraniteľné skupiny, ako sú napr. bezdomovci, ľudia opúšťajúci detské domovy alebo iné inštitucionálne zariadenia</w:t>
            </w:r>
          </w:p>
        </w:tc>
        <w:tc>
          <w:tcPr>
            <w:tcW w:w="2971" w:type="pct"/>
            <w:gridSpan w:val="2"/>
            <w:shd w:val="clear" w:color="auto" w:fill="auto"/>
          </w:tcPr>
          <w:p w:rsidR="005F49E4" w:rsidRPr="002644DE" w:rsidRDefault="005F49E4" w:rsidP="00B959E3">
            <w:pPr>
              <w:rPr>
                <w:rFonts w:eastAsia="Calibri" w:cs="Times New Roman"/>
                <w:sz w:val="20"/>
              </w:rPr>
            </w:pPr>
          </w:p>
        </w:tc>
      </w:tr>
    </w:tbl>
    <w:p w:rsidR="005F49E4" w:rsidRDefault="005F49E4">
      <w:pPr>
        <w:widowControl/>
        <w:adjustRightInd/>
        <w:spacing w:after="160" w:line="259" w:lineRule="auto"/>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581"/>
        <w:gridCol w:w="5696"/>
      </w:tblGrid>
      <w:tr w:rsidR="005F49E4" w:rsidRPr="002644DE" w:rsidTr="00B959E3">
        <w:trPr>
          <w:jc w:val="center"/>
        </w:trPr>
        <w:tc>
          <w:tcPr>
            <w:tcW w:w="5000" w:type="pct"/>
            <w:gridSpan w:val="3"/>
            <w:shd w:val="clear" w:color="auto" w:fill="D9D9D9"/>
          </w:tcPr>
          <w:p w:rsidR="005F49E4" w:rsidRPr="002644DE" w:rsidRDefault="005F49E4" w:rsidP="00B959E3">
            <w:pPr>
              <w:rPr>
                <w:rFonts w:eastAsia="Calibri" w:cs="Times New Roman"/>
                <w:b/>
              </w:rPr>
            </w:pPr>
            <w:r w:rsidRPr="002644DE">
              <w:rPr>
                <w:rFonts w:eastAsia="Calibri" w:cs="Times New Roman"/>
                <w:b/>
              </w:rPr>
              <w:t>4.3 Identifikujte a popíšte vplyv na rovnosť príležitostí.</w:t>
            </w:r>
          </w:p>
          <w:p w:rsidR="005F49E4" w:rsidRPr="002644DE" w:rsidRDefault="005F49E4" w:rsidP="00B959E3">
            <w:pPr>
              <w:ind w:left="340"/>
              <w:jc w:val="both"/>
              <w:rPr>
                <w:rFonts w:ascii="Calibri" w:eastAsia="Calibri" w:hAnsi="Calibri" w:cs="Times New Roman"/>
              </w:rPr>
            </w:pPr>
            <w:r w:rsidRPr="002644DE">
              <w:rPr>
                <w:rFonts w:eastAsia="Calibri" w:cs="Times New Roman"/>
                <w:b/>
              </w:rPr>
              <w:t>Identifikujte, popíšte a kvantifikujte vplyv na rovnosť žien a mužov.</w:t>
            </w:r>
          </w:p>
        </w:tc>
      </w:tr>
      <w:tr w:rsidR="005F49E4" w:rsidRPr="002644DE" w:rsidTr="005F49E4">
        <w:trPr>
          <w:jc w:val="center"/>
        </w:trPr>
        <w:tc>
          <w:tcPr>
            <w:tcW w:w="138" w:type="pct"/>
            <w:tcBorders>
              <w:bottom w:val="single" w:sz="4" w:space="0" w:color="auto"/>
            </w:tcBorders>
            <w:shd w:val="clear" w:color="auto" w:fill="F2F2F2"/>
            <w:vAlign w:val="center"/>
          </w:tcPr>
          <w:p w:rsidR="005F49E4" w:rsidRPr="002644DE" w:rsidRDefault="005F49E4" w:rsidP="00B959E3">
            <w:pPr>
              <w:rPr>
                <w:rFonts w:eastAsia="Calibri" w:cs="Times New Roman"/>
                <w:i/>
              </w:rPr>
            </w:pPr>
            <w:r w:rsidRPr="002644DE">
              <w:rPr>
                <w:rFonts w:eastAsia="Calibri" w:cs="Times New Roman"/>
                <w:i/>
                <w:sz w:val="18"/>
              </w:rPr>
              <w:t>a)</w:t>
            </w:r>
          </w:p>
        </w:tc>
        <w:tc>
          <w:tcPr>
            <w:tcW w:w="4862" w:type="pct"/>
            <w:gridSpan w:val="2"/>
            <w:tcBorders>
              <w:bottom w:val="single" w:sz="4" w:space="0" w:color="auto"/>
            </w:tcBorders>
            <w:shd w:val="clear" w:color="auto" w:fill="F2F2F2"/>
          </w:tcPr>
          <w:p w:rsidR="005F49E4" w:rsidRPr="002644DE" w:rsidRDefault="005F49E4" w:rsidP="00B959E3">
            <w:pPr>
              <w:jc w:val="both"/>
              <w:rPr>
                <w:rFonts w:eastAsia="Calibri" w:cs="Times New Roman"/>
                <w:i/>
              </w:rPr>
            </w:pPr>
            <w:r w:rsidRPr="002644DE">
              <w:rPr>
                <w:rFonts w:eastAsia="Calibri" w:cs="Times New Roman"/>
                <w:i/>
                <w:sz w:val="20"/>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5F49E4" w:rsidRPr="002644DE" w:rsidTr="005F49E4">
        <w:trPr>
          <w:trHeight w:val="928"/>
          <w:jc w:val="center"/>
        </w:trPr>
        <w:tc>
          <w:tcPr>
            <w:tcW w:w="138" w:type="pct"/>
            <w:tcBorders>
              <w:top w:val="nil"/>
              <w:bottom w:val="nil"/>
            </w:tcBorders>
            <w:shd w:val="clear" w:color="auto" w:fill="auto"/>
          </w:tcPr>
          <w:p w:rsidR="005F49E4" w:rsidRPr="002644DE" w:rsidRDefault="005F49E4" w:rsidP="00B959E3">
            <w:pPr>
              <w:rPr>
                <w:rFonts w:eastAsia="Calibri" w:cs="Times New Roman"/>
                <w:sz w:val="20"/>
              </w:rPr>
            </w:pPr>
          </w:p>
          <w:p w:rsidR="005F49E4" w:rsidRPr="002644DE" w:rsidRDefault="005F49E4" w:rsidP="00B959E3">
            <w:pPr>
              <w:rPr>
                <w:rFonts w:eastAsia="Calibri" w:cs="Times New Roman"/>
                <w:i/>
                <w:sz w:val="20"/>
              </w:rPr>
            </w:pPr>
          </w:p>
          <w:p w:rsidR="005F49E4" w:rsidRPr="002644DE" w:rsidRDefault="005F49E4" w:rsidP="00B959E3">
            <w:pPr>
              <w:rPr>
                <w:rFonts w:eastAsia="Calibri" w:cs="Times New Roman"/>
                <w:i/>
                <w:sz w:val="20"/>
              </w:rPr>
            </w:pPr>
          </w:p>
          <w:p w:rsidR="005F49E4" w:rsidRPr="002644DE" w:rsidRDefault="005F49E4" w:rsidP="00B959E3">
            <w:pPr>
              <w:rPr>
                <w:rFonts w:eastAsia="Calibri" w:cs="Times New Roman"/>
                <w:i/>
                <w:sz w:val="18"/>
              </w:rPr>
            </w:pPr>
            <w:r w:rsidRPr="002644DE">
              <w:rPr>
                <w:rFonts w:eastAsia="Calibri" w:cs="Times New Roman"/>
                <w:i/>
                <w:sz w:val="18"/>
              </w:rPr>
              <w:t>b)</w:t>
            </w:r>
          </w:p>
          <w:p w:rsidR="005F49E4" w:rsidRPr="002644DE" w:rsidRDefault="005F49E4" w:rsidP="00B959E3">
            <w:pPr>
              <w:rPr>
                <w:rFonts w:eastAsia="Calibri" w:cs="Times New Roman"/>
                <w:i/>
                <w:sz w:val="20"/>
              </w:rPr>
            </w:pPr>
          </w:p>
          <w:p w:rsidR="005F49E4" w:rsidRPr="002644DE" w:rsidRDefault="005F49E4" w:rsidP="00B959E3">
            <w:pPr>
              <w:rPr>
                <w:rFonts w:eastAsia="Calibri" w:cs="Times New Roman"/>
                <w:i/>
                <w:sz w:val="20"/>
              </w:rPr>
            </w:pPr>
          </w:p>
          <w:p w:rsidR="005F49E4" w:rsidRPr="002644DE" w:rsidRDefault="005F49E4" w:rsidP="00B959E3">
            <w:pPr>
              <w:rPr>
                <w:rFonts w:eastAsia="Calibri" w:cs="Times New Roman"/>
                <w:i/>
                <w:sz w:val="20"/>
              </w:rPr>
            </w:pPr>
          </w:p>
        </w:tc>
        <w:tc>
          <w:tcPr>
            <w:tcW w:w="4862" w:type="pct"/>
            <w:gridSpan w:val="2"/>
            <w:tcBorders>
              <w:top w:val="nil"/>
              <w:bottom w:val="nil"/>
            </w:tcBorders>
            <w:shd w:val="clear" w:color="auto" w:fill="auto"/>
          </w:tcPr>
          <w:p w:rsidR="005F49E4" w:rsidRPr="002644DE" w:rsidRDefault="005F49E4" w:rsidP="00B959E3">
            <w:pPr>
              <w:rPr>
                <w:rFonts w:eastAsia="Calibri" w:cs="Times New Roman"/>
                <w:i/>
                <w:sz w:val="20"/>
              </w:rPr>
            </w:pPr>
          </w:p>
          <w:p w:rsidR="005F49E4" w:rsidRPr="002644DE" w:rsidRDefault="005F49E4" w:rsidP="00B959E3">
            <w:pPr>
              <w:rPr>
                <w:rFonts w:eastAsia="Calibri" w:cs="Times New Roman"/>
                <w:i/>
                <w:sz w:val="20"/>
              </w:rPr>
            </w:pPr>
          </w:p>
        </w:tc>
      </w:tr>
      <w:tr w:rsidR="005F49E4" w:rsidRPr="002644DE" w:rsidTr="005F49E4">
        <w:trPr>
          <w:trHeight w:val="345"/>
          <w:jc w:val="center"/>
        </w:trPr>
        <w:tc>
          <w:tcPr>
            <w:tcW w:w="138" w:type="pct"/>
            <w:tcBorders>
              <w:bottom w:val="single" w:sz="4" w:space="0" w:color="auto"/>
            </w:tcBorders>
            <w:shd w:val="clear" w:color="auto" w:fill="F2F2F2"/>
            <w:vAlign w:val="center"/>
          </w:tcPr>
          <w:p w:rsidR="005F49E4" w:rsidRPr="002644DE" w:rsidRDefault="005F49E4" w:rsidP="00B959E3">
            <w:pPr>
              <w:rPr>
                <w:rFonts w:eastAsia="Calibri" w:cs="Times New Roman"/>
                <w:i/>
                <w:sz w:val="18"/>
                <w:szCs w:val="18"/>
              </w:rPr>
            </w:pPr>
            <w:r w:rsidRPr="002644DE">
              <w:rPr>
                <w:rFonts w:eastAsia="Calibri" w:cs="Times New Roman"/>
                <w:i/>
                <w:sz w:val="18"/>
                <w:szCs w:val="18"/>
              </w:rPr>
              <w:t>c)</w:t>
            </w:r>
          </w:p>
        </w:tc>
        <w:tc>
          <w:tcPr>
            <w:tcW w:w="4862" w:type="pct"/>
            <w:gridSpan w:val="2"/>
            <w:tcBorders>
              <w:bottom w:val="single" w:sz="4" w:space="0" w:color="auto"/>
            </w:tcBorders>
            <w:shd w:val="clear" w:color="auto" w:fill="F2F2F2"/>
            <w:vAlign w:val="center"/>
          </w:tcPr>
          <w:p w:rsidR="005F49E4" w:rsidRPr="002644DE" w:rsidRDefault="005F49E4" w:rsidP="00B959E3">
            <w:pPr>
              <w:rPr>
                <w:rFonts w:eastAsia="Calibri" w:cs="Times New Roman"/>
                <w:i/>
                <w:sz w:val="20"/>
                <w:szCs w:val="20"/>
              </w:rPr>
            </w:pPr>
            <w:r w:rsidRPr="002644DE">
              <w:rPr>
                <w:rFonts w:eastAsia="Calibri" w:cs="Times New Roman"/>
                <w:i/>
                <w:sz w:val="20"/>
                <w:szCs w:val="20"/>
              </w:rPr>
              <w:t xml:space="preserve">4.3.2 Môže návrh viesť k zväčšovaniu nerovností medzi ženami a mužmi? </w:t>
            </w:r>
            <w:r w:rsidRPr="002644DE">
              <w:rPr>
                <w:rFonts w:eastAsia="Calibri" w:cs="Times New Roman"/>
                <w:i/>
                <w:sz w:val="20"/>
              </w:rPr>
              <w:t xml:space="preserve">Podporuje návrh rovnosť príležitostí? </w:t>
            </w:r>
            <w:r w:rsidRPr="002644DE">
              <w:rPr>
                <w:rFonts w:eastAsia="Calibri" w:cs="Times New Roman"/>
                <w:i/>
                <w:sz w:val="20"/>
                <w:szCs w:val="20"/>
              </w:rPr>
              <w:t>Má návrh odlišný vplyv na ženy a mužov? Popíšte vplyvy.</w:t>
            </w:r>
          </w:p>
        </w:tc>
      </w:tr>
      <w:tr w:rsidR="005F49E4" w:rsidRPr="002644DE" w:rsidTr="005F49E4">
        <w:tblPrEx>
          <w:tblBorders>
            <w:top w:val="none" w:sz="0" w:space="0" w:color="auto"/>
            <w:bottom w:val="none" w:sz="0" w:space="0" w:color="auto"/>
          </w:tblBorders>
        </w:tblPrEx>
        <w:trPr>
          <w:trHeight w:val="372"/>
          <w:jc w:val="center"/>
        </w:trPr>
        <w:tc>
          <w:tcPr>
            <w:tcW w:w="138" w:type="pct"/>
            <w:shd w:val="clear" w:color="auto" w:fill="auto"/>
            <w:vAlign w:val="center"/>
          </w:tcPr>
          <w:p w:rsidR="005F49E4" w:rsidRPr="002644DE" w:rsidRDefault="005F49E4" w:rsidP="00B959E3">
            <w:pPr>
              <w:rPr>
                <w:rFonts w:eastAsia="Calibri" w:cs="Times New Roman"/>
                <w:i/>
                <w:sz w:val="18"/>
                <w:szCs w:val="18"/>
              </w:rPr>
            </w:pPr>
            <w:r w:rsidRPr="002644DE">
              <w:rPr>
                <w:rFonts w:eastAsia="Calibri" w:cs="Times New Roman"/>
                <w:i/>
                <w:sz w:val="18"/>
                <w:szCs w:val="18"/>
              </w:rPr>
              <w:t>d)</w:t>
            </w:r>
          </w:p>
        </w:tc>
        <w:tc>
          <w:tcPr>
            <w:tcW w:w="1877" w:type="pct"/>
            <w:shd w:val="clear" w:color="auto" w:fill="auto"/>
          </w:tcPr>
          <w:p w:rsidR="005F49E4" w:rsidRPr="002644DE" w:rsidRDefault="005F49E4" w:rsidP="00B959E3">
            <w:pPr>
              <w:jc w:val="both"/>
              <w:rPr>
                <w:rFonts w:eastAsia="Calibri" w:cs="Times New Roman"/>
                <w:i/>
                <w:sz w:val="18"/>
                <w:szCs w:val="18"/>
              </w:rPr>
            </w:pPr>
            <w:r w:rsidRPr="002644DE">
              <w:rPr>
                <w:rFonts w:eastAsia="Calibri" w:cs="Times New Roman"/>
                <w:i/>
                <w:sz w:val="18"/>
                <w:szCs w:val="18"/>
              </w:rPr>
              <w:t>Popíšte riziká návrhu, ktoré môžu viesť k zväčšovaniu nerovností:</w:t>
            </w:r>
          </w:p>
        </w:tc>
        <w:tc>
          <w:tcPr>
            <w:tcW w:w="2985" w:type="pct"/>
            <w:shd w:val="clear" w:color="auto" w:fill="auto"/>
          </w:tcPr>
          <w:p w:rsidR="005F49E4" w:rsidRPr="002644DE" w:rsidRDefault="005F49E4" w:rsidP="00B959E3">
            <w:pPr>
              <w:jc w:val="both"/>
              <w:rPr>
                <w:rFonts w:eastAsia="Calibri" w:cs="Times New Roman"/>
                <w:sz w:val="20"/>
              </w:rPr>
            </w:pPr>
          </w:p>
        </w:tc>
      </w:tr>
      <w:tr w:rsidR="005F49E4" w:rsidRPr="002644DE" w:rsidTr="005F49E4">
        <w:tblPrEx>
          <w:tblBorders>
            <w:top w:val="none" w:sz="0" w:space="0" w:color="auto"/>
            <w:bottom w:val="none" w:sz="0" w:space="0" w:color="auto"/>
          </w:tblBorders>
        </w:tblPrEx>
        <w:trPr>
          <w:trHeight w:val="371"/>
          <w:jc w:val="center"/>
        </w:trPr>
        <w:tc>
          <w:tcPr>
            <w:tcW w:w="138" w:type="pct"/>
            <w:shd w:val="clear" w:color="auto" w:fill="auto"/>
            <w:vAlign w:val="center"/>
          </w:tcPr>
          <w:p w:rsidR="005F49E4" w:rsidRPr="002644DE" w:rsidRDefault="005F49E4" w:rsidP="00B959E3">
            <w:pPr>
              <w:rPr>
                <w:rFonts w:eastAsia="Calibri" w:cs="Times New Roman"/>
                <w:i/>
                <w:sz w:val="18"/>
                <w:szCs w:val="18"/>
              </w:rPr>
            </w:pPr>
            <w:r w:rsidRPr="002644DE">
              <w:rPr>
                <w:rFonts w:eastAsia="Calibri" w:cs="Times New Roman"/>
                <w:i/>
                <w:sz w:val="18"/>
                <w:szCs w:val="18"/>
              </w:rPr>
              <w:t>e)</w:t>
            </w:r>
          </w:p>
        </w:tc>
        <w:tc>
          <w:tcPr>
            <w:tcW w:w="1877" w:type="pct"/>
            <w:shd w:val="clear" w:color="auto" w:fill="auto"/>
          </w:tcPr>
          <w:p w:rsidR="005F49E4" w:rsidRPr="002644DE" w:rsidRDefault="005F49E4" w:rsidP="00B959E3">
            <w:pPr>
              <w:jc w:val="both"/>
              <w:rPr>
                <w:rFonts w:eastAsia="Calibri" w:cs="Times New Roman"/>
                <w:i/>
                <w:sz w:val="18"/>
                <w:szCs w:val="18"/>
              </w:rPr>
            </w:pPr>
            <w:r w:rsidRPr="002644DE">
              <w:rPr>
                <w:rFonts w:eastAsia="Calibri" w:cs="Times New Roman"/>
                <w:i/>
                <w:sz w:val="18"/>
                <w:szCs w:val="18"/>
              </w:rPr>
              <w:t>Popíšte pozitívne vplyvy návrhu na dosahovanie rovnosti žien a mužov, rovnosti príležitostí žien a mužov, prípadne vplyvy na ženy a mužov, ak sú odlišné:</w:t>
            </w:r>
          </w:p>
        </w:tc>
        <w:tc>
          <w:tcPr>
            <w:tcW w:w="2985" w:type="pct"/>
            <w:shd w:val="clear" w:color="auto" w:fill="auto"/>
          </w:tcPr>
          <w:p w:rsidR="005F49E4" w:rsidRPr="002644DE" w:rsidRDefault="005F49E4" w:rsidP="00B959E3">
            <w:pPr>
              <w:jc w:val="both"/>
              <w:rPr>
                <w:rFonts w:eastAsia="Calibri" w:cs="Times New Roman"/>
                <w:i/>
                <w:sz w:val="18"/>
                <w:szCs w:val="18"/>
              </w:rPr>
            </w:pPr>
          </w:p>
        </w:tc>
      </w:tr>
      <w:tr w:rsidR="005F49E4" w:rsidRPr="002644DE" w:rsidTr="005F49E4">
        <w:tblPrEx>
          <w:tblBorders>
            <w:top w:val="none" w:sz="0" w:space="0" w:color="auto"/>
            <w:bottom w:val="none" w:sz="0" w:space="0" w:color="auto"/>
          </w:tblBorders>
        </w:tblPrEx>
        <w:trPr>
          <w:trHeight w:val="371"/>
          <w:jc w:val="center"/>
        </w:trPr>
        <w:tc>
          <w:tcPr>
            <w:tcW w:w="138" w:type="pct"/>
            <w:tcBorders>
              <w:bottom w:val="single" w:sz="4" w:space="0" w:color="auto"/>
            </w:tcBorders>
            <w:shd w:val="clear" w:color="auto" w:fill="auto"/>
            <w:vAlign w:val="center"/>
          </w:tcPr>
          <w:p w:rsidR="005F49E4" w:rsidRPr="002644DE" w:rsidRDefault="005F49E4" w:rsidP="00B959E3">
            <w:pPr>
              <w:rPr>
                <w:rFonts w:eastAsia="Calibri" w:cs="Times New Roman"/>
                <w:i/>
                <w:sz w:val="18"/>
                <w:szCs w:val="18"/>
              </w:rPr>
            </w:pPr>
            <w:r w:rsidRPr="002644DE">
              <w:rPr>
                <w:rFonts w:eastAsia="Calibri" w:cs="Times New Roman"/>
                <w:i/>
                <w:sz w:val="18"/>
                <w:szCs w:val="18"/>
              </w:rPr>
              <w:t>f)</w:t>
            </w:r>
          </w:p>
        </w:tc>
        <w:tc>
          <w:tcPr>
            <w:tcW w:w="1877" w:type="pct"/>
            <w:tcBorders>
              <w:bottom w:val="single" w:sz="4" w:space="0" w:color="auto"/>
            </w:tcBorders>
            <w:shd w:val="clear" w:color="auto" w:fill="auto"/>
          </w:tcPr>
          <w:p w:rsidR="005F49E4" w:rsidRPr="002644DE" w:rsidRDefault="005F49E4" w:rsidP="00B959E3">
            <w:pPr>
              <w:jc w:val="both"/>
              <w:rPr>
                <w:rFonts w:eastAsia="Calibri" w:cs="Times New Roman"/>
                <w:i/>
                <w:sz w:val="18"/>
                <w:szCs w:val="18"/>
              </w:rPr>
            </w:pPr>
            <w:r w:rsidRPr="002644DE">
              <w:rPr>
                <w:rFonts w:eastAsia="Calibri"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5" w:type="pct"/>
            <w:tcBorders>
              <w:bottom w:val="single" w:sz="4" w:space="0" w:color="auto"/>
            </w:tcBorders>
            <w:shd w:val="clear" w:color="auto" w:fill="auto"/>
          </w:tcPr>
          <w:p w:rsidR="005F49E4" w:rsidRPr="002644DE" w:rsidRDefault="005F49E4" w:rsidP="00B959E3">
            <w:pPr>
              <w:jc w:val="both"/>
              <w:rPr>
                <w:rFonts w:eastAsia="Calibri" w:cs="Times New Roman"/>
                <w:i/>
                <w:sz w:val="18"/>
                <w:szCs w:val="18"/>
              </w:rPr>
            </w:pPr>
          </w:p>
        </w:tc>
      </w:tr>
      <w:tr w:rsidR="005F49E4" w:rsidRPr="002644DE" w:rsidTr="005F49E4">
        <w:tblPrEx>
          <w:tblBorders>
            <w:top w:val="none" w:sz="0" w:space="0" w:color="auto"/>
            <w:bottom w:val="none" w:sz="0" w:space="0" w:color="auto"/>
          </w:tblBorders>
        </w:tblPrEx>
        <w:trPr>
          <w:trHeight w:val="1235"/>
          <w:jc w:val="center"/>
        </w:trPr>
        <w:tc>
          <w:tcPr>
            <w:tcW w:w="138" w:type="pct"/>
            <w:tcBorders>
              <w:top w:val="single" w:sz="4" w:space="0" w:color="auto"/>
              <w:bottom w:val="single" w:sz="4" w:space="0" w:color="auto"/>
            </w:tcBorders>
            <w:shd w:val="clear" w:color="auto" w:fill="auto"/>
            <w:vAlign w:val="center"/>
          </w:tcPr>
          <w:p w:rsidR="005F49E4" w:rsidRPr="002644DE" w:rsidRDefault="005F49E4" w:rsidP="00B959E3">
            <w:pPr>
              <w:rPr>
                <w:rFonts w:eastAsia="Calibri" w:cs="Times New Roman"/>
                <w:i/>
                <w:sz w:val="18"/>
                <w:szCs w:val="18"/>
              </w:rPr>
            </w:pPr>
            <w:r w:rsidRPr="002644DE">
              <w:rPr>
                <w:rFonts w:eastAsia="Calibri" w:cs="Times New Roman"/>
                <w:i/>
                <w:sz w:val="18"/>
                <w:szCs w:val="18"/>
              </w:rPr>
              <w:t>g)</w:t>
            </w:r>
          </w:p>
        </w:tc>
        <w:tc>
          <w:tcPr>
            <w:tcW w:w="1877" w:type="pct"/>
            <w:tcBorders>
              <w:top w:val="single" w:sz="4" w:space="0" w:color="auto"/>
              <w:bottom w:val="single" w:sz="4" w:space="0" w:color="auto"/>
            </w:tcBorders>
            <w:shd w:val="clear" w:color="auto" w:fill="auto"/>
          </w:tcPr>
          <w:p w:rsidR="005F49E4" w:rsidRPr="002644DE" w:rsidRDefault="005F49E4" w:rsidP="00B959E3">
            <w:pPr>
              <w:jc w:val="both"/>
              <w:rPr>
                <w:rFonts w:eastAsia="Calibri" w:cs="Times New Roman"/>
                <w:i/>
                <w:sz w:val="18"/>
                <w:szCs w:val="18"/>
              </w:rPr>
            </w:pPr>
            <w:r w:rsidRPr="002644DE">
              <w:rPr>
                <w:rFonts w:eastAsia="Calibri"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rsidR="005F49E4" w:rsidRPr="002644DE" w:rsidRDefault="005F49E4" w:rsidP="00B959E3">
            <w:pPr>
              <w:jc w:val="both"/>
              <w:rPr>
                <w:rFonts w:cs="Times New Roman"/>
                <w:color w:val="000000"/>
                <w:sz w:val="27"/>
                <w:szCs w:val="27"/>
              </w:rPr>
            </w:pPr>
            <w:r w:rsidRPr="002644DE">
              <w:rPr>
                <w:rFonts w:eastAsia="Calibri" w:cs="Times New Roman"/>
                <w:i/>
                <w:sz w:val="18"/>
                <w:szCs w:val="18"/>
              </w:rPr>
              <w:t xml:space="preserve">V ktorých oblastiach podpory rovnosti žien a mužov návrh odstraňuje prekážky a/alebo podporuje rovnosť žien a mužov? </w:t>
            </w:r>
            <w:r w:rsidRPr="002644DE">
              <w:rPr>
                <w:rFonts w:cs="Times New Roman"/>
                <w:i/>
                <w:iCs/>
                <w:color w:val="000000"/>
                <w:sz w:val="18"/>
                <w:szCs w:val="18"/>
              </w:rPr>
              <w:t>Medzi oblasti podpory rovnosti žien a mužov okrem iného patria:</w:t>
            </w:r>
          </w:p>
          <w:p w:rsidR="005F49E4" w:rsidRPr="002644DE" w:rsidRDefault="005F49E4" w:rsidP="005F49E4">
            <w:pPr>
              <w:widowControl/>
              <w:numPr>
                <w:ilvl w:val="0"/>
                <w:numId w:val="10"/>
              </w:numPr>
              <w:adjustRightInd/>
              <w:ind w:left="170" w:hanging="170"/>
              <w:jc w:val="both"/>
              <w:rPr>
                <w:rFonts w:eastAsia="Calibri" w:cs="Times New Roman"/>
                <w:i/>
                <w:sz w:val="18"/>
                <w:szCs w:val="18"/>
              </w:rPr>
            </w:pPr>
            <w:r w:rsidRPr="002644DE">
              <w:rPr>
                <w:rFonts w:eastAsia="Calibri" w:cs="Times New Roman"/>
                <w:i/>
                <w:sz w:val="18"/>
                <w:szCs w:val="18"/>
              </w:rPr>
              <w:t>podpora slobodného výberu povolania a ekonomickej činnosti</w:t>
            </w:r>
          </w:p>
          <w:p w:rsidR="005F49E4" w:rsidRPr="002644DE" w:rsidRDefault="005F49E4" w:rsidP="005F49E4">
            <w:pPr>
              <w:widowControl/>
              <w:numPr>
                <w:ilvl w:val="0"/>
                <w:numId w:val="10"/>
              </w:numPr>
              <w:adjustRightInd/>
              <w:ind w:left="170" w:hanging="170"/>
              <w:jc w:val="both"/>
              <w:rPr>
                <w:rFonts w:eastAsia="Calibri" w:cs="Times New Roman"/>
                <w:i/>
                <w:sz w:val="18"/>
                <w:szCs w:val="18"/>
              </w:rPr>
            </w:pPr>
            <w:r w:rsidRPr="002644DE">
              <w:rPr>
                <w:rFonts w:eastAsia="Calibri" w:cs="Times New Roman"/>
                <w:i/>
                <w:sz w:val="18"/>
                <w:szCs w:val="18"/>
              </w:rPr>
              <w:t xml:space="preserve">podpora vyrovnávania ekonomickej nezávislosti, </w:t>
            </w:r>
          </w:p>
          <w:p w:rsidR="005F49E4" w:rsidRPr="002644DE" w:rsidRDefault="005F49E4" w:rsidP="005F49E4">
            <w:pPr>
              <w:widowControl/>
              <w:numPr>
                <w:ilvl w:val="0"/>
                <w:numId w:val="10"/>
              </w:numPr>
              <w:adjustRightInd/>
              <w:ind w:left="170" w:hanging="170"/>
              <w:jc w:val="both"/>
              <w:rPr>
                <w:rFonts w:eastAsia="Calibri" w:cs="Times New Roman"/>
                <w:i/>
                <w:sz w:val="18"/>
                <w:szCs w:val="18"/>
              </w:rPr>
            </w:pPr>
            <w:r w:rsidRPr="002644DE">
              <w:rPr>
                <w:rFonts w:eastAsia="Calibri" w:cs="Times New Roman"/>
                <w:i/>
                <w:sz w:val="18"/>
                <w:szCs w:val="18"/>
              </w:rPr>
              <w:t xml:space="preserve">zosúladenie pracovného, súkromného a rodinného života, </w:t>
            </w:r>
          </w:p>
          <w:p w:rsidR="005F49E4" w:rsidRPr="002644DE" w:rsidRDefault="005F49E4" w:rsidP="005F49E4">
            <w:pPr>
              <w:widowControl/>
              <w:numPr>
                <w:ilvl w:val="0"/>
                <w:numId w:val="10"/>
              </w:numPr>
              <w:adjustRightInd/>
              <w:ind w:left="170" w:hanging="170"/>
              <w:jc w:val="both"/>
              <w:rPr>
                <w:rFonts w:eastAsia="Calibri" w:cs="Times New Roman"/>
                <w:i/>
                <w:sz w:val="18"/>
                <w:szCs w:val="18"/>
              </w:rPr>
            </w:pPr>
            <w:r w:rsidRPr="002644DE">
              <w:rPr>
                <w:rFonts w:eastAsia="Calibri" w:cs="Times New Roman"/>
                <w:i/>
                <w:sz w:val="18"/>
                <w:szCs w:val="18"/>
              </w:rPr>
              <w:t xml:space="preserve">podpora rovnosti príležitostí pri participácii na rozhodovaní, </w:t>
            </w:r>
          </w:p>
          <w:p w:rsidR="005F49E4" w:rsidRPr="002644DE" w:rsidRDefault="005F49E4" w:rsidP="005F49E4">
            <w:pPr>
              <w:widowControl/>
              <w:numPr>
                <w:ilvl w:val="0"/>
                <w:numId w:val="10"/>
              </w:numPr>
              <w:adjustRightInd/>
              <w:ind w:left="170" w:hanging="170"/>
              <w:jc w:val="both"/>
              <w:rPr>
                <w:rFonts w:eastAsia="Calibri" w:cs="Times New Roman"/>
                <w:i/>
                <w:sz w:val="18"/>
                <w:szCs w:val="18"/>
              </w:rPr>
            </w:pPr>
            <w:r w:rsidRPr="002644DE">
              <w:rPr>
                <w:rFonts w:eastAsia="Calibri" w:cs="Times New Roman"/>
                <w:i/>
                <w:sz w:val="18"/>
                <w:szCs w:val="18"/>
              </w:rPr>
              <w:t xml:space="preserve">boj proti domácemu násiliu,  násiliu na ženách  a obchodovaniu s ľuďmi, </w:t>
            </w:r>
          </w:p>
          <w:p w:rsidR="005F49E4" w:rsidRPr="002644DE" w:rsidRDefault="005F49E4" w:rsidP="005F49E4">
            <w:pPr>
              <w:widowControl/>
              <w:numPr>
                <w:ilvl w:val="0"/>
                <w:numId w:val="10"/>
              </w:numPr>
              <w:adjustRightInd/>
              <w:ind w:left="170" w:hanging="170"/>
              <w:jc w:val="both"/>
              <w:rPr>
                <w:rFonts w:eastAsia="Calibri" w:cs="Times New Roman"/>
                <w:i/>
                <w:sz w:val="18"/>
                <w:szCs w:val="18"/>
              </w:rPr>
            </w:pPr>
            <w:r w:rsidRPr="002644DE">
              <w:rPr>
                <w:rFonts w:eastAsia="Calibri" w:cs="Times New Roman"/>
                <w:i/>
                <w:sz w:val="18"/>
                <w:szCs w:val="18"/>
              </w:rPr>
              <w:lastRenderedPageBreak/>
              <w:t>podpora vnímania osobnej starostlivosti o dieťa za rovnocennú s ekonomickou činnosťou a podpora neviditeľnej práce v domácnosti ako takej,</w:t>
            </w:r>
          </w:p>
          <w:p w:rsidR="005F49E4" w:rsidRPr="002644DE" w:rsidRDefault="005F49E4" w:rsidP="005F49E4">
            <w:pPr>
              <w:widowControl/>
              <w:numPr>
                <w:ilvl w:val="0"/>
                <w:numId w:val="10"/>
              </w:numPr>
              <w:adjustRightInd/>
              <w:ind w:left="170" w:hanging="170"/>
              <w:jc w:val="both"/>
              <w:rPr>
                <w:rFonts w:eastAsia="Calibri" w:cs="Times New Roman"/>
                <w:i/>
                <w:sz w:val="18"/>
                <w:szCs w:val="18"/>
              </w:rPr>
            </w:pPr>
            <w:r w:rsidRPr="002644DE">
              <w:rPr>
                <w:rFonts w:eastAsia="Calibri" w:cs="Times New Roman"/>
                <w:i/>
                <w:sz w:val="18"/>
                <w:szCs w:val="18"/>
              </w:rPr>
              <w:t>rešpektovanie osobných preferencií pri výbere povolania a zosúlaďovania pracovného a rodinného života.</w:t>
            </w:r>
          </w:p>
        </w:tc>
        <w:tc>
          <w:tcPr>
            <w:tcW w:w="2985" w:type="pct"/>
            <w:tcBorders>
              <w:top w:val="single" w:sz="4" w:space="0" w:color="auto"/>
              <w:bottom w:val="single" w:sz="4" w:space="0" w:color="auto"/>
            </w:tcBorders>
            <w:shd w:val="clear" w:color="auto" w:fill="auto"/>
          </w:tcPr>
          <w:p w:rsidR="005F49E4" w:rsidRPr="002644DE" w:rsidRDefault="005F49E4" w:rsidP="00B959E3">
            <w:pPr>
              <w:rPr>
                <w:rFonts w:eastAsia="Calibri" w:cs="Times New Roman"/>
                <w:sz w:val="20"/>
              </w:rPr>
            </w:pPr>
          </w:p>
        </w:tc>
      </w:tr>
    </w:tbl>
    <w:p w:rsidR="005F49E4" w:rsidRDefault="005F49E4">
      <w:pPr>
        <w:widowControl/>
        <w:adjustRightInd/>
        <w:spacing w:after="160" w:line="259" w:lineRule="auto"/>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9"/>
        <w:gridCol w:w="3548"/>
        <w:gridCol w:w="5854"/>
      </w:tblGrid>
      <w:tr w:rsidR="005F49E4" w:rsidRPr="002644DE" w:rsidTr="00B959E3">
        <w:trPr>
          <w:jc w:val="center"/>
        </w:trPr>
        <w:tc>
          <w:tcPr>
            <w:tcW w:w="5000" w:type="pct"/>
            <w:gridSpan w:val="3"/>
            <w:shd w:val="clear" w:color="auto" w:fill="D9D9D9"/>
          </w:tcPr>
          <w:p w:rsidR="005F49E4" w:rsidRPr="002644DE" w:rsidRDefault="005F49E4" w:rsidP="00B959E3">
            <w:pPr>
              <w:rPr>
                <w:rFonts w:eastAsia="Calibri" w:cs="Times New Roman"/>
                <w:b/>
              </w:rPr>
            </w:pPr>
            <w:r w:rsidRPr="002644DE">
              <w:rPr>
                <w:rFonts w:eastAsia="Calibri" w:cs="Times New Roman"/>
                <w:b/>
              </w:rPr>
              <w:t>4.4 Identifikujte, popíšte a kvantifikujte vplyvy na zamestnanosť a na trh práce.</w:t>
            </w:r>
          </w:p>
          <w:p w:rsidR="005F49E4" w:rsidRPr="002644DE" w:rsidRDefault="005F49E4" w:rsidP="00B959E3">
            <w:pPr>
              <w:jc w:val="both"/>
              <w:rPr>
                <w:rFonts w:eastAsia="Calibri" w:cs="Times New Roman"/>
                <w:i/>
              </w:rPr>
            </w:pPr>
            <w:r w:rsidRPr="002644DE">
              <w:rPr>
                <w:rFonts w:eastAsia="Calibri" w:cs="Times New Roman"/>
                <w:i/>
              </w:rPr>
              <w:t xml:space="preserve">V prípade kladnej odpovede pripojte </w:t>
            </w:r>
            <w:r w:rsidRPr="002644DE">
              <w:rPr>
                <w:rFonts w:eastAsia="Calibri" w:cs="Times New Roman"/>
                <w:b/>
                <w:i/>
              </w:rPr>
              <w:t>odôvodnenie</w:t>
            </w:r>
            <w:r w:rsidRPr="002644DE">
              <w:rPr>
                <w:rFonts w:eastAsia="Calibri" w:cs="Times New Roman"/>
                <w:i/>
              </w:rPr>
              <w:t xml:space="preserve"> v súlade s Metodickým postupom pre analýzu sociálnych vplyvov.</w:t>
            </w:r>
          </w:p>
        </w:tc>
      </w:tr>
      <w:tr w:rsidR="005F49E4" w:rsidRPr="002644DE" w:rsidTr="00B959E3">
        <w:trPr>
          <w:trHeight w:val="287"/>
          <w:jc w:val="center"/>
        </w:trPr>
        <w:tc>
          <w:tcPr>
            <w:tcW w:w="129" w:type="pct"/>
            <w:tcBorders>
              <w:top w:val="nil"/>
              <w:bottom w:val="single" w:sz="4" w:space="0" w:color="auto"/>
            </w:tcBorders>
            <w:shd w:val="clear" w:color="auto" w:fill="F2F2F2"/>
            <w:vAlign w:val="center"/>
          </w:tcPr>
          <w:p w:rsidR="005F49E4" w:rsidRPr="002644DE" w:rsidRDefault="005F49E4" w:rsidP="00B959E3">
            <w:pPr>
              <w:rPr>
                <w:rFonts w:eastAsia="Calibri" w:cs="Times New Roman"/>
                <w:i/>
                <w:sz w:val="18"/>
                <w:szCs w:val="18"/>
              </w:rPr>
            </w:pPr>
            <w:r w:rsidRPr="002644DE">
              <w:rPr>
                <w:rFonts w:eastAsia="Calibri" w:cs="Times New Roman"/>
                <w:i/>
                <w:sz w:val="18"/>
                <w:szCs w:val="18"/>
              </w:rPr>
              <w:t>a)</w:t>
            </w:r>
          </w:p>
        </w:tc>
        <w:tc>
          <w:tcPr>
            <w:tcW w:w="4871" w:type="pct"/>
            <w:gridSpan w:val="2"/>
            <w:tcBorders>
              <w:top w:val="nil"/>
              <w:bottom w:val="single" w:sz="4" w:space="0" w:color="auto"/>
            </w:tcBorders>
            <w:shd w:val="clear" w:color="auto" w:fill="F2F2F2"/>
            <w:vAlign w:val="center"/>
          </w:tcPr>
          <w:p w:rsidR="005F49E4" w:rsidRPr="002644DE" w:rsidRDefault="005F49E4" w:rsidP="00B959E3">
            <w:pPr>
              <w:rPr>
                <w:rFonts w:eastAsia="Calibri" w:cs="Times New Roman"/>
                <w:i/>
                <w:sz w:val="20"/>
                <w:szCs w:val="20"/>
              </w:rPr>
            </w:pPr>
            <w:r w:rsidRPr="002644DE">
              <w:rPr>
                <w:rFonts w:eastAsia="Calibri" w:cs="Times New Roman"/>
                <w:i/>
                <w:sz w:val="20"/>
                <w:szCs w:val="20"/>
              </w:rPr>
              <w:t>Uľahčuje návrh vznik nových pracovných miest? Ak áno, ako? Ak je to možné, doplňte kvantifikáciu.</w:t>
            </w:r>
          </w:p>
        </w:tc>
      </w:tr>
      <w:tr w:rsidR="005F49E4" w:rsidRPr="002644DE" w:rsidTr="00B959E3">
        <w:trPr>
          <w:trHeight w:val="567"/>
          <w:jc w:val="center"/>
        </w:trPr>
        <w:tc>
          <w:tcPr>
            <w:tcW w:w="129" w:type="pct"/>
            <w:tcBorders>
              <w:top w:val="nil"/>
              <w:bottom w:val="single" w:sz="4" w:space="0" w:color="auto"/>
            </w:tcBorders>
            <w:shd w:val="clear" w:color="auto" w:fill="FFFFFF"/>
            <w:vAlign w:val="center"/>
          </w:tcPr>
          <w:p w:rsidR="005F49E4" w:rsidRPr="002644DE" w:rsidRDefault="005F49E4" w:rsidP="00B959E3">
            <w:pPr>
              <w:rPr>
                <w:rFonts w:eastAsia="Calibri" w:cs="Times New Roman"/>
                <w:i/>
                <w:sz w:val="18"/>
                <w:szCs w:val="18"/>
              </w:rPr>
            </w:pPr>
            <w:r w:rsidRPr="002644DE">
              <w:rPr>
                <w:rFonts w:eastAsia="Calibri" w:cs="Times New Roman"/>
                <w:i/>
                <w:sz w:val="18"/>
                <w:szCs w:val="18"/>
              </w:rPr>
              <w:t>b)</w:t>
            </w:r>
          </w:p>
        </w:tc>
        <w:tc>
          <w:tcPr>
            <w:tcW w:w="1838" w:type="pct"/>
            <w:tcBorders>
              <w:top w:val="nil"/>
              <w:bottom w:val="single" w:sz="4" w:space="0" w:color="auto"/>
            </w:tcBorders>
            <w:shd w:val="clear" w:color="auto" w:fill="FFFFFF"/>
          </w:tcPr>
          <w:p w:rsidR="005F49E4" w:rsidRPr="002644DE" w:rsidRDefault="005F49E4" w:rsidP="00B959E3">
            <w:pPr>
              <w:jc w:val="both"/>
              <w:rPr>
                <w:rFonts w:eastAsia="Calibri" w:cs="Times New Roman"/>
                <w:i/>
                <w:sz w:val="18"/>
                <w:szCs w:val="18"/>
              </w:rPr>
            </w:pPr>
            <w:r w:rsidRPr="002644DE">
              <w:rPr>
                <w:rFonts w:eastAsia="Calibri"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rsidR="005F49E4" w:rsidRPr="002644DE" w:rsidRDefault="005F49E4" w:rsidP="00B959E3">
            <w:pPr>
              <w:rPr>
                <w:rFonts w:eastAsia="Calibri" w:cs="Times New Roman"/>
                <w:sz w:val="20"/>
                <w:szCs w:val="18"/>
              </w:rPr>
            </w:pPr>
          </w:p>
        </w:tc>
      </w:tr>
      <w:tr w:rsidR="005F49E4" w:rsidRPr="002644DE" w:rsidTr="00B959E3">
        <w:trPr>
          <w:trHeight w:val="270"/>
          <w:jc w:val="center"/>
        </w:trPr>
        <w:tc>
          <w:tcPr>
            <w:tcW w:w="129" w:type="pct"/>
            <w:tcBorders>
              <w:bottom w:val="single" w:sz="4" w:space="0" w:color="auto"/>
            </w:tcBorders>
            <w:shd w:val="clear" w:color="auto" w:fill="F2F2F2"/>
            <w:vAlign w:val="center"/>
          </w:tcPr>
          <w:p w:rsidR="005F49E4" w:rsidRPr="002644DE" w:rsidRDefault="005F49E4" w:rsidP="00B959E3">
            <w:pPr>
              <w:rPr>
                <w:rFonts w:eastAsia="Calibri" w:cs="Times New Roman"/>
                <w:i/>
                <w:sz w:val="18"/>
                <w:szCs w:val="18"/>
              </w:rPr>
            </w:pPr>
            <w:r w:rsidRPr="002644DE">
              <w:rPr>
                <w:rFonts w:eastAsia="Calibri" w:cs="Times New Roman"/>
                <w:i/>
                <w:sz w:val="18"/>
                <w:szCs w:val="18"/>
              </w:rPr>
              <w:t>c)</w:t>
            </w:r>
          </w:p>
        </w:tc>
        <w:tc>
          <w:tcPr>
            <w:tcW w:w="4871" w:type="pct"/>
            <w:gridSpan w:val="2"/>
            <w:tcBorders>
              <w:bottom w:val="single" w:sz="4" w:space="0" w:color="auto"/>
            </w:tcBorders>
            <w:shd w:val="clear" w:color="auto" w:fill="F2F2F2"/>
            <w:vAlign w:val="center"/>
          </w:tcPr>
          <w:p w:rsidR="005F49E4" w:rsidRPr="002644DE" w:rsidRDefault="005F49E4" w:rsidP="00B959E3">
            <w:pPr>
              <w:rPr>
                <w:rFonts w:eastAsia="Calibri" w:cs="Times New Roman"/>
                <w:i/>
                <w:sz w:val="20"/>
                <w:szCs w:val="20"/>
              </w:rPr>
            </w:pPr>
            <w:r w:rsidRPr="002644DE">
              <w:rPr>
                <w:rFonts w:eastAsia="Calibri" w:cs="Times New Roman"/>
                <w:i/>
                <w:sz w:val="20"/>
                <w:szCs w:val="20"/>
              </w:rPr>
              <w:t>Vedie návrh k zániku pracovných miest?</w:t>
            </w:r>
            <w:r w:rsidRPr="002644DE">
              <w:rPr>
                <w:rFonts w:eastAsia="Calibri" w:cs="Times New Roman"/>
                <w:sz w:val="20"/>
                <w:szCs w:val="20"/>
              </w:rPr>
              <w:t xml:space="preserve"> </w:t>
            </w:r>
            <w:r w:rsidRPr="002644DE">
              <w:rPr>
                <w:rFonts w:eastAsia="Calibri" w:cs="Times New Roman"/>
                <w:i/>
                <w:sz w:val="20"/>
                <w:szCs w:val="20"/>
              </w:rPr>
              <w:t>Ak áno, ako a akých? Ak je to možné, doplňte kvantifikáciu</w:t>
            </w:r>
          </w:p>
        </w:tc>
      </w:tr>
      <w:tr w:rsidR="005F49E4" w:rsidRPr="002644DE" w:rsidTr="00B959E3">
        <w:trPr>
          <w:trHeight w:val="454"/>
          <w:jc w:val="center"/>
        </w:trPr>
        <w:tc>
          <w:tcPr>
            <w:tcW w:w="129" w:type="pct"/>
            <w:tcBorders>
              <w:bottom w:val="single" w:sz="4" w:space="0" w:color="auto"/>
            </w:tcBorders>
            <w:shd w:val="clear" w:color="auto" w:fill="FFFFFF"/>
            <w:vAlign w:val="center"/>
          </w:tcPr>
          <w:p w:rsidR="005F49E4" w:rsidRPr="002644DE" w:rsidRDefault="005F49E4" w:rsidP="00B959E3">
            <w:pPr>
              <w:rPr>
                <w:rFonts w:eastAsia="Calibri" w:cs="Times New Roman"/>
                <w:i/>
                <w:sz w:val="18"/>
                <w:szCs w:val="18"/>
              </w:rPr>
            </w:pPr>
            <w:r w:rsidRPr="002644DE">
              <w:rPr>
                <w:rFonts w:eastAsia="Calibri" w:cs="Times New Roman"/>
                <w:i/>
                <w:sz w:val="18"/>
                <w:szCs w:val="18"/>
              </w:rPr>
              <w:t>d)</w:t>
            </w:r>
          </w:p>
        </w:tc>
        <w:tc>
          <w:tcPr>
            <w:tcW w:w="1838" w:type="pct"/>
            <w:tcBorders>
              <w:bottom w:val="single" w:sz="4" w:space="0" w:color="auto"/>
            </w:tcBorders>
            <w:shd w:val="clear" w:color="auto" w:fill="FFFFFF"/>
          </w:tcPr>
          <w:p w:rsidR="005F49E4" w:rsidRPr="002644DE" w:rsidRDefault="005F49E4" w:rsidP="00B959E3">
            <w:pPr>
              <w:jc w:val="both"/>
              <w:rPr>
                <w:rFonts w:eastAsia="Calibri" w:cs="Times New Roman"/>
                <w:i/>
                <w:sz w:val="18"/>
                <w:szCs w:val="18"/>
              </w:rPr>
            </w:pPr>
            <w:r w:rsidRPr="002644DE">
              <w:rPr>
                <w:rFonts w:eastAsia="Calibri"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rsidR="005F49E4" w:rsidRPr="002644DE" w:rsidRDefault="005F49E4" w:rsidP="00B959E3">
            <w:pPr>
              <w:rPr>
                <w:rFonts w:eastAsia="Calibri" w:cs="Times New Roman"/>
                <w:sz w:val="20"/>
                <w:szCs w:val="18"/>
              </w:rPr>
            </w:pPr>
          </w:p>
        </w:tc>
      </w:tr>
      <w:tr w:rsidR="005F49E4" w:rsidRPr="002644DE" w:rsidTr="00B959E3">
        <w:trPr>
          <w:trHeight w:val="248"/>
          <w:jc w:val="center"/>
        </w:trPr>
        <w:tc>
          <w:tcPr>
            <w:tcW w:w="129" w:type="pct"/>
            <w:tcBorders>
              <w:bottom w:val="single" w:sz="4" w:space="0" w:color="auto"/>
            </w:tcBorders>
            <w:shd w:val="clear" w:color="auto" w:fill="F2F2F2"/>
            <w:vAlign w:val="center"/>
          </w:tcPr>
          <w:p w:rsidR="005F49E4" w:rsidRPr="002644DE" w:rsidRDefault="005F49E4" w:rsidP="00B959E3">
            <w:pPr>
              <w:rPr>
                <w:rFonts w:eastAsia="Calibri" w:cs="Times New Roman"/>
                <w:i/>
                <w:sz w:val="18"/>
                <w:szCs w:val="18"/>
              </w:rPr>
            </w:pPr>
            <w:r w:rsidRPr="002644DE">
              <w:rPr>
                <w:rFonts w:eastAsia="Calibri" w:cs="Times New Roman"/>
                <w:i/>
                <w:sz w:val="18"/>
                <w:szCs w:val="18"/>
              </w:rPr>
              <w:t>e)</w:t>
            </w:r>
          </w:p>
        </w:tc>
        <w:tc>
          <w:tcPr>
            <w:tcW w:w="4871" w:type="pct"/>
            <w:gridSpan w:val="2"/>
            <w:tcBorders>
              <w:bottom w:val="single" w:sz="4" w:space="0" w:color="auto"/>
            </w:tcBorders>
            <w:shd w:val="clear" w:color="auto" w:fill="F2F2F2"/>
            <w:vAlign w:val="center"/>
          </w:tcPr>
          <w:p w:rsidR="005F49E4" w:rsidRPr="002644DE" w:rsidRDefault="005F49E4" w:rsidP="00B959E3">
            <w:pPr>
              <w:rPr>
                <w:rFonts w:eastAsia="Calibri" w:cs="Times New Roman"/>
                <w:sz w:val="20"/>
                <w:szCs w:val="20"/>
              </w:rPr>
            </w:pPr>
            <w:r w:rsidRPr="002644DE">
              <w:rPr>
                <w:rFonts w:eastAsia="Calibri" w:cs="Times New Roman"/>
                <w:i/>
                <w:sz w:val="20"/>
                <w:szCs w:val="20"/>
              </w:rPr>
              <w:t>Ovplyvňuje návrh dopyt po práci? Ak áno, ako?</w:t>
            </w:r>
          </w:p>
        </w:tc>
      </w:tr>
      <w:tr w:rsidR="005F49E4" w:rsidRPr="002644DE" w:rsidTr="00B959E3">
        <w:trPr>
          <w:trHeight w:val="209"/>
          <w:jc w:val="center"/>
        </w:trPr>
        <w:tc>
          <w:tcPr>
            <w:tcW w:w="129" w:type="pct"/>
            <w:tcBorders>
              <w:bottom w:val="single" w:sz="4" w:space="0" w:color="auto"/>
            </w:tcBorders>
            <w:shd w:val="clear" w:color="auto" w:fill="FFFFFF"/>
            <w:vAlign w:val="center"/>
          </w:tcPr>
          <w:p w:rsidR="005F49E4" w:rsidRPr="002644DE" w:rsidRDefault="005F49E4" w:rsidP="00B959E3">
            <w:pPr>
              <w:rPr>
                <w:rFonts w:eastAsia="Calibri" w:cs="Times New Roman"/>
                <w:i/>
                <w:sz w:val="18"/>
                <w:szCs w:val="18"/>
              </w:rPr>
            </w:pPr>
            <w:r w:rsidRPr="002644DE">
              <w:rPr>
                <w:rFonts w:eastAsia="Calibri" w:cs="Times New Roman"/>
                <w:i/>
                <w:sz w:val="18"/>
                <w:szCs w:val="18"/>
              </w:rPr>
              <w:t>f)</w:t>
            </w:r>
          </w:p>
        </w:tc>
        <w:tc>
          <w:tcPr>
            <w:tcW w:w="1838" w:type="pct"/>
            <w:tcBorders>
              <w:bottom w:val="single" w:sz="4" w:space="0" w:color="auto"/>
            </w:tcBorders>
            <w:shd w:val="clear" w:color="auto" w:fill="FFFFFF"/>
          </w:tcPr>
          <w:p w:rsidR="005F49E4" w:rsidRPr="002644DE" w:rsidRDefault="005F49E4" w:rsidP="00B959E3">
            <w:pPr>
              <w:jc w:val="both"/>
              <w:rPr>
                <w:rFonts w:eastAsia="Calibri" w:cs="Times New Roman"/>
                <w:i/>
                <w:sz w:val="18"/>
                <w:szCs w:val="18"/>
              </w:rPr>
            </w:pPr>
            <w:r w:rsidRPr="002644DE">
              <w:rPr>
                <w:rFonts w:eastAsia="Calibri"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rsidR="005F49E4" w:rsidRPr="002644DE" w:rsidRDefault="005F49E4" w:rsidP="00B959E3">
            <w:pPr>
              <w:rPr>
                <w:rFonts w:eastAsia="Calibri" w:cs="Times New Roman"/>
                <w:sz w:val="20"/>
                <w:szCs w:val="18"/>
              </w:rPr>
            </w:pPr>
          </w:p>
        </w:tc>
      </w:tr>
      <w:tr w:rsidR="005F49E4" w:rsidRPr="002644DE" w:rsidTr="00B959E3">
        <w:trPr>
          <w:trHeight w:val="208"/>
          <w:jc w:val="center"/>
        </w:trPr>
        <w:tc>
          <w:tcPr>
            <w:tcW w:w="129" w:type="pct"/>
            <w:tcBorders>
              <w:bottom w:val="single" w:sz="4" w:space="0" w:color="auto"/>
            </w:tcBorders>
            <w:shd w:val="clear" w:color="auto" w:fill="F2F2F2"/>
            <w:vAlign w:val="center"/>
          </w:tcPr>
          <w:p w:rsidR="005F49E4" w:rsidRPr="002644DE" w:rsidRDefault="005F49E4" w:rsidP="00B959E3">
            <w:pPr>
              <w:rPr>
                <w:rFonts w:eastAsia="Calibri" w:cs="Times New Roman"/>
                <w:i/>
                <w:sz w:val="18"/>
                <w:szCs w:val="18"/>
              </w:rPr>
            </w:pPr>
            <w:r w:rsidRPr="002644DE">
              <w:rPr>
                <w:rFonts w:eastAsia="Calibri" w:cs="Times New Roman"/>
                <w:i/>
                <w:sz w:val="18"/>
                <w:szCs w:val="18"/>
              </w:rPr>
              <w:t>g)</w:t>
            </w:r>
          </w:p>
        </w:tc>
        <w:tc>
          <w:tcPr>
            <w:tcW w:w="4871" w:type="pct"/>
            <w:gridSpan w:val="2"/>
            <w:tcBorders>
              <w:bottom w:val="single" w:sz="4" w:space="0" w:color="auto"/>
            </w:tcBorders>
            <w:shd w:val="clear" w:color="auto" w:fill="F2F2F2"/>
            <w:vAlign w:val="center"/>
          </w:tcPr>
          <w:p w:rsidR="005F49E4" w:rsidRPr="002644DE" w:rsidRDefault="005F49E4" w:rsidP="00B959E3">
            <w:pPr>
              <w:rPr>
                <w:rFonts w:eastAsia="Calibri" w:cs="Times New Roman"/>
                <w:sz w:val="20"/>
                <w:szCs w:val="20"/>
              </w:rPr>
            </w:pPr>
            <w:r w:rsidRPr="002644DE">
              <w:rPr>
                <w:rFonts w:eastAsia="Calibri" w:cs="Times New Roman"/>
                <w:i/>
                <w:sz w:val="20"/>
                <w:szCs w:val="20"/>
              </w:rPr>
              <w:t>Má návrh dosah na fungovanie trhu práce?</w:t>
            </w:r>
            <w:r w:rsidRPr="002644DE">
              <w:rPr>
                <w:rFonts w:eastAsia="Calibri" w:cs="Times New Roman"/>
                <w:sz w:val="20"/>
                <w:szCs w:val="20"/>
              </w:rPr>
              <w:t xml:space="preserve"> </w:t>
            </w:r>
            <w:r w:rsidRPr="002644DE">
              <w:rPr>
                <w:rFonts w:eastAsia="Calibri" w:cs="Times New Roman"/>
                <w:i/>
                <w:sz w:val="20"/>
                <w:szCs w:val="20"/>
              </w:rPr>
              <w:t>Ak áno, aký?</w:t>
            </w:r>
          </w:p>
        </w:tc>
      </w:tr>
      <w:tr w:rsidR="005F49E4" w:rsidRPr="002644DE" w:rsidTr="00B959E3">
        <w:trPr>
          <w:trHeight w:val="794"/>
          <w:jc w:val="center"/>
        </w:trPr>
        <w:tc>
          <w:tcPr>
            <w:tcW w:w="129" w:type="pct"/>
            <w:tcBorders>
              <w:bottom w:val="single" w:sz="4" w:space="0" w:color="auto"/>
            </w:tcBorders>
            <w:shd w:val="clear" w:color="auto" w:fill="FFFFFF"/>
            <w:vAlign w:val="center"/>
          </w:tcPr>
          <w:p w:rsidR="005F49E4" w:rsidRPr="002644DE" w:rsidRDefault="005F49E4" w:rsidP="00B959E3">
            <w:pPr>
              <w:rPr>
                <w:rFonts w:eastAsia="Calibri" w:cs="Times New Roman"/>
                <w:i/>
                <w:sz w:val="18"/>
                <w:szCs w:val="18"/>
              </w:rPr>
            </w:pPr>
            <w:r w:rsidRPr="002644DE">
              <w:rPr>
                <w:rFonts w:eastAsia="Calibri" w:cs="Times New Roman"/>
                <w:i/>
                <w:sz w:val="18"/>
                <w:szCs w:val="18"/>
              </w:rPr>
              <w:t>h)</w:t>
            </w:r>
          </w:p>
        </w:tc>
        <w:tc>
          <w:tcPr>
            <w:tcW w:w="1838" w:type="pct"/>
            <w:tcBorders>
              <w:bottom w:val="single" w:sz="4" w:space="0" w:color="auto"/>
            </w:tcBorders>
            <w:shd w:val="clear" w:color="auto" w:fill="FFFFFF"/>
          </w:tcPr>
          <w:p w:rsidR="005F49E4" w:rsidRPr="002644DE" w:rsidRDefault="005F49E4" w:rsidP="00B959E3">
            <w:pPr>
              <w:jc w:val="both"/>
              <w:rPr>
                <w:rFonts w:eastAsia="Calibri" w:cs="Times New Roman"/>
                <w:i/>
                <w:sz w:val="18"/>
                <w:szCs w:val="18"/>
              </w:rPr>
            </w:pPr>
            <w:r w:rsidRPr="002644DE">
              <w:rPr>
                <w:rFonts w:eastAsia="Calibri" w:cs="Times New Roman"/>
                <w:i/>
                <w:sz w:val="18"/>
                <w:szCs w:val="18"/>
              </w:rPr>
              <w:t>Týka sa makroekonomických dosahov ako je napr. participácia na trhu práce, dlhodobá nezamestnanosť, regionálne rozdiely v mierach zamestnanosti.</w:t>
            </w:r>
            <w:r w:rsidRPr="002644DE">
              <w:rPr>
                <w:rFonts w:eastAsia="Calibri" w:cs="Times New Roman"/>
                <w:sz w:val="18"/>
                <w:szCs w:val="18"/>
              </w:rPr>
              <w:t xml:space="preserve"> </w:t>
            </w:r>
            <w:r w:rsidRPr="002644DE">
              <w:rPr>
                <w:rFonts w:eastAsia="Calibri"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rsidR="005F49E4" w:rsidRPr="002644DE" w:rsidRDefault="005F49E4" w:rsidP="00B959E3">
            <w:pPr>
              <w:rPr>
                <w:rFonts w:eastAsia="Calibri" w:cs="Times New Roman"/>
                <w:sz w:val="20"/>
                <w:szCs w:val="18"/>
              </w:rPr>
            </w:pPr>
          </w:p>
        </w:tc>
      </w:tr>
      <w:tr w:rsidR="005F49E4" w:rsidRPr="002644DE" w:rsidTr="00B959E3">
        <w:trPr>
          <w:trHeight w:val="324"/>
          <w:jc w:val="center"/>
        </w:trPr>
        <w:tc>
          <w:tcPr>
            <w:tcW w:w="129" w:type="pct"/>
            <w:tcBorders>
              <w:bottom w:val="single" w:sz="4" w:space="0" w:color="auto"/>
            </w:tcBorders>
            <w:shd w:val="clear" w:color="auto" w:fill="F2F2F2"/>
            <w:vAlign w:val="center"/>
          </w:tcPr>
          <w:p w:rsidR="005F49E4" w:rsidRPr="002644DE" w:rsidRDefault="005F49E4" w:rsidP="00B959E3">
            <w:pPr>
              <w:rPr>
                <w:rFonts w:eastAsia="Calibri" w:cs="Times New Roman"/>
                <w:i/>
                <w:sz w:val="18"/>
                <w:szCs w:val="18"/>
              </w:rPr>
            </w:pPr>
            <w:r w:rsidRPr="002644DE">
              <w:rPr>
                <w:rFonts w:eastAsia="Calibri" w:cs="Times New Roman"/>
                <w:i/>
                <w:sz w:val="18"/>
                <w:szCs w:val="18"/>
              </w:rPr>
              <w:t>i)</w:t>
            </w:r>
          </w:p>
        </w:tc>
        <w:tc>
          <w:tcPr>
            <w:tcW w:w="4871" w:type="pct"/>
            <w:gridSpan w:val="2"/>
            <w:tcBorders>
              <w:bottom w:val="single" w:sz="4" w:space="0" w:color="auto"/>
            </w:tcBorders>
            <w:shd w:val="clear" w:color="auto" w:fill="F2F2F2"/>
            <w:vAlign w:val="center"/>
          </w:tcPr>
          <w:p w:rsidR="005F49E4" w:rsidRPr="002644DE" w:rsidRDefault="005F49E4" w:rsidP="00B959E3">
            <w:pPr>
              <w:rPr>
                <w:rFonts w:eastAsia="Calibri" w:cs="Times New Roman"/>
                <w:sz w:val="20"/>
                <w:szCs w:val="20"/>
              </w:rPr>
            </w:pPr>
            <w:r w:rsidRPr="002644DE">
              <w:rPr>
                <w:rFonts w:eastAsia="Calibri" w:cs="Times New Roman"/>
                <w:i/>
                <w:sz w:val="20"/>
                <w:szCs w:val="20"/>
              </w:rPr>
              <w:t>Má návrh špecifické negatívne dôsledky pre isté skupiny profesií, skupín zamestnancov či živnostníkov?</w:t>
            </w:r>
            <w:r w:rsidRPr="002644DE">
              <w:rPr>
                <w:rFonts w:eastAsia="Calibri" w:cs="Times New Roman"/>
                <w:sz w:val="20"/>
                <w:szCs w:val="20"/>
              </w:rPr>
              <w:t xml:space="preserve"> </w:t>
            </w:r>
            <w:r w:rsidRPr="002644DE">
              <w:rPr>
                <w:rFonts w:eastAsia="Calibri" w:cs="Times New Roman"/>
                <w:i/>
                <w:sz w:val="20"/>
                <w:szCs w:val="20"/>
              </w:rPr>
              <w:t>Ak áno, aké a pre ktoré skupiny?</w:t>
            </w:r>
          </w:p>
        </w:tc>
      </w:tr>
      <w:tr w:rsidR="005F49E4" w:rsidRPr="002644DE" w:rsidTr="00B959E3">
        <w:trPr>
          <w:trHeight w:val="216"/>
          <w:jc w:val="center"/>
        </w:trPr>
        <w:tc>
          <w:tcPr>
            <w:tcW w:w="129" w:type="pct"/>
            <w:tcBorders>
              <w:bottom w:val="single" w:sz="4" w:space="0" w:color="auto"/>
            </w:tcBorders>
            <w:shd w:val="clear" w:color="auto" w:fill="FFFFFF"/>
            <w:vAlign w:val="center"/>
          </w:tcPr>
          <w:p w:rsidR="005F49E4" w:rsidRPr="002644DE" w:rsidRDefault="005F49E4" w:rsidP="00B959E3">
            <w:pPr>
              <w:rPr>
                <w:rFonts w:eastAsia="Calibri" w:cs="Times New Roman"/>
                <w:i/>
                <w:sz w:val="18"/>
                <w:szCs w:val="18"/>
              </w:rPr>
            </w:pPr>
            <w:r w:rsidRPr="002644DE">
              <w:rPr>
                <w:rFonts w:eastAsia="Calibri" w:cs="Times New Roman"/>
                <w:i/>
                <w:sz w:val="18"/>
                <w:szCs w:val="18"/>
              </w:rPr>
              <w:t>j)</w:t>
            </w:r>
          </w:p>
        </w:tc>
        <w:tc>
          <w:tcPr>
            <w:tcW w:w="1838" w:type="pct"/>
            <w:tcBorders>
              <w:bottom w:val="single" w:sz="4" w:space="0" w:color="auto"/>
            </w:tcBorders>
            <w:shd w:val="clear" w:color="auto" w:fill="FFFFFF"/>
          </w:tcPr>
          <w:p w:rsidR="005F49E4" w:rsidRPr="002644DE" w:rsidRDefault="005F49E4" w:rsidP="00B959E3">
            <w:pPr>
              <w:rPr>
                <w:rFonts w:eastAsia="Calibri" w:cs="Times New Roman"/>
                <w:i/>
                <w:sz w:val="18"/>
                <w:szCs w:val="18"/>
              </w:rPr>
            </w:pPr>
            <w:r w:rsidRPr="002644DE">
              <w:rPr>
                <w:rFonts w:eastAsia="Calibri"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rsidR="005F49E4" w:rsidRPr="002644DE" w:rsidRDefault="005F49E4" w:rsidP="00B959E3">
            <w:pPr>
              <w:rPr>
                <w:rFonts w:eastAsia="Calibri" w:cs="Times New Roman"/>
                <w:sz w:val="20"/>
                <w:szCs w:val="18"/>
              </w:rPr>
            </w:pPr>
          </w:p>
        </w:tc>
      </w:tr>
      <w:tr w:rsidR="005F49E4" w:rsidRPr="002644DE" w:rsidTr="00B959E3">
        <w:trPr>
          <w:trHeight w:val="219"/>
          <w:jc w:val="center"/>
        </w:trPr>
        <w:tc>
          <w:tcPr>
            <w:tcW w:w="129" w:type="pct"/>
            <w:tcBorders>
              <w:bottom w:val="single" w:sz="4" w:space="0" w:color="auto"/>
            </w:tcBorders>
            <w:shd w:val="clear" w:color="auto" w:fill="F2F2F2"/>
            <w:vAlign w:val="center"/>
          </w:tcPr>
          <w:p w:rsidR="005F49E4" w:rsidRPr="002644DE" w:rsidRDefault="005F49E4" w:rsidP="00B959E3">
            <w:pPr>
              <w:rPr>
                <w:rFonts w:eastAsia="Calibri" w:cs="Times New Roman"/>
                <w:i/>
                <w:sz w:val="18"/>
                <w:szCs w:val="18"/>
              </w:rPr>
            </w:pPr>
            <w:r w:rsidRPr="002644DE">
              <w:rPr>
                <w:rFonts w:eastAsia="Calibri" w:cs="Times New Roman"/>
                <w:i/>
                <w:sz w:val="18"/>
                <w:szCs w:val="18"/>
              </w:rPr>
              <w:t>k)</w:t>
            </w:r>
          </w:p>
        </w:tc>
        <w:tc>
          <w:tcPr>
            <w:tcW w:w="4871" w:type="pct"/>
            <w:gridSpan w:val="2"/>
            <w:tcBorders>
              <w:bottom w:val="single" w:sz="4" w:space="0" w:color="auto"/>
            </w:tcBorders>
            <w:shd w:val="clear" w:color="auto" w:fill="F2F2F2"/>
            <w:vAlign w:val="center"/>
          </w:tcPr>
          <w:p w:rsidR="005F49E4" w:rsidRPr="002644DE" w:rsidRDefault="005F49E4" w:rsidP="00B959E3">
            <w:pPr>
              <w:rPr>
                <w:rFonts w:eastAsia="Calibri" w:cs="Times New Roman"/>
                <w:sz w:val="20"/>
                <w:szCs w:val="20"/>
              </w:rPr>
            </w:pPr>
            <w:r w:rsidRPr="002644DE">
              <w:rPr>
                <w:rFonts w:eastAsia="Calibri" w:cs="Times New Roman"/>
                <w:i/>
                <w:sz w:val="20"/>
                <w:szCs w:val="20"/>
              </w:rPr>
              <w:t>Ovplyvňuje návrh špecifické vekové skupiny zamestnancov? Ak áno, aké? Akým spôsobom?</w:t>
            </w:r>
          </w:p>
        </w:tc>
      </w:tr>
      <w:tr w:rsidR="005F49E4" w:rsidRPr="002644DE" w:rsidTr="00B959E3">
        <w:trPr>
          <w:trHeight w:val="497"/>
          <w:jc w:val="center"/>
        </w:trPr>
        <w:tc>
          <w:tcPr>
            <w:tcW w:w="129" w:type="pct"/>
            <w:tcBorders>
              <w:bottom w:val="single" w:sz="4" w:space="0" w:color="auto"/>
            </w:tcBorders>
            <w:shd w:val="clear" w:color="auto" w:fill="FFFFFF"/>
            <w:vAlign w:val="center"/>
          </w:tcPr>
          <w:p w:rsidR="005F49E4" w:rsidRPr="002644DE" w:rsidRDefault="005F49E4" w:rsidP="00B959E3">
            <w:pPr>
              <w:rPr>
                <w:rFonts w:eastAsia="Calibri" w:cs="Times New Roman"/>
                <w:i/>
                <w:sz w:val="18"/>
                <w:szCs w:val="18"/>
              </w:rPr>
            </w:pPr>
            <w:r w:rsidRPr="002644DE">
              <w:rPr>
                <w:rFonts w:eastAsia="Calibri" w:cs="Times New Roman"/>
                <w:i/>
                <w:sz w:val="18"/>
                <w:szCs w:val="18"/>
              </w:rPr>
              <w:t>l)</w:t>
            </w:r>
          </w:p>
        </w:tc>
        <w:tc>
          <w:tcPr>
            <w:tcW w:w="1838" w:type="pct"/>
            <w:tcBorders>
              <w:bottom w:val="single" w:sz="4" w:space="0" w:color="auto"/>
            </w:tcBorders>
            <w:shd w:val="clear" w:color="auto" w:fill="FFFFFF"/>
          </w:tcPr>
          <w:p w:rsidR="005F49E4" w:rsidRPr="002644DE" w:rsidRDefault="005F49E4" w:rsidP="00B959E3">
            <w:pPr>
              <w:jc w:val="both"/>
              <w:rPr>
                <w:rFonts w:eastAsia="Calibri" w:cs="Times New Roman"/>
                <w:i/>
                <w:sz w:val="18"/>
                <w:szCs w:val="18"/>
              </w:rPr>
            </w:pPr>
            <w:r w:rsidRPr="002644DE">
              <w:rPr>
                <w:rFonts w:eastAsia="Calibri"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rsidR="005F49E4" w:rsidRPr="002644DE" w:rsidRDefault="005F49E4" w:rsidP="00B959E3">
            <w:pPr>
              <w:rPr>
                <w:rFonts w:eastAsia="Calibri" w:cs="Times New Roman"/>
                <w:sz w:val="20"/>
                <w:szCs w:val="18"/>
              </w:rPr>
            </w:pPr>
          </w:p>
        </w:tc>
      </w:tr>
    </w:tbl>
    <w:p w:rsidR="005F49E4" w:rsidRDefault="005F49E4">
      <w:pPr>
        <w:widowControl/>
        <w:adjustRightInd/>
        <w:spacing w:after="160" w:line="259" w:lineRule="auto"/>
      </w:pPr>
    </w:p>
    <w:p w:rsidR="005F49E4" w:rsidRDefault="005F49E4">
      <w:pPr>
        <w:widowControl/>
        <w:adjustRightInd/>
        <w:spacing w:after="160" w:line="259" w:lineRule="auto"/>
      </w:pPr>
      <w:r>
        <w:br w:type="page"/>
      </w:r>
    </w:p>
    <w:p w:rsidR="00CD4F09" w:rsidRPr="000A7CB4" w:rsidRDefault="00CD4F09" w:rsidP="00CD4F09">
      <w:pPr>
        <w:jc w:val="center"/>
        <w:rPr>
          <w:b/>
          <w:caps/>
          <w:spacing w:val="30"/>
        </w:rPr>
      </w:pPr>
      <w:r w:rsidRPr="000A7CB4">
        <w:rPr>
          <w:b/>
          <w:caps/>
          <w:spacing w:val="30"/>
        </w:rPr>
        <w:lastRenderedPageBreak/>
        <w:t>Doložka zlučiteľnosti</w:t>
      </w:r>
    </w:p>
    <w:p w:rsidR="00CD4F09" w:rsidRPr="000A7CB4" w:rsidRDefault="00CD4F09" w:rsidP="00CD4F09">
      <w:pPr>
        <w:jc w:val="center"/>
        <w:rPr>
          <w:b/>
          <w:sz w:val="25"/>
          <w:szCs w:val="25"/>
        </w:rPr>
      </w:pPr>
      <w:r w:rsidRPr="000A7CB4">
        <w:rPr>
          <w:b/>
          <w:sz w:val="25"/>
          <w:szCs w:val="25"/>
        </w:rPr>
        <w:t>právneho predpisu s právom Európskej únie </w:t>
      </w:r>
    </w:p>
    <w:p w:rsidR="00CD4F09" w:rsidRPr="000A7CB4" w:rsidRDefault="00CD4F09" w:rsidP="00CD4F09">
      <w:pPr>
        <w:jc w:val="center"/>
        <w:rPr>
          <w:b/>
          <w:sz w:val="25"/>
          <w:szCs w:val="25"/>
        </w:rPr>
      </w:pPr>
    </w:p>
    <w:p w:rsidR="00CD4F09" w:rsidRPr="000A7CB4" w:rsidRDefault="00CD4F09" w:rsidP="00CD4F09"/>
    <w:p w:rsidR="00CD4F09" w:rsidRPr="000A7CB4" w:rsidRDefault="00CD4F09" w:rsidP="000A7CB4">
      <w:pPr>
        <w:ind w:left="360" w:hanging="360"/>
        <w:jc w:val="both"/>
      </w:pPr>
      <w:r w:rsidRPr="000A7CB4">
        <w:rPr>
          <w:b/>
        </w:rPr>
        <w:t>1.</w:t>
      </w:r>
      <w:r w:rsidRPr="000A7CB4">
        <w:rPr>
          <w:b/>
        </w:rPr>
        <w:tab/>
        <w:t>Navrhovateľ právneho predpisu:</w:t>
      </w:r>
      <w:r w:rsidRPr="000A7CB4">
        <w:t xml:space="preserve"> </w:t>
      </w:r>
    </w:p>
    <w:p w:rsidR="00CD4F09" w:rsidRPr="000A7CB4" w:rsidRDefault="00574F47" w:rsidP="000A7CB4">
      <w:pPr>
        <w:spacing w:before="120"/>
        <w:ind w:left="357" w:hanging="357"/>
        <w:jc w:val="both"/>
        <w:rPr>
          <w:b/>
        </w:rPr>
      </w:pPr>
      <w:r>
        <w:t>Vláda Slovenskej republiky</w:t>
      </w:r>
      <w:r w:rsidR="00CD4F09" w:rsidRPr="000A7CB4">
        <w:t>. </w:t>
      </w:r>
    </w:p>
    <w:p w:rsidR="00CD4F09" w:rsidRPr="000A7CB4" w:rsidRDefault="00CD4F09" w:rsidP="000A7CB4">
      <w:pPr>
        <w:pStyle w:val="Nadpis2"/>
        <w:ind w:left="426" w:hanging="426"/>
        <w:jc w:val="both"/>
        <w:rPr>
          <w:sz w:val="24"/>
          <w:szCs w:val="24"/>
        </w:rPr>
      </w:pPr>
      <w:r w:rsidRPr="000A7CB4">
        <w:rPr>
          <w:sz w:val="24"/>
          <w:szCs w:val="24"/>
        </w:rPr>
        <w:t>2.</w:t>
      </w:r>
      <w:r w:rsidRPr="000A7CB4">
        <w:rPr>
          <w:b w:val="0"/>
          <w:sz w:val="24"/>
          <w:szCs w:val="24"/>
        </w:rPr>
        <w:tab/>
      </w:r>
      <w:r w:rsidRPr="000A7CB4">
        <w:rPr>
          <w:sz w:val="24"/>
          <w:szCs w:val="24"/>
        </w:rPr>
        <w:t xml:space="preserve">Názov návrhu právneho predpisu: </w:t>
      </w:r>
    </w:p>
    <w:p w:rsidR="00CD4F09" w:rsidRPr="000A7CB4" w:rsidRDefault="00574F47" w:rsidP="000A7CB4">
      <w:pPr>
        <w:pStyle w:val="Nadpis2"/>
        <w:spacing w:before="120"/>
        <w:jc w:val="both"/>
        <w:rPr>
          <w:b w:val="0"/>
          <w:sz w:val="24"/>
          <w:szCs w:val="24"/>
        </w:rPr>
      </w:pPr>
      <w:r>
        <w:rPr>
          <w:b w:val="0"/>
          <w:sz w:val="24"/>
          <w:szCs w:val="24"/>
        </w:rPr>
        <w:t>Vládny n</w:t>
      </w:r>
      <w:r w:rsidR="00CD4F09" w:rsidRPr="000A7CB4">
        <w:rPr>
          <w:b w:val="0"/>
          <w:sz w:val="24"/>
          <w:szCs w:val="24"/>
        </w:rPr>
        <w:t>ávrh zákona, ktorým sa mení a dopĺňa zákon č. 56/2018 Z. z. o posudzovaní zhody výrobku, sprístupňovaní určeného výrobku na trhu a o zmene a doplnení niektorých zákonov v znení neskorších predpisov a ktorým sa menia a dopĺňajú niektoré zákony.</w:t>
      </w:r>
    </w:p>
    <w:p w:rsidR="00CD4F09" w:rsidRPr="000A7CB4" w:rsidRDefault="00CD4F09" w:rsidP="000A7CB4">
      <w:pPr>
        <w:ind w:left="360" w:hanging="360"/>
        <w:rPr>
          <w:b/>
        </w:rPr>
      </w:pPr>
      <w:r w:rsidRPr="000A7CB4">
        <w:rPr>
          <w:b/>
        </w:rPr>
        <w:t>3.</w:t>
      </w:r>
      <w:r w:rsidRPr="000A7CB4">
        <w:rPr>
          <w:b/>
        </w:rPr>
        <w:tab/>
        <w:t>Predmet návrhu právneho predpisu je upravený v práve Európskej únie:</w:t>
      </w:r>
    </w:p>
    <w:p w:rsidR="00CD4F09" w:rsidRPr="000A7CB4" w:rsidRDefault="00CD4F09" w:rsidP="000A7CB4">
      <w:pPr>
        <w:ind w:firstLine="360"/>
      </w:pPr>
    </w:p>
    <w:p w:rsidR="00CD4F09" w:rsidRPr="000A7CB4" w:rsidRDefault="00CD4F09" w:rsidP="000A7CB4">
      <w:pPr>
        <w:ind w:left="709" w:hanging="349"/>
      </w:pPr>
      <w:r w:rsidRPr="000A7CB4">
        <w:t>a)</w:t>
      </w:r>
      <w:r w:rsidRPr="000A7CB4">
        <w:tab/>
        <w:t xml:space="preserve">v primárnom práve </w:t>
      </w:r>
    </w:p>
    <w:p w:rsidR="00CD4F09" w:rsidRPr="000A7CB4" w:rsidRDefault="00CD4F09" w:rsidP="000A7CB4">
      <w:pPr>
        <w:ind w:left="851"/>
      </w:pPr>
    </w:p>
    <w:p w:rsidR="00CD4F09" w:rsidRPr="000A7CB4" w:rsidRDefault="00CD4F09" w:rsidP="000A7CB4">
      <w:pPr>
        <w:ind w:left="708"/>
        <w:jc w:val="both"/>
      </w:pPr>
      <w:r w:rsidRPr="000A7CB4">
        <w:t>Čl. 114 Zmluvy o fungovaní Európskej únie (Ú. v. EÚ C 202, 7.6.2016)</w:t>
      </w:r>
    </w:p>
    <w:p w:rsidR="00CD4F09" w:rsidRPr="000A7CB4" w:rsidRDefault="00CD4F09" w:rsidP="000A7CB4">
      <w:pPr>
        <w:ind w:left="360"/>
        <w:jc w:val="both"/>
      </w:pPr>
    </w:p>
    <w:p w:rsidR="00CD4F09" w:rsidRPr="000A7CB4" w:rsidRDefault="00CD4F09" w:rsidP="000A7CB4">
      <w:pPr>
        <w:ind w:left="360"/>
        <w:jc w:val="both"/>
      </w:pPr>
      <w:r w:rsidRPr="000A7CB4">
        <w:t>b)</w:t>
      </w:r>
      <w:r w:rsidRPr="000A7CB4">
        <w:tab/>
        <w:t xml:space="preserve">v sekundárnom práve </w:t>
      </w:r>
    </w:p>
    <w:p w:rsidR="00CD4F09" w:rsidRPr="000A7CB4" w:rsidRDefault="00CD4F09" w:rsidP="000A7CB4">
      <w:pPr>
        <w:ind w:left="360"/>
        <w:jc w:val="both"/>
        <w:rPr>
          <w:i/>
        </w:rPr>
      </w:pPr>
    </w:p>
    <w:p w:rsidR="00CD4F09" w:rsidRPr="000A7CB4" w:rsidRDefault="00CD4F09" w:rsidP="000A7CB4">
      <w:pPr>
        <w:pStyle w:val="Odsekzoznamu"/>
        <w:numPr>
          <w:ilvl w:val="0"/>
          <w:numId w:val="5"/>
        </w:numPr>
        <w:tabs>
          <w:tab w:val="left" w:pos="993"/>
        </w:tabs>
        <w:spacing w:before="120" w:after="120" w:line="240" w:lineRule="auto"/>
        <w:ind w:left="993" w:hanging="284"/>
        <w:contextualSpacing w:val="0"/>
        <w:jc w:val="both"/>
        <w:rPr>
          <w:rFonts w:ascii="Times New Roman" w:hAnsi="Times New Roman"/>
          <w:sz w:val="24"/>
          <w:szCs w:val="24"/>
        </w:rPr>
      </w:pPr>
      <w:r w:rsidRPr="000A7CB4">
        <w:rPr>
          <w:rFonts w:ascii="Times New Roman" w:hAnsi="Times New Roman"/>
          <w:sz w:val="24"/>
          <w:szCs w:val="24"/>
        </w:rPr>
        <w:t xml:space="preserve">Smernica Európskeho parlamentu a Rady 2010/35/EÚ zo 16. júna 2010 o prepravovateľných tlakových zariadeniach a o zrušení smerníc Rady 76/767/EHS, 84/525/EHS, 84/526/EHS, 84/527/EHS a 1999/36/ES (Ú. v. EÚ L 165, 30. 6. 2010) v platnom znení, </w:t>
      </w:r>
      <w:r w:rsidRPr="000A7CB4">
        <w:rPr>
          <w:rStyle w:val="placeholdertext0"/>
          <w:rFonts w:ascii="Times New Roman" w:hAnsi="Times New Roman"/>
          <w:sz w:val="24"/>
          <w:szCs w:val="24"/>
        </w:rPr>
        <w:t xml:space="preserve">gestor: </w:t>
      </w:r>
      <w:r w:rsidRPr="000A7CB4">
        <w:rPr>
          <w:rFonts w:ascii="Times New Roman" w:hAnsi="Times New Roman"/>
          <w:sz w:val="24"/>
          <w:szCs w:val="24"/>
        </w:rPr>
        <w:t>ÚNMS SR</w:t>
      </w:r>
      <w:r w:rsidRPr="000A7CB4">
        <w:rPr>
          <w:rStyle w:val="placeholdertext0"/>
          <w:rFonts w:ascii="Times New Roman" w:hAnsi="Times New Roman"/>
          <w:sz w:val="24"/>
          <w:szCs w:val="24"/>
        </w:rPr>
        <w:t>, spolugestori: MD SR, MV SR;</w:t>
      </w:r>
    </w:p>
    <w:p w:rsidR="00CD4F09" w:rsidRPr="000A7CB4" w:rsidRDefault="00CD4F09" w:rsidP="000A7CB4">
      <w:pPr>
        <w:pStyle w:val="Odsekzoznamu"/>
        <w:numPr>
          <w:ilvl w:val="0"/>
          <w:numId w:val="5"/>
        </w:numPr>
        <w:spacing w:before="120" w:after="0" w:line="240" w:lineRule="auto"/>
        <w:ind w:left="993" w:hanging="284"/>
        <w:contextualSpacing w:val="0"/>
        <w:jc w:val="both"/>
        <w:rPr>
          <w:rStyle w:val="Zvraznenie"/>
          <w:rFonts w:ascii="Times New Roman" w:hAnsi="Times New Roman"/>
          <w:iCs/>
          <w:sz w:val="24"/>
          <w:szCs w:val="24"/>
          <w:shd w:val="clear" w:color="auto" w:fill="FFFFFF"/>
        </w:rPr>
      </w:pPr>
      <w:r w:rsidRPr="000A7CB4">
        <w:rPr>
          <w:rFonts w:ascii="Times New Roman" w:hAnsi="Times New Roman"/>
          <w:sz w:val="24"/>
          <w:szCs w:val="24"/>
          <w:shd w:val="clear" w:color="auto" w:fill="FFFFFF"/>
        </w:rPr>
        <w:t xml:space="preserve">Nariadenie </w:t>
      </w:r>
      <w:r w:rsidRPr="000A7CB4">
        <w:rPr>
          <w:rFonts w:ascii="Times New Roman" w:hAnsi="Times New Roman"/>
          <w:bCs/>
          <w:sz w:val="24"/>
          <w:szCs w:val="24"/>
          <w:shd w:val="clear" w:color="auto" w:fill="FFFFFF"/>
        </w:rPr>
        <w:t>Európskeho parlamentu a Rady (EÚ) 2024/2747 z 9. októbra 2024, ktorým sa stanovuje rámec opatrení týkajúcich sa núdzovej situácie na vnútornom trhu a jeho odolnosti a ktorým sa mení nariadenie Rady (ES) č. 2679/98 (akt o núdzovej situácii na vnútornom trhu a jeho odolnosti) (</w:t>
      </w:r>
      <w:r w:rsidRPr="000A7CB4">
        <w:rPr>
          <w:rFonts w:ascii="Times New Roman" w:hAnsi="Times New Roman"/>
          <w:iCs/>
          <w:sz w:val="24"/>
          <w:szCs w:val="24"/>
          <w:shd w:val="clear" w:color="auto" w:fill="FFFFFF"/>
          <w:lang w:eastAsia="sk-SK"/>
        </w:rPr>
        <w:t>Ú. v. EÚ L, 2024/2747, 8.11.2024),</w:t>
      </w:r>
      <w:r w:rsidRPr="000A7CB4">
        <w:rPr>
          <w:rStyle w:val="placeholdertext0"/>
          <w:rFonts w:ascii="Times New Roman" w:hAnsi="Times New Roman"/>
          <w:sz w:val="24"/>
          <w:szCs w:val="24"/>
        </w:rPr>
        <w:t xml:space="preserve"> gestori:</w:t>
      </w:r>
      <w:r w:rsidRPr="000A7CB4">
        <w:rPr>
          <w:rFonts w:ascii="Times New Roman" w:hAnsi="Times New Roman"/>
          <w:sz w:val="24"/>
          <w:szCs w:val="24"/>
        </w:rPr>
        <w:t xml:space="preserve"> MH SR, MV SR, MPRV SR, MŽP SR, ÚNMS SR, SŠHR SR</w:t>
      </w:r>
      <w:r w:rsidRPr="000A7CB4">
        <w:rPr>
          <w:rStyle w:val="placeholdertext0"/>
          <w:rFonts w:ascii="Times New Roman" w:hAnsi="Times New Roman"/>
          <w:sz w:val="24"/>
          <w:szCs w:val="24"/>
        </w:rPr>
        <w:t>;</w:t>
      </w:r>
    </w:p>
    <w:p w:rsidR="00CD4F09" w:rsidRPr="000A7CB4" w:rsidRDefault="00CD4F09" w:rsidP="000A7CB4">
      <w:pPr>
        <w:pStyle w:val="Odsekzoznamu"/>
        <w:numPr>
          <w:ilvl w:val="0"/>
          <w:numId w:val="7"/>
        </w:numPr>
        <w:spacing w:before="120" w:after="120" w:line="240" w:lineRule="auto"/>
        <w:ind w:left="993" w:hanging="284"/>
        <w:contextualSpacing w:val="0"/>
        <w:jc w:val="both"/>
        <w:rPr>
          <w:rFonts w:ascii="Times New Roman" w:hAnsi="Times New Roman"/>
          <w:sz w:val="24"/>
          <w:szCs w:val="24"/>
        </w:rPr>
      </w:pPr>
      <w:r w:rsidRPr="000A7CB4">
        <w:rPr>
          <w:rFonts w:ascii="Times New Roman" w:hAnsi="Times New Roman"/>
          <w:sz w:val="24"/>
          <w:szCs w:val="24"/>
          <w:shd w:val="clear" w:color="auto" w:fill="FFFFFF"/>
        </w:rPr>
        <w:t xml:space="preserve">Nariadenie </w:t>
      </w:r>
      <w:r w:rsidRPr="000A7CB4">
        <w:rPr>
          <w:rFonts w:ascii="Times New Roman" w:hAnsi="Times New Roman"/>
          <w:bCs/>
          <w:sz w:val="24"/>
          <w:szCs w:val="24"/>
          <w:shd w:val="clear" w:color="auto" w:fill="FFFFFF"/>
        </w:rPr>
        <w:t>Európskeho parlamentu a Rady (EÚ) 2024/2748 z 9. októbra 2024, ktorým sa menia nariadenia (EÚ) č. 305/2011, (EÚ) 2016/424, (EÚ) 2016/425, (EÚ) 2016/426, (EÚ) 2023/988 a (EÚ) 2023/1230, pokiaľ ide o núdzové postupy posudzovania zhody, predpoklad zhody, prijímanie spoločných špecifikácií a dohľad nad trhom v dôsledku núdzovej situácie na vnútornom trhu (</w:t>
      </w:r>
      <w:r w:rsidRPr="000A7CB4">
        <w:rPr>
          <w:rFonts w:ascii="Times New Roman" w:hAnsi="Times New Roman"/>
          <w:iCs/>
          <w:sz w:val="24"/>
          <w:szCs w:val="24"/>
          <w:shd w:val="clear" w:color="auto" w:fill="FFFFFF"/>
          <w:lang w:eastAsia="sk-SK"/>
        </w:rPr>
        <w:t>Ú. v. EÚ L, 2024/2748, 8.11.2024)</w:t>
      </w:r>
      <w:r w:rsidRPr="000A7CB4">
        <w:rPr>
          <w:rFonts w:ascii="Times New Roman" w:hAnsi="Times New Roman"/>
          <w:bCs/>
          <w:i/>
          <w:sz w:val="24"/>
          <w:szCs w:val="24"/>
          <w:shd w:val="clear" w:color="auto" w:fill="FFFFFF"/>
        </w:rPr>
        <w:t>,</w:t>
      </w:r>
      <w:r w:rsidRPr="000A7CB4">
        <w:rPr>
          <w:rFonts w:ascii="Times New Roman" w:hAnsi="Times New Roman"/>
          <w:bCs/>
          <w:sz w:val="24"/>
          <w:szCs w:val="24"/>
          <w:shd w:val="clear" w:color="auto" w:fill="FFFFFF"/>
        </w:rPr>
        <w:t xml:space="preserve"> gestori: </w:t>
      </w:r>
      <w:r w:rsidRPr="000A7CB4">
        <w:rPr>
          <w:rFonts w:ascii="Times New Roman" w:hAnsi="Times New Roman"/>
          <w:sz w:val="24"/>
          <w:szCs w:val="24"/>
        </w:rPr>
        <w:t>ÚNMS SR, MH SR, MD SR, MPSVR SR</w:t>
      </w:r>
      <w:r w:rsidRPr="000A7CB4">
        <w:rPr>
          <w:rStyle w:val="placeholdertext0"/>
          <w:rFonts w:ascii="Times New Roman" w:hAnsi="Times New Roman"/>
          <w:sz w:val="24"/>
          <w:szCs w:val="24"/>
        </w:rPr>
        <w:t>;</w:t>
      </w:r>
      <w:r w:rsidRPr="000A7CB4">
        <w:rPr>
          <w:rFonts w:ascii="Times New Roman" w:hAnsi="Times New Roman"/>
          <w:bCs/>
          <w:sz w:val="24"/>
          <w:szCs w:val="24"/>
          <w:shd w:val="clear" w:color="auto" w:fill="FFFFFF"/>
        </w:rPr>
        <w:t xml:space="preserve"> </w:t>
      </w:r>
    </w:p>
    <w:p w:rsidR="00CD4F09" w:rsidRPr="000A7CB4" w:rsidRDefault="00CD4F09" w:rsidP="000A7CB4">
      <w:pPr>
        <w:pStyle w:val="Odsekzoznamu"/>
        <w:numPr>
          <w:ilvl w:val="0"/>
          <w:numId w:val="7"/>
        </w:numPr>
        <w:spacing w:before="120" w:after="120" w:line="240" w:lineRule="auto"/>
        <w:ind w:left="993" w:hanging="284"/>
        <w:contextualSpacing w:val="0"/>
        <w:jc w:val="both"/>
        <w:rPr>
          <w:rStyle w:val="placeholdertext0"/>
          <w:rFonts w:ascii="Times New Roman" w:hAnsi="Times New Roman"/>
          <w:sz w:val="24"/>
          <w:szCs w:val="24"/>
        </w:rPr>
      </w:pPr>
      <w:r w:rsidRPr="000A7CB4">
        <w:rPr>
          <w:rFonts w:ascii="Times New Roman" w:hAnsi="Times New Roman"/>
          <w:sz w:val="24"/>
          <w:szCs w:val="24"/>
        </w:rPr>
        <w:t>Smernica Európskeho parlamentu a Rady (EÚ) 2024/2749 z 9. októbra 2024, ktorou sa menia smernice 2000/14/ES, 2006/42/ES, 2010/35/EÚ, 2014/29/EÚ, 2014/30/EÚ, 2014/33/EÚ, 2014/34/EÚ, 2014/35/EÚ, 2014/53/EÚ a 2014/68/EÚ, pokiaľ ide o núdzové postupy posudzovania zhody, predpoklad zhody, prijímanie spoločných špecifikácií a dohľad nad trhom v dôsledku núdzovej situácie na vnútornom trhu (Ú. v. EÚ L, 2024/2749, 8.11.2024)</w:t>
      </w:r>
      <w:r w:rsidRPr="000A7CB4">
        <w:rPr>
          <w:rStyle w:val="placeholdertext0"/>
          <w:rFonts w:ascii="Times New Roman" w:hAnsi="Times New Roman"/>
          <w:sz w:val="24"/>
          <w:szCs w:val="24"/>
        </w:rPr>
        <w:t xml:space="preserve">, gestor: ÚNMS SR, spolugestori: MD SR, MH SR, </w:t>
      </w:r>
      <w:r w:rsidRPr="000A7CB4">
        <w:rPr>
          <w:rFonts w:ascii="Times New Roman" w:hAnsi="Times New Roman"/>
          <w:sz w:val="24"/>
          <w:szCs w:val="24"/>
        </w:rPr>
        <w:t>MPSVR SR</w:t>
      </w:r>
      <w:r w:rsidRPr="000A7CB4">
        <w:rPr>
          <w:rStyle w:val="placeholdertext0"/>
          <w:rFonts w:ascii="Times New Roman" w:hAnsi="Times New Roman"/>
          <w:sz w:val="24"/>
          <w:szCs w:val="24"/>
        </w:rPr>
        <w:t>;</w:t>
      </w:r>
    </w:p>
    <w:p w:rsidR="00CD4F09" w:rsidRPr="000A7CB4" w:rsidRDefault="00CD4F09" w:rsidP="000A7CB4">
      <w:pPr>
        <w:pStyle w:val="Odsekzoznamu"/>
        <w:numPr>
          <w:ilvl w:val="0"/>
          <w:numId w:val="7"/>
        </w:numPr>
        <w:spacing w:before="120" w:after="120" w:line="240" w:lineRule="auto"/>
        <w:ind w:left="993" w:hanging="284"/>
        <w:contextualSpacing w:val="0"/>
        <w:jc w:val="both"/>
        <w:rPr>
          <w:rFonts w:ascii="Times New Roman" w:hAnsi="Times New Roman"/>
          <w:sz w:val="24"/>
          <w:szCs w:val="24"/>
        </w:rPr>
      </w:pPr>
      <w:r w:rsidRPr="000A7CB4">
        <w:rPr>
          <w:rFonts w:ascii="Times New Roman" w:hAnsi="Times New Roman"/>
          <w:sz w:val="24"/>
        </w:rPr>
        <w:t xml:space="preserve">Nariadenie Európskeho parlamentu a Rady (ES) č. 765/2008 z 9. júla 2008, ktorým sa stanovujú požiadavky akreditácie a ktorým sa zrušuje nariadenie (EHS) č. 339/93 (Ú. v. </w:t>
      </w:r>
      <w:r w:rsidRPr="000A7CB4">
        <w:rPr>
          <w:rFonts w:ascii="Times New Roman" w:hAnsi="Times New Roman"/>
          <w:sz w:val="24"/>
        </w:rPr>
        <w:lastRenderedPageBreak/>
        <w:t xml:space="preserve">EÚ L 218, 13.8.2008) v platnom znení, </w:t>
      </w:r>
      <w:r w:rsidRPr="000A7CB4">
        <w:rPr>
          <w:rFonts w:ascii="Times New Roman" w:hAnsi="Times New Roman"/>
          <w:bCs/>
          <w:sz w:val="24"/>
          <w:szCs w:val="24"/>
          <w:shd w:val="clear" w:color="auto" w:fill="FFFFFF"/>
        </w:rPr>
        <w:t xml:space="preserve">gestori: </w:t>
      </w:r>
      <w:r w:rsidRPr="000A7CB4">
        <w:rPr>
          <w:rFonts w:ascii="Times New Roman" w:hAnsi="Times New Roman"/>
          <w:sz w:val="24"/>
          <w:szCs w:val="28"/>
        </w:rPr>
        <w:t xml:space="preserve">ÚNMS SR </w:t>
      </w:r>
      <w:r w:rsidRPr="000A7CB4">
        <w:rPr>
          <w:rFonts w:ascii="Times New Roman" w:hAnsi="Times New Roman"/>
          <w:sz w:val="24"/>
          <w:szCs w:val="24"/>
        </w:rPr>
        <w:t>(gestor), spolupracujúce rezorty - MH SR, MPSVR SR, MDPT SR, MZ SR</w:t>
      </w:r>
      <w:r w:rsidRPr="000A7CB4">
        <w:rPr>
          <w:rFonts w:ascii="Times New Roman" w:hAnsi="Times New Roman"/>
          <w:sz w:val="24"/>
        </w:rPr>
        <w:t>;</w:t>
      </w:r>
    </w:p>
    <w:p w:rsidR="00CD4F09" w:rsidRPr="000A7CB4" w:rsidRDefault="00CD4F09" w:rsidP="000A7CB4">
      <w:pPr>
        <w:pStyle w:val="Odsekzoznamu"/>
        <w:numPr>
          <w:ilvl w:val="0"/>
          <w:numId w:val="7"/>
        </w:numPr>
        <w:spacing w:before="120" w:after="120" w:line="240" w:lineRule="auto"/>
        <w:ind w:left="993" w:hanging="284"/>
        <w:contextualSpacing w:val="0"/>
        <w:jc w:val="both"/>
        <w:rPr>
          <w:rFonts w:ascii="Times New Roman" w:hAnsi="Times New Roman"/>
          <w:sz w:val="24"/>
          <w:szCs w:val="24"/>
        </w:rPr>
      </w:pPr>
      <w:r w:rsidRPr="000A7CB4">
        <w:rPr>
          <w:rFonts w:ascii="Times New Roman" w:hAnsi="Times New Roman"/>
          <w:sz w:val="24"/>
        </w:rPr>
        <w:t xml:space="preserve">Nariadenie Európskeho parlamentu a Rady (EÚ) 2017/745 z 5. apríla 2017 o zdravotníckych pomôckach, zmene smernice 2001/83/ES, nariadenia (ES) č. 178/2002 a nariadenia (ES) č. 1223/2009 a o zrušení smerníc Rady 90/385/EHS a 93/42/EHS (Ú. v. EÚ L 117, 5.5.2017) v platnom znení, </w:t>
      </w:r>
      <w:r w:rsidRPr="000A7CB4">
        <w:rPr>
          <w:rFonts w:ascii="Times New Roman" w:hAnsi="Times New Roman"/>
          <w:bCs/>
          <w:sz w:val="24"/>
          <w:szCs w:val="24"/>
          <w:shd w:val="clear" w:color="auto" w:fill="FFFFFF"/>
        </w:rPr>
        <w:t xml:space="preserve">gestori: </w:t>
      </w:r>
      <w:r w:rsidRPr="000A7CB4">
        <w:rPr>
          <w:rFonts w:ascii="Times New Roman" w:hAnsi="Times New Roman"/>
          <w:sz w:val="24"/>
          <w:szCs w:val="24"/>
          <w:lang w:val="cs-CZ"/>
        </w:rPr>
        <w:t>MZ SR, ÚNMS SR</w:t>
      </w:r>
      <w:r w:rsidRPr="000A7CB4">
        <w:rPr>
          <w:rFonts w:ascii="Times New Roman" w:hAnsi="Times New Roman"/>
          <w:sz w:val="24"/>
        </w:rPr>
        <w:t>;</w:t>
      </w:r>
    </w:p>
    <w:p w:rsidR="00CD4F09" w:rsidRPr="000A7CB4" w:rsidRDefault="00CD4F09" w:rsidP="000A7CB4">
      <w:pPr>
        <w:pStyle w:val="Odsekzoznamu"/>
        <w:numPr>
          <w:ilvl w:val="0"/>
          <w:numId w:val="7"/>
        </w:numPr>
        <w:spacing w:before="120" w:after="120" w:line="240" w:lineRule="auto"/>
        <w:ind w:left="993" w:hanging="284"/>
        <w:contextualSpacing w:val="0"/>
        <w:jc w:val="both"/>
        <w:rPr>
          <w:rFonts w:ascii="Times New Roman" w:hAnsi="Times New Roman"/>
          <w:sz w:val="24"/>
          <w:szCs w:val="24"/>
        </w:rPr>
      </w:pPr>
      <w:r w:rsidRPr="000A7CB4">
        <w:rPr>
          <w:rFonts w:ascii="Times New Roman" w:hAnsi="Times New Roman"/>
          <w:sz w:val="24"/>
        </w:rPr>
        <w:t xml:space="preserve">Nariadenie Európskeho parlamentu a Rady (EÚ) 2017/746 z 5. apríla 2017 o diagnostických zdravotníckych pomôckach in vitro a o zrušení smernice 98/79/ES a rozhodnutia Komisie 2010/227/EÚ (Ú. v. EÚ L 117, 5.5.2017) v platnom znení, </w:t>
      </w:r>
      <w:r w:rsidRPr="000A7CB4">
        <w:rPr>
          <w:rFonts w:ascii="Times New Roman" w:hAnsi="Times New Roman"/>
          <w:bCs/>
          <w:sz w:val="24"/>
          <w:szCs w:val="24"/>
          <w:shd w:val="clear" w:color="auto" w:fill="FFFFFF"/>
        </w:rPr>
        <w:t xml:space="preserve">gestori: </w:t>
      </w:r>
      <w:r w:rsidRPr="000A7CB4">
        <w:rPr>
          <w:rFonts w:ascii="Times New Roman" w:hAnsi="Times New Roman"/>
          <w:sz w:val="24"/>
          <w:szCs w:val="24"/>
          <w:lang w:val="cs-CZ"/>
        </w:rPr>
        <w:t>MZ SR, ÚNMS SR</w:t>
      </w:r>
      <w:r w:rsidRPr="000A7CB4">
        <w:rPr>
          <w:rFonts w:ascii="Times New Roman" w:hAnsi="Times New Roman"/>
          <w:sz w:val="24"/>
        </w:rPr>
        <w:t>;</w:t>
      </w:r>
    </w:p>
    <w:p w:rsidR="00CD4F09" w:rsidRPr="000A7CB4" w:rsidRDefault="00CD4F09" w:rsidP="000A7CB4">
      <w:pPr>
        <w:pStyle w:val="Odsekzoznamu"/>
        <w:numPr>
          <w:ilvl w:val="0"/>
          <w:numId w:val="7"/>
        </w:numPr>
        <w:spacing w:before="120" w:after="120" w:line="240" w:lineRule="auto"/>
        <w:ind w:left="993" w:hanging="284"/>
        <w:contextualSpacing w:val="0"/>
        <w:jc w:val="both"/>
        <w:rPr>
          <w:rFonts w:ascii="Times New Roman" w:hAnsi="Times New Roman"/>
          <w:sz w:val="24"/>
          <w:szCs w:val="24"/>
        </w:rPr>
      </w:pPr>
      <w:r w:rsidRPr="000A7CB4">
        <w:rPr>
          <w:rFonts w:ascii="Times New Roman" w:hAnsi="Times New Roman"/>
          <w:sz w:val="24"/>
        </w:rPr>
        <w:t xml:space="preserve">Nariadenie Európskeho parlamentu a Rady (EÚ) 2019/1020 z 20. júna 2019 o dohľade nad trhom a súlade výrobkov a o zmene smernice 2004/42/ES a nariadení (ES) č. 765/2008 a (EÚ) č. 305/2011 (Ú. v. EÚ L 169, 25.6.2019) v platnom znení, </w:t>
      </w:r>
      <w:r w:rsidRPr="000A7CB4">
        <w:rPr>
          <w:rFonts w:ascii="Times New Roman" w:hAnsi="Times New Roman"/>
          <w:bCs/>
          <w:sz w:val="24"/>
          <w:szCs w:val="24"/>
          <w:shd w:val="clear" w:color="auto" w:fill="FFFFFF"/>
        </w:rPr>
        <w:t>gestori: MH SR, MDV SR,</w:t>
      </w:r>
      <w:r w:rsidRPr="000A7CB4">
        <w:rPr>
          <w:rFonts w:ascii="Times New Roman" w:hAnsi="Times New Roman"/>
          <w:sz w:val="24"/>
          <w:szCs w:val="24"/>
        </w:rPr>
        <w:t xml:space="preserve"> </w:t>
      </w:r>
      <w:r w:rsidRPr="000A7CB4">
        <w:rPr>
          <w:rFonts w:ascii="Times New Roman" w:hAnsi="Times New Roman"/>
          <w:bCs/>
          <w:sz w:val="24"/>
          <w:szCs w:val="24"/>
          <w:shd w:val="clear" w:color="auto" w:fill="FFFFFF"/>
        </w:rPr>
        <w:t>MPSVR SR, MŽP SR, MF SR, ÚNMS SR</w:t>
      </w:r>
      <w:r w:rsidRPr="000A7CB4">
        <w:rPr>
          <w:rFonts w:ascii="Times New Roman" w:hAnsi="Times New Roman"/>
          <w:sz w:val="24"/>
        </w:rPr>
        <w:t>;</w:t>
      </w:r>
    </w:p>
    <w:p w:rsidR="00CD4F09" w:rsidRPr="000A7CB4" w:rsidRDefault="00CD4F09" w:rsidP="000A7CB4">
      <w:pPr>
        <w:pStyle w:val="Odsekzoznamu"/>
        <w:numPr>
          <w:ilvl w:val="0"/>
          <w:numId w:val="7"/>
        </w:numPr>
        <w:spacing w:before="120" w:after="120" w:line="240" w:lineRule="auto"/>
        <w:ind w:left="993" w:hanging="284"/>
        <w:contextualSpacing w:val="0"/>
        <w:jc w:val="both"/>
        <w:rPr>
          <w:rStyle w:val="placeholdertext0"/>
          <w:rFonts w:ascii="Times New Roman" w:hAnsi="Times New Roman"/>
          <w:sz w:val="24"/>
          <w:szCs w:val="24"/>
        </w:rPr>
      </w:pPr>
      <w:r w:rsidRPr="000A7CB4">
        <w:rPr>
          <w:rFonts w:ascii="Times New Roman" w:hAnsi="Times New Roman"/>
          <w:sz w:val="24"/>
        </w:rPr>
        <w:t xml:space="preserve">Nariadenie Európskeho parlamentu a Rady (EÚ) 2023/1542 z 12. júla 2023 o batériách a odpadových batériách, ktorým sa mení smernica 2008/98/ES a nariadenie (EÚ) 2019/1020 a zrušuje smernica 2006/66/ES (Ú. v. EÚ L 191, 28.7.2023) v platnom znení, </w:t>
      </w:r>
      <w:r w:rsidRPr="000A7CB4">
        <w:rPr>
          <w:rFonts w:ascii="Times New Roman" w:hAnsi="Times New Roman"/>
          <w:bCs/>
          <w:sz w:val="24"/>
          <w:szCs w:val="24"/>
          <w:shd w:val="clear" w:color="auto" w:fill="FFFFFF"/>
        </w:rPr>
        <w:t>gestori: MŽP SR, MH SR, ÚNMS SR.</w:t>
      </w:r>
    </w:p>
    <w:p w:rsidR="00CD4F09" w:rsidRPr="000A7CB4" w:rsidRDefault="00CD4F09" w:rsidP="000A7CB4">
      <w:pPr>
        <w:ind w:firstLine="284"/>
      </w:pPr>
      <w:r w:rsidRPr="000A7CB4">
        <w:t>c)</w:t>
      </w:r>
      <w:r w:rsidRPr="000A7CB4">
        <w:rPr>
          <w:i/>
        </w:rPr>
        <w:t xml:space="preserve"> </w:t>
      </w:r>
      <w:r w:rsidRPr="000A7CB4">
        <w:tab/>
        <w:t>v judikatúre Súdneho dvora Európskej únie</w:t>
      </w:r>
    </w:p>
    <w:p w:rsidR="00CD4F09" w:rsidRPr="000A7CB4" w:rsidRDefault="00CD4F09" w:rsidP="000A7CB4">
      <w:pPr>
        <w:ind w:firstLine="284"/>
        <w:rPr>
          <w:i/>
        </w:rPr>
      </w:pPr>
    </w:p>
    <w:p w:rsidR="00CD4F09" w:rsidRPr="000A7CB4" w:rsidRDefault="00CD4F09" w:rsidP="000A7CB4">
      <w:pPr>
        <w:ind w:firstLine="284"/>
      </w:pPr>
      <w:r w:rsidRPr="000A7CB4">
        <w:rPr>
          <w:i/>
        </w:rPr>
        <w:tab/>
      </w:r>
      <w:r w:rsidRPr="000A7CB4">
        <w:t>Bezpredmetné.</w:t>
      </w:r>
    </w:p>
    <w:p w:rsidR="00CD4F09" w:rsidRPr="000A7CB4" w:rsidRDefault="00CD4F09" w:rsidP="000A7CB4">
      <w:pPr>
        <w:rPr>
          <w:b/>
        </w:rPr>
      </w:pPr>
    </w:p>
    <w:p w:rsidR="00CD4F09" w:rsidRPr="000A7CB4" w:rsidRDefault="00CD4F09" w:rsidP="000A7CB4">
      <w:pPr>
        <w:ind w:left="360" w:hanging="360"/>
        <w:rPr>
          <w:b/>
        </w:rPr>
      </w:pPr>
      <w:r w:rsidRPr="000A7CB4">
        <w:rPr>
          <w:b/>
        </w:rPr>
        <w:t>4.</w:t>
      </w:r>
      <w:r w:rsidRPr="000A7CB4">
        <w:rPr>
          <w:b/>
        </w:rPr>
        <w:tab/>
        <w:t xml:space="preserve">Záväzky Slovenskej republiky vo vzťahu k Európskej únii: </w:t>
      </w:r>
    </w:p>
    <w:p w:rsidR="00CD4F09" w:rsidRPr="000A7CB4" w:rsidRDefault="00CD4F09" w:rsidP="000A7CB4"/>
    <w:p w:rsidR="00CD4F09" w:rsidRPr="000A7CB4" w:rsidRDefault="00CD4F09" w:rsidP="000A7CB4">
      <w:pPr>
        <w:ind w:left="426" w:hanging="426"/>
        <w:jc w:val="both"/>
      </w:pPr>
      <w:r w:rsidRPr="000A7CB4">
        <w:t>a)</w:t>
      </w:r>
      <w:r w:rsidRPr="000A7CB4">
        <w:tab/>
        <w:t xml:space="preserve">uviesť lehotu na prebranie smernice alebo lehotu na implementáciu nariadenia alebo rozhodnutia </w:t>
      </w:r>
    </w:p>
    <w:p w:rsidR="00CD4F09" w:rsidRPr="000A7CB4" w:rsidRDefault="00CD4F09" w:rsidP="000A7CB4">
      <w:pPr>
        <w:pStyle w:val="Odsekzoznamu"/>
        <w:numPr>
          <w:ilvl w:val="0"/>
          <w:numId w:val="4"/>
        </w:numPr>
        <w:spacing w:before="120" w:after="0" w:line="240" w:lineRule="auto"/>
        <w:ind w:left="851" w:hanging="284"/>
        <w:contextualSpacing w:val="0"/>
        <w:jc w:val="both"/>
        <w:rPr>
          <w:rFonts w:ascii="Times New Roman" w:hAnsi="Times New Roman"/>
          <w:sz w:val="24"/>
          <w:szCs w:val="24"/>
          <w:shd w:val="clear" w:color="auto" w:fill="FFFFFF"/>
        </w:rPr>
      </w:pPr>
      <w:bookmarkStart w:id="2" w:name="OLE_LINK1"/>
      <w:r w:rsidRPr="000A7CB4">
        <w:rPr>
          <w:rFonts w:ascii="Times New Roman" w:hAnsi="Times New Roman"/>
          <w:sz w:val="24"/>
          <w:szCs w:val="24"/>
        </w:rPr>
        <w:t>N</w:t>
      </w:r>
      <w:r w:rsidRPr="000A7CB4">
        <w:rPr>
          <w:rFonts w:ascii="Times New Roman" w:hAnsi="Times New Roman"/>
          <w:sz w:val="24"/>
          <w:szCs w:val="24"/>
          <w:lang w:val="ru-RU"/>
        </w:rPr>
        <w:t>ariadeni</w:t>
      </w:r>
      <w:r w:rsidRPr="000A7CB4">
        <w:rPr>
          <w:rFonts w:ascii="Times New Roman" w:hAnsi="Times New Roman"/>
          <w:sz w:val="24"/>
          <w:szCs w:val="24"/>
        </w:rPr>
        <w:t xml:space="preserve">e </w:t>
      </w:r>
      <w:r w:rsidRPr="000A7CB4">
        <w:rPr>
          <w:rFonts w:ascii="Times New Roman" w:hAnsi="Times New Roman"/>
          <w:sz w:val="24"/>
          <w:szCs w:val="24"/>
          <w:lang w:val="ru-RU"/>
        </w:rPr>
        <w:t xml:space="preserve">Európskeho parlamentu a Rady (EÚ) 2024/2747 z 9. októbra 2024, ktorým sa stanovuje rámec opatrení týkajúcich sa núdzovej situácie na vnútornom trhu a jeho odolnosti a ktorým sa mení nariadenie Rady (ES) č. 2679/98 (akt o núdzovej situácii na vnútornom trhu a jeho odolnosti) (Ú. </w:t>
      </w:r>
      <w:bookmarkStart w:id="3" w:name="OLE_LINK2"/>
      <w:r w:rsidRPr="000A7CB4">
        <w:rPr>
          <w:rFonts w:ascii="Times New Roman" w:hAnsi="Times New Roman"/>
          <w:sz w:val="24"/>
          <w:szCs w:val="24"/>
          <w:lang w:val="ru-RU"/>
        </w:rPr>
        <w:t>v. EÚ L, 2024/2747, 8.11.2024)</w:t>
      </w:r>
      <w:r w:rsidRPr="000A7CB4">
        <w:rPr>
          <w:rFonts w:ascii="Times New Roman" w:hAnsi="Times New Roman"/>
          <w:sz w:val="24"/>
          <w:szCs w:val="24"/>
        </w:rPr>
        <w:t>.</w:t>
      </w:r>
      <w:r w:rsidRPr="000A7CB4">
        <w:rPr>
          <w:rFonts w:ascii="Times New Roman" w:hAnsi="Times New Roman"/>
          <w:sz w:val="24"/>
          <w:szCs w:val="24"/>
          <w:lang w:val="ru-RU"/>
        </w:rPr>
        <w:t xml:space="preserve"> </w:t>
      </w:r>
    </w:p>
    <w:p w:rsidR="00CD4F09" w:rsidRPr="000A7CB4" w:rsidRDefault="00CD4F09" w:rsidP="000A7CB4">
      <w:pPr>
        <w:pStyle w:val="Odsekzoznamu"/>
        <w:spacing w:after="0" w:line="240" w:lineRule="auto"/>
        <w:ind w:left="851" w:hanging="284"/>
        <w:contextualSpacing w:val="0"/>
        <w:jc w:val="both"/>
        <w:rPr>
          <w:rFonts w:ascii="Times New Roman" w:hAnsi="Times New Roman"/>
          <w:sz w:val="24"/>
          <w:szCs w:val="24"/>
          <w:shd w:val="clear" w:color="auto" w:fill="FFFFFF"/>
        </w:rPr>
      </w:pPr>
    </w:p>
    <w:p w:rsidR="00CD4F09" w:rsidRPr="000A7CB4" w:rsidRDefault="00CD4F09" w:rsidP="000A7CB4">
      <w:pPr>
        <w:pStyle w:val="Odsekzoznamu"/>
        <w:spacing w:after="0" w:line="240" w:lineRule="auto"/>
        <w:ind w:left="851"/>
        <w:contextualSpacing w:val="0"/>
        <w:jc w:val="both"/>
        <w:rPr>
          <w:rFonts w:ascii="Times New Roman" w:hAnsi="Times New Roman"/>
          <w:sz w:val="24"/>
          <w:szCs w:val="24"/>
          <w:shd w:val="clear" w:color="auto" w:fill="FFFFFF"/>
        </w:rPr>
      </w:pPr>
      <w:r w:rsidRPr="000A7CB4">
        <w:rPr>
          <w:rFonts w:ascii="Times New Roman" w:hAnsi="Times New Roman"/>
          <w:sz w:val="24"/>
          <w:szCs w:val="24"/>
          <w:shd w:val="clear" w:color="auto" w:fill="FFFFFF"/>
        </w:rPr>
        <w:t>Nadobudnutie účinnosti: 28.11.2024.</w:t>
      </w:r>
    </w:p>
    <w:p w:rsidR="00CD4F09" w:rsidRPr="000A7CB4" w:rsidRDefault="00CD4F09" w:rsidP="000A7CB4">
      <w:pPr>
        <w:pStyle w:val="Odsekzoznamu"/>
        <w:spacing w:after="0" w:line="240" w:lineRule="auto"/>
        <w:ind w:left="851"/>
        <w:contextualSpacing w:val="0"/>
        <w:jc w:val="both"/>
        <w:rPr>
          <w:rFonts w:ascii="Times New Roman" w:hAnsi="Times New Roman"/>
          <w:sz w:val="24"/>
          <w:szCs w:val="24"/>
          <w:shd w:val="clear" w:color="auto" w:fill="FFFFFF"/>
        </w:rPr>
      </w:pPr>
      <w:r w:rsidRPr="000A7CB4">
        <w:rPr>
          <w:rFonts w:ascii="Times New Roman" w:hAnsi="Times New Roman"/>
          <w:sz w:val="24"/>
          <w:szCs w:val="24"/>
          <w:shd w:val="clear" w:color="auto" w:fill="FFFFFF"/>
        </w:rPr>
        <w:t>Uplatňuje sa od 29.05.2026.</w:t>
      </w:r>
    </w:p>
    <w:p w:rsidR="00CD4F09" w:rsidRPr="000A7CB4" w:rsidRDefault="00CD4F09" w:rsidP="000A7CB4">
      <w:pPr>
        <w:pStyle w:val="Odsekzoznamu"/>
        <w:spacing w:after="0" w:line="240" w:lineRule="auto"/>
        <w:ind w:left="851"/>
        <w:contextualSpacing w:val="0"/>
        <w:jc w:val="both"/>
        <w:rPr>
          <w:rFonts w:ascii="Times New Roman" w:hAnsi="Times New Roman"/>
          <w:sz w:val="24"/>
          <w:szCs w:val="24"/>
          <w:shd w:val="clear" w:color="auto" w:fill="FFFFFF"/>
        </w:rPr>
      </w:pPr>
    </w:p>
    <w:p w:rsidR="00CD4F09" w:rsidRPr="000A7CB4" w:rsidRDefault="00CD4F09" w:rsidP="000A7CB4">
      <w:pPr>
        <w:widowControl/>
        <w:shd w:val="clear" w:color="auto" w:fill="FFFFFF"/>
        <w:adjustRightInd/>
        <w:ind w:left="851"/>
        <w:jc w:val="both"/>
        <w:rPr>
          <w:i/>
        </w:rPr>
      </w:pPr>
      <w:r w:rsidRPr="000A7CB4">
        <w:rPr>
          <w:i/>
        </w:rPr>
        <w:t>Poznámka: Návrhom zákona je zabezpečená implementácia len v časti týkajúcej sa núdzových postupov posudzovania zhody.</w:t>
      </w:r>
    </w:p>
    <w:bookmarkEnd w:id="3"/>
    <w:p w:rsidR="00CD4F09" w:rsidRPr="000A7CB4" w:rsidRDefault="00CD4F09" w:rsidP="000A7CB4">
      <w:pPr>
        <w:widowControl/>
        <w:shd w:val="clear" w:color="auto" w:fill="FFFFFF"/>
        <w:adjustRightInd/>
        <w:jc w:val="both"/>
        <w:rPr>
          <w:i/>
        </w:rPr>
      </w:pPr>
    </w:p>
    <w:bookmarkEnd w:id="2"/>
    <w:p w:rsidR="00CD4F09" w:rsidRPr="000A7CB4" w:rsidRDefault="00CD4F09" w:rsidP="000A7CB4">
      <w:pPr>
        <w:pStyle w:val="Odsekzoznamu"/>
        <w:numPr>
          <w:ilvl w:val="0"/>
          <w:numId w:val="6"/>
        </w:numPr>
        <w:spacing w:after="200" w:line="240" w:lineRule="auto"/>
        <w:ind w:left="851" w:hanging="425"/>
        <w:jc w:val="both"/>
        <w:rPr>
          <w:rFonts w:ascii="Times New Roman" w:hAnsi="Times New Roman"/>
          <w:iCs/>
          <w:sz w:val="24"/>
          <w:szCs w:val="24"/>
          <w:shd w:val="clear" w:color="auto" w:fill="FFFFFF"/>
        </w:rPr>
      </w:pPr>
      <w:r w:rsidRPr="000A7CB4">
        <w:rPr>
          <w:rFonts w:ascii="Times New Roman" w:hAnsi="Times New Roman"/>
          <w:sz w:val="24"/>
          <w:szCs w:val="24"/>
          <w:shd w:val="clear" w:color="auto" w:fill="FFFFFF"/>
        </w:rPr>
        <w:t xml:space="preserve">Nariadenie </w:t>
      </w:r>
      <w:r w:rsidRPr="000A7CB4">
        <w:rPr>
          <w:rFonts w:ascii="Times New Roman" w:hAnsi="Times New Roman"/>
          <w:bCs/>
          <w:sz w:val="24"/>
          <w:szCs w:val="24"/>
          <w:shd w:val="clear" w:color="auto" w:fill="FFFFFF"/>
        </w:rPr>
        <w:t>Európskeho parlamentu a Rady (EÚ) 2024/2748 z 9. októbra 2024, ktorým sa menia nariadenia (EÚ) č. 305/2011, (EÚ) 2016/424, (EÚ) 2016/425, (EÚ) 2016/426, (EÚ) 2023/988 a (EÚ) 2023/1230, pokiaľ ide o núdzové postupy posudzovania zhody, predpoklad zhody, prijímanie spoločných špecifikácií a dohľad nad trhom v dôsledku núdzovej situácie na vnútornom trhu (</w:t>
      </w:r>
      <w:r w:rsidRPr="000A7CB4">
        <w:rPr>
          <w:rFonts w:ascii="Times New Roman" w:hAnsi="Times New Roman"/>
          <w:iCs/>
          <w:sz w:val="24"/>
          <w:szCs w:val="24"/>
          <w:shd w:val="clear" w:color="auto" w:fill="FFFFFF"/>
          <w:lang w:eastAsia="sk-SK"/>
        </w:rPr>
        <w:t>Ú. v. EÚ L, 2024/2748, 8.11.2024).</w:t>
      </w:r>
    </w:p>
    <w:p w:rsidR="00CD4F09" w:rsidRPr="000A7CB4" w:rsidRDefault="00CD4F09" w:rsidP="000A7CB4">
      <w:pPr>
        <w:pStyle w:val="Odsekzoznamu"/>
        <w:spacing w:line="240" w:lineRule="auto"/>
        <w:ind w:left="851" w:hanging="425"/>
        <w:jc w:val="both"/>
        <w:rPr>
          <w:rFonts w:ascii="Times New Roman" w:hAnsi="Times New Roman"/>
          <w:iCs/>
          <w:sz w:val="24"/>
          <w:szCs w:val="24"/>
          <w:shd w:val="clear" w:color="auto" w:fill="FFFFFF"/>
          <w:lang w:eastAsia="sk-SK"/>
        </w:rPr>
      </w:pPr>
    </w:p>
    <w:p w:rsidR="00CD4F09" w:rsidRPr="000A7CB4" w:rsidRDefault="00CD4F09" w:rsidP="000A7CB4">
      <w:pPr>
        <w:pStyle w:val="Odsekzoznamu"/>
        <w:spacing w:before="120" w:after="0" w:line="240" w:lineRule="auto"/>
        <w:ind w:left="851"/>
        <w:contextualSpacing w:val="0"/>
        <w:jc w:val="both"/>
        <w:rPr>
          <w:rFonts w:ascii="Times New Roman" w:hAnsi="Times New Roman"/>
          <w:sz w:val="24"/>
          <w:szCs w:val="24"/>
          <w:shd w:val="clear" w:color="auto" w:fill="FFFFFF"/>
        </w:rPr>
      </w:pPr>
      <w:r w:rsidRPr="000A7CB4">
        <w:rPr>
          <w:rFonts w:ascii="Times New Roman" w:hAnsi="Times New Roman"/>
          <w:sz w:val="24"/>
          <w:szCs w:val="24"/>
          <w:shd w:val="clear" w:color="auto" w:fill="FFFFFF"/>
        </w:rPr>
        <w:t>Dátum nadobudnutia účinnosti: 28.11.2024.</w:t>
      </w:r>
    </w:p>
    <w:p w:rsidR="00CD4F09" w:rsidRPr="000A7CB4" w:rsidRDefault="00CD4F09" w:rsidP="000A7CB4">
      <w:pPr>
        <w:widowControl/>
        <w:shd w:val="clear" w:color="auto" w:fill="FFFFFF"/>
        <w:adjustRightInd/>
        <w:ind w:left="851"/>
        <w:jc w:val="both"/>
      </w:pPr>
      <w:r w:rsidRPr="000A7CB4">
        <w:lastRenderedPageBreak/>
        <w:t xml:space="preserve">Uplatňuje sa od 29.05.2026. </w:t>
      </w:r>
    </w:p>
    <w:p w:rsidR="00CD4F09" w:rsidRPr="000A7CB4" w:rsidRDefault="00CD4F09" w:rsidP="000A7CB4">
      <w:pPr>
        <w:widowControl/>
        <w:shd w:val="clear" w:color="auto" w:fill="FFFFFF"/>
        <w:adjustRightInd/>
        <w:ind w:left="851"/>
        <w:jc w:val="both"/>
      </w:pPr>
    </w:p>
    <w:p w:rsidR="00CD4F09" w:rsidRPr="000A7CB4" w:rsidRDefault="00CD4F09" w:rsidP="000A7CB4">
      <w:pPr>
        <w:widowControl/>
        <w:shd w:val="clear" w:color="auto" w:fill="FFFFFF"/>
        <w:adjustRightInd/>
        <w:ind w:left="851"/>
        <w:jc w:val="both"/>
        <w:rPr>
          <w:i/>
        </w:rPr>
      </w:pPr>
      <w:r w:rsidRPr="000A7CB4">
        <w:rPr>
          <w:i/>
        </w:rPr>
        <w:t>Poznámka: Návrhom zákona sa implementujú články 2, 3, 4 a 6 nariadenia (EÚ) 2024/2748.</w:t>
      </w:r>
    </w:p>
    <w:p w:rsidR="00CD4F09" w:rsidRPr="000A7CB4" w:rsidRDefault="00CD4F09" w:rsidP="000A7CB4">
      <w:pPr>
        <w:widowControl/>
        <w:shd w:val="clear" w:color="auto" w:fill="FFFFFF"/>
        <w:adjustRightInd/>
        <w:ind w:left="851" w:hanging="1"/>
        <w:jc w:val="both"/>
        <w:rPr>
          <w:i/>
        </w:rPr>
      </w:pPr>
      <w:r w:rsidRPr="000A7CB4">
        <w:rPr>
          <w:i/>
        </w:rPr>
        <w:t>Implementácia čl. 1 a 5 má byť zabezpečená prostredníctvom legislatívy, ktorú bude pripravovať Ministerstvo dopravy Slovenskej republiky a Ministerstvo hospodárstva Slovenskej republiky.</w:t>
      </w:r>
    </w:p>
    <w:p w:rsidR="00CD4F09" w:rsidRPr="000A7CB4" w:rsidRDefault="00CD4F09" w:rsidP="000A7CB4">
      <w:pPr>
        <w:jc w:val="both"/>
      </w:pPr>
    </w:p>
    <w:p w:rsidR="00CD4F09" w:rsidRPr="000A7CB4" w:rsidRDefault="00CD4F09" w:rsidP="000A7CB4">
      <w:pPr>
        <w:pStyle w:val="Odsekzoznamu"/>
        <w:numPr>
          <w:ilvl w:val="0"/>
          <w:numId w:val="4"/>
        </w:numPr>
        <w:spacing w:before="120" w:after="0" w:line="240" w:lineRule="auto"/>
        <w:ind w:left="709" w:hanging="283"/>
        <w:contextualSpacing w:val="0"/>
        <w:jc w:val="both"/>
        <w:rPr>
          <w:rStyle w:val="placeholdertext0"/>
          <w:rFonts w:ascii="Times New Roman" w:hAnsi="Times New Roman"/>
          <w:sz w:val="24"/>
          <w:szCs w:val="24"/>
          <w:shd w:val="clear" w:color="auto" w:fill="FFFFFF"/>
        </w:rPr>
      </w:pPr>
      <w:r w:rsidRPr="000A7CB4">
        <w:rPr>
          <w:rStyle w:val="placeholdertext0"/>
          <w:rFonts w:ascii="Times New Roman" w:hAnsi="Times New Roman"/>
          <w:sz w:val="24"/>
          <w:szCs w:val="24"/>
        </w:rPr>
        <w:t>Smernica Európskeho parlamentu a Rady (EÚ) 2024/2749 z 9. októbra 2024, ktorou sa mení smernica 2006/42/ES, pokiaľ ide o núdzové postupy posudzovania zhody, predpoklad zhody, prijímanie spoločných špecifikácií a dohľad nad trhom v dôsledku núdzovej situácie na vnútornom trhu (Ú. v. EÚ L, 2024/2749, 8.11.2024).</w:t>
      </w:r>
    </w:p>
    <w:p w:rsidR="00CD4F09" w:rsidRPr="000A7CB4" w:rsidRDefault="00CD4F09" w:rsidP="000A7CB4">
      <w:pPr>
        <w:pStyle w:val="Odsekzoznamu"/>
        <w:spacing w:before="120" w:after="120" w:line="240" w:lineRule="auto"/>
        <w:ind w:left="992" w:hanging="283"/>
        <w:contextualSpacing w:val="0"/>
        <w:jc w:val="both"/>
        <w:rPr>
          <w:rFonts w:ascii="Times New Roman" w:hAnsi="Times New Roman"/>
          <w:sz w:val="24"/>
          <w:szCs w:val="24"/>
          <w:shd w:val="clear" w:color="auto" w:fill="FFFFFF"/>
        </w:rPr>
      </w:pPr>
      <w:r w:rsidRPr="000A7CB4">
        <w:rPr>
          <w:rStyle w:val="placeholdertext0"/>
          <w:rFonts w:ascii="Times New Roman" w:hAnsi="Times New Roman"/>
          <w:sz w:val="24"/>
          <w:szCs w:val="24"/>
        </w:rPr>
        <w:t>Dátum nadobudnutia účinnosti: 28.11.2024.</w:t>
      </w:r>
    </w:p>
    <w:p w:rsidR="00CD4F09" w:rsidRPr="000A7CB4" w:rsidRDefault="00CD4F09" w:rsidP="000A7CB4">
      <w:pPr>
        <w:pStyle w:val="oj-normal"/>
        <w:shd w:val="clear" w:color="auto" w:fill="FFFFFF"/>
        <w:spacing w:before="120" w:beforeAutospacing="0" w:after="120" w:afterAutospacing="0"/>
        <w:ind w:left="709" w:hanging="1"/>
        <w:jc w:val="both"/>
      </w:pPr>
      <w:r w:rsidRPr="000A7CB4">
        <w:t>Členské štáty prijmú a uverejnia do 29.05.2026 opatrenia potrebné na dosiahnutie súladu s touto smernicou. Znenie týchto opatrení bezodkladne oznámia Komisii.</w:t>
      </w:r>
    </w:p>
    <w:p w:rsidR="00CD4F09" w:rsidRPr="000A7CB4" w:rsidRDefault="00CD4F09" w:rsidP="000A7CB4">
      <w:pPr>
        <w:pStyle w:val="oj-normal"/>
        <w:shd w:val="clear" w:color="auto" w:fill="FFFFFF"/>
        <w:spacing w:before="120" w:beforeAutospacing="0" w:after="120" w:afterAutospacing="0"/>
        <w:ind w:left="992" w:hanging="283"/>
        <w:jc w:val="both"/>
      </w:pPr>
      <w:r w:rsidRPr="000A7CB4">
        <w:t>Tieto opatrenia sa uplatňujú od 30.05.2026.</w:t>
      </w:r>
    </w:p>
    <w:p w:rsidR="00CD4F09" w:rsidRPr="000A7CB4" w:rsidRDefault="00CD4F09" w:rsidP="000A7CB4">
      <w:pPr>
        <w:jc w:val="both"/>
      </w:pPr>
    </w:p>
    <w:p w:rsidR="00CD4F09" w:rsidRPr="000A7CB4" w:rsidRDefault="00CD4F09" w:rsidP="000A7CB4">
      <w:pPr>
        <w:ind w:left="709" w:hanging="567"/>
        <w:jc w:val="both"/>
      </w:pPr>
      <w:r w:rsidRPr="000A7CB4">
        <w:t>b)</w:t>
      </w:r>
      <w:r w:rsidRPr="000A7CB4">
        <w:tab/>
        <w:t>informácia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parlamentu, Rady a Komisie</w:t>
      </w:r>
    </w:p>
    <w:p w:rsidR="00CD4F09" w:rsidRPr="000A7CB4" w:rsidRDefault="00CD4F09" w:rsidP="000A7CB4">
      <w:pPr>
        <w:ind w:left="709" w:hanging="349"/>
        <w:jc w:val="both"/>
      </w:pPr>
    </w:p>
    <w:p w:rsidR="00CD4F09" w:rsidRPr="000A7CB4" w:rsidRDefault="00CD4F09" w:rsidP="000A7CB4">
      <w:pPr>
        <w:ind w:left="709" w:hanging="349"/>
      </w:pPr>
      <w:r w:rsidRPr="000A7CB4">
        <w:tab/>
        <w:t>Nebolo začaté konanie proti SR.</w:t>
      </w:r>
    </w:p>
    <w:p w:rsidR="00CD4F09" w:rsidRPr="000A7CB4" w:rsidRDefault="00CD4F09" w:rsidP="000A7CB4">
      <w:pPr>
        <w:ind w:left="709" w:hanging="349"/>
      </w:pPr>
    </w:p>
    <w:p w:rsidR="00CD4F09" w:rsidRPr="000A7CB4" w:rsidRDefault="00CD4F09" w:rsidP="000A7CB4">
      <w:pPr>
        <w:ind w:left="705" w:hanging="705"/>
        <w:jc w:val="both"/>
      </w:pPr>
      <w:r w:rsidRPr="000A7CB4">
        <w:t>c)</w:t>
      </w:r>
      <w:r w:rsidRPr="000A7CB4">
        <w:tab/>
        <w:t xml:space="preserve">informácia o právnych predpisoch, v ktorých sú preberané smernice už prebraté spolu s uvedením rozsahu tohto prebratia </w:t>
      </w:r>
    </w:p>
    <w:p w:rsidR="00CD4F09" w:rsidRPr="000A7CB4" w:rsidRDefault="00CD4F09" w:rsidP="000A7CB4">
      <w:pPr>
        <w:ind w:left="705" w:hanging="705"/>
      </w:pPr>
    </w:p>
    <w:p w:rsidR="00CD4F09" w:rsidRPr="000A7CB4" w:rsidRDefault="00CD4F09" w:rsidP="000A7CB4">
      <w:pPr>
        <w:pStyle w:val="Odsekzoznamu"/>
        <w:spacing w:before="120" w:after="0" w:line="240" w:lineRule="auto"/>
        <w:contextualSpacing w:val="0"/>
        <w:jc w:val="both"/>
        <w:rPr>
          <w:rFonts w:ascii="Times New Roman" w:hAnsi="Times New Roman"/>
          <w:sz w:val="24"/>
          <w:szCs w:val="24"/>
        </w:rPr>
      </w:pPr>
      <w:r w:rsidRPr="000A7CB4">
        <w:rPr>
          <w:rFonts w:ascii="Times New Roman" w:hAnsi="Times New Roman"/>
          <w:sz w:val="24"/>
          <w:szCs w:val="24"/>
        </w:rPr>
        <w:t xml:space="preserve">Smernica Európskeho parlamentu a Rady 2010/35/EÚ zo 16. júna 2010 o prepravovateľných tlakových zariadeniach a o zrušení smerníc Rady 76/767/EHS, 84/525/EHS, 84/526/EHS, 84/527/EHS a 1999/36/ES (Ú. v. EÚ L 165, 30. 6. 2010) </w:t>
      </w:r>
      <w:r w:rsidRPr="000A7CB4">
        <w:rPr>
          <w:rFonts w:ascii="Times New Roman" w:hAnsi="Times New Roman"/>
          <w:bCs/>
          <w:sz w:val="24"/>
          <w:szCs w:val="24"/>
          <w:shd w:val="clear" w:color="auto" w:fill="FFFFFF"/>
        </w:rPr>
        <w:t xml:space="preserve">bola transponovaná </w:t>
      </w:r>
      <w:r w:rsidRPr="000A7CB4">
        <w:rPr>
          <w:rStyle w:val="Zstupntext"/>
          <w:color w:val="auto"/>
          <w:sz w:val="24"/>
          <w:szCs w:val="24"/>
        </w:rPr>
        <w:t xml:space="preserve">zákonom </w:t>
      </w:r>
      <w:r w:rsidRPr="000A7CB4">
        <w:rPr>
          <w:rFonts w:ascii="Times New Roman" w:hAnsi="Times New Roman"/>
          <w:sz w:val="24"/>
          <w:szCs w:val="24"/>
        </w:rPr>
        <w:t>č. 254/2011 Z. z. o prepravovateľných tlakových zariadeniach a o zmene a doplnení niektorých zákonov v znení neskorších predpisov.</w:t>
      </w:r>
    </w:p>
    <w:p w:rsidR="00CD4F09" w:rsidRPr="000A7CB4" w:rsidRDefault="00CD4F09" w:rsidP="000A7CB4">
      <w:pPr>
        <w:pStyle w:val="Odsekzoznamu"/>
        <w:spacing w:before="120" w:after="0" w:line="240" w:lineRule="auto"/>
        <w:contextualSpacing w:val="0"/>
        <w:jc w:val="both"/>
        <w:rPr>
          <w:rFonts w:ascii="Times New Roman" w:hAnsi="Times New Roman"/>
          <w:b/>
          <w:sz w:val="24"/>
          <w:szCs w:val="24"/>
        </w:rPr>
      </w:pPr>
    </w:p>
    <w:p w:rsidR="00CD4F09" w:rsidRPr="000A7CB4" w:rsidRDefault="00CD4F09" w:rsidP="000A7CB4">
      <w:pPr>
        <w:ind w:left="360" w:hanging="360"/>
        <w:rPr>
          <w:b/>
        </w:rPr>
      </w:pPr>
      <w:r w:rsidRPr="000A7CB4">
        <w:rPr>
          <w:b/>
        </w:rPr>
        <w:t>5.</w:t>
      </w:r>
      <w:r w:rsidRPr="000A7CB4">
        <w:rPr>
          <w:b/>
        </w:rPr>
        <w:tab/>
        <w:t>Návrh právneho predpisu je zlučiteľný s právom Európskej únie:</w:t>
      </w:r>
    </w:p>
    <w:p w:rsidR="00CD4F09" w:rsidRPr="000A7CB4" w:rsidRDefault="00CD4F09" w:rsidP="000A7CB4">
      <w:pPr>
        <w:ind w:left="360" w:hanging="360"/>
        <w:rPr>
          <w:b/>
        </w:rPr>
      </w:pPr>
    </w:p>
    <w:p w:rsidR="00CD4F09" w:rsidRPr="000A7CB4" w:rsidRDefault="00CD4F09" w:rsidP="000A7CB4">
      <w:pPr>
        <w:ind w:left="360" w:hanging="360"/>
      </w:pPr>
      <w:r w:rsidRPr="000A7CB4">
        <w:rPr>
          <w:b/>
        </w:rPr>
        <w:tab/>
      </w:r>
      <w:r w:rsidRPr="000A7CB4">
        <w:t>Úplne.</w:t>
      </w:r>
    </w:p>
    <w:p w:rsidR="000F762D" w:rsidRPr="000A7CB4" w:rsidRDefault="000F762D" w:rsidP="000A7CB4">
      <w:pPr>
        <w:widowControl/>
        <w:adjustRightInd/>
        <w:spacing w:after="160"/>
      </w:pPr>
      <w:r w:rsidRPr="000A7CB4">
        <w:br w:type="page"/>
      </w:r>
    </w:p>
    <w:p w:rsidR="00CD4F09" w:rsidRPr="000A7CB4" w:rsidRDefault="00CD4F09" w:rsidP="000A7CB4">
      <w:pPr>
        <w:ind w:left="360" w:hanging="360"/>
      </w:pPr>
    </w:p>
    <w:p w:rsidR="00CD4F09" w:rsidRPr="000A7CB4" w:rsidRDefault="00CD4F09" w:rsidP="000A7CB4">
      <w:pPr>
        <w:widowControl/>
        <w:jc w:val="both"/>
        <w:rPr>
          <w:rFonts w:cs="Times New Roman"/>
          <w:b/>
        </w:rPr>
      </w:pPr>
      <w:r w:rsidRPr="000A7CB4">
        <w:rPr>
          <w:rFonts w:cs="Times New Roman"/>
          <w:b/>
        </w:rPr>
        <w:t>B. Osobitná časť</w:t>
      </w:r>
    </w:p>
    <w:p w:rsidR="00CD4F09" w:rsidRPr="000A7CB4" w:rsidRDefault="00CD4F09" w:rsidP="000A7CB4">
      <w:pPr>
        <w:widowControl/>
        <w:spacing w:after="120"/>
        <w:contextualSpacing/>
        <w:jc w:val="both"/>
        <w:rPr>
          <w:rStyle w:val="Zstupntext"/>
          <w:b/>
          <w:color w:val="auto"/>
        </w:rPr>
      </w:pPr>
    </w:p>
    <w:p w:rsidR="00CD4F09" w:rsidRPr="000A7CB4" w:rsidRDefault="00CD4F09" w:rsidP="000A7CB4">
      <w:pPr>
        <w:widowControl/>
        <w:spacing w:after="120"/>
        <w:contextualSpacing/>
        <w:jc w:val="both"/>
        <w:rPr>
          <w:rStyle w:val="Zstupntext"/>
          <w:b/>
          <w:color w:val="auto"/>
        </w:rPr>
      </w:pPr>
      <w:r w:rsidRPr="000A7CB4">
        <w:rPr>
          <w:rStyle w:val="Zstupntext"/>
          <w:b/>
          <w:color w:val="auto"/>
        </w:rPr>
        <w:t>K Čl. I</w:t>
      </w:r>
    </w:p>
    <w:p w:rsidR="00CD4F09" w:rsidRPr="000A7CB4" w:rsidRDefault="00CD4F09" w:rsidP="000A7CB4">
      <w:pPr>
        <w:widowControl/>
        <w:spacing w:after="120"/>
        <w:contextualSpacing/>
        <w:jc w:val="both"/>
        <w:rPr>
          <w:rStyle w:val="Zstupntext"/>
          <w:b/>
          <w:color w:val="auto"/>
        </w:rPr>
      </w:pPr>
    </w:p>
    <w:p w:rsidR="00CD4F09" w:rsidRPr="000A7CB4" w:rsidRDefault="00CD4F09" w:rsidP="000A7CB4">
      <w:pPr>
        <w:widowControl/>
        <w:spacing w:before="120" w:after="120"/>
        <w:jc w:val="both"/>
        <w:rPr>
          <w:rStyle w:val="Zstupntext"/>
          <w:b/>
          <w:color w:val="auto"/>
        </w:rPr>
      </w:pPr>
      <w:r w:rsidRPr="000A7CB4">
        <w:rPr>
          <w:rStyle w:val="Zstupntext"/>
          <w:b/>
          <w:color w:val="auto"/>
        </w:rPr>
        <w:t>K bodu 1</w:t>
      </w:r>
    </w:p>
    <w:p w:rsidR="00CD4F09" w:rsidRPr="000A7CB4" w:rsidRDefault="00CD4F09" w:rsidP="000A7CB4">
      <w:pPr>
        <w:pStyle w:val="Textkomentra"/>
        <w:spacing w:before="120" w:after="120"/>
        <w:jc w:val="both"/>
        <w:rPr>
          <w:rStyle w:val="Zstupntext"/>
          <w:color w:val="auto"/>
          <w:sz w:val="24"/>
          <w:szCs w:val="24"/>
          <w:lang w:val="sk-SK"/>
        </w:rPr>
      </w:pPr>
      <w:r w:rsidRPr="000A7CB4">
        <w:rPr>
          <w:rStyle w:val="Zstupntext"/>
          <w:color w:val="auto"/>
          <w:sz w:val="24"/>
          <w:szCs w:val="24"/>
          <w:lang w:val="sk-SK"/>
        </w:rPr>
        <w:t xml:space="preserve">Upravuje sa vnútorný odkaz z dôvodu úpravy pôvodného § 4 ods. 5 zákona č. 56/2018 Z. z. na nový § 4a a 4b ods. 2 a 3 návrhu zákona. </w:t>
      </w:r>
    </w:p>
    <w:p w:rsidR="00CD4F09" w:rsidRPr="000A7CB4" w:rsidRDefault="00CD4F09" w:rsidP="000A7CB4">
      <w:pPr>
        <w:widowControl/>
        <w:spacing w:before="240" w:after="120"/>
        <w:jc w:val="both"/>
        <w:rPr>
          <w:rStyle w:val="Zstupntext"/>
          <w:b/>
          <w:color w:val="auto"/>
        </w:rPr>
      </w:pPr>
      <w:r w:rsidRPr="000A7CB4">
        <w:rPr>
          <w:rStyle w:val="Zstupntext"/>
          <w:b/>
          <w:color w:val="auto"/>
        </w:rPr>
        <w:t>K bodu 2</w:t>
      </w:r>
    </w:p>
    <w:p w:rsidR="00CD4F09" w:rsidRPr="000A7CB4" w:rsidRDefault="00CD4F09" w:rsidP="000A7CB4">
      <w:pPr>
        <w:jc w:val="both"/>
        <w:rPr>
          <w:rFonts w:cs="Times New Roman"/>
        </w:rPr>
      </w:pPr>
      <w:r w:rsidRPr="000A7CB4">
        <w:rPr>
          <w:rFonts w:cs="Times New Roman"/>
        </w:rPr>
        <w:t>V § 3 ods. 1 zákona č. 56/208 Z. z. sú upravené kompetencie úradu ako ústredného orgánu štátnej správy pre oblasť posudzovania zhody a sprístupňovania určeného výrobku na trhu.</w:t>
      </w:r>
    </w:p>
    <w:p w:rsidR="00CD4F09" w:rsidRPr="000A7CB4" w:rsidRDefault="00CD4F09" w:rsidP="000A7CB4">
      <w:pPr>
        <w:jc w:val="both"/>
        <w:rPr>
          <w:rFonts w:cs="Times New Roman"/>
        </w:rPr>
      </w:pPr>
    </w:p>
    <w:p w:rsidR="00CD4F09" w:rsidRPr="000A7CB4" w:rsidRDefault="00CD4F09" w:rsidP="000A7CB4">
      <w:pPr>
        <w:jc w:val="both"/>
        <w:rPr>
          <w:rFonts w:cs="Times New Roman"/>
        </w:rPr>
      </w:pPr>
      <w:r w:rsidRPr="000A7CB4">
        <w:rPr>
          <w:rFonts w:cs="Times New Roman"/>
        </w:rPr>
        <w:t xml:space="preserve">Úrad zastupuje Slovenskú republiku vo výboroch a poradných orgánoch, tzv. expertných pracovných skupinách zriadených Komisiou ako gestor technických predpisov z oblasti posudzovania zhody alebo ako notifikujúci orgán resp. orgán zodpovedný za notifikované osoby. V prípade výborov sú to napr. rádiové zariadenia, rekreačné plavidlá a v prípade expertných pracovných skupín sú to napr. zdravotnícke pomôcky, diagnostické zdravotnícke pomôcky in vitro, strojové zariadenia, osobné ochranné prostriedky, elektromagnetická kompatibilita, umelá inteligencia, pyrotechnika, emisie hluku a ďalšie. Prehľad všetkých technických predpisov z oblasti posudzovania zhody spolu s určením gestorstva je možné nájsť na webovej stránke úradu </w:t>
      </w:r>
      <w:hyperlink r:id="rId10" w:history="1">
        <w:r w:rsidRPr="000A7CB4">
          <w:rPr>
            <w:rStyle w:val="Hypertextovprepojenie"/>
            <w:rFonts w:cs="Times New Roman"/>
            <w:color w:val="4472C4" w:themeColor="accent5"/>
          </w:rPr>
          <w:t>https://www.normoff.gov.sk/files/docs/technicke-predpisy-september2025 68d109b9226f5.pdf</w:t>
        </w:r>
      </w:hyperlink>
      <w:r w:rsidRPr="000A7CB4">
        <w:rPr>
          <w:rFonts w:cs="Times New Roman"/>
        </w:rPr>
        <w:t>. Ide o povinnosť úradu, ktorá vyplýva z jednotlivých technických predpisov z oblasti posudzovania zhody a od vstupu Slovenskej republiky do Európskej únie sa úrad zúčastňuje na zasadnutiach príslušných výborov a expertných pracovných skupín.</w:t>
      </w:r>
    </w:p>
    <w:p w:rsidR="00CD4F09" w:rsidRPr="000A7CB4" w:rsidRDefault="00CD4F09" w:rsidP="000A7CB4">
      <w:pPr>
        <w:jc w:val="both"/>
        <w:rPr>
          <w:rFonts w:cs="Times New Roman"/>
        </w:rPr>
      </w:pPr>
    </w:p>
    <w:p w:rsidR="00CD4F09" w:rsidRPr="000A7CB4" w:rsidRDefault="00CD4F09" w:rsidP="000A7CB4">
      <w:pPr>
        <w:jc w:val="both"/>
        <w:rPr>
          <w:rFonts w:cs="Times New Roman"/>
        </w:rPr>
      </w:pPr>
      <w:r w:rsidRPr="000A7CB4">
        <w:rPr>
          <w:rFonts w:cs="Times New Roman"/>
        </w:rPr>
        <w:t>Z dôvodu systematického usporiadania sa z § 29 (informačné povinnosti) presúva kompetencia úradu, ktorou je koordinovanie činnosti orgánov dohľadu nad určenými výrobkami a spolupráca s jednotným úradom pre spoluprácu, ktorým je Ministerstvo hospodárstva Slovenskej republiky v oblasti výkonu trhového dohľadu nad určenými výrobkami a pri vypracúvaní vnútroštátnej stratégie dohľadu nad trhom do § 3 zákona č. 56/2018 Z. z.</w:t>
      </w:r>
    </w:p>
    <w:p w:rsidR="00CD4F09" w:rsidRPr="000A7CB4" w:rsidRDefault="00CD4F09" w:rsidP="000A7CB4">
      <w:pPr>
        <w:jc w:val="both"/>
        <w:rPr>
          <w:rFonts w:cs="Times New Roman"/>
        </w:rPr>
      </w:pPr>
    </w:p>
    <w:p w:rsidR="00CD4F09" w:rsidRPr="000A7CB4" w:rsidRDefault="00CD4F09" w:rsidP="000A7CB4">
      <w:pPr>
        <w:jc w:val="both"/>
        <w:rPr>
          <w:rFonts w:cs="Times New Roman"/>
          <w:b/>
        </w:rPr>
      </w:pPr>
      <w:r w:rsidRPr="000A7CB4">
        <w:rPr>
          <w:rFonts w:cs="Times New Roman"/>
          <w:b/>
        </w:rPr>
        <w:t>K bodu 3</w:t>
      </w:r>
    </w:p>
    <w:p w:rsidR="00CD4F09" w:rsidRPr="000A7CB4" w:rsidRDefault="00CD4F09" w:rsidP="000A7CB4">
      <w:pPr>
        <w:pStyle w:val="Textkomentra"/>
        <w:spacing w:before="120" w:after="120"/>
        <w:jc w:val="both"/>
        <w:rPr>
          <w:rStyle w:val="Zstupntext"/>
          <w:color w:val="auto"/>
          <w:sz w:val="24"/>
          <w:szCs w:val="24"/>
          <w:lang w:val="sk-SK"/>
        </w:rPr>
      </w:pPr>
      <w:r w:rsidRPr="000A7CB4">
        <w:rPr>
          <w:rStyle w:val="Zstupntext"/>
          <w:color w:val="auto"/>
          <w:sz w:val="24"/>
          <w:szCs w:val="24"/>
          <w:lang w:val="sk-SK"/>
        </w:rPr>
        <w:t>Legislatívno-technická úprava v súvislosti s novým § 4a a 4b.</w:t>
      </w:r>
    </w:p>
    <w:p w:rsidR="00CD4F09" w:rsidRPr="000A7CB4" w:rsidRDefault="00CD4F09" w:rsidP="000A7CB4">
      <w:pPr>
        <w:widowControl/>
        <w:spacing w:before="240" w:after="120"/>
        <w:jc w:val="both"/>
        <w:rPr>
          <w:rStyle w:val="Zstupntext"/>
          <w:b/>
          <w:color w:val="auto"/>
        </w:rPr>
      </w:pPr>
      <w:r w:rsidRPr="000A7CB4">
        <w:rPr>
          <w:rStyle w:val="Zstupntext"/>
          <w:b/>
          <w:color w:val="auto"/>
        </w:rPr>
        <w:t>K bodu 4</w:t>
      </w:r>
    </w:p>
    <w:p w:rsidR="00CD4F09" w:rsidRPr="000A7CB4" w:rsidRDefault="00CD4F09" w:rsidP="000A7CB4">
      <w:pPr>
        <w:widowControl/>
        <w:spacing w:before="120" w:after="120"/>
        <w:jc w:val="both"/>
        <w:rPr>
          <w:rStyle w:val="Zstupntext"/>
          <w:color w:val="auto"/>
        </w:rPr>
      </w:pPr>
      <w:r w:rsidRPr="000A7CB4">
        <w:rPr>
          <w:rStyle w:val="Zstupntext"/>
          <w:color w:val="auto"/>
        </w:rPr>
        <w:t>Systematicky sa upravujú núdzové postupy, ktorými je možné uviesť určený výrobok na trh alebo do prevádzky bez posudzovania zhody podľa § 22 zákona č. 56/2018 Z. z., a to v § 4a návrhu zákona, ktorým sa ustanovujú výnimky z postupov posudzovania zhody a v § 4b návrhu zákona sa upravuje režim núdzovej situácie.</w:t>
      </w:r>
    </w:p>
    <w:p w:rsidR="00CD4F09" w:rsidRPr="000A7CB4" w:rsidRDefault="00CD4F09" w:rsidP="000A7CB4">
      <w:pPr>
        <w:pStyle w:val="Default"/>
        <w:jc w:val="both"/>
        <w:rPr>
          <w:rStyle w:val="Zstupntext"/>
          <w:color w:val="auto"/>
        </w:rPr>
      </w:pPr>
      <w:r w:rsidRPr="000A7CB4">
        <w:rPr>
          <w:rStyle w:val="Zstupntext"/>
          <w:color w:val="auto"/>
        </w:rPr>
        <w:t xml:space="preserve">Do § 4a sa začleňuje postup upravujúci rozhodovanie úradu o tzv. výnimkách z pôvodného § 4 ods. 5 zákona č. 56/2018 Z. z. a v nadväznosti na aplikačnú prax sa toto ustanovenie zároveň precizuje. </w:t>
      </w:r>
    </w:p>
    <w:p w:rsidR="00CD4F09" w:rsidRPr="000A7CB4" w:rsidRDefault="00CD4F09" w:rsidP="000A7CB4">
      <w:pPr>
        <w:pStyle w:val="Default"/>
        <w:jc w:val="both"/>
        <w:rPr>
          <w:rStyle w:val="Zstupntext"/>
          <w:color w:val="auto"/>
        </w:rPr>
      </w:pPr>
    </w:p>
    <w:p w:rsidR="00CD4F09" w:rsidRPr="000A7CB4" w:rsidRDefault="00CD4F09" w:rsidP="000A7CB4">
      <w:pPr>
        <w:pStyle w:val="Default"/>
        <w:jc w:val="both"/>
        <w:rPr>
          <w:color w:val="auto"/>
        </w:rPr>
      </w:pPr>
      <w:r w:rsidRPr="000A7CB4">
        <w:rPr>
          <w:rStyle w:val="Zstupntext"/>
          <w:color w:val="auto"/>
        </w:rPr>
        <w:lastRenderedPageBreak/>
        <w:t xml:space="preserve">§ 4a ods. 1 upravuje tzv. výnimku, kedy úrad môže rozhodnúť o uvedení určeného výrobku na trh bez posudzovania zhody podľa § 22 zákona č. 56/2018 Z. z., ak ide výlučne o prípad mimoriadnej situácie napr. podľa zákona NR SR č. 42/1994 Z. z. o civilnej ochrane obyvateľstva v znení neskorších predpisov. Posúdením všetkých potrebných dokumentov a dokladov k určenému výrobku, ako aj nutnej potreby takéhoto určeného výrobku na trhu Slovenskej republiky sa musí preukázať dostatočná záruka, že určený výrobok, ktorému rozhodnutím úrad udelí výnimku, neohrozí život a zdravie jeho používateľov aj napriek tomu, že určený výrobok nebol úplne posúdený v zmysle postupov posudzovania zhody podľa § 22 zákona č. 56/2018 Z. z. a príslušného technického predpisu z oblasti posudzovania zhody. Žiadosť môže podať ministerstvo, ostatný ústredných orgán štátnej správy ako aj hospodársky subjekt, ktorý ma k dispozícii určený výrobok, ktorý je potrebný počas mimoriadnej situácie, pričom je zodpovedný za uvedenie určeného výrobku na trh a za jeho bezpečnosť. Hospodársky subjekt, ktorý uvádza takýto určený výrobok na trh, ak to mimoriadna situácia dovoľuje, je povinný predložiť úradu všetky potrebné doklady, protokoly o skúškach a technickú dokumentáciu, ktorú si vyžiada úrad, aby bolo preukázané, že je výrobok bezpečný aj bez ukončeného posudzovania zhody. Takýto určený výrobok je možné uviesť na trh a sprístupňovať na trhu len počas obdobia, ktoré určí úrad. Takýto určený výrobok nemá označenie CE, nebolo k nemu vydané ES/EÚ vyhlásenie o zhode a sprístupňuje sa na trhu spolu s príslušným rozhodnutím úradu.  </w:t>
      </w:r>
    </w:p>
    <w:p w:rsidR="00CD4F09" w:rsidRPr="000A7CB4" w:rsidRDefault="00CD4F09" w:rsidP="000A7CB4">
      <w:pPr>
        <w:pStyle w:val="Textkomentra"/>
        <w:spacing w:before="120" w:after="120"/>
        <w:jc w:val="both"/>
        <w:rPr>
          <w:rFonts w:ascii="Times New Roman" w:hAnsi="Times New Roman" w:cs="Times New Roman"/>
          <w:sz w:val="24"/>
          <w:szCs w:val="24"/>
          <w:lang w:val="sk-SK"/>
        </w:rPr>
      </w:pPr>
      <w:r w:rsidRPr="000A7CB4">
        <w:rPr>
          <w:rStyle w:val="Zstupntext"/>
          <w:color w:val="auto"/>
          <w:sz w:val="24"/>
          <w:szCs w:val="24"/>
          <w:lang w:val="sk-SK"/>
        </w:rPr>
        <w:t xml:space="preserve">Čl. 59 nariadenia Európskeho parlamentu a Rady (EÚ) 2017/745 z 5. apríla 2017 o zdravotníckych pomôckach, zmene smernice 2001/83/ES, nariadenia (ES) č. 178/2002 a nariadenia (ES) č. 1223/2009 a o zrušení smerníc Rady 90/385/EHS a 93/42/EHS (Ú. v. EÚ L 117, 5.5.2017) v platnom znení (ďalej len „nariadenie (EÚ) 2017/745 v platnom znení“) a čl. 54 </w:t>
      </w:r>
      <w:r w:rsidRPr="000A7CB4">
        <w:rPr>
          <w:rFonts w:ascii="Times New Roman" w:eastAsia="Times New Roman" w:hAnsi="Times New Roman" w:cs="Times New Roman"/>
          <w:sz w:val="24"/>
          <w:szCs w:val="24"/>
          <w:lang w:val="sk-SK"/>
        </w:rPr>
        <w:t>nariadenia Európskeho parlamentu a Rady (EÚ) 2017/746 z 5. apríla 2017 o diagnostických zdravotníckych pomôckach in vitro a o zrušení smernice 98/79/ES a rozhodnutia Komisie 2010/227/EÚ (Ú. v. EÚ L 117, 5.5.2017) v platnom znení (ďalej len „</w:t>
      </w:r>
      <w:r w:rsidRPr="000A7CB4">
        <w:rPr>
          <w:rStyle w:val="Zstupntext"/>
          <w:color w:val="auto"/>
          <w:sz w:val="24"/>
          <w:szCs w:val="24"/>
          <w:lang w:val="sk-SK"/>
        </w:rPr>
        <w:t>nariadenie (EÚ) 2017/746 v platnom znení“) sú implementované v § 4a ods. 2 návrhu zákona. Ide o výnimky z postupov posudzovania zhody zdravotníckych pomôcok a diagnostických zdravotnícky pomôcok in vitro. Úrad môže zdravotnícku pomôcku a diagnostickú zdravotnícku pomôcku in vitro rozhodnutím povoliť uviesť na trh alebo do používania bez posudzovania zhody podľa § 22 zákona č. 56/2018 Z. z. na základe riadne odôvodnenej žiadosti ministerstva, ostatného</w:t>
      </w:r>
      <w:r w:rsidRPr="000A7CB4">
        <w:rPr>
          <w:rFonts w:ascii="Times New Roman" w:hAnsi="Times New Roman" w:cs="Times New Roman"/>
          <w:sz w:val="24"/>
          <w:szCs w:val="24"/>
          <w:lang w:val="sk-SK"/>
        </w:rPr>
        <w:t xml:space="preserve"> ústredného orgánu štátnej správy alebo hospodárskeho subjektu</w:t>
      </w:r>
      <w:hyperlink w:anchor="poznamky.poznamka-16a"/>
      <w:r w:rsidRPr="000A7CB4">
        <w:rPr>
          <w:rFonts w:ascii="Times New Roman" w:hAnsi="Times New Roman" w:cs="Times New Roman"/>
          <w:sz w:val="24"/>
          <w:szCs w:val="24"/>
          <w:lang w:val="sk-SK"/>
        </w:rPr>
        <w:t xml:space="preserve"> podľa čl. 59 nariadenia (EÚ) 2017/745 v platnom znení a čl. 54 nariadenia (EÚ) 2017/746 v platnom znení pre viac ako jedného pacienta, ak jeho použitie je v záujme ochrany verejného zdravia a bezpečnosti alebo zdravia pacientov a nie je na trhu dostupná taká zdravotnícka pomôcka, ktorá spĺňa požiadavky nariadenia (EÚ) 2017/745 v platnom znení alebo taká diagnostická zdravotnícka pomôcka in vitro, ktorá spĺňa požiadavky nariadenia (EÚ) 2017/746 v platnom znení. Úrad pri svojom rozhodovaní môže požiadať o nezáväzné stanovisko Štátny ústav pre kontrolu liečiv a Ministerstvo zdravotníctva Slovenskej republiky. Ak ide o zdravotnícku pomôcku alebo diagnostickú zdravotnícku pomôcku in vitro pre jedného pacienta, o udelení výnimky rozhoduje Ministerstvo zdravotníctva Slovenskej republiky. V súvislosti s tým sa upravuje v čl. III </w:t>
      </w:r>
      <w:r w:rsidRPr="000A7CB4">
        <w:rPr>
          <w:rStyle w:val="Zstupntext"/>
          <w:color w:val="auto"/>
          <w:sz w:val="24"/>
          <w:szCs w:val="24"/>
          <w:lang w:val="sk-SK"/>
        </w:rPr>
        <w:t xml:space="preserve">návrhu zákona aj </w:t>
      </w:r>
      <w:r w:rsidRPr="000A7CB4">
        <w:rPr>
          <w:rFonts w:ascii="Times New Roman" w:hAnsi="Times New Roman" w:cs="Times New Roman"/>
          <w:sz w:val="24"/>
          <w:szCs w:val="24"/>
          <w:lang w:val="sk-SK"/>
        </w:rPr>
        <w:t>zákon č. 362/2011 Z. z.</w:t>
      </w:r>
    </w:p>
    <w:p w:rsidR="00CD4F09" w:rsidRPr="000A7CB4" w:rsidRDefault="00CD4F09" w:rsidP="000A7CB4">
      <w:pPr>
        <w:pStyle w:val="Default"/>
        <w:jc w:val="both"/>
        <w:rPr>
          <w:color w:val="auto"/>
        </w:rPr>
      </w:pPr>
      <w:r w:rsidRPr="000A7CB4">
        <w:rPr>
          <w:color w:val="auto"/>
        </w:rPr>
        <w:t>V §4a ods. 3 návrhu zákona sa ustanovujú náležitosti rozhodnutia vydaného úradom podľa ods.1 a 2. Na vydanie rozhodnutia podľa ods. 1 a 2 nie je právny nárok. Proti rozhodnutiu podľa ods. 1 a 2 nie je možné sa odvolať. Správny poriadok sa na § 4a nevzťahuje. Postup pri rozhodovaní úradu o uvedení určeného výrobku na trh bez posudzovania zhody podľa ods. 1 a 2 úrad upraví metodickým postupom vydaným v súlade s § 3 ods. 1 písm. g) zákona č. 56/2018 Z. z.</w:t>
      </w:r>
    </w:p>
    <w:p w:rsidR="00CD4F09" w:rsidRPr="000A7CB4" w:rsidRDefault="00CD4F09" w:rsidP="000A7CB4">
      <w:pPr>
        <w:pStyle w:val="Odsekzoznamu"/>
        <w:spacing w:before="240" w:after="240" w:line="240" w:lineRule="auto"/>
        <w:ind w:left="0"/>
        <w:contextualSpacing w:val="0"/>
        <w:jc w:val="both"/>
        <w:rPr>
          <w:rFonts w:ascii="Times New Roman" w:hAnsi="Times New Roman"/>
          <w:sz w:val="24"/>
          <w:szCs w:val="24"/>
        </w:rPr>
      </w:pPr>
      <w:r w:rsidRPr="000A7CB4">
        <w:rPr>
          <w:rFonts w:ascii="Times New Roman" w:hAnsi="Times New Roman"/>
          <w:sz w:val="24"/>
          <w:szCs w:val="24"/>
        </w:rPr>
        <w:lastRenderedPageBreak/>
        <w:t xml:space="preserve">Do § 4b sa implementujú články 2, 3, 4 a 6 </w:t>
      </w:r>
      <w:r w:rsidRPr="000A7CB4">
        <w:rPr>
          <w:rFonts w:ascii="Times New Roman" w:hAnsi="Times New Roman"/>
          <w:sz w:val="24"/>
          <w:szCs w:val="24"/>
          <w:shd w:val="clear" w:color="auto" w:fill="FFFFFF"/>
        </w:rPr>
        <w:t xml:space="preserve">nariadenia </w:t>
      </w:r>
      <w:r w:rsidRPr="000A7CB4">
        <w:rPr>
          <w:rFonts w:ascii="Times New Roman" w:hAnsi="Times New Roman"/>
          <w:bCs/>
          <w:sz w:val="24"/>
          <w:szCs w:val="24"/>
          <w:shd w:val="clear" w:color="auto" w:fill="FFFFFF"/>
        </w:rPr>
        <w:t>(EÚ) 2024/2748,</w:t>
      </w:r>
      <w:r w:rsidRPr="000A7CB4">
        <w:rPr>
          <w:rFonts w:ascii="Times New Roman" w:hAnsi="Times New Roman"/>
          <w:sz w:val="24"/>
          <w:szCs w:val="24"/>
        </w:rPr>
        <w:t xml:space="preserve"> ktoré sa týkajú núdzových postupov určených výrobkov, a to lanoviek, osobných ochranných prostriedkov, spotrebičov spaľujúcich plynné palivá a strojových zariadení, a zo </w:t>
      </w:r>
      <w:r w:rsidRPr="000A7CB4">
        <w:rPr>
          <w:rFonts w:ascii="Times New Roman" w:hAnsi="Times New Roman"/>
          <w:bCs/>
          <w:sz w:val="24"/>
          <w:szCs w:val="24"/>
          <w:shd w:val="clear" w:color="auto" w:fill="FFFFFF"/>
        </w:rPr>
        <w:t>smernice</w:t>
      </w:r>
      <w:r w:rsidRPr="000A7CB4">
        <w:rPr>
          <w:rFonts w:ascii="Times New Roman" w:hAnsi="Times New Roman"/>
          <w:sz w:val="24"/>
          <w:szCs w:val="24"/>
        </w:rPr>
        <w:t xml:space="preserve"> (EÚ) 2024/2749 </w:t>
      </w:r>
      <w:r w:rsidRPr="000A7CB4">
        <w:rPr>
          <w:rStyle w:val="placeholdertext0"/>
          <w:rFonts w:ascii="Times New Roman" w:hAnsi="Times New Roman"/>
          <w:sz w:val="24"/>
          <w:szCs w:val="24"/>
        </w:rPr>
        <w:t xml:space="preserve">sa </w:t>
      </w:r>
      <w:r w:rsidRPr="000A7CB4">
        <w:rPr>
          <w:rFonts w:ascii="Times New Roman" w:hAnsi="Times New Roman"/>
          <w:sz w:val="24"/>
          <w:szCs w:val="24"/>
        </w:rPr>
        <w:t>preberajú ustanovenia týkajúce sa dohľadu nad trhom ako jedného z nástrojov núdzových postupov a možnosť udelenia výnimky z postupov posudzovania zhody, keď je zapojenie notifikovanej osoby povinné, a to rozhodnutím úradu v súvislosti s prebiehajúcou núdzovou situáciou na vnútornom trhu. Úrad bude môcť taktiež uznať povolenia vydané v iných členských štátoch.</w:t>
      </w:r>
    </w:p>
    <w:p w:rsidR="00CD4F09" w:rsidRPr="000A7CB4" w:rsidRDefault="00CD4F09" w:rsidP="000A7CB4">
      <w:pPr>
        <w:pStyle w:val="Odsekzoznamu"/>
        <w:spacing w:before="120" w:after="120" w:line="240" w:lineRule="auto"/>
        <w:ind w:left="0"/>
        <w:contextualSpacing w:val="0"/>
        <w:jc w:val="both"/>
        <w:rPr>
          <w:rFonts w:ascii="Times New Roman" w:hAnsi="Times New Roman"/>
          <w:sz w:val="24"/>
          <w:szCs w:val="24"/>
        </w:rPr>
      </w:pPr>
      <w:r w:rsidRPr="000A7CB4">
        <w:rPr>
          <w:rFonts w:ascii="Times New Roman" w:hAnsi="Times New Roman"/>
          <w:bCs/>
          <w:sz w:val="24"/>
          <w:szCs w:val="24"/>
          <w:shd w:val="clear" w:color="auto" w:fill="FFFFFF"/>
        </w:rPr>
        <w:t>Nariadením (EÚ) 2024/2748 sa s</w:t>
      </w:r>
      <w:r w:rsidRPr="000A7CB4">
        <w:rPr>
          <w:rFonts w:ascii="Times New Roman" w:hAnsi="Times New Roman"/>
          <w:sz w:val="24"/>
          <w:szCs w:val="24"/>
          <w:shd w:val="clear" w:color="auto" w:fill="FFFFFF"/>
        </w:rPr>
        <w:t xml:space="preserve">tanovuje povinnosť pre notifikované osoby, aby uprednostňovali žiadosti o posudzovanie zhody určeného výrobku označeného ako tovar dôležitý počas krízy pred všetkými nevybavenými žiadosťami týkajúcimi sa určených výrobkov. Notifikovaná osoba nemôže účtovať výrobcovi neprimerané náklady a všetky dodatočné náklady, ktoré </w:t>
      </w:r>
      <w:r w:rsidRPr="000A7CB4">
        <w:rPr>
          <w:rFonts w:ascii="Times New Roman" w:hAnsi="Times New Roman"/>
          <w:sz w:val="24"/>
          <w:szCs w:val="24"/>
        </w:rPr>
        <w:t>účtuje výrobcovi majú byť striktne úmerné skutočnému dodatočnému úsiliu, ktoré vynaložila na vykonanie uprednostnenia, pričom sa účtujú len počas režimu núdzovej situácie na vnútornom trhu. Notifikované osoby by mali len výnimočne presúvať určité dodatočné a primerané náklady na výrobcov, pričom tento presun má odrážať spravodlivé rozdelenie nákladov medzi všetky zainteresované strany zapojené do úsilia neobmedzovať fungovanie vnútorného trhu. Náklady spojené s posudzovaním zhody sa nesmú stať prekážkou pre vstup budúcich nových výrobcov, najmä malých a stredných podnikov, na trh a nemajú obmedzovať vznik inovačných výrobkov. Notifikované osoby by mali zvýšiť svoje skúšobné kapacity, pokiaľ ide o určený výrobok označený ako tovar dôležitý počas krízy.</w:t>
      </w:r>
    </w:p>
    <w:p w:rsidR="00CD4F09" w:rsidRPr="000A7CB4" w:rsidRDefault="00CD4F09" w:rsidP="000A7CB4">
      <w:pPr>
        <w:pStyle w:val="Odsekzoznamu"/>
        <w:spacing w:before="120" w:after="120" w:line="240" w:lineRule="auto"/>
        <w:ind w:left="0"/>
        <w:contextualSpacing w:val="0"/>
        <w:jc w:val="both"/>
        <w:rPr>
          <w:rFonts w:ascii="Times New Roman" w:hAnsi="Times New Roman"/>
          <w:sz w:val="24"/>
          <w:szCs w:val="24"/>
        </w:rPr>
      </w:pPr>
      <w:r w:rsidRPr="000A7CB4">
        <w:rPr>
          <w:rFonts w:ascii="Times New Roman" w:hAnsi="Times New Roman"/>
          <w:sz w:val="24"/>
          <w:szCs w:val="24"/>
        </w:rPr>
        <w:t>Podľa § 4b ods. 2 je možné udeliť výnimku z postupov posudzovania zhody podľa § 22 zákona č. 56/2018 Z. z. v súvislosti s prebiehajúcou núdzovou situáciou na vnútornom trhu, ak je zapojenie notifikovanej osoby povinné, a to rozhodnutím úradu. V týchto prípadoch úrad môže rozhodnúť o tzv. povolení na uvedenie určeného výrobku na trh a v určených prípadoch na jeho uvedenie do prevádzky za predpokladu, že je zabezpečená zhoda so základnými požiadavkami a požiadavkami ustanovenými zákonom alebo technickým predpisom z oblasti posudzovania zhody. Súlad s uvedenými požiadavkami je možné preukázať rôznymi prostriedkami, medzi ktoré patrí aj skúšanie vzoriek poskytnutých výrobcom, ktorý požiadal o povolenie, vykonávané vnútroštátnymi orgánmi.</w:t>
      </w:r>
    </w:p>
    <w:p w:rsidR="00CD4F09" w:rsidRPr="000A7CB4" w:rsidRDefault="00CD4F09" w:rsidP="000A7CB4">
      <w:pPr>
        <w:pStyle w:val="Odsekzoznamu"/>
        <w:spacing w:before="120" w:after="120" w:line="240" w:lineRule="auto"/>
        <w:ind w:left="0"/>
        <w:contextualSpacing w:val="0"/>
        <w:jc w:val="both"/>
        <w:rPr>
          <w:rFonts w:ascii="Times New Roman" w:hAnsi="Times New Roman"/>
          <w:sz w:val="24"/>
          <w:szCs w:val="24"/>
        </w:rPr>
      </w:pPr>
      <w:r w:rsidRPr="000A7CB4">
        <w:rPr>
          <w:rFonts w:ascii="Times New Roman" w:hAnsi="Times New Roman"/>
          <w:sz w:val="24"/>
          <w:szCs w:val="24"/>
        </w:rPr>
        <w:t>Úrad vydáva povolenie na uvedenie určeného výrobku na trh bez označenia CE len výnimočne, na dočasné obdobie a v takom prípade sa postupy posudzovania zhody podľa § 22 zákona č. 56/2018 Z. z. na predmetný určený výrobok neuplatňujú. Vo všeobecnosti však základné požiadavky a požiadavky ustanovené zákonom č. 56/2018 Z. z. a technickým predpisom z oblasti posudzovania zhody zostávajú v platnosti. Výrobcovia určeného výrobku, na ktoré sa vzťahuje postup udeľovania povolení, na svoju výhradnú zodpovednosť vyhlásia, že dotknutý určený výrobok spĺňa príslušné základné požiadavky a požiadavky ustanovené zákonom č. 56/2018 Z. z. alebo technickým predpisom z oblasti posudzovania zhody a sú zodpovední za splnenie všetkých postupov posudzovania zhody, ktoré uviedol úrad v rozhodnutí.</w:t>
      </w:r>
    </w:p>
    <w:p w:rsidR="00CD4F09" w:rsidRPr="000A7CB4" w:rsidRDefault="00CD4F09" w:rsidP="000A7CB4">
      <w:pPr>
        <w:pStyle w:val="Odsekzoznamu"/>
        <w:spacing w:before="120" w:after="120" w:line="240" w:lineRule="auto"/>
        <w:ind w:left="0"/>
        <w:contextualSpacing w:val="0"/>
        <w:jc w:val="both"/>
        <w:rPr>
          <w:rFonts w:ascii="Times New Roman" w:hAnsi="Times New Roman"/>
          <w:sz w:val="24"/>
          <w:szCs w:val="24"/>
        </w:rPr>
      </w:pPr>
      <w:r w:rsidRPr="000A7CB4">
        <w:rPr>
          <w:rFonts w:ascii="Times New Roman" w:hAnsi="Times New Roman"/>
          <w:sz w:val="24"/>
          <w:szCs w:val="24"/>
        </w:rPr>
        <w:t>Úrad môže uznať povolenia vydané v iných členských štátoch, ak požiadavky stanovené v povolení zabezpečujú súlad so základnými požiadavkami a požiadavkami ustanovenými zákonom alebo technickým predpisom z oblasti posudzovania zhody.</w:t>
      </w:r>
    </w:p>
    <w:p w:rsidR="00CD4F09" w:rsidRPr="000A7CB4" w:rsidRDefault="00CD4F09" w:rsidP="000A7CB4">
      <w:pPr>
        <w:pStyle w:val="Odsekzoznamu"/>
        <w:spacing w:before="120" w:after="120" w:line="240" w:lineRule="auto"/>
        <w:ind w:left="0"/>
        <w:contextualSpacing w:val="0"/>
        <w:jc w:val="both"/>
        <w:rPr>
          <w:rFonts w:ascii="Times New Roman" w:hAnsi="Times New Roman"/>
          <w:sz w:val="24"/>
          <w:szCs w:val="24"/>
        </w:rPr>
      </w:pPr>
      <w:r w:rsidRPr="000A7CB4">
        <w:rPr>
          <w:rFonts w:ascii="Times New Roman" w:hAnsi="Times New Roman"/>
          <w:sz w:val="24"/>
          <w:szCs w:val="24"/>
        </w:rPr>
        <w:t xml:space="preserve">Na vydanie rozhodnutia podľa § 4b ods. 2 a 3 nie je právny nárok. Proti rozhodnutiu podľa § 4b ods. 1 a 2 nie je možné sa odvolať. Správny poriadok sa na § 4b nevzťahuje. Podrobnosti o postupe </w:t>
      </w:r>
      <w:r w:rsidRPr="000A7CB4">
        <w:rPr>
          <w:rFonts w:ascii="Times New Roman" w:hAnsi="Times New Roman"/>
          <w:sz w:val="24"/>
          <w:szCs w:val="24"/>
        </w:rPr>
        <w:lastRenderedPageBreak/>
        <w:t>udeľovania povolenia úrad upraví metodickým postupom vydaným v súlade s § 3 ods. 1 písm. g) zákona č. 56/2018 Z. z.</w:t>
      </w:r>
    </w:p>
    <w:p w:rsidR="00CD4F09" w:rsidRPr="000A7CB4" w:rsidRDefault="00CD4F09" w:rsidP="000A7CB4">
      <w:pPr>
        <w:pStyle w:val="Odsekzoznamu"/>
        <w:spacing w:before="120" w:after="120" w:line="240" w:lineRule="auto"/>
        <w:ind w:left="0"/>
        <w:contextualSpacing w:val="0"/>
        <w:jc w:val="both"/>
        <w:rPr>
          <w:rFonts w:ascii="Times New Roman" w:hAnsi="Times New Roman"/>
          <w:sz w:val="24"/>
          <w:szCs w:val="24"/>
          <w:shd w:val="clear" w:color="auto" w:fill="FFFFFF"/>
        </w:rPr>
      </w:pPr>
      <w:r w:rsidRPr="000A7CB4">
        <w:rPr>
          <w:rFonts w:ascii="Times New Roman" w:hAnsi="Times New Roman"/>
          <w:sz w:val="24"/>
          <w:szCs w:val="24"/>
        </w:rPr>
        <w:t>Komisia môže vykonávacími aktami rozšíriť platnosť vnútroštátneho povolenia z územia jedného členského štátu na územie celej Európskej únie, ak požiadavky stanovené v povolení zabezpečujú súlad so základnými požiadavkami a požiadavkami ustanovenými zákonom č. 56/2018 Z. z. alebo technickým predpisom z oblasti posudzovania zhody</w:t>
      </w:r>
      <w:r w:rsidRPr="000A7CB4">
        <w:rPr>
          <w:rStyle w:val="placeholdertext0"/>
          <w:rFonts w:ascii="Times New Roman" w:hAnsi="Times New Roman"/>
          <w:sz w:val="24"/>
          <w:szCs w:val="24"/>
        </w:rPr>
        <w:t xml:space="preserve">, </w:t>
      </w:r>
      <w:r w:rsidRPr="000A7CB4">
        <w:rPr>
          <w:rFonts w:ascii="Times New Roman" w:hAnsi="Times New Roman"/>
          <w:sz w:val="24"/>
          <w:szCs w:val="24"/>
        </w:rPr>
        <w:t xml:space="preserve">t. j. nestanovuje sa automatické vzájomné uznávanie každého vnútroštátneho povolenia, ktoré sa v čase krízy odchyľuje od postupov posudzovania zhody. </w:t>
      </w:r>
      <w:r w:rsidRPr="000A7CB4">
        <w:rPr>
          <w:rFonts w:ascii="Times New Roman" w:hAnsi="Times New Roman"/>
          <w:sz w:val="24"/>
          <w:szCs w:val="24"/>
          <w:shd w:val="clear" w:color="auto" w:fill="FFFFFF"/>
        </w:rPr>
        <w:t xml:space="preserve">Podmienky uvádzania dotknutého určeného výrobku na trh, ktoré sú v ňom stanovené, sa uplatňujú na určený výrobok uvedený na trh aj po dátume nadobudnutia účinnosti uvedeného vykonávacieho aktu. V uvedenom vykonávacom akte sa stanoví, že výhoda voľného pohybu sa udeľuje aj určenému výrobku, ktorý bol uvedený na trh na základe už existujúcich povolení. Na takýto určený výrobok </w:t>
      </w:r>
      <w:r w:rsidRPr="000A7CB4">
        <w:rPr>
          <w:rFonts w:ascii="Times New Roman" w:hAnsi="Times New Roman"/>
          <w:sz w:val="24"/>
          <w:szCs w:val="24"/>
        </w:rPr>
        <w:t>musí mať pri uvádzaní na trh alebo do prevádzky umiestnené označenie „Tovar dôležitý počas krízy“.</w:t>
      </w:r>
      <w:r w:rsidRPr="000A7CB4">
        <w:rPr>
          <w:rFonts w:ascii="Times New Roman" w:hAnsi="Times New Roman"/>
          <w:sz w:val="24"/>
          <w:szCs w:val="24"/>
          <w:shd w:val="clear" w:color="auto" w:fill="FFFFFF"/>
        </w:rPr>
        <w:t xml:space="preserve"> Všetky už existujúce povolenia vydané členskými štátmi pred nadobudnutím účinnosti vykonávacieho aktu Komisie prestávajú poskytovať právny základ na uvedenie určeného výrobku na trh po nadobudnutí účinnosti vykonávacieho aktu Komisie týkajúceho sa rovnakého určeného výrobku a členské štáty prijmú za týmto účelom potrebné opatrenia. Určený výrobok, ktorý už bol uvedený na trh na základe povolenia prijatého členským štátom pred prijatím vykonávacieho aktu Komisie, orgán dohľadu nariadi stiahnuť z trhu alebo od používateľa, ak sa v súvislosti s takýmto určeným výrobkom zistia osobitné bezpečnostné obavy vedúce k potrebe nápravných alebo reštriktívnych opatrení, ktoré má Komisia prijať iným vykonávacím aktom.</w:t>
      </w:r>
    </w:p>
    <w:p w:rsidR="00CD4F09" w:rsidRPr="000A7CB4" w:rsidRDefault="00CD4F09" w:rsidP="000A7CB4">
      <w:pPr>
        <w:widowControl/>
        <w:adjustRightInd/>
        <w:spacing w:before="120" w:after="120"/>
        <w:jc w:val="both"/>
        <w:rPr>
          <w:rFonts w:cs="Times New Roman"/>
        </w:rPr>
      </w:pPr>
      <w:r w:rsidRPr="000A7CB4">
        <w:rPr>
          <w:rFonts w:cs="Times New Roman"/>
        </w:rPr>
        <w:t>Výrobcovia tak môžu rýchlo uviesť svoje výrobky na trh bez toho, aby museli čakať na dokončenie bežných postupov posudzovania zhody. Takéto zrýchlené a výnimočné uvedenie na trh znamená pre výrobcov to, že môžu uviesť na trh počiatočné šarže alebo série výrobkov pred dokončením postupov posudzovania zhody. Po úspešnom dokončení postupov posudzovania zhody  majú byť následné šarže alebo série výrobkov plne v súlade s príslušnými platnými pravidlami, a teda sa na ne vzťahujú výhody voľného pohybu, čo výrobcom umožňuje naďalej uvádzať ich výrobky na trh aj po uplynutí platnosti alebo odvolaní režimu núdzovej situácie na vnútornom trhu.</w:t>
      </w:r>
    </w:p>
    <w:p w:rsidR="00CD4F09" w:rsidRPr="000A7CB4" w:rsidRDefault="00CD4F09" w:rsidP="000A7CB4">
      <w:pPr>
        <w:widowControl/>
        <w:adjustRightInd/>
        <w:spacing w:before="120" w:after="120"/>
        <w:jc w:val="both"/>
        <w:rPr>
          <w:rFonts w:cs="Times New Roman"/>
          <w:shd w:val="clear" w:color="auto" w:fill="FFFFFF"/>
        </w:rPr>
      </w:pPr>
      <w:r w:rsidRPr="000A7CB4">
        <w:rPr>
          <w:rFonts w:cs="Times New Roman"/>
          <w:shd w:val="clear" w:color="auto" w:fill="FFFFFF"/>
        </w:rPr>
        <w:t xml:space="preserve">Platnosť povolení vydaných počas vyhláseného režimu núdzovej situácie na vnútornom trhu uplynie dňom uplynutia ich platnosti alebo odvolania režimu núdzovej situácie na vnútornom trhu. Úrad môže vydávať povolenia aj s kratšou platnosťou. Po uplynutí platnosti povolenia sa určený výrobok ako tovar dôležitý počas krízy nemôže uvádzať na trh na základe tohto povolenia. Uplynutím platnosti povolenia nedochádza k vzniku povinnosti stiahnuť z trhu alebo od používateľa určený výrobok, ktorý už bol uvedený na trh na základe uvedeného povolenia. </w:t>
      </w:r>
    </w:p>
    <w:p w:rsidR="00CD4F09" w:rsidRPr="000A7CB4" w:rsidRDefault="00CD4F09" w:rsidP="000A7CB4">
      <w:pPr>
        <w:widowControl/>
        <w:adjustRightInd/>
        <w:spacing w:before="120" w:after="120"/>
        <w:jc w:val="both"/>
        <w:rPr>
          <w:rFonts w:cs="Times New Roman"/>
          <w:shd w:val="clear" w:color="auto" w:fill="FFFFFF"/>
        </w:rPr>
      </w:pPr>
      <w:r w:rsidRPr="000A7CB4">
        <w:rPr>
          <w:rFonts w:cs="Times New Roman"/>
          <w:shd w:val="clear" w:color="auto" w:fill="FFFFFF"/>
        </w:rPr>
        <w:t>Ak uvedenie na trh nastalo v rozpore s podmienkami stanovenými v povolení alebo existujú dostatočné dôvody domnievať sa, že určený výrobok, na ktorý sa takéto povolenie vzťahuje, predstavuje riziko pre zdravie alebo bezpečnosť osôb, príslušný orgán dohľadu nad určeným výrobkom je oprávnený prijať všetky nápravné a reštriktívne opatrenia, pričom na výkon dohľadu sa vzťahujú ustanovenia § 26 a  27 zákona č. 56/2018 Z. z. a na ukladanie sankcií sa vzťahujú ustanovenia § 28 zákona č. 56/2018 Z. z. Informácie o všetkých nápravných alebo reštriktívnych opatreniach príslušný orgán dohľadu nad určeným výrobkom sprístupní cez informačný a komunikačný systém pre dohľad nad trhom (ďalej len „ICSMS“) podľa § 29 zákona č. 56/2018 Z. z. bez ohľadu na to, či sa tieto opatrenia musia oznamovať v systéme Safety Gate z dôvodu, že výrobky predstavujú vážne riziko.</w:t>
      </w:r>
    </w:p>
    <w:p w:rsidR="00CD4F09" w:rsidRPr="000A7CB4" w:rsidRDefault="00CD4F09" w:rsidP="000A7CB4">
      <w:pPr>
        <w:widowControl/>
        <w:adjustRightInd/>
        <w:spacing w:before="120" w:after="120"/>
        <w:jc w:val="both"/>
        <w:rPr>
          <w:rFonts w:cs="Times New Roman"/>
          <w:shd w:val="clear" w:color="auto" w:fill="FFFFFF"/>
        </w:rPr>
      </w:pPr>
      <w:r w:rsidRPr="000A7CB4">
        <w:rPr>
          <w:rFonts w:cs="Times New Roman"/>
          <w:shd w:val="clear" w:color="auto" w:fill="FFFFFF"/>
        </w:rPr>
        <w:lastRenderedPageBreak/>
        <w:t>O vydaných povoleniach úrad informuje Komisiu a členské štáty bezodkladne cez ICSMS.</w:t>
      </w:r>
    </w:p>
    <w:p w:rsidR="00CD4F09" w:rsidRPr="000A7CB4" w:rsidRDefault="00CD4F09" w:rsidP="000A7CB4">
      <w:pPr>
        <w:widowControl/>
        <w:adjustRightInd/>
        <w:spacing w:before="120" w:after="120"/>
        <w:jc w:val="both"/>
        <w:rPr>
          <w:rFonts w:cs="Times New Roman"/>
          <w:shd w:val="clear" w:color="auto" w:fill="FFFFFF"/>
        </w:rPr>
      </w:pPr>
      <w:r w:rsidRPr="000A7CB4">
        <w:rPr>
          <w:rFonts w:cs="Times New Roman"/>
          <w:shd w:val="clear" w:color="auto" w:fill="FFFFFF"/>
        </w:rPr>
        <w:t>Určený výrobok uvedený na trh na základe predpokladu zhody stanoveného núdzovým mechanizmom sa automaticky nesťahuje z trhu, keď sa prestane uplatňovať vykonávací akt, v ktorom sa uvádzajú európske alebo príslušné uplatniteľné národné alebo medzinárodné technické normy. V prípade pochybností o súlade harmonizovaného určeného výrobku, ktorý bol označený ako tovar dôležitý počas krízy a uvedený na trh počas režimu núdzovej situácie na vnútornom trhu na základe predpokladu zhody stanoveného vykonávacím aktom Komisie, príslušný orgán dohľadu nad určeným výrobkom postupuje podľa § 27 až 29 zákona č. 56/2018 Z. z. Po tom, ako sa takýto vykonávací akt prestane uplatňovať, súlad s európskymi alebo príslušnými uplatniteľnými národnými alebo medzinárodnými technickými normami už nevedie k predpokladu zhody s príslušnými a uplatniteľnými základnými požiadavkami.</w:t>
      </w:r>
    </w:p>
    <w:p w:rsidR="00CD4F09" w:rsidRPr="000A7CB4" w:rsidRDefault="00CD4F09" w:rsidP="000A7CB4">
      <w:pPr>
        <w:widowControl/>
        <w:adjustRightInd/>
        <w:spacing w:before="120" w:after="120"/>
        <w:jc w:val="both"/>
        <w:rPr>
          <w:rFonts w:cs="Times New Roman"/>
          <w:shd w:val="clear" w:color="auto" w:fill="FFFFFF"/>
        </w:rPr>
      </w:pPr>
      <w:r w:rsidRPr="000A7CB4">
        <w:rPr>
          <w:rFonts w:cs="Times New Roman"/>
          <w:shd w:val="clear" w:color="auto" w:fill="FFFFFF"/>
        </w:rPr>
        <w:t>Určený výrobok uvedený na trh na základe predpokladu zhody stanoveného preukázaním súladu so spoločnými špecifikáciami sa automaticky nesťahuje z trhu, keď sa prestane uplatňovať vykonávací akt, ktorým sa stanovujú takéto spoločné špecifikácie. V prípade pochybností o súlade určeného výrobku, ktorý bol označený ako tovar dôležitý počas krízy a uvedený na trh počas režimu núdzovej situácie na vnútornom trhu na základe predpokladu zhody stanoveného preukázaním súladu so spoločnými špecifikáciami, príslušný orgán dohľadu nad určeným výrobkom postupuje podľa § 27 až 29 zákona č. 56/2018 Z. z. Po tom, ako sa prestane uplatňovať vykonávací akt, ktorým sa stanovujú spoločné špecifikácie, súlad s týmito spoločnými špecifikáciami už nevedie k predpokladu zhody s príslušnými a uplatniteľnými základnými požiadavkami.</w:t>
      </w:r>
    </w:p>
    <w:p w:rsidR="00CD4F09" w:rsidRPr="000A7CB4" w:rsidRDefault="00CD4F09" w:rsidP="000A7CB4">
      <w:pPr>
        <w:widowControl/>
        <w:adjustRightInd/>
        <w:spacing w:before="120" w:after="120"/>
        <w:jc w:val="both"/>
        <w:rPr>
          <w:rFonts w:cs="Times New Roman"/>
          <w:shd w:val="clear" w:color="auto" w:fill="FFFFFF"/>
        </w:rPr>
      </w:pPr>
      <w:r w:rsidRPr="000A7CB4">
        <w:rPr>
          <w:rFonts w:cs="Times New Roman"/>
          <w:shd w:val="clear" w:color="auto" w:fill="FFFFFF"/>
        </w:rPr>
        <w:t>Umožňuje sa užšia spolupráca a vzájomná podpora medzi orgánmi dohľadu nad trhom jednotlivých členských štátov.</w:t>
      </w:r>
    </w:p>
    <w:p w:rsidR="00CD4F09" w:rsidRPr="000A7CB4" w:rsidRDefault="00CD4F09" w:rsidP="000A7CB4">
      <w:pPr>
        <w:widowControl/>
        <w:spacing w:before="240" w:after="120"/>
        <w:jc w:val="both"/>
        <w:rPr>
          <w:rStyle w:val="Zstupntext"/>
          <w:b/>
          <w:color w:val="auto"/>
        </w:rPr>
      </w:pPr>
      <w:r w:rsidRPr="000A7CB4">
        <w:rPr>
          <w:rStyle w:val="Zstupntext"/>
          <w:b/>
          <w:color w:val="auto"/>
        </w:rPr>
        <w:t>K bodu 5</w:t>
      </w:r>
    </w:p>
    <w:p w:rsidR="00CD4F09" w:rsidRPr="000A7CB4" w:rsidRDefault="00CD4F09" w:rsidP="000A7CB4">
      <w:pPr>
        <w:pStyle w:val="Textkomentra"/>
        <w:spacing w:before="120" w:after="120"/>
        <w:jc w:val="both"/>
        <w:rPr>
          <w:rStyle w:val="Zstupntext"/>
          <w:color w:val="auto"/>
          <w:sz w:val="24"/>
          <w:szCs w:val="24"/>
          <w:lang w:val="sk-SK"/>
        </w:rPr>
      </w:pPr>
      <w:r w:rsidRPr="000A7CB4">
        <w:rPr>
          <w:rStyle w:val="Zstupntext"/>
          <w:color w:val="auto"/>
          <w:sz w:val="24"/>
          <w:szCs w:val="24"/>
          <w:lang w:val="sk-SK"/>
        </w:rPr>
        <w:t>Legislatívno-technická úprava.</w:t>
      </w:r>
    </w:p>
    <w:p w:rsidR="00CD4F09" w:rsidRPr="000A7CB4" w:rsidRDefault="00CD4F09" w:rsidP="000A7CB4">
      <w:pPr>
        <w:widowControl/>
        <w:spacing w:before="240" w:after="120"/>
        <w:jc w:val="both"/>
        <w:rPr>
          <w:rStyle w:val="Zstupntext"/>
          <w:b/>
          <w:color w:val="auto"/>
        </w:rPr>
      </w:pPr>
      <w:r w:rsidRPr="000A7CB4">
        <w:rPr>
          <w:rStyle w:val="Zstupntext"/>
          <w:b/>
          <w:color w:val="auto"/>
        </w:rPr>
        <w:t>K bodu 6</w:t>
      </w:r>
    </w:p>
    <w:p w:rsidR="00CD4F09" w:rsidRPr="000A7CB4" w:rsidRDefault="00CD4F09" w:rsidP="000A7CB4">
      <w:pPr>
        <w:pStyle w:val="Normlnywebov"/>
        <w:shd w:val="clear" w:color="auto" w:fill="FFFFFF"/>
        <w:jc w:val="both"/>
      </w:pPr>
      <w:r w:rsidRPr="000A7CB4">
        <w:t>§ 9a ods. 1 zákona č. 56/2018 Z. z. prepája povinnosti podľa článku 4 ods. 1, 3 a 4 nariadenie Európskeho parlamentu a Rady (EÚ) 2019/1020 z 20. júna 2019 o dohľade nad trhom a súlade výrobkov a o zmene smernice 2004/42/ES a nariadení (ES) č. 765/2008 a (EÚ) č. 305/2011 (Ú. v. EÚ L 169, 25.6.2019) v platnom znení</w:t>
      </w:r>
      <w:r w:rsidRPr="000A7CB4" w:rsidDel="005A584F">
        <w:t xml:space="preserve"> </w:t>
      </w:r>
      <w:r w:rsidRPr="000A7CB4">
        <w:t xml:space="preserve">(ďalej len „nariadenie (EÚ) 2019/1020 v platnom znení“) (iné povinnosti ako v § 5 až 9 zákona č. 56/2018 Z. z.), ktoré majú plniť hospodárske subjekty vymedzené v článku 4 ods. 2 nariadenia (EÚ) 2019/1020 v platnom znení, čiže výrobca usadený v Európskej únii, dovozca, ak výrobca nie je usadený v Únii, splnomocnený zástupca výrobcu s písomným splnomocnením od výrobcu, v ktorom splnomocneného zástupcu poveruje plnením úloh stanovených v článku 4 ods. 3 nariadenia (EÚ) 2019/1020 v platnom znení v mene výrobcu, poskytovateľ logistických služieb usadený v Európskej únii, pokiaľ ide o výrobky, s ktorými nakladá, keď v Európskej únii nie je usadený iný hospodársky subjekt, t. j. iné hospodárske subjekty ako sú vymedzené v § 5 až 9 a v § 9a ods. 2 až 5 zákona č. 56/2018 Z. z. Tieto povinnosti platia len pre vymedzené hospodárske subjekty a len pre určené výrobky upravené právnymi predpismi podľa článku 4 ods. 5 nariadenia (EÚ) 2019/1020 v platnom znení. V § 9a ods. 2 až 5 zákona č. 56/2018 Z. z. sú vymedzené osobitné hospodárske subjekty, iné než sú uvedené v § 5 až 9 zákona č. 56/2018 Z. z. a ich povinnosti. </w:t>
      </w:r>
    </w:p>
    <w:p w:rsidR="00CD4F09" w:rsidRPr="000A7CB4" w:rsidRDefault="00CD4F09" w:rsidP="000A7CB4">
      <w:pPr>
        <w:pStyle w:val="Normlnywebov"/>
        <w:shd w:val="clear" w:color="auto" w:fill="FFFFFF"/>
        <w:jc w:val="both"/>
      </w:pPr>
      <w:r w:rsidRPr="000A7CB4">
        <w:lastRenderedPageBreak/>
        <w:t>V § 5 až 9 zákona č. 56/2018 Z. z. sú stanovené povinnosti hospodárskych subjektov, ktoré sú spoločné takmer pre všetky technické predpisy z oblasti posudzovania zhody, ktorými sú výrobca, splnomocnený zástupca výrobcu, dovozca a distribútor. Ich uvedenie v § 5 až 9  zákona č. 56/2018 Z. z. ako aj ustanovenie ich povinností v plnej miere odzrkadľuje ustanovenia prílohy I, čl. R1 (vymedzenie pojmov) ods. 7 a kapitoly R2 (záväzky hospodárskych subjektov) rozhodnutia Európskeho parlamentu a Rady č. 768/2008/ES z 9. júla 2008 o spoločnom rámci na uvádzanie výrobkov na trh a o zrušení rozhodnutia 93/465/EHS (Ú. v. EÚ L 218, 13.8.2008) (ďalej len „rozhodnutie (ES) č. 768/2008/ES“). Rozhodnutím (ES) č. 768/2008/ES sa stanovujú spoločné zásady a referenčné ustanovenia určené na uplatňovanie vo všetkých sektorových právnych predpisov podľa Nového legislatívneho rámca, a ktoré sa transponujú alebo implementujú do slovenského právneho poriadku, v tomto prípade zákonom č. 56/208 Z. z. Zároveň podľa čl. 3 nariadenia (EÚ) 2019/1020 v platnom znení je hospodárskym subjektom aj poskytovateľ logistických služieb alebo akákoľvek iná fyzická alebo právnická osoba, ktorá podlieha povinnostiam súvisiacim s výrobou výrobkov, s ich sprístupňovaním na trhu alebo uvádzaním do prevádzky v súlade s príslušnými harmonizačnými právnymi predpismi Únie.</w:t>
      </w:r>
    </w:p>
    <w:p w:rsidR="00CD4F09" w:rsidRPr="000A7CB4" w:rsidRDefault="00CD4F09" w:rsidP="000A7CB4">
      <w:pPr>
        <w:pStyle w:val="Normlnywebov"/>
        <w:shd w:val="clear" w:color="auto" w:fill="FFFFFF"/>
        <w:jc w:val="both"/>
      </w:pPr>
      <w:r w:rsidRPr="000A7CB4">
        <w:t>Z uvedeného dôvodu sa precizuje názov § 9a na povinnosti iných hospodárskych subjektov.</w:t>
      </w:r>
    </w:p>
    <w:p w:rsidR="00CD4F09" w:rsidRPr="000A7CB4" w:rsidRDefault="00CD4F09" w:rsidP="000A7CB4">
      <w:pPr>
        <w:pStyle w:val="Normlnywebov"/>
        <w:shd w:val="clear" w:color="auto" w:fill="FFFFFF"/>
        <w:spacing w:before="120" w:beforeAutospacing="0" w:after="120" w:afterAutospacing="0"/>
        <w:jc w:val="both"/>
        <w:rPr>
          <w:b/>
        </w:rPr>
      </w:pPr>
      <w:r w:rsidRPr="000A7CB4">
        <w:rPr>
          <w:b/>
        </w:rPr>
        <w:t>K bodu 7</w:t>
      </w:r>
    </w:p>
    <w:p w:rsidR="00CD4F09" w:rsidRPr="000A7CB4" w:rsidRDefault="00CD4F09" w:rsidP="000A7CB4">
      <w:pPr>
        <w:pStyle w:val="Normlnywebov"/>
        <w:shd w:val="clear" w:color="auto" w:fill="FFFFFF"/>
        <w:spacing w:before="120" w:beforeAutospacing="0" w:after="120" w:afterAutospacing="0"/>
        <w:jc w:val="both"/>
        <w:rPr>
          <w:b/>
        </w:rPr>
      </w:pPr>
      <w:r w:rsidRPr="000A7CB4">
        <w:rPr>
          <w:rStyle w:val="Zstupntext"/>
          <w:color w:val="auto"/>
        </w:rPr>
        <w:t xml:space="preserve">Novým odsekom 8 sa stanovujú a prepájajú povinnosti ďalších osobitných subjektov, a to vlastníka, ktorý je vymedzený v § 8 zákona č. 254/2011 Z. z. </w:t>
      </w:r>
      <w:r w:rsidRPr="000A7CB4">
        <w:t xml:space="preserve">a prevádzkovateľa, ktorý je vymedzený v § 9 </w:t>
      </w:r>
      <w:r w:rsidRPr="000A7CB4">
        <w:rPr>
          <w:rStyle w:val="Zstupntext"/>
          <w:color w:val="auto"/>
        </w:rPr>
        <w:t>zákona č. 254/2011 Z. z.,</w:t>
      </w:r>
      <w:r w:rsidRPr="000A7CB4">
        <w:t xml:space="preserve">  pričom tak vlastník, ako aj prevádzkovateľ sú povinní plniť povinnosti podľa </w:t>
      </w:r>
      <w:r w:rsidRPr="000A7CB4">
        <w:rPr>
          <w:rStyle w:val="Zstupntext"/>
          <w:color w:val="auto"/>
        </w:rPr>
        <w:t>zákona č. 254/2011 Z. z.</w:t>
      </w:r>
      <w:r w:rsidRPr="000A7CB4">
        <w:t xml:space="preserve">  </w:t>
      </w:r>
    </w:p>
    <w:p w:rsidR="00CD4F09" w:rsidRPr="000A7CB4" w:rsidRDefault="00CD4F09" w:rsidP="000A7CB4">
      <w:pPr>
        <w:widowControl/>
        <w:spacing w:before="120" w:after="120"/>
        <w:jc w:val="both"/>
        <w:rPr>
          <w:rStyle w:val="Zstupntext"/>
          <w:color w:val="auto"/>
        </w:rPr>
      </w:pPr>
      <w:r w:rsidRPr="000A7CB4">
        <w:rPr>
          <w:rStyle w:val="Zstupntext"/>
          <w:color w:val="auto"/>
        </w:rPr>
        <w:t>Vymožiteľnosť nového odseku 8 je zabezpečená prostredníctvom § 28 ods. 4 zákona č. 56/2018 Z. z.</w:t>
      </w:r>
    </w:p>
    <w:p w:rsidR="00CD4F09" w:rsidRPr="000A7CB4" w:rsidRDefault="00CD4F09" w:rsidP="000A7CB4">
      <w:pPr>
        <w:pStyle w:val="Normlnywebov"/>
        <w:shd w:val="clear" w:color="auto" w:fill="FFFFFF"/>
        <w:spacing w:before="240" w:beforeAutospacing="0" w:after="120" w:afterAutospacing="0"/>
        <w:jc w:val="both"/>
        <w:rPr>
          <w:b/>
        </w:rPr>
      </w:pPr>
      <w:r w:rsidRPr="000A7CB4">
        <w:rPr>
          <w:b/>
        </w:rPr>
        <w:t>K bodom 8 až 10</w:t>
      </w:r>
    </w:p>
    <w:p w:rsidR="00CD4F09" w:rsidRPr="000A7CB4" w:rsidRDefault="00CD4F09" w:rsidP="000A7CB4">
      <w:pPr>
        <w:pStyle w:val="Textkomentra"/>
        <w:spacing w:before="120" w:after="120"/>
        <w:jc w:val="both"/>
        <w:rPr>
          <w:rStyle w:val="Zstupntext"/>
          <w:color w:val="auto"/>
          <w:sz w:val="24"/>
          <w:szCs w:val="24"/>
          <w:lang w:val="sk-SK"/>
        </w:rPr>
      </w:pPr>
      <w:r w:rsidRPr="000A7CB4">
        <w:rPr>
          <w:rStyle w:val="Zstupntext"/>
          <w:color w:val="auto"/>
          <w:sz w:val="24"/>
          <w:szCs w:val="24"/>
          <w:lang w:val="sk-SK"/>
        </w:rPr>
        <w:t>Legislatívno-technická úprava.</w:t>
      </w:r>
    </w:p>
    <w:p w:rsidR="00CD4F09" w:rsidRPr="000A7CB4" w:rsidRDefault="00CD4F09" w:rsidP="000A7CB4">
      <w:pPr>
        <w:pStyle w:val="Normlnywebov"/>
        <w:shd w:val="clear" w:color="auto" w:fill="FFFFFF"/>
        <w:spacing w:before="240" w:beforeAutospacing="0" w:after="120" w:afterAutospacing="0"/>
        <w:jc w:val="both"/>
        <w:rPr>
          <w:b/>
        </w:rPr>
      </w:pPr>
      <w:r w:rsidRPr="000A7CB4">
        <w:rPr>
          <w:b/>
        </w:rPr>
        <w:t>K bodu 11</w:t>
      </w:r>
    </w:p>
    <w:p w:rsidR="00CD4F09" w:rsidRPr="000A7CB4" w:rsidRDefault="00CD4F09" w:rsidP="000A7CB4">
      <w:pPr>
        <w:pStyle w:val="Normlnywebov"/>
        <w:shd w:val="clear" w:color="auto" w:fill="FFFFFF"/>
        <w:spacing w:before="120" w:beforeAutospacing="0" w:after="120" w:afterAutospacing="0"/>
        <w:jc w:val="both"/>
        <w:rPr>
          <w:b/>
        </w:rPr>
      </w:pPr>
      <w:r w:rsidRPr="000A7CB4">
        <w:rPr>
          <w:rStyle w:val="Zstupntext"/>
          <w:color w:val="auto"/>
        </w:rPr>
        <w:t xml:space="preserve">Legislatívno-technická </w:t>
      </w:r>
      <w:r w:rsidRPr="000A7CB4">
        <w:t>úprava z dôvodu systematického začlenenia do § 3 zákona č. 56/2018 Z. z.</w:t>
      </w:r>
    </w:p>
    <w:p w:rsidR="00CD4F09" w:rsidRPr="000A7CB4" w:rsidRDefault="00CD4F09" w:rsidP="000A7CB4">
      <w:pPr>
        <w:spacing w:before="240"/>
        <w:jc w:val="both"/>
        <w:rPr>
          <w:rFonts w:cs="Times New Roman"/>
          <w:b/>
        </w:rPr>
      </w:pPr>
      <w:r w:rsidRPr="000A7CB4">
        <w:rPr>
          <w:rFonts w:cs="Times New Roman"/>
          <w:b/>
        </w:rPr>
        <w:t>K bodu 12</w:t>
      </w:r>
    </w:p>
    <w:p w:rsidR="00CD4F09" w:rsidRPr="000A7CB4" w:rsidRDefault="00CD4F09" w:rsidP="000A7CB4">
      <w:pPr>
        <w:pStyle w:val="Textkomentra"/>
        <w:spacing w:before="120" w:after="120"/>
        <w:jc w:val="both"/>
        <w:rPr>
          <w:rStyle w:val="Zstupntext"/>
          <w:color w:val="auto"/>
          <w:sz w:val="24"/>
          <w:szCs w:val="24"/>
          <w:lang w:val="sk-SK"/>
        </w:rPr>
      </w:pPr>
      <w:r w:rsidRPr="000A7CB4">
        <w:rPr>
          <w:rStyle w:val="Zstupntext"/>
          <w:color w:val="auto"/>
          <w:sz w:val="24"/>
          <w:szCs w:val="24"/>
          <w:lang w:val="sk-SK"/>
        </w:rPr>
        <w:t>Legislatívno-technická úprava, ktorá súvisí s bodom 12.</w:t>
      </w:r>
    </w:p>
    <w:p w:rsidR="00CD4F09" w:rsidRPr="000A7CB4" w:rsidRDefault="00CD4F09" w:rsidP="000A7CB4">
      <w:pPr>
        <w:pStyle w:val="Textkomentra"/>
        <w:spacing w:before="240" w:after="120"/>
        <w:jc w:val="both"/>
        <w:rPr>
          <w:rStyle w:val="Zstupntext"/>
          <w:b/>
          <w:color w:val="auto"/>
          <w:sz w:val="24"/>
          <w:szCs w:val="24"/>
          <w:lang w:val="sk-SK"/>
        </w:rPr>
      </w:pPr>
      <w:r w:rsidRPr="000A7CB4">
        <w:rPr>
          <w:rStyle w:val="Zstupntext"/>
          <w:b/>
          <w:color w:val="auto"/>
          <w:sz w:val="24"/>
          <w:szCs w:val="24"/>
          <w:lang w:val="sk-SK"/>
        </w:rPr>
        <w:t>K bodu 13</w:t>
      </w:r>
    </w:p>
    <w:p w:rsidR="00CD4F09" w:rsidRPr="000A7CB4" w:rsidRDefault="00CD4F09" w:rsidP="000A7CB4">
      <w:pPr>
        <w:pStyle w:val="Textkomentra"/>
        <w:spacing w:before="120" w:after="120"/>
        <w:jc w:val="both"/>
        <w:rPr>
          <w:rStyle w:val="Zstupntext"/>
          <w:color w:val="auto"/>
          <w:sz w:val="24"/>
          <w:szCs w:val="24"/>
          <w:lang w:val="sk-SK"/>
        </w:rPr>
      </w:pPr>
      <w:r w:rsidRPr="000A7CB4">
        <w:rPr>
          <w:rStyle w:val="Zstupntext"/>
          <w:color w:val="auto"/>
          <w:sz w:val="24"/>
          <w:szCs w:val="24"/>
          <w:lang w:val="sk-SK"/>
        </w:rPr>
        <w:t>Transpozícia ustanovenia smernice (EÚ) 2024/2749, ktoré sa týka núdzových postupov, ktorými je predpoklad zhody založený na normách a spoločných špecifikáciách. Príslušný orgán dohľadu nad určeným výrobkom je povinný informovať Komisiu a poskytnúť jej podrobné vysvetlenie, ak sa bude domnievať, že technická norma alebo spoločná špecifikácia pre určený výrobok, na ktorý sa vzťahujú núdzové postupy podľa § 4b ods. 1 uvedená v predpise, ktorý prijala Komisia a v ktorom uviedla zoznam vhodných technický noriem alebo určila spoločné špecifikácie, ktoré zahŕňajú základné požiadavky, nevyhovuje základným požiadavkám.</w:t>
      </w:r>
    </w:p>
    <w:p w:rsidR="00CD4F09" w:rsidRPr="000A7CB4" w:rsidRDefault="00CD4F09" w:rsidP="000A7CB4">
      <w:pPr>
        <w:pStyle w:val="Normlnywebov"/>
        <w:shd w:val="clear" w:color="auto" w:fill="FFFFFF"/>
        <w:spacing w:before="240" w:beforeAutospacing="0" w:after="120" w:afterAutospacing="0"/>
        <w:jc w:val="both"/>
        <w:rPr>
          <w:b/>
        </w:rPr>
      </w:pPr>
      <w:r w:rsidRPr="000A7CB4">
        <w:rPr>
          <w:b/>
        </w:rPr>
        <w:t>K bodu 14</w:t>
      </w:r>
    </w:p>
    <w:p w:rsidR="00CD4F09" w:rsidRPr="000A7CB4" w:rsidRDefault="00CD4F09" w:rsidP="000A7CB4">
      <w:pPr>
        <w:spacing w:before="120" w:after="120"/>
        <w:jc w:val="both"/>
        <w:rPr>
          <w:rStyle w:val="Zstupntext"/>
          <w:color w:val="auto"/>
        </w:rPr>
      </w:pPr>
      <w:r w:rsidRPr="000A7CB4">
        <w:rPr>
          <w:rStyle w:val="Zstupntext"/>
          <w:color w:val="auto"/>
        </w:rPr>
        <w:lastRenderedPageBreak/>
        <w:t>Upravuje sa vnútorný odkaz z dôvodu úpravy pôvodného § 4 ods. 5 a nového § 4a a 4b.</w:t>
      </w:r>
    </w:p>
    <w:p w:rsidR="00CD4F09" w:rsidRPr="000A7CB4" w:rsidRDefault="00CD4F09" w:rsidP="000A7CB4">
      <w:pPr>
        <w:jc w:val="both"/>
        <w:rPr>
          <w:rStyle w:val="Zstupntext"/>
          <w:color w:val="auto"/>
        </w:rPr>
      </w:pPr>
    </w:p>
    <w:p w:rsidR="00CD4F09" w:rsidRPr="000A7CB4" w:rsidRDefault="00CD4F09" w:rsidP="000A7CB4">
      <w:pPr>
        <w:jc w:val="both"/>
        <w:rPr>
          <w:rStyle w:val="Zstupntext"/>
          <w:b/>
          <w:color w:val="auto"/>
        </w:rPr>
      </w:pPr>
      <w:r w:rsidRPr="000A7CB4">
        <w:rPr>
          <w:rStyle w:val="Zstupntext"/>
          <w:b/>
          <w:color w:val="auto"/>
        </w:rPr>
        <w:t>K bodu 15</w:t>
      </w:r>
    </w:p>
    <w:p w:rsidR="00CD4F09" w:rsidRPr="000A7CB4" w:rsidRDefault="00CD4F09" w:rsidP="000A7CB4">
      <w:pPr>
        <w:widowControl/>
        <w:spacing w:before="120" w:after="120"/>
        <w:jc w:val="both"/>
        <w:rPr>
          <w:rFonts w:cs="Times New Roman"/>
        </w:rPr>
      </w:pPr>
      <w:r w:rsidRPr="000A7CB4">
        <w:rPr>
          <w:rStyle w:val="Zstupntext"/>
          <w:color w:val="auto"/>
        </w:rPr>
        <w:t>Ustanovuje sa prechodné ustanovenie pre rozhodovanie úradu o výnimkách z posudzovania zhody podľa  pôvodného § 4 ods. 5. Konanie podľa pôvodného § 4 ods. 5 začaté a právoplatne neskončené do 30.05.2026 sa dokončí podľa zákona v znení účinnom do 29.05.2026.</w:t>
      </w:r>
    </w:p>
    <w:p w:rsidR="00CD4F09" w:rsidRPr="000A7CB4" w:rsidRDefault="00CD4F09" w:rsidP="000A7CB4">
      <w:pPr>
        <w:jc w:val="both"/>
        <w:rPr>
          <w:rStyle w:val="Zstupntext"/>
          <w:color w:val="auto"/>
        </w:rPr>
      </w:pPr>
    </w:p>
    <w:p w:rsidR="00CD4F09" w:rsidRPr="000A7CB4" w:rsidRDefault="00CD4F09" w:rsidP="000A7CB4">
      <w:pPr>
        <w:jc w:val="both"/>
        <w:rPr>
          <w:rStyle w:val="Zstupntext"/>
          <w:b/>
          <w:color w:val="auto"/>
        </w:rPr>
      </w:pPr>
      <w:r w:rsidRPr="000A7CB4">
        <w:rPr>
          <w:rStyle w:val="Zstupntext"/>
          <w:b/>
          <w:color w:val="auto"/>
        </w:rPr>
        <w:t>K bodu 16</w:t>
      </w:r>
    </w:p>
    <w:p w:rsidR="00CD4F09" w:rsidRPr="000A7CB4" w:rsidRDefault="00CD4F09" w:rsidP="000A7CB4">
      <w:pPr>
        <w:widowControl/>
        <w:spacing w:before="120" w:after="120"/>
        <w:jc w:val="both"/>
        <w:rPr>
          <w:rStyle w:val="Zstupntext"/>
          <w:color w:val="auto"/>
        </w:rPr>
      </w:pPr>
      <w:r w:rsidRPr="000A7CB4">
        <w:rPr>
          <w:rFonts w:cs="Times New Roman"/>
        </w:rPr>
        <w:t xml:space="preserve">Transpozičná </w:t>
      </w:r>
      <w:r w:rsidRPr="000A7CB4">
        <w:rPr>
          <w:rStyle w:val="Zstupntext"/>
          <w:color w:val="auto"/>
        </w:rPr>
        <w:t xml:space="preserve">príloha sa dopĺňa sedemnástym bodom, a to o </w:t>
      </w:r>
      <w:r w:rsidRPr="000A7CB4">
        <w:rPr>
          <w:rFonts w:cs="Times New Roman"/>
        </w:rPr>
        <w:t>smernicu (EÚ) 2024/2749</w:t>
      </w:r>
      <w:r w:rsidRPr="000A7CB4">
        <w:rPr>
          <w:rStyle w:val="Zstupntext"/>
          <w:color w:val="auto"/>
        </w:rPr>
        <w:t>.</w:t>
      </w:r>
    </w:p>
    <w:p w:rsidR="00CD4F09" w:rsidRPr="000A7CB4" w:rsidRDefault="00CD4F09" w:rsidP="000A7CB4">
      <w:pPr>
        <w:widowControl/>
        <w:spacing w:before="240" w:after="120"/>
        <w:jc w:val="both"/>
        <w:rPr>
          <w:rStyle w:val="Zstupntext"/>
          <w:b/>
          <w:color w:val="auto"/>
        </w:rPr>
      </w:pPr>
      <w:r w:rsidRPr="000A7CB4">
        <w:rPr>
          <w:rStyle w:val="Zstupntext"/>
          <w:b/>
          <w:color w:val="auto"/>
        </w:rPr>
        <w:t>K Čl. II</w:t>
      </w:r>
    </w:p>
    <w:p w:rsidR="00CD4F09" w:rsidRPr="000A7CB4" w:rsidRDefault="00CD4F09" w:rsidP="000A7CB4">
      <w:pPr>
        <w:jc w:val="both"/>
        <w:rPr>
          <w:rStyle w:val="Zstupntext"/>
          <w:b/>
          <w:color w:val="auto"/>
        </w:rPr>
      </w:pPr>
      <w:r w:rsidRPr="000A7CB4">
        <w:rPr>
          <w:rStyle w:val="Zstupntext"/>
          <w:b/>
          <w:color w:val="auto"/>
        </w:rPr>
        <w:t>K bodu 1</w:t>
      </w:r>
    </w:p>
    <w:p w:rsidR="00CD4F09" w:rsidRPr="000A7CB4" w:rsidRDefault="00CD4F09" w:rsidP="000A7CB4">
      <w:pPr>
        <w:widowControl/>
        <w:spacing w:before="120" w:after="120"/>
        <w:jc w:val="both"/>
        <w:rPr>
          <w:rFonts w:cs="Times New Roman"/>
        </w:rPr>
      </w:pPr>
      <w:r w:rsidRPr="000A7CB4">
        <w:rPr>
          <w:rStyle w:val="Zstupntext"/>
          <w:color w:val="auto"/>
        </w:rPr>
        <w:t>Navrhovaným znením sa zosúlaďuje zákon č. 254/2011 Z. z. so zákonom č. 56/2018 Z. z.</w:t>
      </w:r>
      <w:r w:rsidRPr="000A7CB4">
        <w:rPr>
          <w:rFonts w:cs="Times New Roman"/>
        </w:rPr>
        <w:t xml:space="preserve"> a definuje sa, že prepravovateľné tlakové zariadenia sú určené výrobky.</w:t>
      </w:r>
    </w:p>
    <w:p w:rsidR="00CD4F09" w:rsidRPr="000A7CB4" w:rsidRDefault="00CD4F09" w:rsidP="000A7CB4">
      <w:pPr>
        <w:jc w:val="both"/>
        <w:rPr>
          <w:rStyle w:val="Zstupntext"/>
          <w:b/>
          <w:color w:val="auto"/>
        </w:rPr>
      </w:pPr>
      <w:r w:rsidRPr="000A7CB4">
        <w:rPr>
          <w:rStyle w:val="Zstupntext"/>
          <w:b/>
          <w:color w:val="auto"/>
        </w:rPr>
        <w:t>K bodu 2</w:t>
      </w:r>
    </w:p>
    <w:p w:rsidR="00CD4F09" w:rsidRPr="000A7CB4" w:rsidRDefault="00CD4F09" w:rsidP="000A7CB4">
      <w:pPr>
        <w:widowControl/>
        <w:spacing w:before="120" w:after="120"/>
        <w:jc w:val="both"/>
        <w:rPr>
          <w:rStyle w:val="Zstupntext"/>
          <w:color w:val="auto"/>
        </w:rPr>
      </w:pPr>
      <w:r w:rsidRPr="000A7CB4">
        <w:rPr>
          <w:rStyle w:val="Zstupntext"/>
          <w:color w:val="auto"/>
        </w:rPr>
        <w:t>Doplnenie definície pre pojem „notifikovaná osoba“.</w:t>
      </w:r>
    </w:p>
    <w:p w:rsidR="00CD4F09" w:rsidRPr="000A7CB4" w:rsidRDefault="00CD4F09" w:rsidP="000A7CB4">
      <w:pPr>
        <w:jc w:val="both"/>
        <w:rPr>
          <w:rStyle w:val="Zstupntext"/>
          <w:b/>
          <w:color w:val="auto"/>
        </w:rPr>
      </w:pPr>
      <w:r w:rsidRPr="000A7CB4">
        <w:rPr>
          <w:rStyle w:val="Zstupntext"/>
          <w:b/>
          <w:color w:val="auto"/>
        </w:rPr>
        <w:t>K bodu 3</w:t>
      </w:r>
    </w:p>
    <w:p w:rsidR="00CD4F09" w:rsidRPr="000A7CB4" w:rsidRDefault="00CD4F09" w:rsidP="000A7CB4">
      <w:pPr>
        <w:widowControl/>
        <w:spacing w:before="120" w:after="120"/>
        <w:jc w:val="both"/>
        <w:rPr>
          <w:rStyle w:val="Zstupntext"/>
          <w:color w:val="auto"/>
        </w:rPr>
      </w:pPr>
      <w:r w:rsidRPr="000A7CB4">
        <w:rPr>
          <w:rStyle w:val="Zstupntext"/>
          <w:color w:val="auto"/>
        </w:rPr>
        <w:t>Legislatívno-technická úprava.</w:t>
      </w:r>
    </w:p>
    <w:p w:rsidR="00CD4F09" w:rsidRPr="000A7CB4" w:rsidRDefault="00CD4F09" w:rsidP="000A7CB4">
      <w:pPr>
        <w:jc w:val="both"/>
        <w:rPr>
          <w:rStyle w:val="Zstupntext"/>
          <w:b/>
          <w:color w:val="auto"/>
        </w:rPr>
      </w:pPr>
      <w:r w:rsidRPr="000A7CB4">
        <w:rPr>
          <w:rStyle w:val="Zstupntext"/>
          <w:b/>
          <w:color w:val="auto"/>
        </w:rPr>
        <w:t>K bodu 4</w:t>
      </w:r>
    </w:p>
    <w:p w:rsidR="00CD4F09" w:rsidRPr="000A7CB4" w:rsidRDefault="00CD4F09" w:rsidP="000A7CB4">
      <w:pPr>
        <w:widowControl/>
        <w:spacing w:before="120" w:after="120"/>
        <w:jc w:val="both"/>
        <w:rPr>
          <w:rStyle w:val="Zstupntext"/>
          <w:color w:val="auto"/>
        </w:rPr>
      </w:pPr>
      <w:r w:rsidRPr="000A7CB4">
        <w:rPr>
          <w:rStyle w:val="Zstupntext"/>
          <w:color w:val="auto"/>
        </w:rPr>
        <w:t>Úprava znenia poznámky pod čiarou z dôvodu prijatia nového právneho predpisu.</w:t>
      </w:r>
    </w:p>
    <w:p w:rsidR="00CD4F09" w:rsidRPr="000A7CB4" w:rsidRDefault="00CD4F09" w:rsidP="000A7CB4">
      <w:pPr>
        <w:jc w:val="both"/>
        <w:rPr>
          <w:rStyle w:val="Zstupntext"/>
          <w:b/>
          <w:color w:val="auto"/>
        </w:rPr>
      </w:pPr>
      <w:r w:rsidRPr="000A7CB4">
        <w:rPr>
          <w:rStyle w:val="Zstupntext"/>
          <w:b/>
          <w:color w:val="auto"/>
        </w:rPr>
        <w:t>K bodu 5</w:t>
      </w:r>
    </w:p>
    <w:p w:rsidR="00CD4F09" w:rsidRPr="000A7CB4" w:rsidRDefault="00CD4F09" w:rsidP="000A7CB4">
      <w:pPr>
        <w:widowControl/>
        <w:spacing w:before="120" w:after="120"/>
        <w:jc w:val="both"/>
        <w:rPr>
          <w:rStyle w:val="Zstupntext"/>
          <w:color w:val="auto"/>
        </w:rPr>
      </w:pPr>
      <w:r w:rsidRPr="000A7CB4">
        <w:rPr>
          <w:rStyle w:val="Zstupntext"/>
          <w:color w:val="auto"/>
        </w:rPr>
        <w:t>Doplnenie definície pre pojem „</w:t>
      </w:r>
      <w:r w:rsidRPr="000A7CB4">
        <w:rPr>
          <w:rFonts w:cs="Times New Roman"/>
        </w:rPr>
        <w:t>stiahnuť z trhu“ a „prevziať späť</w:t>
      </w:r>
      <w:r w:rsidRPr="000A7CB4">
        <w:rPr>
          <w:rStyle w:val="Zstupntext"/>
          <w:color w:val="auto"/>
        </w:rPr>
        <w:t>“.</w:t>
      </w:r>
    </w:p>
    <w:p w:rsidR="00CD4F09" w:rsidRPr="000A7CB4" w:rsidRDefault="00CD4F09" w:rsidP="000A7CB4">
      <w:pPr>
        <w:jc w:val="both"/>
        <w:rPr>
          <w:rStyle w:val="Zstupntext"/>
          <w:b/>
          <w:color w:val="auto"/>
        </w:rPr>
      </w:pPr>
      <w:r w:rsidRPr="000A7CB4">
        <w:rPr>
          <w:rStyle w:val="Zstupntext"/>
          <w:b/>
          <w:color w:val="auto"/>
        </w:rPr>
        <w:t>K bodom 6 a 7</w:t>
      </w:r>
    </w:p>
    <w:p w:rsidR="00CD4F09" w:rsidRPr="000A7CB4" w:rsidRDefault="00CD4F09" w:rsidP="000A7CB4">
      <w:pPr>
        <w:pStyle w:val="Textkomentra"/>
        <w:spacing w:before="120" w:after="120"/>
        <w:jc w:val="both"/>
        <w:rPr>
          <w:rStyle w:val="Zstupntext"/>
          <w:color w:val="auto"/>
          <w:sz w:val="24"/>
          <w:szCs w:val="24"/>
          <w:lang w:val="sk-SK"/>
        </w:rPr>
      </w:pPr>
      <w:r w:rsidRPr="000A7CB4">
        <w:rPr>
          <w:rStyle w:val="Zstupntext"/>
          <w:color w:val="auto"/>
          <w:sz w:val="24"/>
          <w:szCs w:val="24"/>
          <w:lang w:val="sk-SK"/>
        </w:rPr>
        <w:t>Legislatívno-technická úprava.</w:t>
      </w:r>
    </w:p>
    <w:p w:rsidR="00CD4F09" w:rsidRPr="000A7CB4" w:rsidRDefault="00CD4F09" w:rsidP="000A7CB4">
      <w:pPr>
        <w:jc w:val="both"/>
        <w:rPr>
          <w:rStyle w:val="Zstupntext"/>
          <w:b/>
          <w:color w:val="auto"/>
        </w:rPr>
      </w:pPr>
      <w:r w:rsidRPr="000A7CB4">
        <w:rPr>
          <w:rStyle w:val="Zstupntext"/>
          <w:b/>
          <w:color w:val="auto"/>
        </w:rPr>
        <w:t>K bodu 8</w:t>
      </w:r>
    </w:p>
    <w:p w:rsidR="00CD4F09" w:rsidRPr="000A7CB4" w:rsidRDefault="00CD4F09" w:rsidP="000A7CB4">
      <w:pPr>
        <w:widowControl/>
        <w:spacing w:before="120" w:after="120"/>
        <w:jc w:val="both"/>
        <w:rPr>
          <w:rStyle w:val="Zstupntext"/>
          <w:color w:val="auto"/>
        </w:rPr>
      </w:pPr>
      <w:r w:rsidRPr="000A7CB4">
        <w:rPr>
          <w:rStyle w:val="Zstupntext"/>
          <w:color w:val="auto"/>
        </w:rPr>
        <w:t>Doplnenie všetkých príslušných postupov posudzovania zhody do znenia ustanovenia.</w:t>
      </w:r>
    </w:p>
    <w:p w:rsidR="00CD4F09" w:rsidRPr="000A7CB4" w:rsidRDefault="00CD4F09" w:rsidP="000A7CB4">
      <w:pPr>
        <w:jc w:val="both"/>
        <w:rPr>
          <w:rStyle w:val="Zstupntext"/>
          <w:b/>
          <w:color w:val="auto"/>
        </w:rPr>
      </w:pPr>
      <w:r w:rsidRPr="000A7CB4">
        <w:rPr>
          <w:rStyle w:val="Zstupntext"/>
          <w:b/>
          <w:color w:val="auto"/>
        </w:rPr>
        <w:t>K bodu 9</w:t>
      </w:r>
    </w:p>
    <w:p w:rsidR="00CD4F09" w:rsidRPr="000A7CB4" w:rsidRDefault="00CD4F09" w:rsidP="000A7CB4">
      <w:pPr>
        <w:pStyle w:val="Textkomentra"/>
        <w:spacing w:before="120" w:after="120"/>
        <w:jc w:val="both"/>
        <w:rPr>
          <w:rStyle w:val="Zstupntext"/>
          <w:color w:val="auto"/>
          <w:sz w:val="24"/>
          <w:szCs w:val="24"/>
          <w:lang w:val="sk-SK"/>
        </w:rPr>
      </w:pPr>
      <w:r w:rsidRPr="000A7CB4">
        <w:rPr>
          <w:rStyle w:val="Zstupntext"/>
          <w:color w:val="auto"/>
          <w:sz w:val="24"/>
          <w:szCs w:val="24"/>
          <w:lang w:val="sk-SK"/>
        </w:rPr>
        <w:t>Zosúladenie zákona č. 254/2011 Z. z. so zákonom č. 56/2018 Z. z.</w:t>
      </w:r>
    </w:p>
    <w:p w:rsidR="00CD4F09" w:rsidRPr="000A7CB4" w:rsidRDefault="00CD4F09" w:rsidP="000A7CB4">
      <w:pPr>
        <w:jc w:val="both"/>
        <w:rPr>
          <w:rStyle w:val="Zstupntext"/>
          <w:b/>
          <w:color w:val="auto"/>
        </w:rPr>
      </w:pPr>
      <w:r w:rsidRPr="000A7CB4">
        <w:rPr>
          <w:rStyle w:val="Zstupntext"/>
          <w:b/>
          <w:color w:val="auto"/>
        </w:rPr>
        <w:t>K bodu 10</w:t>
      </w:r>
    </w:p>
    <w:p w:rsidR="00CD4F09" w:rsidRPr="000A7CB4" w:rsidRDefault="00CD4F09" w:rsidP="000A7CB4">
      <w:pPr>
        <w:pStyle w:val="Textkomentra"/>
        <w:spacing w:before="120" w:after="120"/>
        <w:jc w:val="both"/>
        <w:rPr>
          <w:rStyle w:val="Zstupntext"/>
          <w:color w:val="auto"/>
          <w:sz w:val="24"/>
          <w:szCs w:val="24"/>
          <w:lang w:val="sk-SK"/>
        </w:rPr>
      </w:pPr>
      <w:r w:rsidRPr="000A7CB4">
        <w:rPr>
          <w:rStyle w:val="Zstupntext"/>
          <w:color w:val="auto"/>
          <w:sz w:val="24"/>
          <w:szCs w:val="24"/>
          <w:lang w:val="sk-SK"/>
        </w:rPr>
        <w:t>Zosúladenie zákona č. 254/2011 Z. z. so zákonom č. 56/2018 Z. z.</w:t>
      </w:r>
    </w:p>
    <w:p w:rsidR="00CD4F09" w:rsidRPr="000A7CB4" w:rsidRDefault="00CD4F09" w:rsidP="000A7CB4">
      <w:pPr>
        <w:jc w:val="both"/>
        <w:rPr>
          <w:rStyle w:val="Zstupntext"/>
          <w:b/>
          <w:color w:val="auto"/>
        </w:rPr>
      </w:pPr>
      <w:r w:rsidRPr="000A7CB4">
        <w:rPr>
          <w:rStyle w:val="Zstupntext"/>
          <w:b/>
          <w:color w:val="auto"/>
        </w:rPr>
        <w:t>K bodom 11 až 15</w:t>
      </w:r>
    </w:p>
    <w:p w:rsidR="00CD4F09" w:rsidRPr="000A7CB4" w:rsidRDefault="00CD4F09" w:rsidP="000A7CB4">
      <w:pPr>
        <w:pStyle w:val="Textkomentra"/>
        <w:spacing w:before="120" w:after="120"/>
        <w:jc w:val="both"/>
        <w:rPr>
          <w:rStyle w:val="Zstupntext"/>
          <w:color w:val="auto"/>
          <w:sz w:val="24"/>
          <w:szCs w:val="24"/>
          <w:lang w:val="sk-SK"/>
        </w:rPr>
      </w:pPr>
      <w:r w:rsidRPr="000A7CB4">
        <w:rPr>
          <w:rStyle w:val="Zstupntext"/>
          <w:color w:val="auto"/>
          <w:sz w:val="24"/>
          <w:szCs w:val="24"/>
          <w:lang w:val="sk-SK"/>
        </w:rPr>
        <w:t>Legislatívno-technická úprava.</w:t>
      </w:r>
    </w:p>
    <w:p w:rsidR="00CD4F09" w:rsidRPr="000A7CB4" w:rsidRDefault="00CD4F09" w:rsidP="000A7CB4">
      <w:pPr>
        <w:jc w:val="both"/>
        <w:rPr>
          <w:rStyle w:val="Zstupntext"/>
          <w:b/>
          <w:color w:val="auto"/>
        </w:rPr>
      </w:pPr>
      <w:r w:rsidRPr="000A7CB4">
        <w:rPr>
          <w:rStyle w:val="Zstupntext"/>
          <w:b/>
          <w:color w:val="auto"/>
        </w:rPr>
        <w:t xml:space="preserve">K bodu 16 </w:t>
      </w:r>
    </w:p>
    <w:p w:rsidR="00CD4F09" w:rsidRPr="000A7CB4" w:rsidRDefault="00CD4F09" w:rsidP="000A7CB4">
      <w:pPr>
        <w:widowControl/>
        <w:spacing w:before="120" w:after="120"/>
        <w:jc w:val="both"/>
        <w:rPr>
          <w:rStyle w:val="Zstupntext"/>
          <w:color w:val="auto"/>
        </w:rPr>
      </w:pPr>
      <w:r w:rsidRPr="000A7CB4">
        <w:rPr>
          <w:rStyle w:val="Zstupntext"/>
          <w:color w:val="auto"/>
        </w:rPr>
        <w:t xml:space="preserve">Zosúladenie zákona č. 254/2011 Z. z. so zákonom č. 56/2018 Z. z. v oblasti výkonu dohľadu nad trhom udeľovania sankcií. Výkon dohľadu nad určeným výrobkom je upravený v § 27, ukladanie </w:t>
      </w:r>
      <w:r w:rsidRPr="000A7CB4">
        <w:rPr>
          <w:rStyle w:val="Zstupntext"/>
          <w:color w:val="auto"/>
        </w:rPr>
        <w:lastRenderedPageBreak/>
        <w:t xml:space="preserve">sankcií v § 28 a informačné povinnosti v § 29 zákona č. 56/2018 Z. z., a preto </w:t>
      </w:r>
      <w:r w:rsidRPr="000A7CB4">
        <w:rPr>
          <w:rFonts w:cs="Times New Roman"/>
        </w:rPr>
        <w:t xml:space="preserve">sa subsumuje pod tento zákon. </w:t>
      </w:r>
      <w:r w:rsidRPr="000A7CB4">
        <w:rPr>
          <w:rStyle w:val="Zstupntext"/>
          <w:color w:val="auto"/>
        </w:rPr>
        <w:t>Jednotná</w:t>
      </w:r>
      <w:r w:rsidRPr="000A7CB4">
        <w:rPr>
          <w:rFonts w:cs="Times New Roman"/>
        </w:rPr>
        <w:t xml:space="preserve"> legislatíva v prípade zákonného postupu orgánu dohľadu nad určeným výrobkom pri výkone kontrolnej činnosti zjednoduší samotný výkon kontrol, ako aj následné prípadné správne konanie. </w:t>
      </w:r>
      <w:r w:rsidRPr="000A7CB4">
        <w:rPr>
          <w:rStyle w:val="Zstupntext"/>
          <w:color w:val="auto"/>
        </w:rPr>
        <w:t>Zároveň sa aktualizujú poznámky pod čiarou k odkazom.</w:t>
      </w:r>
    </w:p>
    <w:p w:rsidR="00CD4F09" w:rsidRPr="000A7CB4" w:rsidRDefault="00CD4F09" w:rsidP="000A7CB4">
      <w:pPr>
        <w:jc w:val="both"/>
        <w:rPr>
          <w:rStyle w:val="Zstupntext"/>
          <w:color w:val="auto"/>
        </w:rPr>
      </w:pPr>
      <w:r w:rsidRPr="000A7CB4">
        <w:rPr>
          <w:rStyle w:val="Zstupntext"/>
          <w:color w:val="auto"/>
        </w:rPr>
        <w:t>Transpozícia čl. 3 smernice (EÚ) 2024/2749. Preberajú sa núdzové postupy, ktoré sú uplatniteľné až po vyhlásení režimu núdzovej situácie na vnútornom trhu a až po tom, ako sa konkrétne prepravovateľné tlakové zariadenie, na ktoré sa smernica Európskeho parlamentu a Rady 2010/35/EÚ zo 16. júna 2010 o prepravovateľných tlakových zariadeniach a o zrušení smerníc Rady 76/767/EHS, 84/525/EHS, 84/526/EHS, 84/527/EHS a 1999/36/ES (Ú. v. EÚ L 165, 30.6.2010) vzťahuje, označí ako tovar dôležitý počas krízy v súlade s nariadením (EÚ) 2024/2747 a Komisia prijme vykonávací akt, ktorým sa aktivujú núdzové postupy pre konkrétne prepravovateľné tlakové zariadenie v súlade s nariadením (EÚ) 2024/2747. Núdzové postupy sú bližšie popísané v bode 4 čl. 1 dôvodovej správy.</w:t>
      </w:r>
    </w:p>
    <w:p w:rsidR="00CD4F09" w:rsidRPr="000A7CB4" w:rsidRDefault="00CD4F09" w:rsidP="000A7CB4">
      <w:pPr>
        <w:jc w:val="both"/>
        <w:rPr>
          <w:rStyle w:val="Zstupntext"/>
          <w:color w:val="auto"/>
        </w:rPr>
      </w:pPr>
    </w:p>
    <w:p w:rsidR="00CD4F09" w:rsidRPr="000A7CB4" w:rsidRDefault="00CD4F09" w:rsidP="000A7CB4">
      <w:pPr>
        <w:jc w:val="both"/>
        <w:rPr>
          <w:rStyle w:val="Zstupntext"/>
          <w:color w:val="auto"/>
        </w:rPr>
      </w:pPr>
    </w:p>
    <w:p w:rsidR="00CD4F09" w:rsidRPr="000A7CB4" w:rsidRDefault="00CD4F09" w:rsidP="000A7CB4">
      <w:pPr>
        <w:jc w:val="both"/>
        <w:rPr>
          <w:rStyle w:val="Zstupntext"/>
          <w:b/>
          <w:color w:val="auto"/>
        </w:rPr>
      </w:pPr>
      <w:r w:rsidRPr="000A7CB4">
        <w:rPr>
          <w:rStyle w:val="Zstupntext"/>
          <w:b/>
          <w:color w:val="auto"/>
        </w:rPr>
        <w:t>K bodu 17</w:t>
      </w:r>
    </w:p>
    <w:p w:rsidR="00CD4F09" w:rsidRPr="000A7CB4" w:rsidRDefault="00CD4F09" w:rsidP="000A7CB4">
      <w:pPr>
        <w:widowControl/>
        <w:spacing w:before="120" w:after="120"/>
        <w:jc w:val="both"/>
        <w:rPr>
          <w:rStyle w:val="Zstupntext"/>
          <w:color w:val="auto"/>
        </w:rPr>
      </w:pPr>
      <w:r w:rsidRPr="000A7CB4">
        <w:rPr>
          <w:rStyle w:val="Zstupntext"/>
          <w:color w:val="auto"/>
        </w:rPr>
        <w:t>Určenie, na ktoré ustanovenia sa nevzťahuje správny poplatok.</w:t>
      </w:r>
    </w:p>
    <w:p w:rsidR="00CD4F09" w:rsidRPr="000A7CB4" w:rsidRDefault="00CD4F09" w:rsidP="000A7CB4">
      <w:pPr>
        <w:jc w:val="both"/>
        <w:rPr>
          <w:rStyle w:val="Zstupntext"/>
          <w:b/>
          <w:color w:val="auto"/>
        </w:rPr>
      </w:pPr>
      <w:r w:rsidRPr="000A7CB4">
        <w:rPr>
          <w:rStyle w:val="Zstupntext"/>
          <w:b/>
          <w:color w:val="auto"/>
        </w:rPr>
        <w:t>K bodu 18</w:t>
      </w:r>
    </w:p>
    <w:p w:rsidR="00CD4F09" w:rsidRPr="000A7CB4" w:rsidRDefault="00CD4F09" w:rsidP="000A7CB4">
      <w:pPr>
        <w:widowControl/>
        <w:spacing w:before="120" w:after="120"/>
        <w:jc w:val="both"/>
        <w:rPr>
          <w:rStyle w:val="Zstupntext"/>
          <w:color w:val="auto"/>
        </w:rPr>
      </w:pPr>
      <w:r w:rsidRPr="000A7CB4">
        <w:rPr>
          <w:rStyle w:val="Zstupntext"/>
          <w:color w:val="auto"/>
        </w:rPr>
        <w:t>Prechodné ustanovenie k úpravám účinným od 30. mája 2026.</w:t>
      </w:r>
    </w:p>
    <w:p w:rsidR="00CD4F09" w:rsidRPr="000A7CB4" w:rsidRDefault="00CD4F09" w:rsidP="000A7CB4">
      <w:pPr>
        <w:jc w:val="both"/>
        <w:rPr>
          <w:rStyle w:val="Zstupntext"/>
          <w:b/>
          <w:color w:val="auto"/>
        </w:rPr>
      </w:pPr>
      <w:r w:rsidRPr="000A7CB4">
        <w:rPr>
          <w:rStyle w:val="Zstupntext"/>
          <w:b/>
          <w:color w:val="auto"/>
        </w:rPr>
        <w:t>K bodu 19</w:t>
      </w:r>
    </w:p>
    <w:p w:rsidR="00CD4F09" w:rsidRPr="000A7CB4" w:rsidRDefault="00CD4F09" w:rsidP="000A7CB4">
      <w:pPr>
        <w:widowControl/>
        <w:spacing w:before="120" w:after="120"/>
        <w:jc w:val="both"/>
        <w:rPr>
          <w:rStyle w:val="Zstupntext"/>
          <w:color w:val="auto"/>
        </w:rPr>
      </w:pPr>
      <w:r w:rsidRPr="000A7CB4">
        <w:rPr>
          <w:rStyle w:val="Zstupntext"/>
          <w:color w:val="auto"/>
        </w:rPr>
        <w:t>Transpozičná príloha sa dopĺňa druhým bodom, a to o smernicu (EÚ) 2024/2749.</w:t>
      </w:r>
    </w:p>
    <w:p w:rsidR="00CD4F09" w:rsidRPr="000A7CB4" w:rsidRDefault="00CD4F09" w:rsidP="000A7CB4">
      <w:pPr>
        <w:widowControl/>
        <w:spacing w:before="240" w:after="120"/>
        <w:jc w:val="both"/>
        <w:rPr>
          <w:rStyle w:val="Zstupntext"/>
          <w:b/>
          <w:color w:val="auto"/>
        </w:rPr>
      </w:pPr>
      <w:r w:rsidRPr="000A7CB4">
        <w:rPr>
          <w:rStyle w:val="Zstupntext"/>
          <w:b/>
          <w:color w:val="auto"/>
        </w:rPr>
        <w:t>K Čl. III</w:t>
      </w:r>
    </w:p>
    <w:p w:rsidR="00CD4F09" w:rsidRPr="000A7CB4" w:rsidRDefault="00CD4F09" w:rsidP="000A7CB4">
      <w:pPr>
        <w:jc w:val="both"/>
        <w:rPr>
          <w:rStyle w:val="Zstupntext"/>
          <w:b/>
          <w:color w:val="auto"/>
        </w:rPr>
      </w:pPr>
      <w:r w:rsidRPr="000A7CB4">
        <w:rPr>
          <w:rStyle w:val="Zstupntext"/>
          <w:b/>
          <w:color w:val="auto"/>
        </w:rPr>
        <w:t>K bodu 1</w:t>
      </w:r>
    </w:p>
    <w:p w:rsidR="00CD4F09" w:rsidRPr="000A7CB4" w:rsidRDefault="00CD4F09" w:rsidP="000A7CB4">
      <w:pPr>
        <w:pStyle w:val="Odsekzoznamu"/>
        <w:spacing w:before="120" w:after="120" w:line="240" w:lineRule="auto"/>
        <w:ind w:left="0"/>
        <w:contextualSpacing w:val="0"/>
        <w:jc w:val="both"/>
        <w:rPr>
          <w:rFonts w:ascii="Times New Roman" w:hAnsi="Times New Roman"/>
          <w:sz w:val="24"/>
          <w:szCs w:val="24"/>
          <w:lang w:eastAsia="cs-CZ"/>
        </w:rPr>
      </w:pPr>
      <w:r w:rsidRPr="000A7CB4">
        <w:rPr>
          <w:rStyle w:val="Zstupntext"/>
          <w:color w:val="auto"/>
          <w:sz w:val="24"/>
          <w:szCs w:val="24"/>
        </w:rPr>
        <w:t xml:space="preserve">Úpravou zákona </w:t>
      </w:r>
      <w:r w:rsidRPr="000A7CB4">
        <w:rPr>
          <w:rFonts w:ascii="Times New Roman" w:hAnsi="Times New Roman"/>
          <w:sz w:val="24"/>
          <w:szCs w:val="24"/>
        </w:rPr>
        <w:t xml:space="preserve">č. 362/2011 Z. z. sa zosúlaďuje jeho znenie </w:t>
      </w:r>
      <w:r w:rsidRPr="000A7CB4">
        <w:rPr>
          <w:rFonts w:ascii="Times New Roman" w:hAnsi="Times New Roman"/>
          <w:sz w:val="24"/>
          <w:szCs w:val="24"/>
          <w:lang w:eastAsia="cs-CZ"/>
        </w:rPr>
        <w:t>so zákonom č. 56/2018 Z. z.</w:t>
      </w:r>
    </w:p>
    <w:p w:rsidR="00CD4F09" w:rsidRPr="000A7CB4" w:rsidRDefault="00CD4F09" w:rsidP="000A7CB4">
      <w:pPr>
        <w:pStyle w:val="Textkomentra"/>
        <w:spacing w:before="120" w:after="120"/>
        <w:jc w:val="both"/>
        <w:rPr>
          <w:rFonts w:ascii="Times New Roman" w:hAnsi="Times New Roman" w:cs="Times New Roman"/>
          <w:sz w:val="24"/>
          <w:szCs w:val="24"/>
          <w:lang w:val="sk-SK"/>
        </w:rPr>
      </w:pPr>
      <w:r w:rsidRPr="000A7CB4">
        <w:rPr>
          <w:rFonts w:ascii="Times New Roman" w:hAnsi="Times New Roman" w:cs="Times New Roman"/>
          <w:sz w:val="24"/>
          <w:szCs w:val="24"/>
          <w:lang w:val="sk-SK" w:eastAsia="cs-CZ"/>
        </w:rPr>
        <w:t xml:space="preserve">Do § 128 ods. 1 písm. g) bodov 4 a 5 </w:t>
      </w:r>
      <w:r w:rsidRPr="000A7CB4">
        <w:rPr>
          <w:rFonts w:ascii="Times New Roman" w:hAnsi="Times New Roman" w:cs="Times New Roman"/>
          <w:sz w:val="24"/>
          <w:szCs w:val="24"/>
          <w:lang w:val="sk-SK"/>
        </w:rPr>
        <w:t>je implementovaný čl. 59</w:t>
      </w:r>
      <w:r w:rsidRPr="000A7CB4">
        <w:rPr>
          <w:rStyle w:val="Zvraznenie"/>
          <w:rFonts w:ascii="Times New Roman" w:hAnsi="Times New Roman"/>
          <w:sz w:val="24"/>
          <w:szCs w:val="24"/>
          <w:shd w:val="clear" w:color="auto" w:fill="FFFFFF"/>
          <w:lang w:val="sk-SK"/>
        </w:rPr>
        <w:t xml:space="preserve"> </w:t>
      </w:r>
      <w:r w:rsidRPr="000A7CB4">
        <w:rPr>
          <w:rStyle w:val="Zvraznenie"/>
          <w:rFonts w:ascii="Times New Roman" w:hAnsi="Times New Roman"/>
          <w:i w:val="0"/>
          <w:sz w:val="24"/>
          <w:szCs w:val="24"/>
          <w:shd w:val="clear" w:color="auto" w:fill="FFFFFF"/>
          <w:lang w:val="sk-SK"/>
        </w:rPr>
        <w:t>nariadenia (EÚ) 2017/745 v platnom znení</w:t>
      </w:r>
      <w:r w:rsidRPr="000A7CB4">
        <w:rPr>
          <w:rFonts w:ascii="Times New Roman" w:hAnsi="Times New Roman" w:cs="Times New Roman"/>
          <w:sz w:val="24"/>
          <w:szCs w:val="24"/>
          <w:lang w:val="sk-SK"/>
        </w:rPr>
        <w:t xml:space="preserve"> a čl. 54 </w:t>
      </w:r>
      <w:r w:rsidRPr="000A7CB4">
        <w:rPr>
          <w:rFonts w:ascii="Times New Roman" w:hAnsi="Times New Roman" w:cs="Times New Roman"/>
          <w:bCs/>
          <w:sz w:val="24"/>
          <w:szCs w:val="24"/>
          <w:shd w:val="clear" w:color="auto" w:fill="FFFFFF"/>
          <w:lang w:val="sk-SK"/>
        </w:rPr>
        <w:t xml:space="preserve">nariadenia </w:t>
      </w:r>
      <w:r w:rsidRPr="000A7CB4">
        <w:rPr>
          <w:rFonts w:ascii="Times New Roman" w:hAnsi="Times New Roman" w:cs="Times New Roman"/>
          <w:sz w:val="24"/>
          <w:szCs w:val="24"/>
          <w:lang w:val="sk-SK"/>
        </w:rPr>
        <w:t>(EÚ) 2017/746 v platnom znení, ktoré sa týkajú výnimiek z postupov posudzovania zhody zdravotníckych pomôcok a diagnostických zdravotníckych pomôcok in vitro. Ministerstvo zdravotníctva Slovenskej republiky môže zdravotnícku pomôcku a diagnostickú zdravotnícku pomôcku in vitro rozhodnutím povoliť uviesť na trh alebo do používania pri poskytovaní zdravotnej starostlivosti pre jedného pacienta bez posudzovania zhody podľa čl. 59 nariadenia (EÚ) 2017/745 v platnom znení a čl. 54 nariadenia (EÚ) 2017/746 v platnom znení na základe riadne odôvodnenej žiadosti poskytovateľa zdravotnej starostlivosti, ak jej použitie je v záujme ochrany verejného zdravia a bezpečnosti alebo zdravia pacientov a nie je na trhu dostupná taká zdravotnícka pomôcka, ktorá spĺňa požiadavky nariadenia (EÚ) 2017/745 v platnom znení alebo taká diagnostická zdravotnícka pomôcka in vitro, ktorá spĺňa požiadavky nariadenia (EÚ) 2017/746 v platnom znení. Ministerstvo zdravotníctva Slovenskej republiky môže pri svojom rozhodovaní požiadať o nezávä</w:t>
      </w:r>
      <w:r w:rsidR="00497928">
        <w:rPr>
          <w:rFonts w:ascii="Times New Roman" w:hAnsi="Times New Roman" w:cs="Times New Roman"/>
          <w:sz w:val="24"/>
          <w:szCs w:val="24"/>
          <w:lang w:val="sk-SK"/>
        </w:rPr>
        <w:t>zné stanovisko Štátny ústav</w:t>
      </w:r>
      <w:r w:rsidRPr="000A7CB4">
        <w:rPr>
          <w:rFonts w:ascii="Times New Roman" w:hAnsi="Times New Roman" w:cs="Times New Roman"/>
          <w:sz w:val="24"/>
          <w:szCs w:val="24"/>
          <w:lang w:val="sk-SK"/>
        </w:rPr>
        <w:t xml:space="preserve">pre kontrolu liečiv a úrad. Ak ide o zdravotnícku pomôcku alebo diagnostickú zdravotnícku pomôcku in vitro pre viac ako jedného pacienta, o výnimke rozhoduje úrad podľa § 4a návrhu zákona.  </w:t>
      </w:r>
    </w:p>
    <w:p w:rsidR="00CD4F09" w:rsidRPr="000A7CB4" w:rsidRDefault="00CD4F09" w:rsidP="000A7CB4">
      <w:pPr>
        <w:jc w:val="both"/>
        <w:rPr>
          <w:rStyle w:val="Zstupntext"/>
          <w:b/>
          <w:color w:val="auto"/>
        </w:rPr>
      </w:pPr>
      <w:r w:rsidRPr="000A7CB4">
        <w:rPr>
          <w:rStyle w:val="Zstupntext"/>
          <w:b/>
          <w:color w:val="auto"/>
        </w:rPr>
        <w:t>K bodom 2 a 3</w:t>
      </w:r>
    </w:p>
    <w:p w:rsidR="00CD4F09" w:rsidRPr="000A7CB4" w:rsidRDefault="00CD4F09" w:rsidP="000A7CB4">
      <w:pPr>
        <w:pStyle w:val="Textkomentra"/>
        <w:spacing w:before="120" w:after="120"/>
        <w:jc w:val="both"/>
        <w:rPr>
          <w:rStyle w:val="Zstupntext"/>
          <w:color w:val="auto"/>
          <w:sz w:val="24"/>
          <w:szCs w:val="24"/>
          <w:lang w:val="sk-SK"/>
        </w:rPr>
      </w:pPr>
      <w:r w:rsidRPr="000A7CB4">
        <w:rPr>
          <w:rStyle w:val="Zstupntext"/>
          <w:color w:val="auto"/>
          <w:sz w:val="24"/>
          <w:szCs w:val="24"/>
          <w:lang w:val="sk-SK"/>
        </w:rPr>
        <w:lastRenderedPageBreak/>
        <w:t xml:space="preserve">Navrhovaným znením písm. g) v § 129 ods. 2 sa zosúlaďuje ustanovená kompetencia Štátneho ústavu pre kontrolu liečiv ako orgánu dohľadu nad určeným výrobkom podľa § 26 písm. d) zákona č. 56/2018 Z. z. Výkon dohľadu nad určeným výrobkom je upravený v § 27 až 29 zákona č. 56/2018 Z. z. a preto </w:t>
      </w:r>
      <w:r w:rsidRPr="000A7CB4">
        <w:rPr>
          <w:rFonts w:ascii="Times New Roman" w:hAnsi="Times New Roman" w:cs="Times New Roman"/>
          <w:sz w:val="24"/>
          <w:szCs w:val="24"/>
          <w:lang w:val="sk-SK" w:eastAsia="sk-SK"/>
        </w:rPr>
        <w:t xml:space="preserve">sa subsumuje pod tento zákon. </w:t>
      </w:r>
    </w:p>
    <w:p w:rsidR="00CD4F09" w:rsidRPr="000A7CB4" w:rsidRDefault="00CD4F09" w:rsidP="000A7CB4">
      <w:pPr>
        <w:pStyle w:val="Odsekzoznamu"/>
        <w:spacing w:before="240" w:after="120" w:line="240" w:lineRule="auto"/>
        <w:ind w:left="0"/>
        <w:contextualSpacing w:val="0"/>
        <w:jc w:val="both"/>
        <w:rPr>
          <w:rStyle w:val="Zstupntext"/>
          <w:b/>
          <w:color w:val="auto"/>
          <w:sz w:val="24"/>
          <w:szCs w:val="24"/>
          <w:lang w:eastAsia="cs-CZ"/>
        </w:rPr>
      </w:pPr>
      <w:r w:rsidRPr="000A7CB4">
        <w:rPr>
          <w:rFonts w:ascii="Times New Roman" w:hAnsi="Times New Roman"/>
          <w:b/>
          <w:sz w:val="24"/>
          <w:szCs w:val="24"/>
          <w:lang w:eastAsia="cs-CZ"/>
        </w:rPr>
        <w:t>K Čl. IV</w:t>
      </w:r>
    </w:p>
    <w:p w:rsidR="00CD4F09" w:rsidRPr="000A7CB4" w:rsidRDefault="00CD4F09" w:rsidP="000A7CB4">
      <w:pPr>
        <w:widowControl/>
        <w:spacing w:before="120" w:after="120"/>
        <w:jc w:val="both"/>
        <w:rPr>
          <w:rStyle w:val="Zstupntext"/>
          <w:color w:val="auto"/>
        </w:rPr>
      </w:pPr>
      <w:r w:rsidRPr="000A7CB4">
        <w:rPr>
          <w:rStyle w:val="Zstupntext"/>
          <w:color w:val="auto"/>
        </w:rPr>
        <w:t xml:space="preserve">Účinnosť zákona sa navrhuje od </w:t>
      </w:r>
      <w:r w:rsidRPr="000A7CB4">
        <w:rPr>
          <w:rFonts w:cs="Times New Roman"/>
        </w:rPr>
        <w:t>30. mája 2026</w:t>
      </w:r>
      <w:r w:rsidRPr="000A7CB4">
        <w:rPr>
          <w:rStyle w:val="Zstupntext"/>
          <w:color w:val="auto"/>
        </w:rPr>
        <w:t xml:space="preserve">. </w:t>
      </w:r>
    </w:p>
    <w:p w:rsidR="00CD4F09" w:rsidRPr="000A7CB4" w:rsidRDefault="00CD4F09" w:rsidP="000A7CB4">
      <w:pPr>
        <w:widowControl/>
        <w:spacing w:before="120" w:after="120"/>
        <w:jc w:val="both"/>
        <w:rPr>
          <w:rStyle w:val="Zstupntext"/>
          <w:color w:val="auto"/>
        </w:rPr>
      </w:pPr>
    </w:p>
    <w:p w:rsidR="00CD4F09" w:rsidRPr="000A7CB4" w:rsidRDefault="00CD4F09" w:rsidP="000A7CB4">
      <w:pPr>
        <w:widowControl/>
        <w:spacing w:before="120" w:after="120"/>
        <w:jc w:val="both"/>
        <w:rPr>
          <w:rStyle w:val="Zstupntext"/>
          <w:color w:val="auto"/>
        </w:rPr>
      </w:pPr>
      <w:r w:rsidRPr="000A7CB4">
        <w:rPr>
          <w:rStyle w:val="Zstupntext"/>
          <w:color w:val="auto"/>
        </w:rPr>
        <w:t xml:space="preserve">Bratislava, </w:t>
      </w:r>
      <w:r w:rsidR="00E83D5A">
        <w:rPr>
          <w:rStyle w:val="Zstupntext"/>
          <w:color w:val="auto"/>
        </w:rPr>
        <w:t>17. decembra 2025</w:t>
      </w:r>
    </w:p>
    <w:p w:rsidR="00CD4F09" w:rsidRDefault="00CD4F09" w:rsidP="000A7CB4">
      <w:pPr>
        <w:widowControl/>
        <w:spacing w:before="120" w:after="120"/>
        <w:jc w:val="both"/>
        <w:rPr>
          <w:rStyle w:val="Zstupntext"/>
          <w:color w:val="000000" w:themeColor="text1"/>
        </w:rPr>
      </w:pPr>
    </w:p>
    <w:p w:rsidR="003C5BFE" w:rsidRDefault="003C5BFE" w:rsidP="00CD4F09">
      <w:pPr>
        <w:widowControl/>
        <w:spacing w:before="120" w:after="120"/>
        <w:jc w:val="both"/>
        <w:rPr>
          <w:rStyle w:val="Zstupntext"/>
          <w:color w:val="000000" w:themeColor="text1"/>
        </w:rPr>
      </w:pPr>
    </w:p>
    <w:p w:rsidR="003C5BFE" w:rsidRDefault="003C5BFE" w:rsidP="00CD4F09">
      <w:pPr>
        <w:widowControl/>
        <w:spacing w:before="120" w:after="120"/>
        <w:jc w:val="both"/>
        <w:rPr>
          <w:rStyle w:val="Zstupntext"/>
          <w:color w:val="000000" w:themeColor="text1"/>
        </w:rPr>
      </w:pPr>
    </w:p>
    <w:p w:rsidR="003C5BFE" w:rsidRDefault="003C5BFE" w:rsidP="00CD4F09">
      <w:pPr>
        <w:widowControl/>
        <w:spacing w:before="120" w:after="120"/>
        <w:jc w:val="both"/>
        <w:rPr>
          <w:rStyle w:val="Zstupntext"/>
          <w:color w:val="000000" w:themeColor="text1"/>
        </w:rPr>
      </w:pPr>
    </w:p>
    <w:p w:rsidR="00CD4F09" w:rsidRDefault="00CD4F09" w:rsidP="00CD4F09">
      <w:pPr>
        <w:widowControl/>
        <w:spacing w:before="120" w:after="120"/>
        <w:jc w:val="both"/>
        <w:rPr>
          <w:rStyle w:val="Zstupntext"/>
          <w:color w:val="000000" w:themeColor="text1"/>
        </w:rPr>
      </w:pPr>
    </w:p>
    <w:p w:rsidR="00544628" w:rsidRPr="00DD397C" w:rsidRDefault="00544628" w:rsidP="00544628">
      <w:pPr>
        <w:widowControl/>
        <w:jc w:val="center"/>
        <w:rPr>
          <w:rStyle w:val="Zstupntext"/>
          <w:color w:val="000000"/>
        </w:rPr>
      </w:pPr>
      <w:r>
        <w:rPr>
          <w:rStyle w:val="Zstupntext"/>
          <w:b/>
          <w:color w:val="000000"/>
        </w:rPr>
        <w:t>Robert Fico v. r.</w:t>
      </w:r>
    </w:p>
    <w:p w:rsidR="00544628" w:rsidRPr="00DD397C" w:rsidRDefault="00544628" w:rsidP="00544628">
      <w:pPr>
        <w:widowControl/>
        <w:jc w:val="center"/>
        <w:rPr>
          <w:rStyle w:val="Zstupntext"/>
          <w:color w:val="000000"/>
        </w:rPr>
      </w:pPr>
      <w:r w:rsidRPr="00DD397C">
        <w:rPr>
          <w:rStyle w:val="Zstupntext"/>
          <w:color w:val="000000"/>
        </w:rPr>
        <w:t>predseda vlády Slovenskej republiky</w:t>
      </w:r>
    </w:p>
    <w:p w:rsidR="00544628" w:rsidRPr="00DD397C" w:rsidRDefault="00544628" w:rsidP="00544628">
      <w:pPr>
        <w:widowControl/>
        <w:spacing w:after="100" w:afterAutospacing="1"/>
        <w:rPr>
          <w:rStyle w:val="Zstupntext"/>
          <w:color w:val="000000"/>
        </w:rPr>
      </w:pPr>
    </w:p>
    <w:p w:rsidR="00544628" w:rsidRPr="00DD397C" w:rsidRDefault="00544628" w:rsidP="00544628">
      <w:pPr>
        <w:widowControl/>
        <w:spacing w:after="100" w:afterAutospacing="1"/>
        <w:rPr>
          <w:rStyle w:val="Zstupntext"/>
          <w:color w:val="000000"/>
        </w:rPr>
      </w:pPr>
    </w:p>
    <w:p w:rsidR="00544628" w:rsidRPr="00DD397C" w:rsidRDefault="00544628" w:rsidP="00544628">
      <w:pPr>
        <w:widowControl/>
        <w:spacing w:after="100" w:afterAutospacing="1"/>
        <w:rPr>
          <w:rStyle w:val="Zstupntext"/>
          <w:color w:val="000000"/>
        </w:rPr>
      </w:pPr>
    </w:p>
    <w:p w:rsidR="00544628" w:rsidRPr="00432C1C" w:rsidRDefault="00544628" w:rsidP="00544628">
      <w:pPr>
        <w:jc w:val="both"/>
        <w:rPr>
          <w:rStyle w:val="Zstupntext"/>
          <w:rFonts w:cs="Arial Unicode MS"/>
          <w:color w:val="auto"/>
          <w:lang w:val="en-US"/>
        </w:rPr>
      </w:pPr>
    </w:p>
    <w:p w:rsidR="00544628" w:rsidRPr="00DD397C" w:rsidRDefault="00544628" w:rsidP="00544628">
      <w:pPr>
        <w:widowControl/>
        <w:spacing w:after="100" w:afterAutospacing="1"/>
        <w:rPr>
          <w:rStyle w:val="Zstupntext"/>
          <w:color w:val="000000"/>
        </w:rPr>
      </w:pPr>
    </w:p>
    <w:p w:rsidR="00544628" w:rsidRPr="00DD397C" w:rsidRDefault="00544628" w:rsidP="00544628">
      <w:pPr>
        <w:widowControl/>
        <w:spacing w:after="100" w:afterAutospacing="1"/>
        <w:rPr>
          <w:rStyle w:val="Zstupntext"/>
          <w:color w:val="000000"/>
        </w:rPr>
      </w:pPr>
    </w:p>
    <w:p w:rsidR="00544628" w:rsidRPr="00DD397C" w:rsidRDefault="00544628" w:rsidP="00544628">
      <w:pPr>
        <w:widowControl/>
        <w:jc w:val="center"/>
        <w:rPr>
          <w:rStyle w:val="Zstupntext"/>
          <w:b/>
          <w:color w:val="000000"/>
        </w:rPr>
      </w:pPr>
      <w:r>
        <w:rPr>
          <w:rStyle w:val="Zstupntext"/>
          <w:b/>
          <w:color w:val="000000"/>
        </w:rPr>
        <w:t>Peter Kadlec v. r.</w:t>
      </w:r>
    </w:p>
    <w:p w:rsidR="00544628" w:rsidRPr="00DD397C" w:rsidRDefault="00544628" w:rsidP="00544628">
      <w:pPr>
        <w:widowControl/>
        <w:jc w:val="center"/>
        <w:rPr>
          <w:rStyle w:val="Zstupntext"/>
          <w:color w:val="000000"/>
        </w:rPr>
      </w:pPr>
      <w:r w:rsidRPr="00DD397C">
        <w:rPr>
          <w:rStyle w:val="Zstupntext"/>
          <w:color w:val="000000"/>
        </w:rPr>
        <w:t>predseda Úradu pre normalizáciu, metrológiu</w:t>
      </w:r>
    </w:p>
    <w:p w:rsidR="00544628" w:rsidRPr="00DD397C" w:rsidRDefault="00544628" w:rsidP="00544628">
      <w:pPr>
        <w:widowControl/>
        <w:jc w:val="center"/>
        <w:rPr>
          <w:rStyle w:val="Zstupntext"/>
          <w:color w:val="000000"/>
        </w:rPr>
      </w:pPr>
      <w:r w:rsidRPr="00DD397C">
        <w:rPr>
          <w:rStyle w:val="Zstupntext"/>
          <w:color w:val="000000"/>
        </w:rPr>
        <w:t xml:space="preserve"> a skúšobníctvo Slovenskej republiky</w:t>
      </w:r>
    </w:p>
    <w:p w:rsidR="00CD4F09" w:rsidRPr="00415EB4" w:rsidRDefault="00CD4F09" w:rsidP="00CD4F09">
      <w:pPr>
        <w:ind w:left="360" w:hanging="360"/>
      </w:pPr>
    </w:p>
    <w:p w:rsidR="00CD4F09" w:rsidRPr="00F97145" w:rsidRDefault="00CD4F09" w:rsidP="00CD4F09"/>
    <w:p w:rsidR="00CD4F09" w:rsidRPr="00F97145" w:rsidRDefault="00CD4F09" w:rsidP="00CD4F09">
      <w:pPr>
        <w:ind w:left="360" w:hanging="360"/>
      </w:pPr>
    </w:p>
    <w:sectPr w:rsidR="00CD4F09" w:rsidRPr="00F97145">
      <w:footerReference w:type="default" r:id="rId11"/>
      <w:pgSz w:w="12240" w:h="15840"/>
      <w:pgMar w:top="1417" w:right="1440"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29A1" w:rsidRDefault="008529A1" w:rsidP="00CD4F09">
      <w:r>
        <w:separator/>
      </w:r>
    </w:p>
  </w:endnote>
  <w:endnote w:type="continuationSeparator" w:id="0">
    <w:p w:rsidR="008529A1" w:rsidRDefault="008529A1" w:rsidP="00CD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035099"/>
      <w:docPartObj>
        <w:docPartGallery w:val="Page Numbers (Bottom of Page)"/>
        <w:docPartUnique/>
      </w:docPartObj>
    </w:sdtPr>
    <w:sdtEndPr>
      <w:rPr>
        <w:rFonts w:cs="Times New Roman"/>
      </w:rPr>
    </w:sdtEndPr>
    <w:sdtContent>
      <w:p w:rsidR="008529A1" w:rsidRPr="006045CB" w:rsidRDefault="008529A1" w:rsidP="007F0200">
        <w:pPr>
          <w:pStyle w:val="Pta"/>
          <w:jc w:val="right"/>
          <w:rPr>
            <w:rFonts w:cs="Times New Roman"/>
          </w:rPr>
        </w:pPr>
        <w:r w:rsidRPr="006045CB">
          <w:rPr>
            <w:rFonts w:cs="Times New Roman"/>
          </w:rPr>
          <w:fldChar w:fldCharType="begin"/>
        </w:r>
        <w:r w:rsidRPr="006045CB">
          <w:rPr>
            <w:rFonts w:cs="Times New Roman"/>
          </w:rPr>
          <w:instrText>PAGE   \* MERGEFORMAT</w:instrText>
        </w:r>
        <w:r w:rsidRPr="006045CB">
          <w:rPr>
            <w:rFonts w:cs="Times New Roman"/>
          </w:rPr>
          <w:fldChar w:fldCharType="separate"/>
        </w:r>
        <w:r w:rsidR="00C800E4">
          <w:rPr>
            <w:rFonts w:cs="Times New Roman"/>
            <w:noProof/>
          </w:rPr>
          <w:t>10</w:t>
        </w:r>
        <w:r w:rsidRPr="006045CB">
          <w:rPr>
            <w:rFonts w:cs="Times New Roman"/>
          </w:rPr>
          <w:fldChar w:fldCharType="end"/>
        </w:r>
      </w:p>
    </w:sdtContent>
  </w:sdt>
  <w:p w:rsidR="008529A1" w:rsidRPr="00FF7125" w:rsidRDefault="008529A1" w:rsidP="007F0200">
    <w:pPr>
      <w:pStyle w:val="Pta"/>
    </w:pPr>
  </w:p>
  <w:p w:rsidR="008529A1" w:rsidRDefault="008529A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1558066"/>
      <w:docPartObj>
        <w:docPartGallery w:val="Page Numbers (Bottom of Page)"/>
        <w:docPartUnique/>
      </w:docPartObj>
    </w:sdtPr>
    <w:sdtEndPr/>
    <w:sdtContent>
      <w:p w:rsidR="008529A1" w:rsidRDefault="008529A1">
        <w:pPr>
          <w:pStyle w:val="Pta"/>
          <w:jc w:val="right"/>
        </w:pPr>
        <w:r>
          <w:fldChar w:fldCharType="begin"/>
        </w:r>
        <w:r>
          <w:instrText>PAGE   \* MERGEFORMAT</w:instrText>
        </w:r>
        <w:r>
          <w:fldChar w:fldCharType="separate"/>
        </w:r>
        <w:r w:rsidR="00C800E4">
          <w:rPr>
            <w:noProof/>
          </w:rPr>
          <w:t>22</w:t>
        </w:r>
        <w:r>
          <w:fldChar w:fldCharType="end"/>
        </w:r>
      </w:p>
    </w:sdtContent>
  </w:sdt>
  <w:p w:rsidR="008529A1" w:rsidRDefault="008529A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29A1" w:rsidRDefault="008529A1" w:rsidP="00CD4F09">
      <w:r>
        <w:separator/>
      </w:r>
    </w:p>
  </w:footnote>
  <w:footnote w:type="continuationSeparator" w:id="0">
    <w:p w:rsidR="008529A1" w:rsidRDefault="008529A1" w:rsidP="00CD4F09">
      <w:r>
        <w:continuationSeparator/>
      </w:r>
    </w:p>
  </w:footnote>
  <w:footnote w:id="1">
    <w:p w:rsidR="008529A1" w:rsidRPr="000A6B7F" w:rsidRDefault="008529A1" w:rsidP="00CD4F09">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2">
    <w:p w:rsidR="008529A1" w:rsidRPr="00804BC8" w:rsidRDefault="008529A1" w:rsidP="00CD4F09">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goldplatingom.</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rsidR="008529A1" w:rsidRDefault="008529A1" w:rsidP="00CD4F09">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3B93435A"/>
    <w:multiLevelType w:val="hybridMultilevel"/>
    <w:tmpl w:val="2120235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52B23419"/>
    <w:multiLevelType w:val="hybridMultilevel"/>
    <w:tmpl w:val="D5141E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A386E33"/>
    <w:multiLevelType w:val="hybridMultilevel"/>
    <w:tmpl w:val="EFC4F1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3324192"/>
    <w:multiLevelType w:val="hybridMultilevel"/>
    <w:tmpl w:val="060AE6D2"/>
    <w:lvl w:ilvl="0" w:tplc="41B08A5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66970779"/>
    <w:multiLevelType w:val="hybridMultilevel"/>
    <w:tmpl w:val="DE5E7D5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69604C2F"/>
    <w:multiLevelType w:val="hybridMultilevel"/>
    <w:tmpl w:val="A5B0CF6C"/>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7BDE54EF"/>
    <w:multiLevelType w:val="hybridMultilevel"/>
    <w:tmpl w:val="419C7968"/>
    <w:lvl w:ilvl="0" w:tplc="041B000F">
      <w:start w:val="1"/>
      <w:numFmt w:val="decimal"/>
      <w:lvlText w:val="%1."/>
      <w:lvlJc w:val="left"/>
      <w:pPr>
        <w:ind w:left="532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9"/>
  </w:num>
  <w:num w:numId="2">
    <w:abstractNumId w:val="5"/>
  </w:num>
  <w:num w:numId="3">
    <w:abstractNumId w:val="4"/>
  </w:num>
  <w:num w:numId="4">
    <w:abstractNumId w:val="6"/>
  </w:num>
  <w:num w:numId="5">
    <w:abstractNumId w:val="1"/>
  </w:num>
  <w:num w:numId="6">
    <w:abstractNumId w:val="7"/>
  </w:num>
  <w:num w:numId="7">
    <w:abstractNumId w:val="3"/>
  </w:num>
  <w:num w:numId="8">
    <w:abstractNumId w:val="8"/>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A64"/>
    <w:rsid w:val="00060821"/>
    <w:rsid w:val="000A7CB4"/>
    <w:rsid w:val="000F762D"/>
    <w:rsid w:val="00375E5E"/>
    <w:rsid w:val="003C5BFE"/>
    <w:rsid w:val="00415527"/>
    <w:rsid w:val="004771E8"/>
    <w:rsid w:val="00497928"/>
    <w:rsid w:val="00544628"/>
    <w:rsid w:val="00574F47"/>
    <w:rsid w:val="005F49E4"/>
    <w:rsid w:val="00733A64"/>
    <w:rsid w:val="007F0200"/>
    <w:rsid w:val="008529A1"/>
    <w:rsid w:val="00A90477"/>
    <w:rsid w:val="00C800E4"/>
    <w:rsid w:val="00CD4F09"/>
    <w:rsid w:val="00E83D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8EC61B-FEBD-4CE5-B2C1-891ADF5B3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D4F09"/>
    <w:pPr>
      <w:widowControl w:val="0"/>
      <w:adjustRightInd w:val="0"/>
      <w:spacing w:after="0" w:line="240" w:lineRule="auto"/>
    </w:pPr>
    <w:rPr>
      <w:rFonts w:ascii="Times New Roman" w:eastAsia="Times New Roman" w:hAnsi="Times New Roman" w:cs="Arial Unicode MS"/>
      <w:sz w:val="24"/>
      <w:szCs w:val="24"/>
      <w:lang w:eastAsia="sk-SK"/>
    </w:rPr>
  </w:style>
  <w:style w:type="paragraph" w:styleId="Nadpis2">
    <w:name w:val="heading 2"/>
    <w:basedOn w:val="Normlny"/>
    <w:next w:val="Normlny"/>
    <w:link w:val="Nadpis2Char"/>
    <w:uiPriority w:val="99"/>
    <w:qFormat/>
    <w:rsid w:val="00CD4F09"/>
    <w:pPr>
      <w:keepNext/>
      <w:keepLines/>
      <w:widowControl/>
      <w:adjustRightInd/>
      <w:spacing w:before="240" w:after="120"/>
      <w:jc w:val="center"/>
      <w:outlineLvl w:val="1"/>
    </w:pPr>
    <w:rPr>
      <w:rFonts w:cs="Times New Roman"/>
      <w:b/>
      <w:bCs/>
      <w:sz w:val="26"/>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CD4F09"/>
    <w:rPr>
      <w:rFonts w:ascii="Times New Roman" w:hAnsi="Times New Roman" w:cs="Times New Roman"/>
      <w:color w:val="808080"/>
    </w:rPr>
  </w:style>
  <w:style w:type="paragraph" w:customStyle="1" w:styleId="PMsoNormal">
    <w:name w:val="P_MsoNormal"/>
    <w:basedOn w:val="Normlny"/>
    <w:uiPriority w:val="99"/>
    <w:rsid w:val="00CD4F09"/>
    <w:rPr>
      <w:rFonts w:cs="Times New Roman"/>
    </w:rPr>
  </w:style>
  <w:style w:type="character" w:customStyle="1" w:styleId="placeholdertext0">
    <w:name w:val="placeholdertext0"/>
    <w:basedOn w:val="Predvolenpsmoodseku"/>
    <w:uiPriority w:val="99"/>
    <w:rsid w:val="00CD4F09"/>
    <w:rPr>
      <w:rFonts w:cs="Times New Roman"/>
    </w:rPr>
  </w:style>
  <w:style w:type="character" w:customStyle="1" w:styleId="PlaceholderText">
    <w:name w:val="PlaceholderText"/>
    <w:basedOn w:val="Predvolenpsmoodseku"/>
    <w:uiPriority w:val="99"/>
    <w:rsid w:val="00CD4F09"/>
    <w:rPr>
      <w:rFonts w:ascii="Times New Roman" w:hAnsi="Times New Roman" w:cs="Times New Roman"/>
      <w:color w:val="808080"/>
    </w:rPr>
  </w:style>
  <w:style w:type="paragraph" w:styleId="Odsekzoznamu">
    <w:name w:val="List Paragraph"/>
    <w:basedOn w:val="Normlny"/>
    <w:uiPriority w:val="34"/>
    <w:qFormat/>
    <w:rsid w:val="00CD4F09"/>
    <w:pPr>
      <w:widowControl/>
      <w:adjustRightInd/>
      <w:spacing w:after="160" w:line="259" w:lineRule="auto"/>
      <w:ind w:left="720"/>
      <w:contextualSpacing/>
    </w:pPr>
    <w:rPr>
      <w:rFonts w:ascii="Calibri" w:hAnsi="Calibri" w:cs="Times New Roman"/>
      <w:sz w:val="22"/>
      <w:szCs w:val="22"/>
      <w:lang w:eastAsia="en-US"/>
    </w:rPr>
  </w:style>
  <w:style w:type="paragraph" w:styleId="Pta">
    <w:name w:val="footer"/>
    <w:basedOn w:val="Normlny"/>
    <w:link w:val="PtaChar"/>
    <w:uiPriority w:val="99"/>
    <w:rsid w:val="00CD4F09"/>
    <w:pPr>
      <w:tabs>
        <w:tab w:val="center" w:pos="4536"/>
        <w:tab w:val="right" w:pos="9072"/>
      </w:tabs>
    </w:pPr>
  </w:style>
  <w:style w:type="character" w:customStyle="1" w:styleId="PtaChar">
    <w:name w:val="Päta Char"/>
    <w:basedOn w:val="Predvolenpsmoodseku"/>
    <w:link w:val="Pta"/>
    <w:uiPriority w:val="99"/>
    <w:rsid w:val="00CD4F09"/>
    <w:rPr>
      <w:rFonts w:ascii="Times New Roman" w:eastAsia="Times New Roman" w:hAnsi="Times New Roman" w:cs="Arial Unicode MS"/>
      <w:sz w:val="24"/>
      <w:szCs w:val="24"/>
      <w:lang w:eastAsia="sk-SK"/>
    </w:rPr>
  </w:style>
  <w:style w:type="table" w:customStyle="1" w:styleId="Mriekatabuky1">
    <w:name w:val="Mriežka tabuľky1"/>
    <w:basedOn w:val="Normlnatabuka"/>
    <w:next w:val="Mriekatabuky"/>
    <w:uiPriority w:val="59"/>
    <w:rsid w:val="00CD4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4F09"/>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CD4F09"/>
    <w:rPr>
      <w:color w:val="0563C1" w:themeColor="hyperlink"/>
      <w:u w:val="single"/>
    </w:rPr>
  </w:style>
  <w:style w:type="character" w:styleId="Zvraznenie">
    <w:name w:val="Emphasis"/>
    <w:basedOn w:val="Predvolenpsmoodseku"/>
    <w:uiPriority w:val="20"/>
    <w:qFormat/>
    <w:rsid w:val="00CD4F09"/>
    <w:rPr>
      <w:rFonts w:cs="Times New Roman"/>
      <w:i/>
    </w:rPr>
  </w:style>
  <w:style w:type="table" w:styleId="Mriekatabuky">
    <w:name w:val="Table Grid"/>
    <w:basedOn w:val="Normlnatabuka"/>
    <w:uiPriority w:val="39"/>
    <w:rsid w:val="00CD4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1648484718305530482msolistparagraph">
    <w:name w:val="gmail-m_-1648484718305530482msolistparagraph"/>
    <w:basedOn w:val="Normlny"/>
    <w:rsid w:val="00CD4F09"/>
    <w:pPr>
      <w:widowControl/>
      <w:adjustRightInd/>
      <w:spacing w:before="100" w:beforeAutospacing="1" w:after="100" w:afterAutospacing="1"/>
    </w:pPr>
    <w:rPr>
      <w:rFonts w:ascii="Calibri" w:eastAsiaTheme="minorHAnsi" w:hAnsi="Calibri" w:cs="Calibri"/>
      <w:sz w:val="22"/>
      <w:szCs w:val="22"/>
    </w:rPr>
  </w:style>
  <w:style w:type="paragraph" w:styleId="Textpoznmkypodiarou">
    <w:name w:val="footnote text"/>
    <w:basedOn w:val="Normlny"/>
    <w:link w:val="TextpoznmkypodiarouChar"/>
    <w:uiPriority w:val="99"/>
    <w:semiHidden/>
    <w:unhideWhenUsed/>
    <w:rsid w:val="00CD4F09"/>
    <w:pPr>
      <w:widowControl/>
      <w:adjustRightInd/>
    </w:pPr>
    <w:rPr>
      <w:rFonts w:asciiTheme="minorHAnsi" w:eastAsiaTheme="minorHAnsi" w:hAnsiTheme="minorHAnsi" w:cstheme="minorBidi"/>
      <w:sz w:val="20"/>
      <w:szCs w:val="20"/>
      <w:lang w:eastAsia="en-US"/>
    </w:rPr>
  </w:style>
  <w:style w:type="character" w:customStyle="1" w:styleId="TextpoznmkypodiarouChar">
    <w:name w:val="Text poznámky pod čiarou Char"/>
    <w:basedOn w:val="Predvolenpsmoodseku"/>
    <w:link w:val="Textpoznmkypodiarou"/>
    <w:uiPriority w:val="99"/>
    <w:semiHidden/>
    <w:rsid w:val="00CD4F09"/>
    <w:rPr>
      <w:sz w:val="20"/>
      <w:szCs w:val="20"/>
    </w:rPr>
  </w:style>
  <w:style w:type="character" w:styleId="Odkaznapoznmkupodiarou">
    <w:name w:val="footnote reference"/>
    <w:basedOn w:val="Predvolenpsmoodseku"/>
    <w:uiPriority w:val="99"/>
    <w:semiHidden/>
    <w:unhideWhenUsed/>
    <w:rsid w:val="00CD4F09"/>
    <w:rPr>
      <w:vertAlign w:val="superscript"/>
    </w:rPr>
  </w:style>
  <w:style w:type="character" w:customStyle="1" w:styleId="Nadpis2Char">
    <w:name w:val="Nadpis 2 Char"/>
    <w:basedOn w:val="Predvolenpsmoodseku"/>
    <w:link w:val="Nadpis2"/>
    <w:uiPriority w:val="99"/>
    <w:rsid w:val="00CD4F09"/>
    <w:rPr>
      <w:rFonts w:ascii="Times New Roman" w:eastAsia="Times New Roman" w:hAnsi="Times New Roman" w:cs="Times New Roman"/>
      <w:b/>
      <w:bCs/>
      <w:sz w:val="26"/>
      <w:szCs w:val="26"/>
    </w:rPr>
  </w:style>
  <w:style w:type="paragraph" w:customStyle="1" w:styleId="oj-normal">
    <w:name w:val="oj-normal"/>
    <w:basedOn w:val="Normlny"/>
    <w:rsid w:val="00CD4F09"/>
    <w:pPr>
      <w:widowControl/>
      <w:adjustRightInd/>
      <w:spacing w:before="100" w:beforeAutospacing="1" w:after="100" w:afterAutospacing="1"/>
    </w:pPr>
    <w:rPr>
      <w:rFonts w:cs="Times New Roman"/>
    </w:rPr>
  </w:style>
  <w:style w:type="paragraph" w:styleId="Textkomentra">
    <w:name w:val="annotation text"/>
    <w:basedOn w:val="Normlny"/>
    <w:link w:val="TextkomentraChar"/>
    <w:uiPriority w:val="99"/>
    <w:unhideWhenUsed/>
    <w:rsid w:val="00CD4F09"/>
    <w:pPr>
      <w:widowControl/>
      <w:adjustRightInd/>
      <w:spacing w:after="200"/>
    </w:pPr>
    <w:rPr>
      <w:rFonts w:asciiTheme="minorHAnsi" w:eastAsiaTheme="minorHAnsi" w:hAnsiTheme="minorHAnsi" w:cstheme="minorBidi"/>
      <w:sz w:val="20"/>
      <w:szCs w:val="20"/>
      <w:lang w:val="en-US" w:eastAsia="en-US"/>
    </w:rPr>
  </w:style>
  <w:style w:type="character" w:customStyle="1" w:styleId="TextkomentraChar">
    <w:name w:val="Text komentára Char"/>
    <w:basedOn w:val="Predvolenpsmoodseku"/>
    <w:link w:val="Textkomentra"/>
    <w:uiPriority w:val="99"/>
    <w:rsid w:val="00CD4F09"/>
    <w:rPr>
      <w:sz w:val="20"/>
      <w:szCs w:val="20"/>
      <w:lang w:val="en-US"/>
    </w:rPr>
  </w:style>
  <w:style w:type="paragraph" w:styleId="Normlnywebov">
    <w:name w:val="Normal (Web)"/>
    <w:basedOn w:val="Normlny"/>
    <w:uiPriority w:val="99"/>
    <w:unhideWhenUsed/>
    <w:rsid w:val="00CD4F09"/>
    <w:pPr>
      <w:widowControl/>
      <w:adjustRightInd/>
      <w:spacing w:before="100" w:beforeAutospacing="1" w:after="100" w:afterAutospacing="1"/>
    </w:pPr>
    <w:rPr>
      <w:rFonts w:cs="Times New Roman"/>
    </w:rPr>
  </w:style>
  <w:style w:type="paragraph" w:styleId="Textbubliny">
    <w:name w:val="Balloon Text"/>
    <w:basedOn w:val="Normlny"/>
    <w:link w:val="TextbublinyChar"/>
    <w:uiPriority w:val="99"/>
    <w:semiHidden/>
    <w:unhideWhenUsed/>
    <w:rsid w:val="00C800E4"/>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00E4"/>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sr.sk/podnikatelske-prostredie/lepsia-regulacia/regulacne-zatazenie/kalkulacka-nakladov-regulac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iliana.tahotna@normoff.gov.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s://www.normoff.gov.sk/files/docs/technicke-predpisy-september2025%2068d109b9226f5.pdf"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30</Pages>
  <Words>12542</Words>
  <Characters>71490</Characters>
  <Application>Microsoft Office Word</Application>
  <DocSecurity>0</DocSecurity>
  <Lines>595</Lines>
  <Paragraphs>167</Paragraphs>
  <ScaleCrop>false</ScaleCrop>
  <HeadingPairs>
    <vt:vector size="2" baseType="variant">
      <vt:variant>
        <vt:lpstr>Názov</vt:lpstr>
      </vt:variant>
      <vt:variant>
        <vt:i4>1</vt:i4>
      </vt:variant>
    </vt:vector>
  </HeadingPairs>
  <TitlesOfParts>
    <vt:vector size="1" baseType="lpstr">
      <vt:lpstr/>
    </vt:vector>
  </TitlesOfParts>
  <Company>ÚNMS SR</Company>
  <LinksUpToDate>false</LinksUpToDate>
  <CharactersWithSpaces>83865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Tahotná Liliana, JUDr.</dc:creator>
  <cp:keywords/>
  <dc:description/>
  <cp:lastModifiedBy>Tahotná Liliana, JUDr.</cp:lastModifiedBy>
  <cp:revision>4</cp:revision>
  <cp:lastPrinted>2025-12-18T08:28:00Z</cp:lastPrinted>
  <dcterms:created xsi:type="dcterms:W3CDTF">2025-12-17T14:09:00Z</dcterms:created>
  <dcterms:modified xsi:type="dcterms:W3CDTF">2025-12-18T08:33:00Z</dcterms:modified>
</cp:coreProperties>
</file>