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36945764"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61394E6E" w14:textId="610C9685" w:rsidR="008E4285" w:rsidRPr="008E4285" w:rsidRDefault="00054C41" w:rsidP="008E428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2B75F9">
        <w:rPr>
          <w:rFonts w:ascii="Times New Roman" w:eastAsia="Calibri" w:hAnsi="Times New Roman" w:cs="Times New Roman"/>
          <w:b/>
          <w:sz w:val="24"/>
          <w:szCs w:val="24"/>
        </w:rPr>
        <w:t xml:space="preserve"> </w:t>
      </w:r>
      <w:r w:rsidR="00607574">
        <w:rPr>
          <w:rFonts w:ascii="Times New Roman" w:eastAsia="Calibri" w:hAnsi="Times New Roman" w:cs="Times New Roman"/>
          <w:sz w:val="24"/>
          <w:szCs w:val="24"/>
        </w:rPr>
        <w:t>Vládny návrh</w:t>
      </w:r>
      <w:bookmarkStart w:id="0" w:name="_GoBack"/>
      <w:bookmarkEnd w:id="0"/>
      <w:r w:rsidR="002B75F9" w:rsidRPr="002B75F9">
        <w:rPr>
          <w:rFonts w:ascii="Times New Roman" w:eastAsia="Calibri" w:hAnsi="Times New Roman" w:cs="Times New Roman"/>
          <w:sz w:val="24"/>
          <w:szCs w:val="24"/>
        </w:rPr>
        <w:t xml:space="preserve"> zákona </w:t>
      </w:r>
      <w:r w:rsidR="008E4285" w:rsidRPr="008E4285">
        <w:rPr>
          <w:rFonts w:ascii="Times New Roman" w:eastAsia="Calibri" w:hAnsi="Times New Roman" w:cs="Times New Roman"/>
          <w:sz w:val="24"/>
          <w:szCs w:val="24"/>
        </w:rPr>
        <w:t>o rovnakom odmeňovaní mužov a žien za rovnakú prácu alebo za prácu rovnakej hodnoty a o zmene a doplnení niektorých zákonov</w:t>
      </w:r>
    </w:p>
    <w:p w14:paraId="22516163" w14:textId="0E5A18AC" w:rsidR="00054C41" w:rsidRPr="001F1B43" w:rsidRDefault="00054C41" w:rsidP="00054C41">
      <w:pPr>
        <w:jc w:val="both"/>
        <w:rPr>
          <w:rFonts w:ascii="Times New Roman" w:eastAsia="Calibri" w:hAnsi="Times New Roman" w:cs="Times New Roman"/>
          <w:b/>
          <w:sz w:val="24"/>
          <w:szCs w:val="24"/>
        </w:rPr>
      </w:pPr>
    </w:p>
    <w:p w14:paraId="2711DC2C" w14:textId="64C6582C"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2B75F9">
        <w:rPr>
          <w:rFonts w:ascii="Times New Roman" w:eastAsia="Calibri" w:hAnsi="Times New Roman" w:cs="Times New Roman"/>
          <w:b/>
          <w:sz w:val="24"/>
          <w:szCs w:val="24"/>
        </w:rPr>
        <w:t xml:space="preserve"> </w:t>
      </w:r>
      <w:r w:rsidR="002B75F9" w:rsidRPr="002B75F9">
        <w:rPr>
          <w:rFonts w:ascii="Times New Roman" w:eastAsia="Calibri" w:hAnsi="Times New Roman" w:cs="Times New Roman"/>
          <w:sz w:val="24"/>
          <w:szCs w:val="24"/>
        </w:rPr>
        <w:t>Ministerstvo práce, sociálnych vecí a rodiny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091312F4"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54B907AF" w14:textId="77777777" w:rsidR="006A6896" w:rsidRDefault="006A6896" w:rsidP="00054C41">
      <w:pPr>
        <w:jc w:val="both"/>
      </w:pPr>
    </w:p>
    <w:tbl>
      <w:tblPr>
        <w:tblW w:w="8680" w:type="dxa"/>
        <w:tblInd w:w="-10" w:type="dxa"/>
        <w:tblCellMar>
          <w:left w:w="70" w:type="dxa"/>
          <w:right w:w="70" w:type="dxa"/>
        </w:tblCellMar>
        <w:tblLook w:val="04A0" w:firstRow="1" w:lastRow="0" w:firstColumn="1" w:lastColumn="0" w:noHBand="0" w:noVBand="1"/>
      </w:tblPr>
      <w:tblGrid>
        <w:gridCol w:w="4760"/>
        <w:gridCol w:w="1960"/>
        <w:gridCol w:w="1960"/>
      </w:tblGrid>
      <w:tr w:rsidR="006A6896" w:rsidRPr="006A6896" w14:paraId="4404C7B2" w14:textId="77777777" w:rsidTr="006A6896">
        <w:trPr>
          <w:trHeight w:val="675"/>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B2EB31" w14:textId="77777777" w:rsidR="006A6896" w:rsidRPr="006A6896" w:rsidRDefault="006A6896" w:rsidP="006A6896">
            <w:pPr>
              <w:spacing w:after="0" w:line="240" w:lineRule="auto"/>
              <w:jc w:val="center"/>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TYP NÁKLADOV</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05F5A10E"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3B3038EE"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Zníženie nákladov v € na PP</w:t>
            </w:r>
          </w:p>
        </w:tc>
      </w:tr>
      <w:tr w:rsidR="006A6896" w:rsidRPr="006A6896" w14:paraId="6647CA16" w14:textId="77777777" w:rsidTr="006A6896">
        <w:trPr>
          <w:trHeight w:val="81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066DCB37"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proofErr w:type="spellStart"/>
            <w:r w:rsidRPr="006A6896">
              <w:rPr>
                <w:rFonts w:ascii="Times New Roman" w:eastAsia="Times New Roman" w:hAnsi="Times New Roman" w:cs="Times New Roman"/>
                <w:b/>
                <w:bCs/>
                <w:i/>
                <w:iCs/>
                <w:color w:val="000000"/>
                <w:sz w:val="20"/>
                <w:szCs w:val="20"/>
                <w:lang w:eastAsia="sk-SK"/>
              </w:rPr>
              <w:t>A.Dane</w:t>
            </w:r>
            <w:proofErr w:type="spellEnd"/>
            <w:r w:rsidRPr="006A6896">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6A6896">
              <w:rPr>
                <w:rFonts w:ascii="Times New Roman" w:eastAsia="Times New Roman" w:hAnsi="Times New Roman" w:cs="Times New Roman"/>
                <w:b/>
                <w:bCs/>
                <w:i/>
                <w:iCs/>
                <w:color w:val="000000"/>
                <w:sz w:val="20"/>
                <w:szCs w:val="20"/>
                <w:lang w:eastAsia="sk-SK"/>
              </w:rPr>
              <w:t>externality</w:t>
            </w:r>
            <w:proofErr w:type="spellEnd"/>
          </w:p>
        </w:tc>
        <w:tc>
          <w:tcPr>
            <w:tcW w:w="1960" w:type="dxa"/>
            <w:tcBorders>
              <w:top w:val="nil"/>
              <w:left w:val="nil"/>
              <w:bottom w:val="single" w:sz="4" w:space="0" w:color="auto"/>
              <w:right w:val="single" w:sz="4" w:space="0" w:color="auto"/>
            </w:tcBorders>
            <w:shd w:val="clear" w:color="000000" w:fill="FFC000"/>
            <w:vAlign w:val="center"/>
            <w:hideMark/>
          </w:tcPr>
          <w:p w14:paraId="3D199E66"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1ADE8959"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0CFA2E31" w14:textId="77777777" w:rsidTr="006A6896">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6B209504"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B. Iné poplatky</w:t>
            </w:r>
          </w:p>
        </w:tc>
        <w:tc>
          <w:tcPr>
            <w:tcW w:w="1960" w:type="dxa"/>
            <w:tcBorders>
              <w:top w:val="nil"/>
              <w:left w:val="nil"/>
              <w:bottom w:val="single" w:sz="4" w:space="0" w:color="auto"/>
              <w:right w:val="single" w:sz="4" w:space="0" w:color="auto"/>
            </w:tcBorders>
            <w:shd w:val="clear" w:color="000000" w:fill="FFC000"/>
            <w:vAlign w:val="center"/>
            <w:hideMark/>
          </w:tcPr>
          <w:p w14:paraId="5C01B14A"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47FB4105"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60997528" w14:textId="77777777" w:rsidTr="006A6896">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74CACB50"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C. Sankcie a pokuty</w:t>
            </w:r>
          </w:p>
        </w:tc>
        <w:tc>
          <w:tcPr>
            <w:tcW w:w="1960" w:type="dxa"/>
            <w:tcBorders>
              <w:top w:val="nil"/>
              <w:left w:val="nil"/>
              <w:bottom w:val="single" w:sz="4" w:space="0" w:color="auto"/>
              <w:right w:val="single" w:sz="4" w:space="0" w:color="auto"/>
            </w:tcBorders>
            <w:shd w:val="clear" w:color="000000" w:fill="FFC000"/>
            <w:vAlign w:val="center"/>
            <w:hideMark/>
          </w:tcPr>
          <w:p w14:paraId="22E6C123"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16 000</w:t>
            </w:r>
          </w:p>
        </w:tc>
        <w:tc>
          <w:tcPr>
            <w:tcW w:w="1960" w:type="dxa"/>
            <w:tcBorders>
              <w:top w:val="nil"/>
              <w:left w:val="nil"/>
              <w:bottom w:val="single" w:sz="4" w:space="0" w:color="auto"/>
              <w:right w:val="single" w:sz="8" w:space="0" w:color="auto"/>
            </w:tcBorders>
            <w:shd w:val="clear" w:color="000000" w:fill="92D050"/>
            <w:vAlign w:val="center"/>
            <w:hideMark/>
          </w:tcPr>
          <w:p w14:paraId="098C25F9"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4CEB74ED" w14:textId="77777777" w:rsidTr="006A6896">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7A30661B"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D. Nepriame finančné náklady</w:t>
            </w:r>
          </w:p>
        </w:tc>
        <w:tc>
          <w:tcPr>
            <w:tcW w:w="1960" w:type="dxa"/>
            <w:tcBorders>
              <w:top w:val="nil"/>
              <w:left w:val="nil"/>
              <w:bottom w:val="single" w:sz="4" w:space="0" w:color="auto"/>
              <w:right w:val="single" w:sz="4" w:space="0" w:color="auto"/>
            </w:tcBorders>
            <w:shd w:val="clear" w:color="000000" w:fill="FFC000"/>
            <w:vAlign w:val="center"/>
            <w:hideMark/>
          </w:tcPr>
          <w:p w14:paraId="2DCA0D33"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14:paraId="3B692CE1"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0A64A834" w14:textId="77777777" w:rsidTr="006A6896">
        <w:trPr>
          <w:trHeight w:val="300"/>
        </w:trPr>
        <w:tc>
          <w:tcPr>
            <w:tcW w:w="4760" w:type="dxa"/>
            <w:tcBorders>
              <w:top w:val="nil"/>
              <w:left w:val="single" w:sz="8" w:space="0" w:color="auto"/>
              <w:bottom w:val="nil"/>
              <w:right w:val="single" w:sz="4" w:space="0" w:color="auto"/>
            </w:tcBorders>
            <w:shd w:val="clear" w:color="auto" w:fill="auto"/>
            <w:vAlign w:val="center"/>
            <w:hideMark/>
          </w:tcPr>
          <w:p w14:paraId="7FF182FB"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E. Administratívne náklady</w:t>
            </w:r>
          </w:p>
        </w:tc>
        <w:tc>
          <w:tcPr>
            <w:tcW w:w="1960" w:type="dxa"/>
            <w:tcBorders>
              <w:top w:val="nil"/>
              <w:left w:val="nil"/>
              <w:bottom w:val="nil"/>
              <w:right w:val="single" w:sz="4" w:space="0" w:color="auto"/>
            </w:tcBorders>
            <w:shd w:val="clear" w:color="000000" w:fill="FFC000"/>
            <w:vAlign w:val="center"/>
            <w:hideMark/>
          </w:tcPr>
          <w:p w14:paraId="6F3AE40C"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15 656 118</w:t>
            </w:r>
          </w:p>
        </w:tc>
        <w:tc>
          <w:tcPr>
            <w:tcW w:w="1960" w:type="dxa"/>
            <w:tcBorders>
              <w:top w:val="nil"/>
              <w:left w:val="nil"/>
              <w:bottom w:val="nil"/>
              <w:right w:val="single" w:sz="8" w:space="0" w:color="auto"/>
            </w:tcBorders>
            <w:shd w:val="clear" w:color="000000" w:fill="92D050"/>
            <w:vAlign w:val="center"/>
            <w:hideMark/>
          </w:tcPr>
          <w:p w14:paraId="414B8CC8"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69553262" w14:textId="77777777" w:rsidTr="006A6896">
        <w:trPr>
          <w:trHeight w:val="3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959AAC"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Spolu = A+B+C+D+E</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505B92C6"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15 672 118</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641A8B0C"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77434346" w14:textId="77777777" w:rsidTr="006A6896">
        <w:trPr>
          <w:trHeight w:val="300"/>
        </w:trPr>
        <w:tc>
          <w:tcPr>
            <w:tcW w:w="4760" w:type="dxa"/>
            <w:tcBorders>
              <w:top w:val="nil"/>
              <w:left w:val="nil"/>
              <w:bottom w:val="nil"/>
              <w:right w:val="nil"/>
            </w:tcBorders>
            <w:shd w:val="clear" w:color="auto" w:fill="auto"/>
            <w:vAlign w:val="center"/>
            <w:hideMark/>
          </w:tcPr>
          <w:p w14:paraId="047AD071"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14:paraId="769B35AC"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3B66F149"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r>
      <w:tr w:rsidR="006A6896" w:rsidRPr="006A6896" w14:paraId="3C2001B3" w14:textId="77777777" w:rsidTr="006A6896">
        <w:trPr>
          <w:trHeight w:val="6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78D8C0"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Harmonizácia práva EÚ</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39203590"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23B399CD"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Zníženie nákladov v € na PP</w:t>
            </w:r>
          </w:p>
        </w:tc>
      </w:tr>
      <w:tr w:rsidR="006A6896" w:rsidRPr="006A6896" w14:paraId="38FF43ED" w14:textId="77777777" w:rsidTr="006A6896">
        <w:trPr>
          <w:trHeight w:val="990"/>
        </w:trPr>
        <w:tc>
          <w:tcPr>
            <w:tcW w:w="4760" w:type="dxa"/>
            <w:tcBorders>
              <w:top w:val="nil"/>
              <w:left w:val="single" w:sz="8" w:space="0" w:color="auto"/>
              <w:bottom w:val="nil"/>
              <w:right w:val="single" w:sz="4" w:space="0" w:color="auto"/>
            </w:tcBorders>
            <w:shd w:val="clear" w:color="auto" w:fill="auto"/>
            <w:vAlign w:val="center"/>
            <w:hideMark/>
          </w:tcPr>
          <w:p w14:paraId="32EDFAA8"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F. Úplná harmonizácia práva EÚ</w:t>
            </w:r>
            <w:r w:rsidRPr="006A6896">
              <w:rPr>
                <w:rFonts w:ascii="Times New Roman" w:eastAsia="Times New Roman" w:hAnsi="Times New Roman" w:cs="Times New Roman"/>
                <w:b/>
                <w:bCs/>
                <w:i/>
                <w:iCs/>
                <w:color w:val="000000"/>
                <w:sz w:val="20"/>
                <w:szCs w:val="20"/>
                <w:lang w:eastAsia="sk-SK"/>
              </w:rPr>
              <w:br/>
            </w:r>
            <w:r w:rsidRPr="006A6896">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6A6896">
              <w:rPr>
                <w:rFonts w:ascii="Times New Roman" w:eastAsia="Times New Roman" w:hAnsi="Times New Roman" w:cs="Times New Roman"/>
                <w:i/>
                <w:iCs/>
                <w:color w:val="000000"/>
                <w:sz w:val="16"/>
                <w:szCs w:val="16"/>
                <w:lang w:eastAsia="sk-SK"/>
              </w:rPr>
              <w:t>externality</w:t>
            </w:r>
            <w:proofErr w:type="spellEnd"/>
            <w:r w:rsidRPr="006A6896">
              <w:rPr>
                <w:rFonts w:ascii="Times New Roman" w:eastAsia="Times New Roman" w:hAnsi="Times New Roman" w:cs="Times New Roman"/>
                <w:i/>
                <w:iCs/>
                <w:color w:val="000000"/>
                <w:sz w:val="16"/>
                <w:szCs w:val="16"/>
                <w:lang w:eastAsia="sk-SK"/>
              </w:rPr>
              <w:t>)</w:t>
            </w:r>
          </w:p>
        </w:tc>
        <w:tc>
          <w:tcPr>
            <w:tcW w:w="1960" w:type="dxa"/>
            <w:tcBorders>
              <w:top w:val="nil"/>
              <w:left w:val="nil"/>
              <w:bottom w:val="nil"/>
              <w:right w:val="single" w:sz="4" w:space="0" w:color="auto"/>
            </w:tcBorders>
            <w:shd w:val="clear" w:color="000000" w:fill="FFC000"/>
            <w:vAlign w:val="center"/>
            <w:hideMark/>
          </w:tcPr>
          <w:p w14:paraId="6EB5D592"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15 672 118</w:t>
            </w:r>
          </w:p>
        </w:tc>
        <w:tc>
          <w:tcPr>
            <w:tcW w:w="1960" w:type="dxa"/>
            <w:tcBorders>
              <w:top w:val="nil"/>
              <w:left w:val="nil"/>
              <w:bottom w:val="nil"/>
              <w:right w:val="single" w:sz="8" w:space="0" w:color="auto"/>
            </w:tcBorders>
            <w:shd w:val="clear" w:color="000000" w:fill="92D050"/>
            <w:vAlign w:val="center"/>
            <w:hideMark/>
          </w:tcPr>
          <w:p w14:paraId="50CF3A60"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01560DF8" w14:textId="77777777" w:rsidTr="006A6896">
        <w:trPr>
          <w:trHeight w:val="27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DDA6C7" w14:textId="77777777" w:rsidR="006A6896" w:rsidRPr="006A6896" w:rsidRDefault="006A6896" w:rsidP="006A6896">
            <w:pPr>
              <w:spacing w:after="0" w:line="240" w:lineRule="auto"/>
              <w:rPr>
                <w:rFonts w:ascii="Times New Roman" w:eastAsia="Times New Roman" w:hAnsi="Times New Roman" w:cs="Times New Roman"/>
                <w:b/>
                <w:bCs/>
                <w:i/>
                <w:iCs/>
                <w:color w:val="000000"/>
                <w:sz w:val="20"/>
                <w:szCs w:val="20"/>
                <w:lang w:eastAsia="sk-SK"/>
              </w:rPr>
            </w:pPr>
            <w:r w:rsidRPr="006A6896">
              <w:rPr>
                <w:rFonts w:ascii="Times New Roman" w:eastAsia="Times New Roman" w:hAnsi="Times New Roman" w:cs="Times New Roman"/>
                <w:b/>
                <w:bCs/>
                <w:i/>
                <w:iCs/>
                <w:color w:val="000000"/>
                <w:sz w:val="20"/>
                <w:szCs w:val="20"/>
                <w:lang w:eastAsia="sk-SK"/>
              </w:rPr>
              <w:t>G. Goldplating</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5953E54D"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02909FFB"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r w:rsidR="006A6896" w:rsidRPr="006A6896" w14:paraId="3937AA41" w14:textId="77777777" w:rsidTr="006A6896">
        <w:trPr>
          <w:trHeight w:val="270"/>
        </w:trPr>
        <w:tc>
          <w:tcPr>
            <w:tcW w:w="4760" w:type="dxa"/>
            <w:tcBorders>
              <w:top w:val="nil"/>
              <w:left w:val="nil"/>
              <w:bottom w:val="nil"/>
              <w:right w:val="nil"/>
            </w:tcBorders>
            <w:shd w:val="clear" w:color="auto" w:fill="auto"/>
            <w:noWrap/>
            <w:vAlign w:val="bottom"/>
            <w:hideMark/>
          </w:tcPr>
          <w:p w14:paraId="5D6295E5"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14:paraId="2A1D68E0"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454D1551"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r>
      <w:tr w:rsidR="006A6896" w:rsidRPr="006A6896" w14:paraId="26707B41" w14:textId="77777777" w:rsidTr="006A6896">
        <w:trPr>
          <w:trHeight w:val="270"/>
        </w:trPr>
        <w:tc>
          <w:tcPr>
            <w:tcW w:w="4760" w:type="dxa"/>
            <w:tcBorders>
              <w:top w:val="nil"/>
              <w:left w:val="nil"/>
              <w:bottom w:val="nil"/>
              <w:right w:val="nil"/>
            </w:tcBorders>
            <w:shd w:val="clear" w:color="auto" w:fill="auto"/>
            <w:noWrap/>
            <w:vAlign w:val="bottom"/>
            <w:hideMark/>
          </w:tcPr>
          <w:p w14:paraId="278B53AF"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271632C6"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14:paraId="19A69360" w14:textId="77777777" w:rsidR="006A6896" w:rsidRPr="006A6896" w:rsidRDefault="006A6896" w:rsidP="006A6896">
            <w:pPr>
              <w:spacing w:after="0" w:line="240" w:lineRule="auto"/>
              <w:rPr>
                <w:rFonts w:ascii="Times New Roman" w:eastAsia="Times New Roman" w:hAnsi="Times New Roman" w:cs="Times New Roman"/>
                <w:sz w:val="20"/>
                <w:szCs w:val="20"/>
                <w:lang w:eastAsia="sk-SK"/>
              </w:rPr>
            </w:pPr>
          </w:p>
        </w:tc>
      </w:tr>
      <w:tr w:rsidR="006A6896" w:rsidRPr="006A6896" w14:paraId="53424CD7" w14:textId="77777777" w:rsidTr="006A6896">
        <w:trPr>
          <w:trHeight w:val="330"/>
        </w:trPr>
        <w:tc>
          <w:tcPr>
            <w:tcW w:w="4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353AFD" w14:textId="77777777" w:rsidR="006A6896" w:rsidRPr="006A6896" w:rsidRDefault="006A6896" w:rsidP="006A6896">
            <w:pPr>
              <w:spacing w:after="0" w:line="240" w:lineRule="auto"/>
              <w:rPr>
                <w:rFonts w:ascii="Times New Roman" w:eastAsia="Times New Roman" w:hAnsi="Times New Roman" w:cs="Times New Roman"/>
                <w:i/>
                <w:iCs/>
                <w:color w:val="000000"/>
                <w:sz w:val="20"/>
                <w:szCs w:val="20"/>
                <w:lang w:eastAsia="sk-SK"/>
              </w:rPr>
            </w:pPr>
            <w:r w:rsidRPr="006A6896">
              <w:rPr>
                <w:rFonts w:ascii="Times New Roman" w:eastAsia="Times New Roman" w:hAnsi="Times New Roman" w:cs="Times New Roman"/>
                <w:i/>
                <w:iCs/>
                <w:color w:val="000000"/>
                <w:sz w:val="20"/>
                <w:szCs w:val="20"/>
                <w:lang w:eastAsia="sk-SK"/>
              </w:rPr>
              <w:t>VÝPOČET PRAVIDLA 1in2out:</w:t>
            </w:r>
          </w:p>
        </w:tc>
        <w:tc>
          <w:tcPr>
            <w:tcW w:w="1960" w:type="dxa"/>
            <w:tcBorders>
              <w:top w:val="single" w:sz="8" w:space="0" w:color="auto"/>
              <w:left w:val="nil"/>
              <w:bottom w:val="single" w:sz="4" w:space="0" w:color="auto"/>
              <w:right w:val="single" w:sz="4" w:space="0" w:color="auto"/>
            </w:tcBorders>
            <w:shd w:val="clear" w:color="000000" w:fill="FFC000"/>
            <w:vAlign w:val="center"/>
            <w:hideMark/>
          </w:tcPr>
          <w:p w14:paraId="4924D599"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IN</w:t>
            </w:r>
          </w:p>
        </w:tc>
        <w:tc>
          <w:tcPr>
            <w:tcW w:w="1960" w:type="dxa"/>
            <w:tcBorders>
              <w:top w:val="single" w:sz="8" w:space="0" w:color="auto"/>
              <w:left w:val="nil"/>
              <w:bottom w:val="single" w:sz="4" w:space="0" w:color="auto"/>
              <w:right w:val="single" w:sz="8" w:space="0" w:color="auto"/>
            </w:tcBorders>
            <w:shd w:val="clear" w:color="000000" w:fill="92D050"/>
            <w:vAlign w:val="center"/>
            <w:hideMark/>
          </w:tcPr>
          <w:p w14:paraId="252338AF"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OUT</w:t>
            </w:r>
          </w:p>
        </w:tc>
      </w:tr>
      <w:tr w:rsidR="006A6896" w:rsidRPr="006A6896" w14:paraId="54AE67B0" w14:textId="77777777" w:rsidTr="006A6896">
        <w:trPr>
          <w:trHeight w:val="345"/>
        </w:trPr>
        <w:tc>
          <w:tcPr>
            <w:tcW w:w="4760" w:type="dxa"/>
            <w:tcBorders>
              <w:top w:val="nil"/>
              <w:left w:val="single" w:sz="8" w:space="0" w:color="auto"/>
              <w:bottom w:val="single" w:sz="8" w:space="0" w:color="auto"/>
              <w:right w:val="single" w:sz="4" w:space="0" w:color="auto"/>
            </w:tcBorders>
            <w:shd w:val="clear" w:color="auto" w:fill="auto"/>
            <w:vAlign w:val="center"/>
            <w:hideMark/>
          </w:tcPr>
          <w:p w14:paraId="318AC7F2" w14:textId="77777777" w:rsidR="006A6896" w:rsidRPr="006A6896" w:rsidRDefault="006A6896" w:rsidP="006A6896">
            <w:pPr>
              <w:spacing w:after="0" w:line="240" w:lineRule="auto"/>
              <w:rPr>
                <w:rFonts w:ascii="Times New Roman" w:eastAsia="Times New Roman" w:hAnsi="Times New Roman" w:cs="Times New Roman"/>
                <w:i/>
                <w:iCs/>
                <w:color w:val="000000"/>
                <w:sz w:val="20"/>
                <w:szCs w:val="20"/>
                <w:lang w:eastAsia="sk-SK"/>
              </w:rPr>
            </w:pPr>
            <w:r w:rsidRPr="006A6896">
              <w:rPr>
                <w:rFonts w:ascii="Times New Roman" w:eastAsia="Times New Roman" w:hAnsi="Times New Roman" w:cs="Times New Roman"/>
                <w:i/>
                <w:iCs/>
                <w:color w:val="000000"/>
                <w:sz w:val="20"/>
                <w:szCs w:val="20"/>
                <w:lang w:eastAsia="sk-SK"/>
              </w:rPr>
              <w:t>H</w:t>
            </w:r>
            <w:r w:rsidRPr="006A6896">
              <w:rPr>
                <w:rFonts w:ascii="Times New Roman" w:eastAsia="Times New Roman" w:hAnsi="Times New Roman" w:cs="Times New Roman"/>
                <w:b/>
                <w:bCs/>
                <w:i/>
                <w:iCs/>
                <w:color w:val="000000"/>
                <w:sz w:val="20"/>
                <w:szCs w:val="20"/>
                <w:lang w:eastAsia="sk-SK"/>
              </w:rPr>
              <w:t>.</w:t>
            </w:r>
            <w:r w:rsidRPr="006A6896">
              <w:rPr>
                <w:rFonts w:ascii="Times New Roman" w:eastAsia="Times New Roman" w:hAnsi="Times New Roman" w:cs="Times New Roman"/>
                <w:i/>
                <w:iCs/>
                <w:color w:val="000000"/>
                <w:sz w:val="20"/>
                <w:szCs w:val="20"/>
                <w:lang w:eastAsia="sk-SK"/>
              </w:rPr>
              <w:t xml:space="preserve"> Náklady okrem výnimiek = B+D+E-F</w:t>
            </w:r>
          </w:p>
        </w:tc>
        <w:tc>
          <w:tcPr>
            <w:tcW w:w="1960" w:type="dxa"/>
            <w:tcBorders>
              <w:top w:val="nil"/>
              <w:left w:val="nil"/>
              <w:bottom w:val="single" w:sz="8" w:space="0" w:color="auto"/>
              <w:right w:val="single" w:sz="4" w:space="0" w:color="auto"/>
            </w:tcBorders>
            <w:shd w:val="clear" w:color="000000" w:fill="FFC000"/>
            <w:vAlign w:val="center"/>
            <w:hideMark/>
          </w:tcPr>
          <w:p w14:paraId="342561B6"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8" w:space="0" w:color="auto"/>
              <w:right w:val="single" w:sz="8" w:space="0" w:color="auto"/>
            </w:tcBorders>
            <w:shd w:val="clear" w:color="000000" w:fill="92D050"/>
            <w:vAlign w:val="center"/>
            <w:hideMark/>
          </w:tcPr>
          <w:p w14:paraId="192251F2" w14:textId="77777777" w:rsidR="006A6896" w:rsidRPr="006A6896" w:rsidRDefault="006A6896" w:rsidP="006A6896">
            <w:pPr>
              <w:spacing w:after="0" w:line="240" w:lineRule="auto"/>
              <w:jc w:val="center"/>
              <w:rPr>
                <w:rFonts w:ascii="Times New Roman" w:eastAsia="Times New Roman" w:hAnsi="Times New Roman" w:cs="Times New Roman"/>
                <w:b/>
                <w:bCs/>
                <w:color w:val="000000"/>
                <w:sz w:val="20"/>
                <w:szCs w:val="20"/>
                <w:lang w:eastAsia="sk-SK"/>
              </w:rPr>
            </w:pPr>
            <w:r w:rsidRPr="006A6896">
              <w:rPr>
                <w:rFonts w:ascii="Times New Roman" w:eastAsia="Times New Roman" w:hAnsi="Times New Roman" w:cs="Times New Roman"/>
                <w:b/>
                <w:bCs/>
                <w:color w:val="000000"/>
                <w:sz w:val="20"/>
                <w:szCs w:val="20"/>
                <w:lang w:eastAsia="sk-SK"/>
              </w:rPr>
              <w:t>0</w:t>
            </w:r>
          </w:p>
        </w:tc>
      </w:tr>
    </w:tbl>
    <w:p w14:paraId="0077E4DB" w14:textId="56689B54" w:rsidR="009277B2" w:rsidRDefault="0022740F" w:rsidP="00054C41">
      <w:pPr>
        <w:jc w:val="both"/>
      </w:pPr>
      <w:r>
        <w:fldChar w:fldCharType="begin"/>
      </w:r>
      <w:r>
        <w:instrText xml:space="preserve"> LINK </w:instrText>
      </w:r>
      <w:r w:rsidR="009277B2">
        <w:instrText xml:space="preserve">Excel.Sheet.12 "C:\\Users\\Madzinova\\Desktop\\ORŽMaRP\\smernice\\rovne odmenovanie\\zákon\\MPK\\final\\KALKULAČKA_EQUAL_PAY_17.9._2025.xlsx" "Krok 2- Tabuľky na skopírovanie!R5:R19" </w:instrText>
      </w:r>
      <w:r>
        <w:instrText xml:space="preserve">\a \f 4 \h </w:instrText>
      </w:r>
      <w:r>
        <w:fldChar w:fldCharType="separate"/>
      </w:r>
    </w:p>
    <w:tbl>
      <w:tblPr>
        <w:tblW w:w="30480" w:type="dxa"/>
        <w:tblCellMar>
          <w:left w:w="70" w:type="dxa"/>
          <w:right w:w="70" w:type="dxa"/>
        </w:tblCellMar>
        <w:tblLook w:val="04A0" w:firstRow="1" w:lastRow="0" w:firstColumn="1" w:lastColumn="0" w:noHBand="0" w:noVBand="1"/>
      </w:tblPr>
      <w:tblGrid>
        <w:gridCol w:w="949"/>
        <w:gridCol w:w="4755"/>
        <w:gridCol w:w="1958"/>
        <w:gridCol w:w="1958"/>
        <w:gridCol w:w="6340"/>
        <w:gridCol w:w="1060"/>
        <w:gridCol w:w="1460"/>
        <w:gridCol w:w="1140"/>
        <w:gridCol w:w="1240"/>
        <w:gridCol w:w="1380"/>
        <w:gridCol w:w="1980"/>
        <w:gridCol w:w="1980"/>
        <w:gridCol w:w="1460"/>
        <w:gridCol w:w="1080"/>
        <w:gridCol w:w="1740"/>
      </w:tblGrid>
      <w:tr w:rsidR="009277B2" w:rsidRPr="009277B2" w14:paraId="5713101F" w14:textId="77777777" w:rsidTr="009277B2">
        <w:trPr>
          <w:trHeight w:val="675"/>
        </w:trPr>
        <w:tc>
          <w:tcPr>
            <w:tcW w:w="949" w:type="dxa"/>
            <w:tcBorders>
              <w:top w:val="nil"/>
              <w:left w:val="nil"/>
              <w:bottom w:val="nil"/>
              <w:right w:val="nil"/>
            </w:tcBorders>
            <w:shd w:val="clear" w:color="auto" w:fill="auto"/>
            <w:noWrap/>
            <w:vAlign w:val="bottom"/>
            <w:hideMark/>
          </w:tcPr>
          <w:p w14:paraId="2AD39257" w14:textId="0672E2EA" w:rsidR="009277B2" w:rsidRPr="009277B2" w:rsidRDefault="009277B2" w:rsidP="009277B2">
            <w:pPr>
              <w:spacing w:after="0" w:line="240" w:lineRule="auto"/>
              <w:rPr>
                <w:rFonts w:ascii="Times New Roman" w:eastAsia="Times New Roman" w:hAnsi="Times New Roman" w:cs="Times New Roman"/>
                <w:sz w:val="24"/>
                <w:szCs w:val="24"/>
                <w:lang w:eastAsia="sk-SK"/>
              </w:rPr>
            </w:pPr>
          </w:p>
        </w:tc>
        <w:tc>
          <w:tcPr>
            <w:tcW w:w="475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A1DA91" w14:textId="77777777" w:rsidR="009277B2" w:rsidRPr="009277B2" w:rsidRDefault="009277B2" w:rsidP="009277B2">
            <w:pPr>
              <w:spacing w:after="0" w:line="240" w:lineRule="auto"/>
              <w:jc w:val="center"/>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TYP NÁKLADOV</w:t>
            </w:r>
          </w:p>
        </w:tc>
        <w:tc>
          <w:tcPr>
            <w:tcW w:w="1958" w:type="dxa"/>
            <w:tcBorders>
              <w:top w:val="single" w:sz="8" w:space="0" w:color="auto"/>
              <w:left w:val="nil"/>
              <w:bottom w:val="single" w:sz="8" w:space="0" w:color="auto"/>
              <w:right w:val="single" w:sz="4" w:space="0" w:color="auto"/>
            </w:tcBorders>
            <w:shd w:val="clear" w:color="000000" w:fill="FFC000"/>
            <w:vAlign w:val="center"/>
            <w:hideMark/>
          </w:tcPr>
          <w:p w14:paraId="094AA0A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Zvýšenie nákladov v € na PP</w:t>
            </w:r>
          </w:p>
        </w:tc>
        <w:tc>
          <w:tcPr>
            <w:tcW w:w="1958" w:type="dxa"/>
            <w:tcBorders>
              <w:top w:val="single" w:sz="8" w:space="0" w:color="auto"/>
              <w:left w:val="nil"/>
              <w:bottom w:val="single" w:sz="8" w:space="0" w:color="auto"/>
              <w:right w:val="single" w:sz="8" w:space="0" w:color="auto"/>
            </w:tcBorders>
            <w:shd w:val="clear" w:color="000000" w:fill="92D050"/>
            <w:vAlign w:val="center"/>
            <w:hideMark/>
          </w:tcPr>
          <w:p w14:paraId="0F02E8F0"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Zníženie nákladov v € na PP</w:t>
            </w:r>
          </w:p>
        </w:tc>
        <w:tc>
          <w:tcPr>
            <w:tcW w:w="6340" w:type="dxa"/>
            <w:tcBorders>
              <w:top w:val="nil"/>
              <w:left w:val="nil"/>
              <w:bottom w:val="nil"/>
              <w:right w:val="nil"/>
            </w:tcBorders>
            <w:shd w:val="clear" w:color="auto" w:fill="auto"/>
            <w:noWrap/>
            <w:vAlign w:val="bottom"/>
            <w:hideMark/>
          </w:tcPr>
          <w:p w14:paraId="7DAEFBBA"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3CFC05C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2B76A33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015F915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4A57070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07B5644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54D4905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9B3562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6FFD784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69FD034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2A749F6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2CCC8519" w14:textId="77777777" w:rsidTr="009277B2">
        <w:trPr>
          <w:trHeight w:val="810"/>
        </w:trPr>
        <w:tc>
          <w:tcPr>
            <w:tcW w:w="949" w:type="dxa"/>
            <w:tcBorders>
              <w:top w:val="nil"/>
              <w:left w:val="nil"/>
              <w:bottom w:val="nil"/>
              <w:right w:val="nil"/>
            </w:tcBorders>
            <w:shd w:val="clear" w:color="auto" w:fill="auto"/>
            <w:noWrap/>
            <w:vAlign w:val="bottom"/>
            <w:hideMark/>
          </w:tcPr>
          <w:p w14:paraId="115E64D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single" w:sz="4" w:space="0" w:color="auto"/>
              <w:right w:val="single" w:sz="4" w:space="0" w:color="auto"/>
            </w:tcBorders>
            <w:shd w:val="clear" w:color="auto" w:fill="auto"/>
            <w:vAlign w:val="center"/>
            <w:hideMark/>
          </w:tcPr>
          <w:p w14:paraId="6D4F049C"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proofErr w:type="spellStart"/>
            <w:r w:rsidRPr="009277B2">
              <w:rPr>
                <w:rFonts w:ascii="Times New Roman" w:eastAsia="Times New Roman" w:hAnsi="Times New Roman" w:cs="Times New Roman"/>
                <w:b/>
                <w:bCs/>
                <w:i/>
                <w:iCs/>
                <w:color w:val="000000"/>
                <w:sz w:val="20"/>
                <w:szCs w:val="20"/>
                <w:lang w:eastAsia="sk-SK"/>
              </w:rPr>
              <w:t>A.Dane</w:t>
            </w:r>
            <w:proofErr w:type="spellEnd"/>
            <w:r w:rsidRPr="009277B2">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9277B2">
              <w:rPr>
                <w:rFonts w:ascii="Times New Roman" w:eastAsia="Times New Roman" w:hAnsi="Times New Roman" w:cs="Times New Roman"/>
                <w:b/>
                <w:bCs/>
                <w:i/>
                <w:iCs/>
                <w:color w:val="000000"/>
                <w:sz w:val="20"/>
                <w:szCs w:val="20"/>
                <w:lang w:eastAsia="sk-SK"/>
              </w:rPr>
              <w:t>externality</w:t>
            </w:r>
            <w:proofErr w:type="spellEnd"/>
          </w:p>
        </w:tc>
        <w:tc>
          <w:tcPr>
            <w:tcW w:w="1958" w:type="dxa"/>
            <w:tcBorders>
              <w:top w:val="nil"/>
              <w:left w:val="nil"/>
              <w:bottom w:val="single" w:sz="4" w:space="0" w:color="auto"/>
              <w:right w:val="single" w:sz="4" w:space="0" w:color="auto"/>
            </w:tcBorders>
            <w:shd w:val="clear" w:color="000000" w:fill="FFC000"/>
            <w:vAlign w:val="center"/>
            <w:hideMark/>
          </w:tcPr>
          <w:p w14:paraId="0B70CE9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1958" w:type="dxa"/>
            <w:tcBorders>
              <w:top w:val="nil"/>
              <w:left w:val="nil"/>
              <w:bottom w:val="single" w:sz="4" w:space="0" w:color="auto"/>
              <w:right w:val="single" w:sz="8" w:space="0" w:color="auto"/>
            </w:tcBorders>
            <w:shd w:val="clear" w:color="000000" w:fill="92D050"/>
            <w:vAlign w:val="center"/>
            <w:hideMark/>
          </w:tcPr>
          <w:p w14:paraId="01B1F1FD"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229D31C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038C7CD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3F9DF5C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29EAE3E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3336047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3A56F4A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34F4317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171B503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0DE0421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6F54417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0E60A5F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00343AD2" w14:textId="77777777" w:rsidTr="009277B2">
        <w:trPr>
          <w:trHeight w:val="300"/>
        </w:trPr>
        <w:tc>
          <w:tcPr>
            <w:tcW w:w="949" w:type="dxa"/>
            <w:tcBorders>
              <w:top w:val="nil"/>
              <w:left w:val="nil"/>
              <w:bottom w:val="nil"/>
              <w:right w:val="nil"/>
            </w:tcBorders>
            <w:shd w:val="clear" w:color="auto" w:fill="auto"/>
            <w:noWrap/>
            <w:vAlign w:val="bottom"/>
            <w:hideMark/>
          </w:tcPr>
          <w:p w14:paraId="3D1ACDA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single" w:sz="4" w:space="0" w:color="auto"/>
              <w:right w:val="single" w:sz="4" w:space="0" w:color="auto"/>
            </w:tcBorders>
            <w:shd w:val="clear" w:color="auto" w:fill="auto"/>
            <w:vAlign w:val="center"/>
            <w:hideMark/>
          </w:tcPr>
          <w:p w14:paraId="48512529"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B. Iné poplatky</w:t>
            </w:r>
          </w:p>
        </w:tc>
        <w:tc>
          <w:tcPr>
            <w:tcW w:w="1958" w:type="dxa"/>
            <w:tcBorders>
              <w:top w:val="nil"/>
              <w:left w:val="nil"/>
              <w:bottom w:val="single" w:sz="4" w:space="0" w:color="auto"/>
              <w:right w:val="single" w:sz="4" w:space="0" w:color="auto"/>
            </w:tcBorders>
            <w:shd w:val="clear" w:color="000000" w:fill="FFC000"/>
            <w:vAlign w:val="center"/>
            <w:hideMark/>
          </w:tcPr>
          <w:p w14:paraId="6C0B8263"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1958" w:type="dxa"/>
            <w:tcBorders>
              <w:top w:val="nil"/>
              <w:left w:val="nil"/>
              <w:bottom w:val="single" w:sz="4" w:space="0" w:color="auto"/>
              <w:right w:val="single" w:sz="8" w:space="0" w:color="auto"/>
            </w:tcBorders>
            <w:shd w:val="clear" w:color="000000" w:fill="92D050"/>
            <w:vAlign w:val="center"/>
            <w:hideMark/>
          </w:tcPr>
          <w:p w14:paraId="109610C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680E125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7EE22CA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45D70FF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668BDA0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1E384F4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1473A7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549B3DA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299EA4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45BE0DE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2728E5E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709DB7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67C28C4C" w14:textId="77777777" w:rsidTr="009277B2">
        <w:trPr>
          <w:trHeight w:val="300"/>
        </w:trPr>
        <w:tc>
          <w:tcPr>
            <w:tcW w:w="949" w:type="dxa"/>
            <w:tcBorders>
              <w:top w:val="nil"/>
              <w:left w:val="nil"/>
              <w:bottom w:val="nil"/>
              <w:right w:val="nil"/>
            </w:tcBorders>
            <w:shd w:val="clear" w:color="auto" w:fill="auto"/>
            <w:noWrap/>
            <w:vAlign w:val="bottom"/>
            <w:hideMark/>
          </w:tcPr>
          <w:p w14:paraId="6EC149A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single" w:sz="4" w:space="0" w:color="auto"/>
              <w:right w:val="single" w:sz="4" w:space="0" w:color="auto"/>
            </w:tcBorders>
            <w:shd w:val="clear" w:color="auto" w:fill="auto"/>
            <w:vAlign w:val="center"/>
            <w:hideMark/>
          </w:tcPr>
          <w:p w14:paraId="08346551"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C. Sankcie a pokuty</w:t>
            </w:r>
          </w:p>
        </w:tc>
        <w:tc>
          <w:tcPr>
            <w:tcW w:w="1958" w:type="dxa"/>
            <w:tcBorders>
              <w:top w:val="nil"/>
              <w:left w:val="nil"/>
              <w:bottom w:val="single" w:sz="4" w:space="0" w:color="auto"/>
              <w:right w:val="single" w:sz="4" w:space="0" w:color="auto"/>
            </w:tcBorders>
            <w:shd w:val="clear" w:color="000000" w:fill="FFC000"/>
            <w:vAlign w:val="center"/>
            <w:hideMark/>
          </w:tcPr>
          <w:p w14:paraId="5D1F92D7"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40 000</w:t>
            </w:r>
          </w:p>
        </w:tc>
        <w:tc>
          <w:tcPr>
            <w:tcW w:w="1958" w:type="dxa"/>
            <w:tcBorders>
              <w:top w:val="nil"/>
              <w:left w:val="nil"/>
              <w:bottom w:val="single" w:sz="4" w:space="0" w:color="auto"/>
              <w:right w:val="single" w:sz="8" w:space="0" w:color="auto"/>
            </w:tcBorders>
            <w:shd w:val="clear" w:color="000000" w:fill="92D050"/>
            <w:vAlign w:val="center"/>
            <w:hideMark/>
          </w:tcPr>
          <w:p w14:paraId="1F5127B6"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076D3049"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02E218B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36DB072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0BAE923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432BAB5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D59B36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5452F9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A40A42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1CE556D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2541294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4FD98B5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1C574208" w14:textId="77777777" w:rsidTr="009277B2">
        <w:trPr>
          <w:trHeight w:val="300"/>
        </w:trPr>
        <w:tc>
          <w:tcPr>
            <w:tcW w:w="949" w:type="dxa"/>
            <w:tcBorders>
              <w:top w:val="nil"/>
              <w:left w:val="nil"/>
              <w:bottom w:val="nil"/>
              <w:right w:val="nil"/>
            </w:tcBorders>
            <w:shd w:val="clear" w:color="auto" w:fill="auto"/>
            <w:noWrap/>
            <w:vAlign w:val="bottom"/>
            <w:hideMark/>
          </w:tcPr>
          <w:p w14:paraId="2D8D32B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single" w:sz="4" w:space="0" w:color="auto"/>
              <w:right w:val="single" w:sz="4" w:space="0" w:color="auto"/>
            </w:tcBorders>
            <w:shd w:val="clear" w:color="auto" w:fill="auto"/>
            <w:vAlign w:val="center"/>
            <w:hideMark/>
          </w:tcPr>
          <w:p w14:paraId="1CDED6DE"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D. Nepriame finančné náklady</w:t>
            </w:r>
          </w:p>
        </w:tc>
        <w:tc>
          <w:tcPr>
            <w:tcW w:w="1958" w:type="dxa"/>
            <w:tcBorders>
              <w:top w:val="nil"/>
              <w:left w:val="nil"/>
              <w:bottom w:val="single" w:sz="4" w:space="0" w:color="auto"/>
              <w:right w:val="single" w:sz="4" w:space="0" w:color="auto"/>
            </w:tcBorders>
            <w:shd w:val="clear" w:color="000000" w:fill="FFC000"/>
            <w:vAlign w:val="center"/>
            <w:hideMark/>
          </w:tcPr>
          <w:p w14:paraId="2BE5D452"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1958" w:type="dxa"/>
            <w:tcBorders>
              <w:top w:val="nil"/>
              <w:left w:val="nil"/>
              <w:bottom w:val="single" w:sz="4" w:space="0" w:color="auto"/>
              <w:right w:val="single" w:sz="8" w:space="0" w:color="auto"/>
            </w:tcBorders>
            <w:shd w:val="clear" w:color="000000" w:fill="92D050"/>
            <w:vAlign w:val="center"/>
            <w:hideMark/>
          </w:tcPr>
          <w:p w14:paraId="2B0F272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7F5EDDE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75750BF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2657E89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158343E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67CF996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223BF02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07836A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4ED5402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660B7E9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620395C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3E96055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4FFE5098" w14:textId="77777777" w:rsidTr="009277B2">
        <w:trPr>
          <w:trHeight w:val="300"/>
        </w:trPr>
        <w:tc>
          <w:tcPr>
            <w:tcW w:w="949" w:type="dxa"/>
            <w:tcBorders>
              <w:top w:val="nil"/>
              <w:left w:val="nil"/>
              <w:bottom w:val="nil"/>
              <w:right w:val="nil"/>
            </w:tcBorders>
            <w:shd w:val="clear" w:color="auto" w:fill="auto"/>
            <w:noWrap/>
            <w:vAlign w:val="bottom"/>
            <w:hideMark/>
          </w:tcPr>
          <w:p w14:paraId="5A8CF09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nil"/>
              <w:right w:val="single" w:sz="4" w:space="0" w:color="auto"/>
            </w:tcBorders>
            <w:shd w:val="clear" w:color="auto" w:fill="auto"/>
            <w:vAlign w:val="center"/>
            <w:hideMark/>
          </w:tcPr>
          <w:p w14:paraId="6BF5C556"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E. Administratívne náklady</w:t>
            </w:r>
          </w:p>
        </w:tc>
        <w:tc>
          <w:tcPr>
            <w:tcW w:w="1958" w:type="dxa"/>
            <w:tcBorders>
              <w:top w:val="nil"/>
              <w:left w:val="nil"/>
              <w:bottom w:val="nil"/>
              <w:right w:val="single" w:sz="4" w:space="0" w:color="auto"/>
            </w:tcBorders>
            <w:shd w:val="clear" w:color="000000" w:fill="FFC000"/>
            <w:vAlign w:val="center"/>
            <w:hideMark/>
          </w:tcPr>
          <w:p w14:paraId="4EA06C34"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15 656 118</w:t>
            </w:r>
          </w:p>
        </w:tc>
        <w:tc>
          <w:tcPr>
            <w:tcW w:w="1958" w:type="dxa"/>
            <w:tcBorders>
              <w:top w:val="nil"/>
              <w:left w:val="nil"/>
              <w:bottom w:val="nil"/>
              <w:right w:val="single" w:sz="8" w:space="0" w:color="auto"/>
            </w:tcBorders>
            <w:shd w:val="clear" w:color="000000" w:fill="92D050"/>
            <w:vAlign w:val="center"/>
            <w:hideMark/>
          </w:tcPr>
          <w:p w14:paraId="7B63D962"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40978448"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0FBA856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019D036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7F97923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74D0B94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066166E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1B5CB7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164A7CE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42A57A8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6159C4F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4BE5F53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0E5367DA" w14:textId="77777777" w:rsidTr="009277B2">
        <w:trPr>
          <w:trHeight w:val="300"/>
        </w:trPr>
        <w:tc>
          <w:tcPr>
            <w:tcW w:w="949" w:type="dxa"/>
            <w:tcBorders>
              <w:top w:val="nil"/>
              <w:left w:val="nil"/>
              <w:bottom w:val="nil"/>
              <w:right w:val="nil"/>
            </w:tcBorders>
            <w:shd w:val="clear" w:color="auto" w:fill="auto"/>
            <w:noWrap/>
            <w:vAlign w:val="bottom"/>
            <w:hideMark/>
          </w:tcPr>
          <w:p w14:paraId="6A66C7D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0D36CF"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Spolu = A+B+C+D+E</w:t>
            </w:r>
          </w:p>
        </w:tc>
        <w:tc>
          <w:tcPr>
            <w:tcW w:w="1958" w:type="dxa"/>
            <w:tcBorders>
              <w:top w:val="single" w:sz="8" w:space="0" w:color="auto"/>
              <w:left w:val="nil"/>
              <w:bottom w:val="single" w:sz="8" w:space="0" w:color="auto"/>
              <w:right w:val="single" w:sz="4" w:space="0" w:color="auto"/>
            </w:tcBorders>
            <w:shd w:val="clear" w:color="000000" w:fill="FFC000"/>
            <w:vAlign w:val="center"/>
            <w:hideMark/>
          </w:tcPr>
          <w:p w14:paraId="09FC636B"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15 696 118</w:t>
            </w:r>
          </w:p>
        </w:tc>
        <w:tc>
          <w:tcPr>
            <w:tcW w:w="1958" w:type="dxa"/>
            <w:tcBorders>
              <w:top w:val="single" w:sz="8" w:space="0" w:color="auto"/>
              <w:left w:val="nil"/>
              <w:bottom w:val="single" w:sz="8" w:space="0" w:color="auto"/>
              <w:right w:val="single" w:sz="8" w:space="0" w:color="auto"/>
            </w:tcBorders>
            <w:shd w:val="clear" w:color="000000" w:fill="92D050"/>
            <w:vAlign w:val="center"/>
            <w:hideMark/>
          </w:tcPr>
          <w:p w14:paraId="327EA689"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3FC7A51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6916577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1925B1A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561DAD4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4B8CA96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6E4B818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1B4D8D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1F0280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253D09B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31AA4B2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D13092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61810486" w14:textId="77777777" w:rsidTr="009277B2">
        <w:trPr>
          <w:trHeight w:val="300"/>
        </w:trPr>
        <w:tc>
          <w:tcPr>
            <w:tcW w:w="949" w:type="dxa"/>
            <w:tcBorders>
              <w:top w:val="nil"/>
              <w:left w:val="nil"/>
              <w:bottom w:val="nil"/>
              <w:right w:val="nil"/>
            </w:tcBorders>
            <w:shd w:val="clear" w:color="auto" w:fill="auto"/>
            <w:noWrap/>
            <w:vAlign w:val="bottom"/>
            <w:hideMark/>
          </w:tcPr>
          <w:p w14:paraId="30C3D6B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nil"/>
              <w:bottom w:val="nil"/>
              <w:right w:val="nil"/>
            </w:tcBorders>
            <w:shd w:val="clear" w:color="auto" w:fill="auto"/>
            <w:vAlign w:val="center"/>
            <w:hideMark/>
          </w:tcPr>
          <w:p w14:paraId="6410C6A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72A1D9E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46310F3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6340" w:type="dxa"/>
            <w:tcBorders>
              <w:top w:val="nil"/>
              <w:left w:val="nil"/>
              <w:bottom w:val="nil"/>
              <w:right w:val="nil"/>
            </w:tcBorders>
            <w:shd w:val="clear" w:color="auto" w:fill="auto"/>
            <w:noWrap/>
            <w:vAlign w:val="bottom"/>
            <w:hideMark/>
          </w:tcPr>
          <w:p w14:paraId="63228A7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noWrap/>
            <w:vAlign w:val="bottom"/>
            <w:hideMark/>
          </w:tcPr>
          <w:p w14:paraId="3F2732B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5DD0E8B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327BF58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5887992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650B6E3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028F45C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4D741C4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7A6D08A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43F32A5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2AB524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26BC2ADE" w14:textId="77777777" w:rsidTr="009277B2">
        <w:trPr>
          <w:trHeight w:val="600"/>
        </w:trPr>
        <w:tc>
          <w:tcPr>
            <w:tcW w:w="949" w:type="dxa"/>
            <w:tcBorders>
              <w:top w:val="nil"/>
              <w:left w:val="nil"/>
              <w:bottom w:val="nil"/>
              <w:right w:val="nil"/>
            </w:tcBorders>
            <w:shd w:val="clear" w:color="auto" w:fill="auto"/>
            <w:noWrap/>
            <w:vAlign w:val="bottom"/>
            <w:hideMark/>
          </w:tcPr>
          <w:p w14:paraId="2D977D7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B62B6F"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Harmonizácia práva EÚ</w:t>
            </w:r>
          </w:p>
        </w:tc>
        <w:tc>
          <w:tcPr>
            <w:tcW w:w="1958" w:type="dxa"/>
            <w:tcBorders>
              <w:top w:val="single" w:sz="8" w:space="0" w:color="auto"/>
              <w:left w:val="nil"/>
              <w:bottom w:val="single" w:sz="8" w:space="0" w:color="auto"/>
              <w:right w:val="single" w:sz="4" w:space="0" w:color="auto"/>
            </w:tcBorders>
            <w:shd w:val="clear" w:color="000000" w:fill="FFC000"/>
            <w:vAlign w:val="center"/>
            <w:hideMark/>
          </w:tcPr>
          <w:p w14:paraId="12AD00F1"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Zvýšenie nákladov v € na PP</w:t>
            </w:r>
          </w:p>
        </w:tc>
        <w:tc>
          <w:tcPr>
            <w:tcW w:w="1958" w:type="dxa"/>
            <w:tcBorders>
              <w:top w:val="single" w:sz="8" w:space="0" w:color="auto"/>
              <w:left w:val="nil"/>
              <w:bottom w:val="single" w:sz="8" w:space="0" w:color="auto"/>
              <w:right w:val="single" w:sz="8" w:space="0" w:color="auto"/>
            </w:tcBorders>
            <w:shd w:val="clear" w:color="000000" w:fill="92D050"/>
            <w:vAlign w:val="center"/>
            <w:hideMark/>
          </w:tcPr>
          <w:p w14:paraId="1209D932"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Zníženie nákladov v € na PP</w:t>
            </w:r>
          </w:p>
        </w:tc>
        <w:tc>
          <w:tcPr>
            <w:tcW w:w="6340" w:type="dxa"/>
            <w:tcBorders>
              <w:top w:val="nil"/>
              <w:left w:val="nil"/>
              <w:bottom w:val="nil"/>
              <w:right w:val="nil"/>
            </w:tcBorders>
            <w:shd w:val="clear" w:color="auto" w:fill="auto"/>
            <w:noWrap/>
            <w:vAlign w:val="bottom"/>
            <w:hideMark/>
          </w:tcPr>
          <w:p w14:paraId="1EDE1D1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4A0FEC7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5FEEEED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6C4D79A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7340194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D16F2D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746EFC8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0DB43A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56BE36F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5A4F02B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2427D25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63094D4C" w14:textId="77777777" w:rsidTr="009277B2">
        <w:trPr>
          <w:trHeight w:val="990"/>
        </w:trPr>
        <w:tc>
          <w:tcPr>
            <w:tcW w:w="949" w:type="dxa"/>
            <w:tcBorders>
              <w:top w:val="nil"/>
              <w:left w:val="nil"/>
              <w:bottom w:val="nil"/>
              <w:right w:val="nil"/>
            </w:tcBorders>
            <w:shd w:val="clear" w:color="auto" w:fill="auto"/>
            <w:noWrap/>
            <w:vAlign w:val="bottom"/>
            <w:hideMark/>
          </w:tcPr>
          <w:p w14:paraId="1BC55E6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nil"/>
              <w:right w:val="single" w:sz="4" w:space="0" w:color="auto"/>
            </w:tcBorders>
            <w:shd w:val="clear" w:color="auto" w:fill="auto"/>
            <w:vAlign w:val="center"/>
            <w:hideMark/>
          </w:tcPr>
          <w:p w14:paraId="7DC2F0B3"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F. Úplná harmonizácia práva EÚ</w:t>
            </w:r>
            <w:r w:rsidRPr="009277B2">
              <w:rPr>
                <w:rFonts w:ascii="Times New Roman" w:eastAsia="Times New Roman" w:hAnsi="Times New Roman" w:cs="Times New Roman"/>
                <w:b/>
                <w:bCs/>
                <w:i/>
                <w:iCs/>
                <w:color w:val="000000"/>
                <w:sz w:val="20"/>
                <w:szCs w:val="20"/>
                <w:lang w:eastAsia="sk-SK"/>
              </w:rPr>
              <w:br/>
            </w:r>
            <w:r w:rsidRPr="009277B2">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9277B2">
              <w:rPr>
                <w:rFonts w:ascii="Times New Roman" w:eastAsia="Times New Roman" w:hAnsi="Times New Roman" w:cs="Times New Roman"/>
                <w:i/>
                <w:iCs/>
                <w:color w:val="000000"/>
                <w:sz w:val="16"/>
                <w:szCs w:val="16"/>
                <w:lang w:eastAsia="sk-SK"/>
              </w:rPr>
              <w:t>externality</w:t>
            </w:r>
            <w:proofErr w:type="spellEnd"/>
            <w:r w:rsidRPr="009277B2">
              <w:rPr>
                <w:rFonts w:ascii="Times New Roman" w:eastAsia="Times New Roman" w:hAnsi="Times New Roman" w:cs="Times New Roman"/>
                <w:i/>
                <w:iCs/>
                <w:color w:val="000000"/>
                <w:sz w:val="16"/>
                <w:szCs w:val="16"/>
                <w:lang w:eastAsia="sk-SK"/>
              </w:rPr>
              <w:t>)</w:t>
            </w:r>
          </w:p>
        </w:tc>
        <w:tc>
          <w:tcPr>
            <w:tcW w:w="1958" w:type="dxa"/>
            <w:tcBorders>
              <w:top w:val="nil"/>
              <w:left w:val="nil"/>
              <w:bottom w:val="nil"/>
              <w:right w:val="single" w:sz="4" w:space="0" w:color="auto"/>
            </w:tcBorders>
            <w:shd w:val="clear" w:color="000000" w:fill="FFC000"/>
            <w:vAlign w:val="center"/>
            <w:hideMark/>
          </w:tcPr>
          <w:p w14:paraId="3A99031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15 696 118</w:t>
            </w:r>
          </w:p>
        </w:tc>
        <w:tc>
          <w:tcPr>
            <w:tcW w:w="1958" w:type="dxa"/>
            <w:tcBorders>
              <w:top w:val="nil"/>
              <w:left w:val="nil"/>
              <w:bottom w:val="nil"/>
              <w:right w:val="single" w:sz="8" w:space="0" w:color="auto"/>
            </w:tcBorders>
            <w:shd w:val="clear" w:color="000000" w:fill="92D050"/>
            <w:vAlign w:val="center"/>
            <w:hideMark/>
          </w:tcPr>
          <w:p w14:paraId="1B180071"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02D5B14B"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5AFF2D3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0A77505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1E51AF3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3EBA83E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146308F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365CA41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1B10839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6395F5C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0B02A1A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7F00F6C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341B6222" w14:textId="77777777" w:rsidTr="009277B2">
        <w:trPr>
          <w:trHeight w:val="270"/>
        </w:trPr>
        <w:tc>
          <w:tcPr>
            <w:tcW w:w="949" w:type="dxa"/>
            <w:tcBorders>
              <w:top w:val="nil"/>
              <w:left w:val="nil"/>
              <w:bottom w:val="nil"/>
              <w:right w:val="nil"/>
            </w:tcBorders>
            <w:shd w:val="clear" w:color="auto" w:fill="auto"/>
            <w:noWrap/>
            <w:vAlign w:val="bottom"/>
            <w:hideMark/>
          </w:tcPr>
          <w:p w14:paraId="76E73E3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4B9E00" w14:textId="77777777" w:rsidR="009277B2" w:rsidRPr="009277B2" w:rsidRDefault="009277B2" w:rsidP="009277B2">
            <w:pPr>
              <w:spacing w:after="0" w:line="240" w:lineRule="auto"/>
              <w:rPr>
                <w:rFonts w:ascii="Times New Roman" w:eastAsia="Times New Roman" w:hAnsi="Times New Roman" w:cs="Times New Roman"/>
                <w:b/>
                <w:bCs/>
                <w:i/>
                <w:iCs/>
                <w:color w:val="000000"/>
                <w:sz w:val="20"/>
                <w:szCs w:val="20"/>
                <w:lang w:eastAsia="sk-SK"/>
              </w:rPr>
            </w:pPr>
            <w:r w:rsidRPr="009277B2">
              <w:rPr>
                <w:rFonts w:ascii="Times New Roman" w:eastAsia="Times New Roman" w:hAnsi="Times New Roman" w:cs="Times New Roman"/>
                <w:b/>
                <w:bCs/>
                <w:i/>
                <w:iCs/>
                <w:color w:val="000000"/>
                <w:sz w:val="20"/>
                <w:szCs w:val="20"/>
                <w:lang w:eastAsia="sk-SK"/>
              </w:rPr>
              <w:t xml:space="preserve">G. </w:t>
            </w:r>
            <w:proofErr w:type="spellStart"/>
            <w:r w:rsidRPr="009277B2">
              <w:rPr>
                <w:rFonts w:ascii="Times New Roman" w:eastAsia="Times New Roman" w:hAnsi="Times New Roman" w:cs="Times New Roman"/>
                <w:b/>
                <w:bCs/>
                <w:i/>
                <w:iCs/>
                <w:color w:val="000000"/>
                <w:sz w:val="20"/>
                <w:szCs w:val="20"/>
                <w:lang w:eastAsia="sk-SK"/>
              </w:rPr>
              <w:t>Goldplating</w:t>
            </w:r>
            <w:proofErr w:type="spellEnd"/>
          </w:p>
        </w:tc>
        <w:tc>
          <w:tcPr>
            <w:tcW w:w="1958" w:type="dxa"/>
            <w:tcBorders>
              <w:top w:val="single" w:sz="8" w:space="0" w:color="auto"/>
              <w:left w:val="nil"/>
              <w:bottom w:val="single" w:sz="8" w:space="0" w:color="auto"/>
              <w:right w:val="single" w:sz="4" w:space="0" w:color="auto"/>
            </w:tcBorders>
            <w:shd w:val="clear" w:color="000000" w:fill="FFC000"/>
            <w:vAlign w:val="center"/>
            <w:hideMark/>
          </w:tcPr>
          <w:p w14:paraId="0FF938F3"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1958" w:type="dxa"/>
            <w:tcBorders>
              <w:top w:val="single" w:sz="8" w:space="0" w:color="auto"/>
              <w:left w:val="nil"/>
              <w:bottom w:val="single" w:sz="8" w:space="0" w:color="auto"/>
              <w:right w:val="single" w:sz="8" w:space="0" w:color="auto"/>
            </w:tcBorders>
            <w:shd w:val="clear" w:color="000000" w:fill="92D050"/>
            <w:vAlign w:val="center"/>
            <w:hideMark/>
          </w:tcPr>
          <w:p w14:paraId="670A78AC"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17C459B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62B3A02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2013884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285FE7A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0246E60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4F39E1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4105BD3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1439C3E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071E0AC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268F55A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3D66CD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5A63DDA5" w14:textId="77777777" w:rsidTr="009277B2">
        <w:trPr>
          <w:trHeight w:val="270"/>
        </w:trPr>
        <w:tc>
          <w:tcPr>
            <w:tcW w:w="949" w:type="dxa"/>
            <w:tcBorders>
              <w:top w:val="nil"/>
              <w:left w:val="nil"/>
              <w:bottom w:val="nil"/>
              <w:right w:val="nil"/>
            </w:tcBorders>
            <w:shd w:val="clear" w:color="auto" w:fill="auto"/>
            <w:noWrap/>
            <w:vAlign w:val="bottom"/>
            <w:hideMark/>
          </w:tcPr>
          <w:p w14:paraId="199071E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nil"/>
              <w:bottom w:val="nil"/>
              <w:right w:val="nil"/>
            </w:tcBorders>
            <w:shd w:val="clear" w:color="auto" w:fill="auto"/>
            <w:noWrap/>
            <w:vAlign w:val="bottom"/>
            <w:hideMark/>
          </w:tcPr>
          <w:p w14:paraId="556E12D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7AD69CB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1647496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6340" w:type="dxa"/>
            <w:tcBorders>
              <w:top w:val="nil"/>
              <w:left w:val="nil"/>
              <w:bottom w:val="nil"/>
              <w:right w:val="nil"/>
            </w:tcBorders>
            <w:shd w:val="clear" w:color="auto" w:fill="auto"/>
            <w:noWrap/>
            <w:vAlign w:val="bottom"/>
            <w:hideMark/>
          </w:tcPr>
          <w:p w14:paraId="47D72F4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noWrap/>
            <w:vAlign w:val="bottom"/>
            <w:hideMark/>
          </w:tcPr>
          <w:p w14:paraId="253CDE1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2B207CB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185D049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43870B9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2ED3C8A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0DC504F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5A5B17F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73B45CF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695E521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27FC2D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146A608C" w14:textId="77777777" w:rsidTr="009277B2">
        <w:trPr>
          <w:trHeight w:val="270"/>
        </w:trPr>
        <w:tc>
          <w:tcPr>
            <w:tcW w:w="949" w:type="dxa"/>
            <w:tcBorders>
              <w:top w:val="nil"/>
              <w:left w:val="nil"/>
              <w:bottom w:val="nil"/>
              <w:right w:val="nil"/>
            </w:tcBorders>
            <w:shd w:val="clear" w:color="auto" w:fill="auto"/>
            <w:noWrap/>
            <w:vAlign w:val="bottom"/>
            <w:hideMark/>
          </w:tcPr>
          <w:p w14:paraId="443AEDB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nil"/>
              <w:bottom w:val="nil"/>
              <w:right w:val="nil"/>
            </w:tcBorders>
            <w:shd w:val="clear" w:color="auto" w:fill="auto"/>
            <w:noWrap/>
            <w:vAlign w:val="bottom"/>
            <w:hideMark/>
          </w:tcPr>
          <w:p w14:paraId="23BE591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586D093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58" w:type="dxa"/>
            <w:tcBorders>
              <w:top w:val="nil"/>
              <w:left w:val="nil"/>
              <w:bottom w:val="nil"/>
              <w:right w:val="nil"/>
            </w:tcBorders>
            <w:shd w:val="clear" w:color="auto" w:fill="auto"/>
            <w:vAlign w:val="center"/>
            <w:hideMark/>
          </w:tcPr>
          <w:p w14:paraId="6A069954"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6340" w:type="dxa"/>
            <w:tcBorders>
              <w:top w:val="nil"/>
              <w:left w:val="nil"/>
              <w:bottom w:val="nil"/>
              <w:right w:val="nil"/>
            </w:tcBorders>
            <w:shd w:val="clear" w:color="auto" w:fill="auto"/>
            <w:noWrap/>
            <w:vAlign w:val="bottom"/>
            <w:hideMark/>
          </w:tcPr>
          <w:p w14:paraId="1A35276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noWrap/>
            <w:vAlign w:val="bottom"/>
            <w:hideMark/>
          </w:tcPr>
          <w:p w14:paraId="04344B0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652EBAA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4CBCAA6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7CE33C8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349565C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26E444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3B3D5DF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3C4A72D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0F2599F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308FB6F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262380FB" w14:textId="77777777" w:rsidTr="009277B2">
        <w:trPr>
          <w:trHeight w:val="330"/>
        </w:trPr>
        <w:tc>
          <w:tcPr>
            <w:tcW w:w="949" w:type="dxa"/>
            <w:tcBorders>
              <w:top w:val="nil"/>
              <w:left w:val="nil"/>
              <w:bottom w:val="nil"/>
              <w:right w:val="nil"/>
            </w:tcBorders>
            <w:shd w:val="clear" w:color="auto" w:fill="auto"/>
            <w:noWrap/>
            <w:vAlign w:val="bottom"/>
            <w:hideMark/>
          </w:tcPr>
          <w:p w14:paraId="50068D4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670CBA" w14:textId="77777777" w:rsidR="009277B2" w:rsidRPr="009277B2" w:rsidRDefault="009277B2" w:rsidP="009277B2">
            <w:pPr>
              <w:spacing w:after="0" w:line="240" w:lineRule="auto"/>
              <w:rPr>
                <w:rFonts w:ascii="Times New Roman" w:eastAsia="Times New Roman" w:hAnsi="Times New Roman" w:cs="Times New Roman"/>
                <w:i/>
                <w:iCs/>
                <w:color w:val="000000"/>
                <w:sz w:val="20"/>
                <w:szCs w:val="20"/>
                <w:lang w:eastAsia="sk-SK"/>
              </w:rPr>
            </w:pPr>
            <w:r w:rsidRPr="009277B2">
              <w:rPr>
                <w:rFonts w:ascii="Times New Roman" w:eastAsia="Times New Roman" w:hAnsi="Times New Roman" w:cs="Times New Roman"/>
                <w:i/>
                <w:iCs/>
                <w:color w:val="000000"/>
                <w:sz w:val="20"/>
                <w:szCs w:val="20"/>
                <w:lang w:eastAsia="sk-SK"/>
              </w:rPr>
              <w:t>VÝPOČET PRAVIDLA 1in2out:</w:t>
            </w:r>
          </w:p>
        </w:tc>
        <w:tc>
          <w:tcPr>
            <w:tcW w:w="1958" w:type="dxa"/>
            <w:tcBorders>
              <w:top w:val="single" w:sz="8" w:space="0" w:color="auto"/>
              <w:left w:val="nil"/>
              <w:bottom w:val="single" w:sz="4" w:space="0" w:color="auto"/>
              <w:right w:val="single" w:sz="4" w:space="0" w:color="auto"/>
            </w:tcBorders>
            <w:shd w:val="clear" w:color="000000" w:fill="FFC000"/>
            <w:vAlign w:val="center"/>
            <w:hideMark/>
          </w:tcPr>
          <w:p w14:paraId="5A6001ED"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IN</w:t>
            </w:r>
          </w:p>
        </w:tc>
        <w:tc>
          <w:tcPr>
            <w:tcW w:w="1958" w:type="dxa"/>
            <w:tcBorders>
              <w:top w:val="single" w:sz="8" w:space="0" w:color="auto"/>
              <w:left w:val="nil"/>
              <w:bottom w:val="single" w:sz="4" w:space="0" w:color="auto"/>
              <w:right w:val="single" w:sz="8" w:space="0" w:color="auto"/>
            </w:tcBorders>
            <w:shd w:val="clear" w:color="000000" w:fill="92D050"/>
            <w:vAlign w:val="center"/>
            <w:hideMark/>
          </w:tcPr>
          <w:p w14:paraId="3036D071"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OUT</w:t>
            </w:r>
          </w:p>
        </w:tc>
        <w:tc>
          <w:tcPr>
            <w:tcW w:w="6340" w:type="dxa"/>
            <w:tcBorders>
              <w:top w:val="nil"/>
              <w:left w:val="nil"/>
              <w:bottom w:val="nil"/>
              <w:right w:val="nil"/>
            </w:tcBorders>
            <w:shd w:val="clear" w:color="auto" w:fill="auto"/>
            <w:noWrap/>
            <w:vAlign w:val="bottom"/>
            <w:hideMark/>
          </w:tcPr>
          <w:p w14:paraId="41E755B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62D139E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0FA84C7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468AEF8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5B14475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3401B60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40B0700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4BC6755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1790584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1798900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52DA921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5315CD54" w14:textId="77777777" w:rsidTr="009277B2">
        <w:trPr>
          <w:trHeight w:val="345"/>
        </w:trPr>
        <w:tc>
          <w:tcPr>
            <w:tcW w:w="949" w:type="dxa"/>
            <w:tcBorders>
              <w:top w:val="nil"/>
              <w:left w:val="nil"/>
              <w:bottom w:val="nil"/>
              <w:right w:val="nil"/>
            </w:tcBorders>
            <w:shd w:val="clear" w:color="auto" w:fill="auto"/>
            <w:noWrap/>
            <w:vAlign w:val="bottom"/>
            <w:hideMark/>
          </w:tcPr>
          <w:p w14:paraId="3B17E3FE"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4755" w:type="dxa"/>
            <w:tcBorders>
              <w:top w:val="nil"/>
              <w:left w:val="single" w:sz="8" w:space="0" w:color="auto"/>
              <w:bottom w:val="single" w:sz="8" w:space="0" w:color="auto"/>
              <w:right w:val="single" w:sz="4" w:space="0" w:color="auto"/>
            </w:tcBorders>
            <w:shd w:val="clear" w:color="auto" w:fill="auto"/>
            <w:vAlign w:val="center"/>
            <w:hideMark/>
          </w:tcPr>
          <w:p w14:paraId="1E9253B4" w14:textId="77777777" w:rsidR="009277B2" w:rsidRPr="009277B2" w:rsidRDefault="009277B2" w:rsidP="009277B2">
            <w:pPr>
              <w:spacing w:after="0" w:line="240" w:lineRule="auto"/>
              <w:rPr>
                <w:rFonts w:ascii="Times New Roman" w:eastAsia="Times New Roman" w:hAnsi="Times New Roman" w:cs="Times New Roman"/>
                <w:i/>
                <w:iCs/>
                <w:color w:val="000000"/>
                <w:sz w:val="20"/>
                <w:szCs w:val="20"/>
                <w:lang w:eastAsia="sk-SK"/>
              </w:rPr>
            </w:pPr>
            <w:r w:rsidRPr="009277B2">
              <w:rPr>
                <w:rFonts w:ascii="Times New Roman" w:eastAsia="Times New Roman" w:hAnsi="Times New Roman" w:cs="Times New Roman"/>
                <w:i/>
                <w:iCs/>
                <w:color w:val="000000"/>
                <w:sz w:val="20"/>
                <w:szCs w:val="20"/>
                <w:lang w:eastAsia="sk-SK"/>
              </w:rPr>
              <w:t>H</w:t>
            </w:r>
            <w:r w:rsidRPr="009277B2">
              <w:rPr>
                <w:rFonts w:ascii="Times New Roman" w:eastAsia="Times New Roman" w:hAnsi="Times New Roman" w:cs="Times New Roman"/>
                <w:b/>
                <w:bCs/>
                <w:i/>
                <w:iCs/>
                <w:color w:val="000000"/>
                <w:sz w:val="20"/>
                <w:szCs w:val="20"/>
                <w:lang w:eastAsia="sk-SK"/>
              </w:rPr>
              <w:t>.</w:t>
            </w:r>
            <w:r w:rsidRPr="009277B2">
              <w:rPr>
                <w:rFonts w:ascii="Times New Roman" w:eastAsia="Times New Roman" w:hAnsi="Times New Roman" w:cs="Times New Roman"/>
                <w:i/>
                <w:iCs/>
                <w:color w:val="000000"/>
                <w:sz w:val="20"/>
                <w:szCs w:val="20"/>
                <w:lang w:eastAsia="sk-SK"/>
              </w:rPr>
              <w:t xml:space="preserve"> Náklady okrem výnimiek = B+D+E-F</w:t>
            </w:r>
          </w:p>
        </w:tc>
        <w:tc>
          <w:tcPr>
            <w:tcW w:w="1958" w:type="dxa"/>
            <w:tcBorders>
              <w:top w:val="nil"/>
              <w:left w:val="nil"/>
              <w:bottom w:val="single" w:sz="8" w:space="0" w:color="auto"/>
              <w:right w:val="single" w:sz="4" w:space="0" w:color="auto"/>
            </w:tcBorders>
            <w:shd w:val="clear" w:color="000000" w:fill="FFC000"/>
            <w:vAlign w:val="center"/>
            <w:hideMark/>
          </w:tcPr>
          <w:p w14:paraId="6EA1DE5B"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1958" w:type="dxa"/>
            <w:tcBorders>
              <w:top w:val="nil"/>
              <w:left w:val="nil"/>
              <w:bottom w:val="single" w:sz="8" w:space="0" w:color="auto"/>
              <w:right w:val="single" w:sz="8" w:space="0" w:color="auto"/>
            </w:tcBorders>
            <w:shd w:val="clear" w:color="000000" w:fill="92D050"/>
            <w:vAlign w:val="center"/>
            <w:hideMark/>
          </w:tcPr>
          <w:p w14:paraId="52DC2B37"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0</w:t>
            </w:r>
          </w:p>
        </w:tc>
        <w:tc>
          <w:tcPr>
            <w:tcW w:w="6340" w:type="dxa"/>
            <w:tcBorders>
              <w:top w:val="nil"/>
              <w:left w:val="nil"/>
              <w:bottom w:val="nil"/>
              <w:right w:val="nil"/>
            </w:tcBorders>
            <w:shd w:val="clear" w:color="auto" w:fill="auto"/>
            <w:noWrap/>
            <w:vAlign w:val="bottom"/>
            <w:hideMark/>
          </w:tcPr>
          <w:p w14:paraId="6372B50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060" w:type="dxa"/>
            <w:tcBorders>
              <w:top w:val="nil"/>
              <w:left w:val="nil"/>
              <w:bottom w:val="nil"/>
              <w:right w:val="nil"/>
            </w:tcBorders>
            <w:shd w:val="clear" w:color="auto" w:fill="auto"/>
            <w:noWrap/>
            <w:vAlign w:val="bottom"/>
            <w:hideMark/>
          </w:tcPr>
          <w:p w14:paraId="42976B1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45F3346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140" w:type="dxa"/>
            <w:tcBorders>
              <w:top w:val="nil"/>
              <w:left w:val="nil"/>
              <w:bottom w:val="nil"/>
              <w:right w:val="nil"/>
            </w:tcBorders>
            <w:shd w:val="clear" w:color="auto" w:fill="auto"/>
            <w:noWrap/>
            <w:vAlign w:val="bottom"/>
            <w:hideMark/>
          </w:tcPr>
          <w:p w14:paraId="1E2D58D6"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hideMark/>
          </w:tcPr>
          <w:p w14:paraId="4CB5DD4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7F727A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5FB97F0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980" w:type="dxa"/>
            <w:tcBorders>
              <w:top w:val="nil"/>
              <w:left w:val="nil"/>
              <w:bottom w:val="nil"/>
              <w:right w:val="nil"/>
            </w:tcBorders>
            <w:shd w:val="clear" w:color="auto" w:fill="auto"/>
            <w:noWrap/>
            <w:vAlign w:val="bottom"/>
            <w:hideMark/>
          </w:tcPr>
          <w:p w14:paraId="6A4BC48D"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vAlign w:val="bottom"/>
            <w:hideMark/>
          </w:tcPr>
          <w:p w14:paraId="77C04337"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080" w:type="dxa"/>
            <w:tcBorders>
              <w:top w:val="nil"/>
              <w:left w:val="nil"/>
              <w:bottom w:val="nil"/>
              <w:right w:val="nil"/>
            </w:tcBorders>
            <w:shd w:val="clear" w:color="auto" w:fill="auto"/>
            <w:noWrap/>
            <w:vAlign w:val="bottom"/>
            <w:hideMark/>
          </w:tcPr>
          <w:p w14:paraId="25DF87B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0B65951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bl>
    <w:p w14:paraId="3BCAD157" w14:textId="562EEA9B" w:rsidR="0022740F" w:rsidRPr="006A6896" w:rsidRDefault="0022740F" w:rsidP="00054C41">
      <w:pPr>
        <w:jc w:val="both"/>
      </w:pPr>
      <w:r>
        <w:fldChar w:fldCharType="end"/>
      </w:r>
    </w:p>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Style w:val="Mriekatabuky"/>
        <w:tblW w:w="0" w:type="auto"/>
        <w:tblLook w:val="04A0" w:firstRow="1" w:lastRow="0" w:firstColumn="1" w:lastColumn="0" w:noHBand="0" w:noVBand="1"/>
      </w:tblPr>
      <w:tblGrid>
        <w:gridCol w:w="534"/>
        <w:gridCol w:w="1662"/>
        <w:gridCol w:w="916"/>
        <w:gridCol w:w="1188"/>
        <w:gridCol w:w="1334"/>
        <w:gridCol w:w="1024"/>
        <w:gridCol w:w="1471"/>
        <w:gridCol w:w="1007"/>
        <w:gridCol w:w="843"/>
        <w:gridCol w:w="1018"/>
        <w:gridCol w:w="927"/>
        <w:gridCol w:w="860"/>
        <w:gridCol w:w="1210"/>
      </w:tblGrid>
      <w:tr w:rsidR="00791651" w:rsidRPr="00791651" w14:paraId="085BAA45" w14:textId="77777777" w:rsidTr="00791651">
        <w:trPr>
          <w:trHeight w:val="263"/>
        </w:trPr>
        <w:tc>
          <w:tcPr>
            <w:tcW w:w="940" w:type="dxa"/>
            <w:vMerge w:val="restart"/>
            <w:shd w:val="clear" w:color="auto" w:fill="C9C9C9" w:themeFill="accent3" w:themeFillTint="99"/>
            <w:hideMark/>
          </w:tcPr>
          <w:p w14:paraId="3339ADAA" w14:textId="77777777" w:rsidR="00791651" w:rsidRPr="00791651" w:rsidRDefault="00791651" w:rsidP="00791651">
            <w:pPr>
              <w:jc w:val="both"/>
              <w:rPr>
                <w:rFonts w:ascii="Times New Roman" w:eastAsia="Calibri" w:hAnsi="Times New Roman" w:cs="Times New Roman"/>
                <w:b/>
                <w:bCs/>
                <w:i/>
              </w:rPr>
            </w:pPr>
            <w:proofErr w:type="spellStart"/>
            <w:r w:rsidRPr="00791651">
              <w:rPr>
                <w:rFonts w:ascii="Times New Roman" w:eastAsia="Calibri" w:hAnsi="Times New Roman" w:cs="Times New Roman"/>
                <w:b/>
                <w:bCs/>
                <w:i/>
              </w:rPr>
              <w:t>P.č</w:t>
            </w:r>
            <w:proofErr w:type="spellEnd"/>
            <w:r w:rsidRPr="00791651">
              <w:rPr>
                <w:rFonts w:ascii="Times New Roman" w:eastAsia="Calibri" w:hAnsi="Times New Roman" w:cs="Times New Roman"/>
                <w:b/>
                <w:bCs/>
                <w:i/>
              </w:rPr>
              <w:t>.</w:t>
            </w:r>
          </w:p>
        </w:tc>
        <w:tc>
          <w:tcPr>
            <w:tcW w:w="4760" w:type="dxa"/>
            <w:vMerge w:val="restart"/>
            <w:shd w:val="clear" w:color="auto" w:fill="C9C9C9" w:themeFill="accent3" w:themeFillTint="99"/>
            <w:hideMark/>
          </w:tcPr>
          <w:p w14:paraId="46C8100D"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Zrozumiteľný a stručný opis regulácie </w:t>
            </w:r>
            <w:r w:rsidRPr="00791651">
              <w:rPr>
                <w:rFonts w:ascii="Times New Roman" w:eastAsia="Calibri" w:hAnsi="Times New Roman" w:cs="Times New Roman"/>
                <w:b/>
                <w:bCs/>
                <w:i/>
              </w:rPr>
              <w:br/>
              <w:t xml:space="preserve">(dôvod zvýšenia/zníženia nákladov na PP a dôvod ponechania nákladov na PP, ktoré </w:t>
            </w:r>
            <w:proofErr w:type="spellStart"/>
            <w:r w:rsidRPr="00791651">
              <w:rPr>
                <w:rFonts w:ascii="Times New Roman" w:eastAsia="Calibri" w:hAnsi="Times New Roman" w:cs="Times New Roman"/>
                <w:b/>
                <w:bCs/>
                <w:i/>
              </w:rPr>
              <w:t>su</w:t>
            </w:r>
            <w:proofErr w:type="spellEnd"/>
            <w:r w:rsidRPr="00791651">
              <w:rPr>
                <w:rFonts w:ascii="Times New Roman" w:eastAsia="Calibri" w:hAnsi="Times New Roman" w:cs="Times New Roman"/>
                <w:b/>
                <w:bCs/>
                <w:i/>
              </w:rPr>
              <w:t xml:space="preserve"> </w:t>
            </w:r>
            <w:proofErr w:type="spellStart"/>
            <w:r w:rsidRPr="00791651">
              <w:rPr>
                <w:rFonts w:ascii="Times New Roman" w:eastAsia="Calibri" w:hAnsi="Times New Roman" w:cs="Times New Roman"/>
                <w:b/>
                <w:bCs/>
                <w:i/>
              </w:rPr>
              <w:t>goldplatingom</w:t>
            </w:r>
            <w:proofErr w:type="spellEnd"/>
            <w:r w:rsidRPr="00791651">
              <w:rPr>
                <w:rFonts w:ascii="Times New Roman" w:eastAsia="Calibri" w:hAnsi="Times New Roman" w:cs="Times New Roman"/>
                <w:b/>
                <w:bCs/>
                <w:i/>
              </w:rPr>
              <w:t>)</w:t>
            </w:r>
          </w:p>
        </w:tc>
        <w:tc>
          <w:tcPr>
            <w:tcW w:w="1960" w:type="dxa"/>
            <w:vMerge w:val="restart"/>
            <w:shd w:val="clear" w:color="auto" w:fill="C9C9C9" w:themeFill="accent3" w:themeFillTint="99"/>
            <w:hideMark/>
          </w:tcPr>
          <w:p w14:paraId="041C8C88"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Číslo normy</w:t>
            </w:r>
            <w:r w:rsidRPr="00791651">
              <w:rPr>
                <w:rFonts w:ascii="Times New Roman" w:eastAsia="Calibri" w:hAnsi="Times New Roman" w:cs="Times New Roman"/>
                <w:b/>
                <w:bCs/>
                <w:i/>
              </w:rPr>
              <w:br/>
            </w:r>
            <w:r w:rsidRPr="00791651">
              <w:rPr>
                <w:rFonts w:ascii="Times New Roman" w:eastAsia="Calibri" w:hAnsi="Times New Roman" w:cs="Times New Roman"/>
                <w:i/>
              </w:rPr>
              <w:t>(zákona, vyhlášky a pod.)</w:t>
            </w:r>
          </w:p>
        </w:tc>
        <w:tc>
          <w:tcPr>
            <w:tcW w:w="1960" w:type="dxa"/>
            <w:vMerge w:val="restart"/>
            <w:shd w:val="clear" w:color="auto" w:fill="C9C9C9" w:themeFill="accent3" w:themeFillTint="99"/>
            <w:hideMark/>
          </w:tcPr>
          <w:p w14:paraId="5647EDA9"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Lokalizácia</w:t>
            </w:r>
            <w:r w:rsidRPr="00791651">
              <w:rPr>
                <w:rFonts w:ascii="Times New Roman" w:eastAsia="Calibri" w:hAnsi="Times New Roman" w:cs="Times New Roman"/>
                <w:b/>
                <w:bCs/>
                <w:i/>
              </w:rPr>
              <w:br/>
              <w:t>(§, ods., čl.,...)</w:t>
            </w:r>
          </w:p>
        </w:tc>
        <w:tc>
          <w:tcPr>
            <w:tcW w:w="6340" w:type="dxa"/>
            <w:vMerge w:val="restart"/>
            <w:shd w:val="clear" w:color="auto" w:fill="C9C9C9" w:themeFill="accent3" w:themeFillTint="99"/>
            <w:hideMark/>
          </w:tcPr>
          <w:p w14:paraId="20754556"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Pôvod regulácie: </w:t>
            </w:r>
            <w:r w:rsidRPr="00791651">
              <w:rPr>
                <w:rFonts w:ascii="Times New Roman" w:eastAsia="Calibri" w:hAnsi="Times New Roman" w:cs="Times New Roman"/>
                <w:b/>
                <w:bCs/>
                <w:i/>
              </w:rPr>
              <w:br/>
            </w:r>
            <w:r w:rsidRPr="00791651">
              <w:rPr>
                <w:rFonts w:ascii="Times New Roman" w:eastAsia="Calibri" w:hAnsi="Times New Roman" w:cs="Times New Roman"/>
                <w:i/>
              </w:rPr>
              <w:t xml:space="preserve">SK/EÚ úplná </w:t>
            </w:r>
            <w:proofErr w:type="spellStart"/>
            <w:r w:rsidRPr="00791651">
              <w:rPr>
                <w:rFonts w:ascii="Times New Roman" w:eastAsia="Calibri" w:hAnsi="Times New Roman" w:cs="Times New Roman"/>
                <w:i/>
              </w:rPr>
              <w:t>harm</w:t>
            </w:r>
            <w:proofErr w:type="spellEnd"/>
            <w:r w:rsidRPr="00791651">
              <w:rPr>
                <w:rFonts w:ascii="Times New Roman" w:eastAsia="Calibri" w:hAnsi="Times New Roman" w:cs="Times New Roman"/>
                <w:i/>
              </w:rPr>
              <w:t>./</w:t>
            </w:r>
            <w:r w:rsidRPr="00791651">
              <w:rPr>
                <w:rFonts w:ascii="Times New Roman" w:eastAsia="Calibri" w:hAnsi="Times New Roman" w:cs="Times New Roman"/>
                <w:i/>
              </w:rPr>
              <w:br/>
            </w:r>
            <w:proofErr w:type="spellStart"/>
            <w:r w:rsidRPr="00791651">
              <w:rPr>
                <w:rFonts w:ascii="Times New Roman" w:eastAsia="Calibri" w:hAnsi="Times New Roman" w:cs="Times New Roman"/>
                <w:i/>
              </w:rPr>
              <w:t>goldplating</w:t>
            </w:r>
            <w:proofErr w:type="spellEnd"/>
          </w:p>
        </w:tc>
        <w:tc>
          <w:tcPr>
            <w:tcW w:w="1060" w:type="dxa"/>
            <w:vMerge w:val="restart"/>
            <w:shd w:val="clear" w:color="auto" w:fill="C9C9C9" w:themeFill="accent3" w:themeFillTint="99"/>
            <w:hideMark/>
          </w:tcPr>
          <w:p w14:paraId="4DF1BF05"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Účinnosť regulácie</w:t>
            </w:r>
          </w:p>
        </w:tc>
        <w:tc>
          <w:tcPr>
            <w:tcW w:w="1460" w:type="dxa"/>
            <w:vMerge w:val="restart"/>
            <w:shd w:val="clear" w:color="auto" w:fill="C9C9C9" w:themeFill="accent3" w:themeFillTint="99"/>
            <w:hideMark/>
          </w:tcPr>
          <w:p w14:paraId="4E3A074B"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Kategória </w:t>
            </w:r>
            <w:proofErr w:type="spellStart"/>
            <w:r w:rsidRPr="00791651">
              <w:rPr>
                <w:rFonts w:ascii="Times New Roman" w:eastAsia="Calibri" w:hAnsi="Times New Roman" w:cs="Times New Roman"/>
                <w:b/>
                <w:bCs/>
                <w:i/>
              </w:rPr>
              <w:t>dotk</w:t>
            </w:r>
            <w:proofErr w:type="spellEnd"/>
            <w:r w:rsidRPr="00791651">
              <w:rPr>
                <w:rFonts w:ascii="Times New Roman" w:eastAsia="Calibri" w:hAnsi="Times New Roman" w:cs="Times New Roman"/>
                <w:b/>
                <w:bCs/>
                <w:i/>
              </w:rPr>
              <w:t>. subjektov</w:t>
            </w:r>
          </w:p>
        </w:tc>
        <w:tc>
          <w:tcPr>
            <w:tcW w:w="1140" w:type="dxa"/>
            <w:vMerge w:val="restart"/>
            <w:shd w:val="clear" w:color="auto" w:fill="C9C9C9" w:themeFill="accent3" w:themeFillTint="99"/>
            <w:hideMark/>
          </w:tcPr>
          <w:p w14:paraId="2336B857"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Počet </w:t>
            </w:r>
            <w:proofErr w:type="spellStart"/>
            <w:r w:rsidRPr="00791651">
              <w:rPr>
                <w:rFonts w:ascii="Times New Roman" w:eastAsia="Calibri" w:hAnsi="Times New Roman" w:cs="Times New Roman"/>
                <w:b/>
                <w:bCs/>
                <w:i/>
              </w:rPr>
              <w:t>dotk</w:t>
            </w:r>
            <w:proofErr w:type="spellEnd"/>
            <w:r w:rsidRPr="00791651">
              <w:rPr>
                <w:rFonts w:ascii="Times New Roman" w:eastAsia="Calibri" w:hAnsi="Times New Roman" w:cs="Times New Roman"/>
                <w:b/>
                <w:bCs/>
                <w:i/>
              </w:rPr>
              <w:t xml:space="preserve">. subjektov spolu </w:t>
            </w:r>
          </w:p>
        </w:tc>
        <w:tc>
          <w:tcPr>
            <w:tcW w:w="1240" w:type="dxa"/>
            <w:vMerge w:val="restart"/>
            <w:shd w:val="clear" w:color="auto" w:fill="C9C9C9" w:themeFill="accent3" w:themeFillTint="99"/>
            <w:hideMark/>
          </w:tcPr>
          <w:p w14:paraId="054AB142"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Vplyv na 1 podnik. v €</w:t>
            </w:r>
          </w:p>
        </w:tc>
        <w:tc>
          <w:tcPr>
            <w:tcW w:w="1380" w:type="dxa"/>
            <w:vMerge w:val="restart"/>
            <w:shd w:val="clear" w:color="auto" w:fill="C9C9C9" w:themeFill="accent3" w:themeFillTint="99"/>
            <w:hideMark/>
          </w:tcPr>
          <w:p w14:paraId="1D7EE7AD"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Vplyv na kategóriu </w:t>
            </w:r>
            <w:proofErr w:type="spellStart"/>
            <w:r w:rsidRPr="00791651">
              <w:rPr>
                <w:rFonts w:ascii="Times New Roman" w:eastAsia="Calibri" w:hAnsi="Times New Roman" w:cs="Times New Roman"/>
                <w:b/>
                <w:bCs/>
                <w:i/>
              </w:rPr>
              <w:t>dotk</w:t>
            </w:r>
            <w:proofErr w:type="spellEnd"/>
            <w:r w:rsidRPr="00791651">
              <w:rPr>
                <w:rFonts w:ascii="Times New Roman" w:eastAsia="Calibri" w:hAnsi="Times New Roman" w:cs="Times New Roman"/>
                <w:b/>
                <w:bCs/>
                <w:i/>
              </w:rPr>
              <w:t>. subjektov v €</w:t>
            </w:r>
          </w:p>
        </w:tc>
        <w:tc>
          <w:tcPr>
            <w:tcW w:w="1980" w:type="dxa"/>
            <w:vMerge w:val="restart"/>
            <w:shd w:val="clear" w:color="auto" w:fill="C9C9C9" w:themeFill="accent3" w:themeFillTint="99"/>
            <w:hideMark/>
          </w:tcPr>
          <w:p w14:paraId="288AA241"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Druh vplyvu</w:t>
            </w:r>
            <w:r w:rsidRPr="00791651">
              <w:rPr>
                <w:rFonts w:ascii="Times New Roman" w:eastAsia="Calibri" w:hAnsi="Times New Roman" w:cs="Times New Roman"/>
                <w:b/>
                <w:bCs/>
                <w:i/>
              </w:rPr>
              <w:br/>
            </w:r>
            <w:r w:rsidRPr="00791651">
              <w:rPr>
                <w:rFonts w:ascii="Times New Roman" w:eastAsia="Calibri" w:hAnsi="Times New Roman" w:cs="Times New Roman"/>
                <w:i/>
              </w:rPr>
              <w:t xml:space="preserve">In (zvyšuje náklady) / </w:t>
            </w:r>
            <w:r w:rsidRPr="00791651">
              <w:rPr>
                <w:rFonts w:ascii="Times New Roman" w:eastAsia="Calibri" w:hAnsi="Times New Roman" w:cs="Times New Roman"/>
                <w:i/>
              </w:rPr>
              <w:br/>
            </w:r>
            <w:proofErr w:type="spellStart"/>
            <w:r w:rsidRPr="00791651">
              <w:rPr>
                <w:rFonts w:ascii="Times New Roman" w:eastAsia="Calibri" w:hAnsi="Times New Roman" w:cs="Times New Roman"/>
                <w:i/>
              </w:rPr>
              <w:t>Out</w:t>
            </w:r>
            <w:proofErr w:type="spellEnd"/>
            <w:r w:rsidRPr="00791651">
              <w:rPr>
                <w:rFonts w:ascii="Times New Roman" w:eastAsia="Calibri" w:hAnsi="Times New Roman" w:cs="Times New Roman"/>
                <w:i/>
              </w:rPr>
              <w:t xml:space="preserve"> (znižuje náklady) / Nemení sa</w:t>
            </w:r>
          </w:p>
        </w:tc>
        <w:tc>
          <w:tcPr>
            <w:tcW w:w="1980" w:type="dxa"/>
            <w:vMerge w:val="restart"/>
            <w:shd w:val="clear" w:color="auto" w:fill="C9C9C9" w:themeFill="accent3" w:themeFillTint="99"/>
            <w:hideMark/>
          </w:tcPr>
          <w:p w14:paraId="697F5940"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 xml:space="preserve">1in2out </w:t>
            </w:r>
            <w:r w:rsidRPr="00791651">
              <w:rPr>
                <w:rFonts w:ascii="Times New Roman" w:eastAsia="Calibri" w:hAnsi="Times New Roman" w:cs="Times New Roman"/>
                <w:b/>
                <w:bCs/>
                <w:i/>
              </w:rPr>
              <w:br/>
              <w:t>celkom</w:t>
            </w:r>
          </w:p>
        </w:tc>
        <w:tc>
          <w:tcPr>
            <w:tcW w:w="1460" w:type="dxa"/>
            <w:vMerge w:val="restart"/>
            <w:shd w:val="clear" w:color="auto" w:fill="C9C9C9" w:themeFill="accent3" w:themeFillTint="99"/>
            <w:hideMark/>
          </w:tcPr>
          <w:p w14:paraId="558FCA95" w14:textId="77777777" w:rsidR="00791651" w:rsidRPr="00791651" w:rsidRDefault="00791651" w:rsidP="00791651">
            <w:pPr>
              <w:jc w:val="both"/>
              <w:rPr>
                <w:rFonts w:ascii="Times New Roman" w:eastAsia="Calibri" w:hAnsi="Times New Roman" w:cs="Times New Roman"/>
                <w:b/>
                <w:bCs/>
                <w:i/>
              </w:rPr>
            </w:pPr>
            <w:r w:rsidRPr="00791651">
              <w:rPr>
                <w:rFonts w:ascii="Times New Roman" w:eastAsia="Calibri" w:hAnsi="Times New Roman" w:cs="Times New Roman"/>
                <w:b/>
                <w:bCs/>
                <w:i/>
              </w:rPr>
              <w:t>Goldplating celkom</w:t>
            </w:r>
          </w:p>
        </w:tc>
      </w:tr>
      <w:tr w:rsidR="00791651" w:rsidRPr="00791651" w14:paraId="3038ED5E" w14:textId="77777777" w:rsidTr="00791651">
        <w:trPr>
          <w:trHeight w:val="450"/>
        </w:trPr>
        <w:tc>
          <w:tcPr>
            <w:tcW w:w="940" w:type="dxa"/>
            <w:vMerge/>
            <w:shd w:val="clear" w:color="auto" w:fill="C9C9C9" w:themeFill="accent3" w:themeFillTint="99"/>
            <w:hideMark/>
          </w:tcPr>
          <w:p w14:paraId="3F9FE15F" w14:textId="77777777" w:rsidR="00791651" w:rsidRPr="00791651" w:rsidRDefault="00791651" w:rsidP="00791651">
            <w:pPr>
              <w:jc w:val="both"/>
              <w:rPr>
                <w:rFonts w:ascii="Times New Roman" w:eastAsia="Calibri" w:hAnsi="Times New Roman" w:cs="Times New Roman"/>
                <w:b/>
                <w:bCs/>
                <w:i/>
              </w:rPr>
            </w:pPr>
          </w:p>
        </w:tc>
        <w:tc>
          <w:tcPr>
            <w:tcW w:w="4760" w:type="dxa"/>
            <w:vMerge/>
            <w:shd w:val="clear" w:color="auto" w:fill="C9C9C9" w:themeFill="accent3" w:themeFillTint="99"/>
            <w:hideMark/>
          </w:tcPr>
          <w:p w14:paraId="7395DE36"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577AC29D"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1B88EAC3" w14:textId="77777777" w:rsidR="00791651" w:rsidRPr="00791651" w:rsidRDefault="00791651" w:rsidP="00791651">
            <w:pPr>
              <w:jc w:val="both"/>
              <w:rPr>
                <w:rFonts w:ascii="Times New Roman" w:eastAsia="Calibri" w:hAnsi="Times New Roman" w:cs="Times New Roman"/>
                <w:b/>
                <w:bCs/>
                <w:i/>
              </w:rPr>
            </w:pPr>
          </w:p>
        </w:tc>
        <w:tc>
          <w:tcPr>
            <w:tcW w:w="6340" w:type="dxa"/>
            <w:vMerge/>
            <w:shd w:val="clear" w:color="auto" w:fill="C9C9C9" w:themeFill="accent3" w:themeFillTint="99"/>
            <w:hideMark/>
          </w:tcPr>
          <w:p w14:paraId="6EA2F9A1" w14:textId="77777777" w:rsidR="00791651" w:rsidRPr="00791651" w:rsidRDefault="00791651" w:rsidP="00791651">
            <w:pPr>
              <w:jc w:val="both"/>
              <w:rPr>
                <w:rFonts w:ascii="Times New Roman" w:eastAsia="Calibri" w:hAnsi="Times New Roman" w:cs="Times New Roman"/>
                <w:b/>
                <w:bCs/>
                <w:i/>
              </w:rPr>
            </w:pPr>
          </w:p>
        </w:tc>
        <w:tc>
          <w:tcPr>
            <w:tcW w:w="1060" w:type="dxa"/>
            <w:vMerge/>
            <w:shd w:val="clear" w:color="auto" w:fill="C9C9C9" w:themeFill="accent3" w:themeFillTint="99"/>
            <w:hideMark/>
          </w:tcPr>
          <w:p w14:paraId="7D4F7791"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6CAAED09" w14:textId="77777777" w:rsidR="00791651" w:rsidRPr="00791651" w:rsidRDefault="00791651" w:rsidP="00791651">
            <w:pPr>
              <w:jc w:val="both"/>
              <w:rPr>
                <w:rFonts w:ascii="Times New Roman" w:eastAsia="Calibri" w:hAnsi="Times New Roman" w:cs="Times New Roman"/>
                <w:b/>
                <w:bCs/>
                <w:i/>
              </w:rPr>
            </w:pPr>
          </w:p>
        </w:tc>
        <w:tc>
          <w:tcPr>
            <w:tcW w:w="1140" w:type="dxa"/>
            <w:vMerge/>
            <w:shd w:val="clear" w:color="auto" w:fill="C9C9C9" w:themeFill="accent3" w:themeFillTint="99"/>
            <w:hideMark/>
          </w:tcPr>
          <w:p w14:paraId="745459BE" w14:textId="77777777" w:rsidR="00791651" w:rsidRPr="00791651" w:rsidRDefault="00791651" w:rsidP="00791651">
            <w:pPr>
              <w:jc w:val="both"/>
              <w:rPr>
                <w:rFonts w:ascii="Times New Roman" w:eastAsia="Calibri" w:hAnsi="Times New Roman" w:cs="Times New Roman"/>
                <w:b/>
                <w:bCs/>
                <w:i/>
              </w:rPr>
            </w:pPr>
          </w:p>
        </w:tc>
        <w:tc>
          <w:tcPr>
            <w:tcW w:w="1240" w:type="dxa"/>
            <w:vMerge/>
            <w:shd w:val="clear" w:color="auto" w:fill="C9C9C9" w:themeFill="accent3" w:themeFillTint="99"/>
            <w:hideMark/>
          </w:tcPr>
          <w:p w14:paraId="6303C861" w14:textId="77777777" w:rsidR="00791651" w:rsidRPr="00791651" w:rsidRDefault="00791651" w:rsidP="00791651">
            <w:pPr>
              <w:jc w:val="both"/>
              <w:rPr>
                <w:rFonts w:ascii="Times New Roman" w:eastAsia="Calibri" w:hAnsi="Times New Roman" w:cs="Times New Roman"/>
                <w:b/>
                <w:bCs/>
                <w:i/>
              </w:rPr>
            </w:pPr>
          </w:p>
        </w:tc>
        <w:tc>
          <w:tcPr>
            <w:tcW w:w="1380" w:type="dxa"/>
            <w:vMerge/>
            <w:shd w:val="clear" w:color="auto" w:fill="C9C9C9" w:themeFill="accent3" w:themeFillTint="99"/>
            <w:hideMark/>
          </w:tcPr>
          <w:p w14:paraId="232B22E8"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48E6E6D0"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5D318CCE"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50F3B378" w14:textId="77777777" w:rsidR="00791651" w:rsidRPr="00791651" w:rsidRDefault="00791651" w:rsidP="00791651">
            <w:pPr>
              <w:jc w:val="both"/>
              <w:rPr>
                <w:rFonts w:ascii="Times New Roman" w:eastAsia="Calibri" w:hAnsi="Times New Roman" w:cs="Times New Roman"/>
                <w:b/>
                <w:bCs/>
                <w:i/>
              </w:rPr>
            </w:pPr>
          </w:p>
        </w:tc>
      </w:tr>
      <w:tr w:rsidR="00791651" w:rsidRPr="00791651" w14:paraId="7A1BC498" w14:textId="77777777" w:rsidTr="00791651">
        <w:trPr>
          <w:trHeight w:val="450"/>
        </w:trPr>
        <w:tc>
          <w:tcPr>
            <w:tcW w:w="940" w:type="dxa"/>
            <w:vMerge/>
            <w:shd w:val="clear" w:color="auto" w:fill="C9C9C9" w:themeFill="accent3" w:themeFillTint="99"/>
            <w:hideMark/>
          </w:tcPr>
          <w:p w14:paraId="12F702C6" w14:textId="77777777" w:rsidR="00791651" w:rsidRPr="00791651" w:rsidRDefault="00791651" w:rsidP="00791651">
            <w:pPr>
              <w:jc w:val="both"/>
              <w:rPr>
                <w:rFonts w:ascii="Times New Roman" w:eastAsia="Calibri" w:hAnsi="Times New Roman" w:cs="Times New Roman"/>
                <w:b/>
                <w:bCs/>
                <w:i/>
              </w:rPr>
            </w:pPr>
          </w:p>
        </w:tc>
        <w:tc>
          <w:tcPr>
            <w:tcW w:w="4760" w:type="dxa"/>
            <w:vMerge/>
            <w:shd w:val="clear" w:color="auto" w:fill="C9C9C9" w:themeFill="accent3" w:themeFillTint="99"/>
            <w:hideMark/>
          </w:tcPr>
          <w:p w14:paraId="29320E51"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005C0F99"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66CF0FB6" w14:textId="77777777" w:rsidR="00791651" w:rsidRPr="00791651" w:rsidRDefault="00791651" w:rsidP="00791651">
            <w:pPr>
              <w:jc w:val="both"/>
              <w:rPr>
                <w:rFonts w:ascii="Times New Roman" w:eastAsia="Calibri" w:hAnsi="Times New Roman" w:cs="Times New Roman"/>
                <w:b/>
                <w:bCs/>
                <w:i/>
              </w:rPr>
            </w:pPr>
          </w:p>
        </w:tc>
        <w:tc>
          <w:tcPr>
            <w:tcW w:w="6340" w:type="dxa"/>
            <w:vMerge/>
            <w:shd w:val="clear" w:color="auto" w:fill="C9C9C9" w:themeFill="accent3" w:themeFillTint="99"/>
            <w:hideMark/>
          </w:tcPr>
          <w:p w14:paraId="309A9CA0" w14:textId="77777777" w:rsidR="00791651" w:rsidRPr="00791651" w:rsidRDefault="00791651" w:rsidP="00791651">
            <w:pPr>
              <w:jc w:val="both"/>
              <w:rPr>
                <w:rFonts w:ascii="Times New Roman" w:eastAsia="Calibri" w:hAnsi="Times New Roman" w:cs="Times New Roman"/>
                <w:b/>
                <w:bCs/>
                <w:i/>
              </w:rPr>
            </w:pPr>
          </w:p>
        </w:tc>
        <w:tc>
          <w:tcPr>
            <w:tcW w:w="1060" w:type="dxa"/>
            <w:vMerge/>
            <w:shd w:val="clear" w:color="auto" w:fill="C9C9C9" w:themeFill="accent3" w:themeFillTint="99"/>
            <w:hideMark/>
          </w:tcPr>
          <w:p w14:paraId="36777061"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1F1F134E" w14:textId="77777777" w:rsidR="00791651" w:rsidRPr="00791651" w:rsidRDefault="00791651" w:rsidP="00791651">
            <w:pPr>
              <w:jc w:val="both"/>
              <w:rPr>
                <w:rFonts w:ascii="Times New Roman" w:eastAsia="Calibri" w:hAnsi="Times New Roman" w:cs="Times New Roman"/>
                <w:b/>
                <w:bCs/>
                <w:i/>
              </w:rPr>
            </w:pPr>
          </w:p>
        </w:tc>
        <w:tc>
          <w:tcPr>
            <w:tcW w:w="1140" w:type="dxa"/>
            <w:vMerge/>
            <w:shd w:val="clear" w:color="auto" w:fill="C9C9C9" w:themeFill="accent3" w:themeFillTint="99"/>
            <w:hideMark/>
          </w:tcPr>
          <w:p w14:paraId="0634578E" w14:textId="77777777" w:rsidR="00791651" w:rsidRPr="00791651" w:rsidRDefault="00791651" w:rsidP="00791651">
            <w:pPr>
              <w:jc w:val="both"/>
              <w:rPr>
                <w:rFonts w:ascii="Times New Roman" w:eastAsia="Calibri" w:hAnsi="Times New Roman" w:cs="Times New Roman"/>
                <w:b/>
                <w:bCs/>
                <w:i/>
              </w:rPr>
            </w:pPr>
          </w:p>
        </w:tc>
        <w:tc>
          <w:tcPr>
            <w:tcW w:w="1240" w:type="dxa"/>
            <w:vMerge/>
            <w:shd w:val="clear" w:color="auto" w:fill="C9C9C9" w:themeFill="accent3" w:themeFillTint="99"/>
            <w:hideMark/>
          </w:tcPr>
          <w:p w14:paraId="210F8940" w14:textId="77777777" w:rsidR="00791651" w:rsidRPr="00791651" w:rsidRDefault="00791651" w:rsidP="00791651">
            <w:pPr>
              <w:jc w:val="both"/>
              <w:rPr>
                <w:rFonts w:ascii="Times New Roman" w:eastAsia="Calibri" w:hAnsi="Times New Roman" w:cs="Times New Roman"/>
                <w:b/>
                <w:bCs/>
                <w:i/>
              </w:rPr>
            </w:pPr>
          </w:p>
        </w:tc>
        <w:tc>
          <w:tcPr>
            <w:tcW w:w="1380" w:type="dxa"/>
            <w:vMerge/>
            <w:shd w:val="clear" w:color="auto" w:fill="C9C9C9" w:themeFill="accent3" w:themeFillTint="99"/>
            <w:hideMark/>
          </w:tcPr>
          <w:p w14:paraId="6C112B99"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69C27421"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63EE1763"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40042567" w14:textId="77777777" w:rsidR="00791651" w:rsidRPr="00791651" w:rsidRDefault="00791651" w:rsidP="00791651">
            <w:pPr>
              <w:jc w:val="both"/>
              <w:rPr>
                <w:rFonts w:ascii="Times New Roman" w:eastAsia="Calibri" w:hAnsi="Times New Roman" w:cs="Times New Roman"/>
                <w:b/>
                <w:bCs/>
                <w:i/>
              </w:rPr>
            </w:pPr>
          </w:p>
        </w:tc>
      </w:tr>
      <w:tr w:rsidR="00791651" w:rsidRPr="00791651" w14:paraId="7E831657" w14:textId="77777777" w:rsidTr="00791651">
        <w:trPr>
          <w:trHeight w:val="450"/>
        </w:trPr>
        <w:tc>
          <w:tcPr>
            <w:tcW w:w="940" w:type="dxa"/>
            <w:vMerge/>
            <w:shd w:val="clear" w:color="auto" w:fill="C9C9C9" w:themeFill="accent3" w:themeFillTint="99"/>
            <w:hideMark/>
          </w:tcPr>
          <w:p w14:paraId="1651F5CE" w14:textId="77777777" w:rsidR="00791651" w:rsidRPr="00791651" w:rsidRDefault="00791651" w:rsidP="00791651">
            <w:pPr>
              <w:jc w:val="both"/>
              <w:rPr>
                <w:rFonts w:ascii="Times New Roman" w:eastAsia="Calibri" w:hAnsi="Times New Roman" w:cs="Times New Roman"/>
                <w:b/>
                <w:bCs/>
                <w:i/>
              </w:rPr>
            </w:pPr>
          </w:p>
        </w:tc>
        <w:tc>
          <w:tcPr>
            <w:tcW w:w="4760" w:type="dxa"/>
            <w:vMerge/>
            <w:shd w:val="clear" w:color="auto" w:fill="C9C9C9" w:themeFill="accent3" w:themeFillTint="99"/>
            <w:hideMark/>
          </w:tcPr>
          <w:p w14:paraId="614F999B"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45C4AADF"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24DC0581" w14:textId="77777777" w:rsidR="00791651" w:rsidRPr="00791651" w:rsidRDefault="00791651" w:rsidP="00791651">
            <w:pPr>
              <w:jc w:val="both"/>
              <w:rPr>
                <w:rFonts w:ascii="Times New Roman" w:eastAsia="Calibri" w:hAnsi="Times New Roman" w:cs="Times New Roman"/>
                <w:b/>
                <w:bCs/>
                <w:i/>
              </w:rPr>
            </w:pPr>
          </w:p>
        </w:tc>
        <w:tc>
          <w:tcPr>
            <w:tcW w:w="6340" w:type="dxa"/>
            <w:vMerge/>
            <w:shd w:val="clear" w:color="auto" w:fill="C9C9C9" w:themeFill="accent3" w:themeFillTint="99"/>
            <w:hideMark/>
          </w:tcPr>
          <w:p w14:paraId="27CBED32" w14:textId="77777777" w:rsidR="00791651" w:rsidRPr="00791651" w:rsidRDefault="00791651" w:rsidP="00791651">
            <w:pPr>
              <w:jc w:val="both"/>
              <w:rPr>
                <w:rFonts w:ascii="Times New Roman" w:eastAsia="Calibri" w:hAnsi="Times New Roman" w:cs="Times New Roman"/>
                <w:b/>
                <w:bCs/>
                <w:i/>
              </w:rPr>
            </w:pPr>
          </w:p>
        </w:tc>
        <w:tc>
          <w:tcPr>
            <w:tcW w:w="1060" w:type="dxa"/>
            <w:vMerge/>
            <w:shd w:val="clear" w:color="auto" w:fill="C9C9C9" w:themeFill="accent3" w:themeFillTint="99"/>
            <w:hideMark/>
          </w:tcPr>
          <w:p w14:paraId="55576E01"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16240A36" w14:textId="77777777" w:rsidR="00791651" w:rsidRPr="00791651" w:rsidRDefault="00791651" w:rsidP="00791651">
            <w:pPr>
              <w:jc w:val="both"/>
              <w:rPr>
                <w:rFonts w:ascii="Times New Roman" w:eastAsia="Calibri" w:hAnsi="Times New Roman" w:cs="Times New Roman"/>
                <w:b/>
                <w:bCs/>
                <w:i/>
              </w:rPr>
            </w:pPr>
          </w:p>
        </w:tc>
        <w:tc>
          <w:tcPr>
            <w:tcW w:w="1140" w:type="dxa"/>
            <w:vMerge/>
            <w:shd w:val="clear" w:color="auto" w:fill="C9C9C9" w:themeFill="accent3" w:themeFillTint="99"/>
            <w:hideMark/>
          </w:tcPr>
          <w:p w14:paraId="7FA87807" w14:textId="77777777" w:rsidR="00791651" w:rsidRPr="00791651" w:rsidRDefault="00791651" w:rsidP="00791651">
            <w:pPr>
              <w:jc w:val="both"/>
              <w:rPr>
                <w:rFonts w:ascii="Times New Roman" w:eastAsia="Calibri" w:hAnsi="Times New Roman" w:cs="Times New Roman"/>
                <w:b/>
                <w:bCs/>
                <w:i/>
              </w:rPr>
            </w:pPr>
          </w:p>
        </w:tc>
        <w:tc>
          <w:tcPr>
            <w:tcW w:w="1240" w:type="dxa"/>
            <w:vMerge/>
            <w:shd w:val="clear" w:color="auto" w:fill="C9C9C9" w:themeFill="accent3" w:themeFillTint="99"/>
            <w:hideMark/>
          </w:tcPr>
          <w:p w14:paraId="7D11B081" w14:textId="77777777" w:rsidR="00791651" w:rsidRPr="00791651" w:rsidRDefault="00791651" w:rsidP="00791651">
            <w:pPr>
              <w:jc w:val="both"/>
              <w:rPr>
                <w:rFonts w:ascii="Times New Roman" w:eastAsia="Calibri" w:hAnsi="Times New Roman" w:cs="Times New Roman"/>
                <w:b/>
                <w:bCs/>
                <w:i/>
              </w:rPr>
            </w:pPr>
          </w:p>
        </w:tc>
        <w:tc>
          <w:tcPr>
            <w:tcW w:w="1380" w:type="dxa"/>
            <w:vMerge/>
            <w:shd w:val="clear" w:color="auto" w:fill="C9C9C9" w:themeFill="accent3" w:themeFillTint="99"/>
            <w:hideMark/>
          </w:tcPr>
          <w:p w14:paraId="2AAD50C2"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55FFDABF"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5377BB09"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334F2675" w14:textId="77777777" w:rsidR="00791651" w:rsidRPr="00791651" w:rsidRDefault="00791651" w:rsidP="00791651">
            <w:pPr>
              <w:jc w:val="both"/>
              <w:rPr>
                <w:rFonts w:ascii="Times New Roman" w:eastAsia="Calibri" w:hAnsi="Times New Roman" w:cs="Times New Roman"/>
                <w:b/>
                <w:bCs/>
                <w:i/>
              </w:rPr>
            </w:pPr>
          </w:p>
        </w:tc>
      </w:tr>
      <w:tr w:rsidR="00791651" w:rsidRPr="00791651" w14:paraId="26C9450F" w14:textId="77777777" w:rsidTr="00791651">
        <w:trPr>
          <w:trHeight w:val="450"/>
        </w:trPr>
        <w:tc>
          <w:tcPr>
            <w:tcW w:w="940" w:type="dxa"/>
            <w:vMerge/>
            <w:shd w:val="clear" w:color="auto" w:fill="C9C9C9" w:themeFill="accent3" w:themeFillTint="99"/>
            <w:hideMark/>
          </w:tcPr>
          <w:p w14:paraId="05FCFE85" w14:textId="77777777" w:rsidR="00791651" w:rsidRPr="00791651" w:rsidRDefault="00791651" w:rsidP="00791651">
            <w:pPr>
              <w:jc w:val="both"/>
              <w:rPr>
                <w:rFonts w:ascii="Times New Roman" w:eastAsia="Calibri" w:hAnsi="Times New Roman" w:cs="Times New Roman"/>
                <w:b/>
                <w:bCs/>
                <w:i/>
              </w:rPr>
            </w:pPr>
          </w:p>
        </w:tc>
        <w:tc>
          <w:tcPr>
            <w:tcW w:w="4760" w:type="dxa"/>
            <w:vMerge/>
            <w:shd w:val="clear" w:color="auto" w:fill="C9C9C9" w:themeFill="accent3" w:themeFillTint="99"/>
            <w:hideMark/>
          </w:tcPr>
          <w:p w14:paraId="55BCF1FB"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4C9C16D4"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1B24AB65" w14:textId="77777777" w:rsidR="00791651" w:rsidRPr="00791651" w:rsidRDefault="00791651" w:rsidP="00791651">
            <w:pPr>
              <w:jc w:val="both"/>
              <w:rPr>
                <w:rFonts w:ascii="Times New Roman" w:eastAsia="Calibri" w:hAnsi="Times New Roman" w:cs="Times New Roman"/>
                <w:b/>
                <w:bCs/>
                <w:i/>
              </w:rPr>
            </w:pPr>
          </w:p>
        </w:tc>
        <w:tc>
          <w:tcPr>
            <w:tcW w:w="6340" w:type="dxa"/>
            <w:vMerge/>
            <w:shd w:val="clear" w:color="auto" w:fill="C9C9C9" w:themeFill="accent3" w:themeFillTint="99"/>
            <w:hideMark/>
          </w:tcPr>
          <w:p w14:paraId="68CFF624" w14:textId="77777777" w:rsidR="00791651" w:rsidRPr="00791651" w:rsidRDefault="00791651" w:rsidP="00791651">
            <w:pPr>
              <w:jc w:val="both"/>
              <w:rPr>
                <w:rFonts w:ascii="Times New Roman" w:eastAsia="Calibri" w:hAnsi="Times New Roman" w:cs="Times New Roman"/>
                <w:b/>
                <w:bCs/>
                <w:i/>
              </w:rPr>
            </w:pPr>
          </w:p>
        </w:tc>
        <w:tc>
          <w:tcPr>
            <w:tcW w:w="1060" w:type="dxa"/>
            <w:vMerge/>
            <w:shd w:val="clear" w:color="auto" w:fill="C9C9C9" w:themeFill="accent3" w:themeFillTint="99"/>
            <w:hideMark/>
          </w:tcPr>
          <w:p w14:paraId="0D22A29D"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04C52B38" w14:textId="77777777" w:rsidR="00791651" w:rsidRPr="00791651" w:rsidRDefault="00791651" w:rsidP="00791651">
            <w:pPr>
              <w:jc w:val="both"/>
              <w:rPr>
                <w:rFonts w:ascii="Times New Roman" w:eastAsia="Calibri" w:hAnsi="Times New Roman" w:cs="Times New Roman"/>
                <w:b/>
                <w:bCs/>
                <w:i/>
              </w:rPr>
            </w:pPr>
          </w:p>
        </w:tc>
        <w:tc>
          <w:tcPr>
            <w:tcW w:w="1140" w:type="dxa"/>
            <w:vMerge/>
            <w:shd w:val="clear" w:color="auto" w:fill="C9C9C9" w:themeFill="accent3" w:themeFillTint="99"/>
            <w:hideMark/>
          </w:tcPr>
          <w:p w14:paraId="1B17B014" w14:textId="77777777" w:rsidR="00791651" w:rsidRPr="00791651" w:rsidRDefault="00791651" w:rsidP="00791651">
            <w:pPr>
              <w:jc w:val="both"/>
              <w:rPr>
                <w:rFonts w:ascii="Times New Roman" w:eastAsia="Calibri" w:hAnsi="Times New Roman" w:cs="Times New Roman"/>
                <w:b/>
                <w:bCs/>
                <w:i/>
              </w:rPr>
            </w:pPr>
          </w:p>
        </w:tc>
        <w:tc>
          <w:tcPr>
            <w:tcW w:w="1240" w:type="dxa"/>
            <w:vMerge/>
            <w:shd w:val="clear" w:color="auto" w:fill="C9C9C9" w:themeFill="accent3" w:themeFillTint="99"/>
            <w:hideMark/>
          </w:tcPr>
          <w:p w14:paraId="76CAB399" w14:textId="77777777" w:rsidR="00791651" w:rsidRPr="00791651" w:rsidRDefault="00791651" w:rsidP="00791651">
            <w:pPr>
              <w:jc w:val="both"/>
              <w:rPr>
                <w:rFonts w:ascii="Times New Roman" w:eastAsia="Calibri" w:hAnsi="Times New Roman" w:cs="Times New Roman"/>
                <w:b/>
                <w:bCs/>
                <w:i/>
              </w:rPr>
            </w:pPr>
          </w:p>
        </w:tc>
        <w:tc>
          <w:tcPr>
            <w:tcW w:w="1380" w:type="dxa"/>
            <w:vMerge/>
            <w:shd w:val="clear" w:color="auto" w:fill="C9C9C9" w:themeFill="accent3" w:themeFillTint="99"/>
            <w:hideMark/>
          </w:tcPr>
          <w:p w14:paraId="5958E799"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42B9AB87"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67F636CD"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6BA151BA" w14:textId="77777777" w:rsidR="00791651" w:rsidRPr="00791651" w:rsidRDefault="00791651" w:rsidP="00791651">
            <w:pPr>
              <w:jc w:val="both"/>
              <w:rPr>
                <w:rFonts w:ascii="Times New Roman" w:eastAsia="Calibri" w:hAnsi="Times New Roman" w:cs="Times New Roman"/>
                <w:b/>
                <w:bCs/>
                <w:i/>
              </w:rPr>
            </w:pPr>
          </w:p>
        </w:tc>
      </w:tr>
      <w:tr w:rsidR="00791651" w:rsidRPr="00791651" w14:paraId="00FACA6C" w14:textId="77777777" w:rsidTr="00791651">
        <w:trPr>
          <w:trHeight w:val="450"/>
        </w:trPr>
        <w:tc>
          <w:tcPr>
            <w:tcW w:w="940" w:type="dxa"/>
            <w:vMerge/>
            <w:shd w:val="clear" w:color="auto" w:fill="C9C9C9" w:themeFill="accent3" w:themeFillTint="99"/>
            <w:hideMark/>
          </w:tcPr>
          <w:p w14:paraId="126B06ED" w14:textId="77777777" w:rsidR="00791651" w:rsidRPr="00791651" w:rsidRDefault="00791651" w:rsidP="00791651">
            <w:pPr>
              <w:jc w:val="both"/>
              <w:rPr>
                <w:rFonts w:ascii="Times New Roman" w:eastAsia="Calibri" w:hAnsi="Times New Roman" w:cs="Times New Roman"/>
                <w:b/>
                <w:bCs/>
                <w:i/>
              </w:rPr>
            </w:pPr>
          </w:p>
        </w:tc>
        <w:tc>
          <w:tcPr>
            <w:tcW w:w="4760" w:type="dxa"/>
            <w:vMerge/>
            <w:shd w:val="clear" w:color="auto" w:fill="C9C9C9" w:themeFill="accent3" w:themeFillTint="99"/>
            <w:hideMark/>
          </w:tcPr>
          <w:p w14:paraId="2EF56799"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17942696" w14:textId="77777777" w:rsidR="00791651" w:rsidRPr="00791651" w:rsidRDefault="00791651" w:rsidP="00791651">
            <w:pPr>
              <w:jc w:val="both"/>
              <w:rPr>
                <w:rFonts w:ascii="Times New Roman" w:eastAsia="Calibri" w:hAnsi="Times New Roman" w:cs="Times New Roman"/>
                <w:b/>
                <w:bCs/>
                <w:i/>
              </w:rPr>
            </w:pPr>
          </w:p>
        </w:tc>
        <w:tc>
          <w:tcPr>
            <w:tcW w:w="1960" w:type="dxa"/>
            <w:vMerge/>
            <w:shd w:val="clear" w:color="auto" w:fill="C9C9C9" w:themeFill="accent3" w:themeFillTint="99"/>
            <w:hideMark/>
          </w:tcPr>
          <w:p w14:paraId="2998FF57" w14:textId="77777777" w:rsidR="00791651" w:rsidRPr="00791651" w:rsidRDefault="00791651" w:rsidP="00791651">
            <w:pPr>
              <w:jc w:val="both"/>
              <w:rPr>
                <w:rFonts w:ascii="Times New Roman" w:eastAsia="Calibri" w:hAnsi="Times New Roman" w:cs="Times New Roman"/>
                <w:b/>
                <w:bCs/>
                <w:i/>
              </w:rPr>
            </w:pPr>
          </w:p>
        </w:tc>
        <w:tc>
          <w:tcPr>
            <w:tcW w:w="6340" w:type="dxa"/>
            <w:vMerge/>
            <w:shd w:val="clear" w:color="auto" w:fill="C9C9C9" w:themeFill="accent3" w:themeFillTint="99"/>
            <w:hideMark/>
          </w:tcPr>
          <w:p w14:paraId="6D8884F2" w14:textId="77777777" w:rsidR="00791651" w:rsidRPr="00791651" w:rsidRDefault="00791651" w:rsidP="00791651">
            <w:pPr>
              <w:jc w:val="both"/>
              <w:rPr>
                <w:rFonts w:ascii="Times New Roman" w:eastAsia="Calibri" w:hAnsi="Times New Roman" w:cs="Times New Roman"/>
                <w:b/>
                <w:bCs/>
                <w:i/>
              </w:rPr>
            </w:pPr>
          </w:p>
        </w:tc>
        <w:tc>
          <w:tcPr>
            <w:tcW w:w="1060" w:type="dxa"/>
            <w:vMerge/>
            <w:shd w:val="clear" w:color="auto" w:fill="C9C9C9" w:themeFill="accent3" w:themeFillTint="99"/>
            <w:hideMark/>
          </w:tcPr>
          <w:p w14:paraId="296117AD"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0CD600B9" w14:textId="77777777" w:rsidR="00791651" w:rsidRPr="00791651" w:rsidRDefault="00791651" w:rsidP="00791651">
            <w:pPr>
              <w:jc w:val="both"/>
              <w:rPr>
                <w:rFonts w:ascii="Times New Roman" w:eastAsia="Calibri" w:hAnsi="Times New Roman" w:cs="Times New Roman"/>
                <w:b/>
                <w:bCs/>
                <w:i/>
              </w:rPr>
            </w:pPr>
          </w:p>
        </w:tc>
        <w:tc>
          <w:tcPr>
            <w:tcW w:w="1140" w:type="dxa"/>
            <w:vMerge/>
            <w:shd w:val="clear" w:color="auto" w:fill="C9C9C9" w:themeFill="accent3" w:themeFillTint="99"/>
            <w:hideMark/>
          </w:tcPr>
          <w:p w14:paraId="08E66784" w14:textId="77777777" w:rsidR="00791651" w:rsidRPr="00791651" w:rsidRDefault="00791651" w:rsidP="00791651">
            <w:pPr>
              <w:jc w:val="both"/>
              <w:rPr>
                <w:rFonts w:ascii="Times New Roman" w:eastAsia="Calibri" w:hAnsi="Times New Roman" w:cs="Times New Roman"/>
                <w:b/>
                <w:bCs/>
                <w:i/>
              </w:rPr>
            </w:pPr>
          </w:p>
        </w:tc>
        <w:tc>
          <w:tcPr>
            <w:tcW w:w="1240" w:type="dxa"/>
            <w:vMerge/>
            <w:shd w:val="clear" w:color="auto" w:fill="C9C9C9" w:themeFill="accent3" w:themeFillTint="99"/>
            <w:hideMark/>
          </w:tcPr>
          <w:p w14:paraId="0A1DF02C" w14:textId="77777777" w:rsidR="00791651" w:rsidRPr="00791651" w:rsidRDefault="00791651" w:rsidP="00791651">
            <w:pPr>
              <w:jc w:val="both"/>
              <w:rPr>
                <w:rFonts w:ascii="Times New Roman" w:eastAsia="Calibri" w:hAnsi="Times New Roman" w:cs="Times New Roman"/>
                <w:b/>
                <w:bCs/>
                <w:i/>
              </w:rPr>
            </w:pPr>
          </w:p>
        </w:tc>
        <w:tc>
          <w:tcPr>
            <w:tcW w:w="1380" w:type="dxa"/>
            <w:vMerge/>
            <w:shd w:val="clear" w:color="auto" w:fill="C9C9C9" w:themeFill="accent3" w:themeFillTint="99"/>
            <w:hideMark/>
          </w:tcPr>
          <w:p w14:paraId="39938AD2"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6C417506" w14:textId="77777777" w:rsidR="00791651" w:rsidRPr="00791651" w:rsidRDefault="00791651" w:rsidP="00791651">
            <w:pPr>
              <w:jc w:val="both"/>
              <w:rPr>
                <w:rFonts w:ascii="Times New Roman" w:eastAsia="Calibri" w:hAnsi="Times New Roman" w:cs="Times New Roman"/>
                <w:b/>
                <w:bCs/>
                <w:i/>
              </w:rPr>
            </w:pPr>
          </w:p>
        </w:tc>
        <w:tc>
          <w:tcPr>
            <w:tcW w:w="1980" w:type="dxa"/>
            <w:vMerge/>
            <w:shd w:val="clear" w:color="auto" w:fill="C9C9C9" w:themeFill="accent3" w:themeFillTint="99"/>
            <w:hideMark/>
          </w:tcPr>
          <w:p w14:paraId="2633661C" w14:textId="77777777" w:rsidR="00791651" w:rsidRPr="00791651" w:rsidRDefault="00791651" w:rsidP="00791651">
            <w:pPr>
              <w:jc w:val="both"/>
              <w:rPr>
                <w:rFonts w:ascii="Times New Roman" w:eastAsia="Calibri" w:hAnsi="Times New Roman" w:cs="Times New Roman"/>
                <w:b/>
                <w:bCs/>
                <w:i/>
              </w:rPr>
            </w:pPr>
          </w:p>
        </w:tc>
        <w:tc>
          <w:tcPr>
            <w:tcW w:w="1460" w:type="dxa"/>
            <w:vMerge/>
            <w:shd w:val="clear" w:color="auto" w:fill="C9C9C9" w:themeFill="accent3" w:themeFillTint="99"/>
            <w:hideMark/>
          </w:tcPr>
          <w:p w14:paraId="1CE10EA0" w14:textId="77777777" w:rsidR="00791651" w:rsidRPr="00791651" w:rsidRDefault="00791651" w:rsidP="00791651">
            <w:pPr>
              <w:jc w:val="both"/>
              <w:rPr>
                <w:rFonts w:ascii="Times New Roman" w:eastAsia="Calibri" w:hAnsi="Times New Roman" w:cs="Times New Roman"/>
                <w:b/>
                <w:bCs/>
                <w:i/>
              </w:rPr>
            </w:pPr>
          </w:p>
        </w:tc>
      </w:tr>
      <w:tr w:rsidR="00791651" w:rsidRPr="00791651" w14:paraId="7EC7989A" w14:textId="77777777" w:rsidTr="00791651">
        <w:trPr>
          <w:trHeight w:val="330"/>
        </w:trPr>
        <w:tc>
          <w:tcPr>
            <w:tcW w:w="940" w:type="dxa"/>
            <w:hideMark/>
          </w:tcPr>
          <w:p w14:paraId="303450DA"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1</w:t>
            </w:r>
          </w:p>
        </w:tc>
        <w:tc>
          <w:tcPr>
            <w:tcW w:w="4760" w:type="dxa"/>
            <w:hideMark/>
          </w:tcPr>
          <w:p w14:paraId="620E76D6" w14:textId="4230395B" w:rsidR="00791651" w:rsidRPr="00791651" w:rsidRDefault="00C476BA" w:rsidP="00C476BA">
            <w:pPr>
              <w:jc w:val="both"/>
              <w:rPr>
                <w:rFonts w:ascii="Times New Roman" w:eastAsia="Calibri" w:hAnsi="Times New Roman" w:cs="Times New Roman"/>
                <w:i/>
              </w:rPr>
            </w:pPr>
            <w:r>
              <w:rPr>
                <w:rFonts w:ascii="Times New Roman" w:eastAsia="Calibri" w:hAnsi="Times New Roman" w:cs="Times New Roman"/>
                <w:i/>
              </w:rPr>
              <w:t>Povinné správy o</w:t>
            </w:r>
            <w:r w:rsidR="00791651" w:rsidRPr="00791651">
              <w:rPr>
                <w:rFonts w:ascii="Times New Roman" w:eastAsia="Calibri" w:hAnsi="Times New Roman" w:cs="Times New Roman"/>
                <w:i/>
              </w:rPr>
              <w:t xml:space="preserve"> rozdieloch v</w:t>
            </w:r>
            <w:r>
              <w:rPr>
                <w:rFonts w:ascii="Times New Roman" w:eastAsia="Calibri" w:hAnsi="Times New Roman" w:cs="Times New Roman"/>
                <w:i/>
              </w:rPr>
              <w:t> </w:t>
            </w:r>
            <w:r w:rsidR="00791651" w:rsidRPr="00791651">
              <w:rPr>
                <w:rFonts w:ascii="Times New Roman" w:eastAsia="Calibri" w:hAnsi="Times New Roman" w:cs="Times New Roman"/>
                <w:i/>
              </w:rPr>
              <w:t>odmeňovaní</w:t>
            </w:r>
            <w:r>
              <w:rPr>
                <w:rFonts w:ascii="Times New Roman" w:eastAsia="Calibri" w:hAnsi="Times New Roman" w:cs="Times New Roman"/>
                <w:i/>
              </w:rPr>
              <w:t xml:space="preserve"> mužov a žien </w:t>
            </w:r>
            <w:r w:rsidR="00791651" w:rsidRPr="00791651">
              <w:rPr>
                <w:rFonts w:ascii="Times New Roman" w:eastAsia="Calibri" w:hAnsi="Times New Roman" w:cs="Times New Roman"/>
                <w:i/>
              </w:rPr>
              <w:t>pre zamestnávateľov</w:t>
            </w:r>
          </w:p>
        </w:tc>
        <w:tc>
          <w:tcPr>
            <w:tcW w:w="1960" w:type="dxa"/>
            <w:hideMark/>
          </w:tcPr>
          <w:p w14:paraId="5FF1EB8F"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8</w:t>
            </w:r>
          </w:p>
        </w:tc>
        <w:tc>
          <w:tcPr>
            <w:tcW w:w="1960" w:type="dxa"/>
            <w:hideMark/>
          </w:tcPr>
          <w:p w14:paraId="5EE6C03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8, ods. 2</w:t>
            </w:r>
          </w:p>
        </w:tc>
        <w:tc>
          <w:tcPr>
            <w:tcW w:w="6340" w:type="dxa"/>
            <w:hideMark/>
          </w:tcPr>
          <w:p w14:paraId="5567D936"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 EÚ úplná harmonizácia</w:t>
            </w:r>
          </w:p>
        </w:tc>
        <w:tc>
          <w:tcPr>
            <w:tcW w:w="1060" w:type="dxa"/>
            <w:hideMark/>
          </w:tcPr>
          <w:p w14:paraId="0C04DC6A"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01.06.26</w:t>
            </w:r>
          </w:p>
        </w:tc>
        <w:tc>
          <w:tcPr>
            <w:tcW w:w="1460" w:type="dxa"/>
            <w:hideMark/>
          </w:tcPr>
          <w:p w14:paraId="31888249"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Zamestnávateľ, ktorý zamestnáva viac ako 250 zamestnancov</w:t>
            </w:r>
          </w:p>
        </w:tc>
        <w:tc>
          <w:tcPr>
            <w:tcW w:w="1140" w:type="dxa"/>
            <w:hideMark/>
          </w:tcPr>
          <w:p w14:paraId="5CFAF1B3"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xml:space="preserve">              774 </w:t>
            </w:r>
          </w:p>
        </w:tc>
        <w:tc>
          <w:tcPr>
            <w:tcW w:w="1240" w:type="dxa"/>
            <w:hideMark/>
          </w:tcPr>
          <w:p w14:paraId="22174F4C"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65</w:t>
            </w:r>
          </w:p>
        </w:tc>
        <w:tc>
          <w:tcPr>
            <w:tcW w:w="1380" w:type="dxa"/>
            <w:hideMark/>
          </w:tcPr>
          <w:p w14:paraId="7349E655" w14:textId="330A3435" w:rsidR="00791651" w:rsidRPr="00791651" w:rsidRDefault="007F726F" w:rsidP="00791651">
            <w:pPr>
              <w:jc w:val="both"/>
              <w:rPr>
                <w:rFonts w:ascii="Times New Roman" w:eastAsia="Calibri" w:hAnsi="Times New Roman" w:cs="Times New Roman"/>
                <w:i/>
              </w:rPr>
            </w:pPr>
            <w:r>
              <w:rPr>
                <w:rFonts w:ascii="Times New Roman" w:eastAsia="Calibri" w:hAnsi="Times New Roman" w:cs="Times New Roman"/>
                <w:i/>
              </w:rPr>
              <w:t>50 310</w:t>
            </w:r>
          </w:p>
        </w:tc>
        <w:tc>
          <w:tcPr>
            <w:tcW w:w="1980" w:type="dxa"/>
            <w:hideMark/>
          </w:tcPr>
          <w:p w14:paraId="75162EE8"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In (zvyšuje náklady)</w:t>
            </w:r>
          </w:p>
        </w:tc>
        <w:tc>
          <w:tcPr>
            <w:tcW w:w="1980" w:type="dxa"/>
            <w:hideMark/>
          </w:tcPr>
          <w:p w14:paraId="6F12670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c>
          <w:tcPr>
            <w:tcW w:w="1460" w:type="dxa"/>
            <w:hideMark/>
          </w:tcPr>
          <w:p w14:paraId="30065A6B"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r>
      <w:tr w:rsidR="00791651" w:rsidRPr="00791651" w14:paraId="2CA3B18A" w14:textId="77777777" w:rsidTr="00791651">
        <w:trPr>
          <w:trHeight w:val="1300"/>
        </w:trPr>
        <w:tc>
          <w:tcPr>
            <w:tcW w:w="940" w:type="dxa"/>
            <w:hideMark/>
          </w:tcPr>
          <w:p w14:paraId="4A36551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w:t>
            </w:r>
          </w:p>
        </w:tc>
        <w:tc>
          <w:tcPr>
            <w:tcW w:w="4760" w:type="dxa"/>
            <w:hideMark/>
          </w:tcPr>
          <w:p w14:paraId="216A303D" w14:textId="22225712" w:rsidR="00791651" w:rsidRPr="00791651" w:rsidRDefault="00C476BA" w:rsidP="00791651">
            <w:pPr>
              <w:jc w:val="both"/>
              <w:rPr>
                <w:rFonts w:ascii="Times New Roman" w:eastAsia="Calibri" w:hAnsi="Times New Roman" w:cs="Times New Roman"/>
                <w:i/>
              </w:rPr>
            </w:pPr>
            <w:r>
              <w:rPr>
                <w:rFonts w:ascii="Times New Roman" w:eastAsia="Calibri" w:hAnsi="Times New Roman" w:cs="Times New Roman"/>
                <w:i/>
              </w:rPr>
              <w:t>Povinné správy o</w:t>
            </w:r>
            <w:r w:rsidR="00791651" w:rsidRPr="00791651">
              <w:rPr>
                <w:rFonts w:ascii="Times New Roman" w:eastAsia="Calibri" w:hAnsi="Times New Roman" w:cs="Times New Roman"/>
                <w:i/>
              </w:rPr>
              <w:t xml:space="preserve"> rozdieloch v</w:t>
            </w:r>
            <w:r>
              <w:rPr>
                <w:rFonts w:ascii="Times New Roman" w:eastAsia="Calibri" w:hAnsi="Times New Roman" w:cs="Times New Roman"/>
                <w:i/>
              </w:rPr>
              <w:t> </w:t>
            </w:r>
            <w:r w:rsidR="00791651" w:rsidRPr="00791651">
              <w:rPr>
                <w:rFonts w:ascii="Times New Roman" w:eastAsia="Calibri" w:hAnsi="Times New Roman" w:cs="Times New Roman"/>
                <w:i/>
              </w:rPr>
              <w:t>odmeňovaní</w:t>
            </w:r>
            <w:r>
              <w:rPr>
                <w:rFonts w:ascii="Times New Roman" w:eastAsia="Calibri" w:hAnsi="Times New Roman" w:cs="Times New Roman"/>
                <w:i/>
              </w:rPr>
              <w:t xml:space="preserve"> mužov a žien </w:t>
            </w:r>
            <w:r w:rsidR="00791651" w:rsidRPr="00791651">
              <w:rPr>
                <w:rFonts w:ascii="Times New Roman" w:eastAsia="Calibri" w:hAnsi="Times New Roman" w:cs="Times New Roman"/>
                <w:i/>
              </w:rPr>
              <w:t xml:space="preserve"> pre zamestnávateľov</w:t>
            </w:r>
          </w:p>
        </w:tc>
        <w:tc>
          <w:tcPr>
            <w:tcW w:w="1960" w:type="dxa"/>
            <w:hideMark/>
          </w:tcPr>
          <w:p w14:paraId="01C95D72"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8</w:t>
            </w:r>
          </w:p>
        </w:tc>
        <w:tc>
          <w:tcPr>
            <w:tcW w:w="1960" w:type="dxa"/>
            <w:hideMark/>
          </w:tcPr>
          <w:p w14:paraId="25128441"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8, ods. 3</w:t>
            </w:r>
          </w:p>
        </w:tc>
        <w:tc>
          <w:tcPr>
            <w:tcW w:w="6340" w:type="dxa"/>
            <w:hideMark/>
          </w:tcPr>
          <w:p w14:paraId="5268810A"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 EÚ úplná harmonizácia</w:t>
            </w:r>
          </w:p>
        </w:tc>
        <w:tc>
          <w:tcPr>
            <w:tcW w:w="1060" w:type="dxa"/>
            <w:hideMark/>
          </w:tcPr>
          <w:p w14:paraId="0E2B3BCC"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01.06.26</w:t>
            </w:r>
          </w:p>
        </w:tc>
        <w:tc>
          <w:tcPr>
            <w:tcW w:w="1460" w:type="dxa"/>
            <w:hideMark/>
          </w:tcPr>
          <w:p w14:paraId="2BA1A873"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Zamestnávateľ, ktorý zamestnáva viac ako 100 a menej ako 250 zamestnancov</w:t>
            </w:r>
          </w:p>
        </w:tc>
        <w:tc>
          <w:tcPr>
            <w:tcW w:w="1140" w:type="dxa"/>
            <w:hideMark/>
          </w:tcPr>
          <w:p w14:paraId="73C8051D"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xml:space="preserve">           1 229 </w:t>
            </w:r>
          </w:p>
        </w:tc>
        <w:tc>
          <w:tcPr>
            <w:tcW w:w="1240" w:type="dxa"/>
            <w:hideMark/>
          </w:tcPr>
          <w:p w14:paraId="5B79125C"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29</w:t>
            </w:r>
          </w:p>
        </w:tc>
        <w:tc>
          <w:tcPr>
            <w:tcW w:w="1380" w:type="dxa"/>
            <w:hideMark/>
          </w:tcPr>
          <w:p w14:paraId="4EC231C2" w14:textId="21F39D77" w:rsidR="00791651" w:rsidRPr="00791651" w:rsidRDefault="007F726F" w:rsidP="00791651">
            <w:pPr>
              <w:jc w:val="both"/>
              <w:rPr>
                <w:rFonts w:ascii="Times New Roman" w:eastAsia="Calibri" w:hAnsi="Times New Roman" w:cs="Times New Roman"/>
                <w:i/>
              </w:rPr>
            </w:pPr>
            <w:r>
              <w:rPr>
                <w:rFonts w:ascii="Times New Roman" w:eastAsia="Calibri" w:hAnsi="Times New Roman" w:cs="Times New Roman"/>
                <w:i/>
              </w:rPr>
              <w:t>35 641</w:t>
            </w:r>
          </w:p>
        </w:tc>
        <w:tc>
          <w:tcPr>
            <w:tcW w:w="1980" w:type="dxa"/>
            <w:hideMark/>
          </w:tcPr>
          <w:p w14:paraId="0AFBAD41"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In (zvyšuje náklady)</w:t>
            </w:r>
          </w:p>
        </w:tc>
        <w:tc>
          <w:tcPr>
            <w:tcW w:w="1980" w:type="dxa"/>
            <w:hideMark/>
          </w:tcPr>
          <w:p w14:paraId="74325EEB"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c>
          <w:tcPr>
            <w:tcW w:w="1460" w:type="dxa"/>
            <w:hideMark/>
          </w:tcPr>
          <w:p w14:paraId="4B704213"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r>
      <w:tr w:rsidR="00791651" w:rsidRPr="00791651" w14:paraId="0982FCF5" w14:textId="77777777" w:rsidTr="00791651">
        <w:trPr>
          <w:trHeight w:val="520"/>
        </w:trPr>
        <w:tc>
          <w:tcPr>
            <w:tcW w:w="940" w:type="dxa"/>
            <w:hideMark/>
          </w:tcPr>
          <w:p w14:paraId="1EDEBE6C"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3</w:t>
            </w:r>
          </w:p>
        </w:tc>
        <w:tc>
          <w:tcPr>
            <w:tcW w:w="4760" w:type="dxa"/>
            <w:hideMark/>
          </w:tcPr>
          <w:p w14:paraId="623BED0E"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Transparentné štruktúry odmeňovania a objektívne kritéria</w:t>
            </w:r>
          </w:p>
        </w:tc>
        <w:tc>
          <w:tcPr>
            <w:tcW w:w="1960" w:type="dxa"/>
            <w:hideMark/>
          </w:tcPr>
          <w:p w14:paraId="3002184A"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3</w:t>
            </w:r>
          </w:p>
        </w:tc>
        <w:tc>
          <w:tcPr>
            <w:tcW w:w="1960" w:type="dxa"/>
            <w:hideMark/>
          </w:tcPr>
          <w:p w14:paraId="5B6A9F6E"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3, ods. 1-2</w:t>
            </w:r>
          </w:p>
        </w:tc>
        <w:tc>
          <w:tcPr>
            <w:tcW w:w="6340" w:type="dxa"/>
            <w:hideMark/>
          </w:tcPr>
          <w:p w14:paraId="247322EB"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 EÚ úplná harmonizácia</w:t>
            </w:r>
          </w:p>
        </w:tc>
        <w:tc>
          <w:tcPr>
            <w:tcW w:w="1060" w:type="dxa"/>
            <w:hideMark/>
          </w:tcPr>
          <w:p w14:paraId="700F50AF"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01.06.26</w:t>
            </w:r>
          </w:p>
        </w:tc>
        <w:tc>
          <w:tcPr>
            <w:tcW w:w="1460" w:type="dxa"/>
            <w:hideMark/>
          </w:tcPr>
          <w:p w14:paraId="16973613"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Zamestnávateľ</w:t>
            </w:r>
          </w:p>
        </w:tc>
        <w:tc>
          <w:tcPr>
            <w:tcW w:w="1140" w:type="dxa"/>
            <w:hideMark/>
          </w:tcPr>
          <w:p w14:paraId="42022AFA"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xml:space="preserve">         20 173 </w:t>
            </w:r>
          </w:p>
        </w:tc>
        <w:tc>
          <w:tcPr>
            <w:tcW w:w="1240" w:type="dxa"/>
            <w:hideMark/>
          </w:tcPr>
          <w:p w14:paraId="68379BE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285</w:t>
            </w:r>
          </w:p>
        </w:tc>
        <w:tc>
          <w:tcPr>
            <w:tcW w:w="1380" w:type="dxa"/>
            <w:hideMark/>
          </w:tcPr>
          <w:p w14:paraId="3863BF29" w14:textId="6E059954" w:rsidR="00791651" w:rsidRPr="00791651" w:rsidRDefault="007F726F" w:rsidP="00791651">
            <w:pPr>
              <w:jc w:val="both"/>
              <w:rPr>
                <w:rFonts w:ascii="Times New Roman" w:eastAsia="Calibri" w:hAnsi="Times New Roman" w:cs="Times New Roman"/>
                <w:i/>
              </w:rPr>
            </w:pPr>
            <w:r>
              <w:rPr>
                <w:rFonts w:ascii="Times New Roman" w:eastAsia="Calibri" w:hAnsi="Times New Roman" w:cs="Times New Roman"/>
                <w:i/>
              </w:rPr>
              <w:t>5 749 30</w:t>
            </w:r>
            <w:r w:rsidR="00791651" w:rsidRPr="00791651">
              <w:rPr>
                <w:rFonts w:ascii="Times New Roman" w:eastAsia="Calibri" w:hAnsi="Times New Roman" w:cs="Times New Roman"/>
                <w:i/>
              </w:rPr>
              <w:t>5</w:t>
            </w:r>
          </w:p>
        </w:tc>
        <w:tc>
          <w:tcPr>
            <w:tcW w:w="1980" w:type="dxa"/>
            <w:hideMark/>
          </w:tcPr>
          <w:p w14:paraId="65A9591D"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In (zvyšuje náklady)</w:t>
            </w:r>
          </w:p>
        </w:tc>
        <w:tc>
          <w:tcPr>
            <w:tcW w:w="1980" w:type="dxa"/>
            <w:hideMark/>
          </w:tcPr>
          <w:p w14:paraId="2CCCA9D8"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c>
          <w:tcPr>
            <w:tcW w:w="1460" w:type="dxa"/>
            <w:hideMark/>
          </w:tcPr>
          <w:p w14:paraId="429C840F"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r>
      <w:tr w:rsidR="00791651" w:rsidRPr="00791651" w14:paraId="19CFC373" w14:textId="77777777" w:rsidTr="00791651">
        <w:trPr>
          <w:trHeight w:val="520"/>
        </w:trPr>
        <w:tc>
          <w:tcPr>
            <w:tcW w:w="940" w:type="dxa"/>
            <w:hideMark/>
          </w:tcPr>
          <w:p w14:paraId="012EFDC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lastRenderedPageBreak/>
              <w:t>4</w:t>
            </w:r>
          </w:p>
        </w:tc>
        <w:tc>
          <w:tcPr>
            <w:tcW w:w="4760" w:type="dxa"/>
            <w:hideMark/>
          </w:tcPr>
          <w:p w14:paraId="02C971D1"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Transparentné štruktúry odmeňovania a objektívne kritéria</w:t>
            </w:r>
          </w:p>
        </w:tc>
        <w:tc>
          <w:tcPr>
            <w:tcW w:w="1960" w:type="dxa"/>
            <w:hideMark/>
          </w:tcPr>
          <w:p w14:paraId="052001D9"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3</w:t>
            </w:r>
          </w:p>
        </w:tc>
        <w:tc>
          <w:tcPr>
            <w:tcW w:w="1960" w:type="dxa"/>
            <w:hideMark/>
          </w:tcPr>
          <w:p w14:paraId="37F3932C"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3, ods. 1-2</w:t>
            </w:r>
          </w:p>
        </w:tc>
        <w:tc>
          <w:tcPr>
            <w:tcW w:w="6340" w:type="dxa"/>
            <w:hideMark/>
          </w:tcPr>
          <w:p w14:paraId="1661C611"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2. EÚ úplná harmonizácia</w:t>
            </w:r>
          </w:p>
        </w:tc>
        <w:tc>
          <w:tcPr>
            <w:tcW w:w="1060" w:type="dxa"/>
            <w:hideMark/>
          </w:tcPr>
          <w:p w14:paraId="3FF834B2"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01.06.26</w:t>
            </w:r>
          </w:p>
        </w:tc>
        <w:tc>
          <w:tcPr>
            <w:tcW w:w="1460" w:type="dxa"/>
            <w:hideMark/>
          </w:tcPr>
          <w:p w14:paraId="300A652F"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Zamestnávateľ</w:t>
            </w:r>
          </w:p>
        </w:tc>
        <w:tc>
          <w:tcPr>
            <w:tcW w:w="1140" w:type="dxa"/>
            <w:hideMark/>
          </w:tcPr>
          <w:p w14:paraId="19D891B8"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 xml:space="preserve">       138 087 </w:t>
            </w:r>
          </w:p>
        </w:tc>
        <w:tc>
          <w:tcPr>
            <w:tcW w:w="1240" w:type="dxa"/>
            <w:hideMark/>
          </w:tcPr>
          <w:p w14:paraId="245B0AED"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71</w:t>
            </w:r>
          </w:p>
        </w:tc>
        <w:tc>
          <w:tcPr>
            <w:tcW w:w="1380" w:type="dxa"/>
            <w:hideMark/>
          </w:tcPr>
          <w:p w14:paraId="53BED9B9" w14:textId="070A4FBC" w:rsidR="00791651" w:rsidRPr="00791651" w:rsidRDefault="007F726F" w:rsidP="00791651">
            <w:pPr>
              <w:jc w:val="both"/>
              <w:rPr>
                <w:rFonts w:ascii="Times New Roman" w:eastAsia="Calibri" w:hAnsi="Times New Roman" w:cs="Times New Roman"/>
                <w:i/>
              </w:rPr>
            </w:pPr>
            <w:r>
              <w:rPr>
                <w:rFonts w:ascii="Times New Roman" w:eastAsia="Calibri" w:hAnsi="Times New Roman" w:cs="Times New Roman"/>
                <w:i/>
              </w:rPr>
              <w:t>9 804 177</w:t>
            </w:r>
          </w:p>
        </w:tc>
        <w:tc>
          <w:tcPr>
            <w:tcW w:w="1980" w:type="dxa"/>
            <w:hideMark/>
          </w:tcPr>
          <w:p w14:paraId="5BB36DD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In (zvyšuje náklady)</w:t>
            </w:r>
          </w:p>
        </w:tc>
        <w:tc>
          <w:tcPr>
            <w:tcW w:w="1980" w:type="dxa"/>
            <w:hideMark/>
          </w:tcPr>
          <w:p w14:paraId="0D88BC14"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c>
          <w:tcPr>
            <w:tcW w:w="1460" w:type="dxa"/>
            <w:hideMark/>
          </w:tcPr>
          <w:p w14:paraId="51A3F3E0" w14:textId="77777777" w:rsidR="00791651" w:rsidRPr="00791651" w:rsidRDefault="00791651" w:rsidP="00791651">
            <w:pPr>
              <w:jc w:val="both"/>
              <w:rPr>
                <w:rFonts w:ascii="Times New Roman" w:eastAsia="Calibri" w:hAnsi="Times New Roman" w:cs="Times New Roman"/>
                <w:i/>
              </w:rPr>
            </w:pPr>
            <w:r w:rsidRPr="00791651">
              <w:rPr>
                <w:rFonts w:ascii="Times New Roman" w:eastAsia="Calibri" w:hAnsi="Times New Roman" w:cs="Times New Roman"/>
                <w:i/>
              </w:rPr>
              <w:t>0</w:t>
            </w:r>
          </w:p>
        </w:tc>
      </w:tr>
    </w:tbl>
    <w:p w14:paraId="520734CD" w14:textId="77777777" w:rsidR="00054C41" w:rsidRPr="00895898" w:rsidRDefault="00054C41" w:rsidP="00054C41">
      <w:pPr>
        <w:jc w:val="both"/>
        <w:rPr>
          <w:rFonts w:ascii="Times New Roman" w:eastAsia="Calibri" w:hAnsi="Times New Roman" w:cs="Times New Roman"/>
          <w:i/>
        </w:rPr>
      </w:pPr>
    </w:p>
    <w:p w14:paraId="28F4ADD3" w14:textId="0E015BBF" w:rsidR="009277B2" w:rsidRDefault="0022740F" w:rsidP="00054C41">
      <w:pPr>
        <w:jc w:val="both"/>
      </w:pPr>
      <w:r>
        <w:fldChar w:fldCharType="begin"/>
      </w:r>
      <w:r>
        <w:instrText xml:space="preserve"> LINK </w:instrText>
      </w:r>
      <w:r w:rsidR="009277B2">
        <w:instrText xml:space="preserve">Excel.Sheet.12 "C:\\Users\\Madzinova\\Desktop\\ORŽMaRP\\smernice\\rovne odmenovanie\\zákon\\MPK\\final\\KALKULAČKA_EQUAL_PAY_17.9._2025.xlsx" "Krok 2- Tabuľky na skopírovanie!R23:R32" </w:instrText>
      </w:r>
      <w:r>
        <w:instrText xml:space="preserve">\a \f 4 \h  \* MERGEFORMAT </w:instrText>
      </w:r>
      <w:r>
        <w:fldChar w:fldCharType="separate"/>
      </w:r>
    </w:p>
    <w:tbl>
      <w:tblPr>
        <w:tblW w:w="30480" w:type="dxa"/>
        <w:tblCellMar>
          <w:left w:w="70" w:type="dxa"/>
          <w:right w:w="70" w:type="dxa"/>
        </w:tblCellMar>
        <w:tblLook w:val="04A0" w:firstRow="1" w:lastRow="0" w:firstColumn="1" w:lastColumn="0" w:noHBand="0" w:noVBand="1"/>
      </w:tblPr>
      <w:tblGrid>
        <w:gridCol w:w="940"/>
        <w:gridCol w:w="4760"/>
        <w:gridCol w:w="1960"/>
        <w:gridCol w:w="1960"/>
        <w:gridCol w:w="6340"/>
        <w:gridCol w:w="1060"/>
        <w:gridCol w:w="1460"/>
        <w:gridCol w:w="1140"/>
        <w:gridCol w:w="1240"/>
        <w:gridCol w:w="1380"/>
        <w:gridCol w:w="1980"/>
        <w:gridCol w:w="1980"/>
        <w:gridCol w:w="1460"/>
        <w:gridCol w:w="1080"/>
        <w:gridCol w:w="1740"/>
      </w:tblGrid>
      <w:tr w:rsidR="009277B2" w:rsidRPr="009277B2" w14:paraId="3ADCA5C4" w14:textId="77777777" w:rsidTr="009277B2">
        <w:trPr>
          <w:trHeight w:val="263"/>
        </w:trPr>
        <w:tc>
          <w:tcPr>
            <w:tcW w:w="9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EF132FD" w14:textId="06593FE3"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9277B2">
              <w:rPr>
                <w:rFonts w:ascii="Times New Roman" w:eastAsia="Times New Roman" w:hAnsi="Times New Roman" w:cs="Times New Roman"/>
                <w:b/>
                <w:bCs/>
                <w:color w:val="000000"/>
                <w:sz w:val="20"/>
                <w:szCs w:val="20"/>
                <w:lang w:eastAsia="sk-SK"/>
              </w:rPr>
              <w:t>P.č</w:t>
            </w:r>
            <w:proofErr w:type="spellEnd"/>
            <w:r w:rsidRPr="009277B2">
              <w:rPr>
                <w:rFonts w:ascii="Times New Roman" w:eastAsia="Times New Roman" w:hAnsi="Times New Roman" w:cs="Times New Roman"/>
                <w:b/>
                <w:bCs/>
                <w:color w:val="000000"/>
                <w:sz w:val="20"/>
                <w:szCs w:val="20"/>
                <w:lang w:eastAsia="sk-SK"/>
              </w:rPr>
              <w:t>.</w:t>
            </w:r>
          </w:p>
        </w:tc>
        <w:tc>
          <w:tcPr>
            <w:tcW w:w="47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3DD16E"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Zrozumiteľný a stručný opis regulácie </w:t>
            </w:r>
            <w:r w:rsidRPr="009277B2">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9277B2">
              <w:rPr>
                <w:rFonts w:ascii="Times New Roman" w:eastAsia="Times New Roman" w:hAnsi="Times New Roman" w:cs="Times New Roman"/>
                <w:b/>
                <w:bCs/>
                <w:color w:val="000000"/>
                <w:sz w:val="20"/>
                <w:szCs w:val="20"/>
                <w:lang w:eastAsia="sk-SK"/>
              </w:rPr>
              <w:t>su</w:t>
            </w:r>
            <w:proofErr w:type="spellEnd"/>
            <w:r w:rsidRPr="009277B2">
              <w:rPr>
                <w:rFonts w:ascii="Times New Roman" w:eastAsia="Times New Roman" w:hAnsi="Times New Roman" w:cs="Times New Roman"/>
                <w:b/>
                <w:bCs/>
                <w:color w:val="000000"/>
                <w:sz w:val="20"/>
                <w:szCs w:val="20"/>
                <w:lang w:eastAsia="sk-SK"/>
              </w:rPr>
              <w:t xml:space="preserve"> </w:t>
            </w:r>
            <w:proofErr w:type="spellStart"/>
            <w:r w:rsidRPr="009277B2">
              <w:rPr>
                <w:rFonts w:ascii="Times New Roman" w:eastAsia="Times New Roman" w:hAnsi="Times New Roman" w:cs="Times New Roman"/>
                <w:b/>
                <w:bCs/>
                <w:color w:val="000000"/>
                <w:sz w:val="20"/>
                <w:szCs w:val="20"/>
                <w:lang w:eastAsia="sk-SK"/>
              </w:rPr>
              <w:t>goldplatingom</w:t>
            </w:r>
            <w:proofErr w:type="spellEnd"/>
            <w:r w:rsidRPr="009277B2">
              <w:rPr>
                <w:rFonts w:ascii="Times New Roman" w:eastAsia="Times New Roman" w:hAnsi="Times New Roman" w:cs="Times New Roman"/>
                <w:b/>
                <w:bCs/>
                <w:color w:val="000000"/>
                <w:sz w:val="20"/>
                <w:szCs w:val="20"/>
                <w:lang w:eastAsia="sk-SK"/>
              </w:rPr>
              <w:t>)</w:t>
            </w:r>
          </w:p>
        </w:tc>
        <w:tc>
          <w:tcPr>
            <w:tcW w:w="196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C98214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Číslo normy</w:t>
            </w:r>
            <w:r w:rsidRPr="009277B2">
              <w:rPr>
                <w:rFonts w:ascii="Times New Roman" w:eastAsia="Times New Roman" w:hAnsi="Times New Roman" w:cs="Times New Roman"/>
                <w:b/>
                <w:bCs/>
                <w:color w:val="000000"/>
                <w:sz w:val="20"/>
                <w:szCs w:val="20"/>
                <w:lang w:eastAsia="sk-SK"/>
              </w:rPr>
              <w:br/>
            </w:r>
            <w:r w:rsidRPr="009277B2">
              <w:rPr>
                <w:rFonts w:ascii="Times New Roman" w:eastAsia="Times New Roman" w:hAnsi="Times New Roman" w:cs="Times New Roman"/>
                <w:color w:val="000000"/>
                <w:sz w:val="20"/>
                <w:szCs w:val="20"/>
                <w:lang w:eastAsia="sk-SK"/>
              </w:rPr>
              <w:t>(zákona, vyhlášky a pod.)</w:t>
            </w:r>
          </w:p>
        </w:tc>
        <w:tc>
          <w:tcPr>
            <w:tcW w:w="196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3429DF4"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Lokalizácia</w:t>
            </w:r>
            <w:r w:rsidRPr="009277B2">
              <w:rPr>
                <w:rFonts w:ascii="Times New Roman" w:eastAsia="Times New Roman" w:hAnsi="Times New Roman" w:cs="Times New Roman"/>
                <w:b/>
                <w:bCs/>
                <w:color w:val="000000"/>
                <w:sz w:val="20"/>
                <w:szCs w:val="20"/>
                <w:lang w:eastAsia="sk-SK"/>
              </w:rPr>
              <w:br/>
              <w:t>(§, ods., čl.,...)</w:t>
            </w:r>
          </w:p>
        </w:tc>
        <w:tc>
          <w:tcPr>
            <w:tcW w:w="63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B273B5"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Pôvod regulácie: </w:t>
            </w:r>
            <w:r w:rsidRPr="009277B2">
              <w:rPr>
                <w:rFonts w:ascii="Times New Roman" w:eastAsia="Times New Roman" w:hAnsi="Times New Roman" w:cs="Times New Roman"/>
                <w:b/>
                <w:bCs/>
                <w:color w:val="000000"/>
                <w:sz w:val="20"/>
                <w:szCs w:val="20"/>
                <w:lang w:eastAsia="sk-SK"/>
              </w:rPr>
              <w:br/>
            </w:r>
            <w:r w:rsidRPr="009277B2">
              <w:rPr>
                <w:rFonts w:ascii="Times New Roman" w:eastAsia="Times New Roman" w:hAnsi="Times New Roman" w:cs="Times New Roman"/>
                <w:color w:val="000000"/>
                <w:sz w:val="20"/>
                <w:szCs w:val="20"/>
                <w:lang w:eastAsia="sk-SK"/>
              </w:rPr>
              <w:t xml:space="preserve">SK/EÚ úplná </w:t>
            </w:r>
            <w:proofErr w:type="spellStart"/>
            <w:r w:rsidRPr="009277B2">
              <w:rPr>
                <w:rFonts w:ascii="Times New Roman" w:eastAsia="Times New Roman" w:hAnsi="Times New Roman" w:cs="Times New Roman"/>
                <w:color w:val="000000"/>
                <w:sz w:val="20"/>
                <w:szCs w:val="20"/>
                <w:lang w:eastAsia="sk-SK"/>
              </w:rPr>
              <w:t>harm</w:t>
            </w:r>
            <w:proofErr w:type="spellEnd"/>
            <w:r w:rsidRPr="009277B2">
              <w:rPr>
                <w:rFonts w:ascii="Times New Roman" w:eastAsia="Times New Roman" w:hAnsi="Times New Roman" w:cs="Times New Roman"/>
                <w:color w:val="000000"/>
                <w:sz w:val="20"/>
                <w:szCs w:val="20"/>
                <w:lang w:eastAsia="sk-SK"/>
              </w:rPr>
              <w:t>./</w:t>
            </w:r>
            <w:r w:rsidRPr="009277B2">
              <w:rPr>
                <w:rFonts w:ascii="Times New Roman" w:eastAsia="Times New Roman" w:hAnsi="Times New Roman" w:cs="Times New Roman"/>
                <w:color w:val="000000"/>
                <w:sz w:val="20"/>
                <w:szCs w:val="20"/>
                <w:lang w:eastAsia="sk-SK"/>
              </w:rPr>
              <w:br/>
            </w:r>
            <w:proofErr w:type="spellStart"/>
            <w:r w:rsidRPr="009277B2">
              <w:rPr>
                <w:rFonts w:ascii="Times New Roman" w:eastAsia="Times New Roman" w:hAnsi="Times New Roman" w:cs="Times New Roman"/>
                <w:color w:val="000000"/>
                <w:sz w:val="20"/>
                <w:szCs w:val="20"/>
                <w:lang w:eastAsia="sk-SK"/>
              </w:rPr>
              <w:t>goldplating</w:t>
            </w:r>
            <w:proofErr w:type="spellEnd"/>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20DA6F8"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Účinnosť regulácie</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0CB451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Kategória </w:t>
            </w:r>
            <w:proofErr w:type="spellStart"/>
            <w:r w:rsidRPr="009277B2">
              <w:rPr>
                <w:rFonts w:ascii="Times New Roman" w:eastAsia="Times New Roman" w:hAnsi="Times New Roman" w:cs="Times New Roman"/>
                <w:b/>
                <w:bCs/>
                <w:color w:val="000000"/>
                <w:sz w:val="20"/>
                <w:szCs w:val="20"/>
                <w:lang w:eastAsia="sk-SK"/>
              </w:rPr>
              <w:t>dotk</w:t>
            </w:r>
            <w:proofErr w:type="spellEnd"/>
            <w:r w:rsidRPr="009277B2">
              <w:rPr>
                <w:rFonts w:ascii="Times New Roman" w:eastAsia="Times New Roman" w:hAnsi="Times New Roman" w:cs="Times New Roman"/>
                <w:b/>
                <w:bCs/>
                <w:color w:val="000000"/>
                <w:sz w:val="20"/>
                <w:szCs w:val="20"/>
                <w:lang w:eastAsia="sk-SK"/>
              </w:rPr>
              <w:t>. subjektov</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127859D"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Počet </w:t>
            </w:r>
            <w:proofErr w:type="spellStart"/>
            <w:r w:rsidRPr="009277B2">
              <w:rPr>
                <w:rFonts w:ascii="Times New Roman" w:eastAsia="Times New Roman" w:hAnsi="Times New Roman" w:cs="Times New Roman"/>
                <w:b/>
                <w:bCs/>
                <w:color w:val="000000"/>
                <w:sz w:val="20"/>
                <w:szCs w:val="20"/>
                <w:lang w:eastAsia="sk-SK"/>
              </w:rPr>
              <w:t>dotk</w:t>
            </w:r>
            <w:proofErr w:type="spellEnd"/>
            <w:r w:rsidRPr="009277B2">
              <w:rPr>
                <w:rFonts w:ascii="Times New Roman" w:eastAsia="Times New Roman" w:hAnsi="Times New Roman" w:cs="Times New Roman"/>
                <w:b/>
                <w:bCs/>
                <w:color w:val="000000"/>
                <w:sz w:val="20"/>
                <w:szCs w:val="20"/>
                <w:lang w:eastAsia="sk-SK"/>
              </w:rPr>
              <w:t xml:space="preserve">. subjektov spolu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3D9939"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Vplyv na 1 podnik. v €</w:t>
            </w:r>
          </w:p>
        </w:tc>
        <w:tc>
          <w:tcPr>
            <w:tcW w:w="13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2BFA99"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Vplyv na kategóriu </w:t>
            </w:r>
            <w:proofErr w:type="spellStart"/>
            <w:r w:rsidRPr="009277B2">
              <w:rPr>
                <w:rFonts w:ascii="Times New Roman" w:eastAsia="Times New Roman" w:hAnsi="Times New Roman" w:cs="Times New Roman"/>
                <w:b/>
                <w:bCs/>
                <w:color w:val="000000"/>
                <w:sz w:val="20"/>
                <w:szCs w:val="20"/>
                <w:lang w:eastAsia="sk-SK"/>
              </w:rPr>
              <w:t>dotk</w:t>
            </w:r>
            <w:proofErr w:type="spellEnd"/>
            <w:r w:rsidRPr="009277B2">
              <w:rPr>
                <w:rFonts w:ascii="Times New Roman" w:eastAsia="Times New Roman" w:hAnsi="Times New Roman" w:cs="Times New Roman"/>
                <w:b/>
                <w:bCs/>
                <w:color w:val="000000"/>
                <w:sz w:val="20"/>
                <w:szCs w:val="20"/>
                <w:lang w:eastAsia="sk-SK"/>
              </w:rPr>
              <w:t>. subjektov v €</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398B2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Druh vplyvu</w:t>
            </w:r>
            <w:r w:rsidRPr="009277B2">
              <w:rPr>
                <w:rFonts w:ascii="Times New Roman" w:eastAsia="Times New Roman" w:hAnsi="Times New Roman" w:cs="Times New Roman"/>
                <w:b/>
                <w:bCs/>
                <w:color w:val="000000"/>
                <w:sz w:val="20"/>
                <w:szCs w:val="20"/>
                <w:lang w:eastAsia="sk-SK"/>
              </w:rPr>
              <w:br/>
            </w:r>
            <w:r w:rsidRPr="009277B2">
              <w:rPr>
                <w:rFonts w:ascii="Times New Roman" w:eastAsia="Times New Roman" w:hAnsi="Times New Roman" w:cs="Times New Roman"/>
                <w:color w:val="000000"/>
                <w:sz w:val="20"/>
                <w:szCs w:val="20"/>
                <w:lang w:eastAsia="sk-SK"/>
              </w:rPr>
              <w:t xml:space="preserve">In (zvyšuje náklady) / </w:t>
            </w:r>
            <w:r w:rsidRPr="009277B2">
              <w:rPr>
                <w:rFonts w:ascii="Times New Roman" w:eastAsia="Times New Roman" w:hAnsi="Times New Roman" w:cs="Times New Roman"/>
                <w:color w:val="000000"/>
                <w:sz w:val="20"/>
                <w:szCs w:val="20"/>
                <w:lang w:eastAsia="sk-SK"/>
              </w:rPr>
              <w:br/>
            </w:r>
            <w:proofErr w:type="spellStart"/>
            <w:r w:rsidRPr="009277B2">
              <w:rPr>
                <w:rFonts w:ascii="Times New Roman" w:eastAsia="Times New Roman" w:hAnsi="Times New Roman" w:cs="Times New Roman"/>
                <w:color w:val="000000"/>
                <w:sz w:val="20"/>
                <w:szCs w:val="20"/>
                <w:lang w:eastAsia="sk-SK"/>
              </w:rPr>
              <w:t>Out</w:t>
            </w:r>
            <w:proofErr w:type="spellEnd"/>
            <w:r w:rsidRPr="009277B2">
              <w:rPr>
                <w:rFonts w:ascii="Times New Roman" w:eastAsia="Times New Roman" w:hAnsi="Times New Roman" w:cs="Times New Roman"/>
                <w:color w:val="000000"/>
                <w:sz w:val="20"/>
                <w:szCs w:val="20"/>
                <w:lang w:eastAsia="sk-SK"/>
              </w:rPr>
              <w:t xml:space="preserve"> (znižuje náklady) / Nemení sa</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D6E7A"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r w:rsidRPr="009277B2">
              <w:rPr>
                <w:rFonts w:ascii="Times New Roman" w:eastAsia="Times New Roman" w:hAnsi="Times New Roman" w:cs="Times New Roman"/>
                <w:b/>
                <w:bCs/>
                <w:color w:val="000000"/>
                <w:sz w:val="20"/>
                <w:szCs w:val="20"/>
                <w:lang w:eastAsia="sk-SK"/>
              </w:rPr>
              <w:t xml:space="preserve">1in2out </w:t>
            </w:r>
            <w:r w:rsidRPr="009277B2">
              <w:rPr>
                <w:rFonts w:ascii="Times New Roman" w:eastAsia="Times New Roman" w:hAnsi="Times New Roman" w:cs="Times New Roman"/>
                <w:b/>
                <w:bCs/>
                <w:color w:val="000000"/>
                <w:sz w:val="20"/>
                <w:szCs w:val="20"/>
                <w:lang w:eastAsia="sk-SK"/>
              </w:rPr>
              <w:br/>
              <w:t>celkom</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42772"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9277B2">
              <w:rPr>
                <w:rFonts w:ascii="Times New Roman" w:eastAsia="Times New Roman" w:hAnsi="Times New Roman" w:cs="Times New Roman"/>
                <w:b/>
                <w:bCs/>
                <w:color w:val="000000"/>
                <w:sz w:val="20"/>
                <w:szCs w:val="20"/>
                <w:lang w:eastAsia="sk-SK"/>
              </w:rPr>
              <w:t>Goldplating</w:t>
            </w:r>
            <w:proofErr w:type="spellEnd"/>
            <w:r w:rsidRPr="009277B2">
              <w:rPr>
                <w:rFonts w:ascii="Times New Roman" w:eastAsia="Times New Roman" w:hAnsi="Times New Roman" w:cs="Times New Roman"/>
                <w:b/>
                <w:bCs/>
                <w:color w:val="000000"/>
                <w:sz w:val="20"/>
                <w:szCs w:val="20"/>
                <w:lang w:eastAsia="sk-SK"/>
              </w:rPr>
              <w:t xml:space="preserve"> celkom</w:t>
            </w:r>
          </w:p>
        </w:tc>
        <w:tc>
          <w:tcPr>
            <w:tcW w:w="1080" w:type="dxa"/>
            <w:tcBorders>
              <w:top w:val="nil"/>
              <w:left w:val="nil"/>
              <w:bottom w:val="nil"/>
              <w:right w:val="nil"/>
            </w:tcBorders>
            <w:shd w:val="clear" w:color="auto" w:fill="auto"/>
            <w:noWrap/>
            <w:vAlign w:val="bottom"/>
            <w:hideMark/>
          </w:tcPr>
          <w:p w14:paraId="2C8A142F" w14:textId="77777777" w:rsidR="009277B2" w:rsidRPr="009277B2" w:rsidRDefault="009277B2" w:rsidP="009277B2">
            <w:pPr>
              <w:spacing w:after="0" w:line="240" w:lineRule="auto"/>
              <w:jc w:val="center"/>
              <w:rPr>
                <w:rFonts w:ascii="Times New Roman" w:eastAsia="Times New Roman" w:hAnsi="Times New Roman" w:cs="Times New Roman"/>
                <w:b/>
                <w:bCs/>
                <w:color w:val="000000"/>
                <w:sz w:val="20"/>
                <w:szCs w:val="20"/>
                <w:lang w:eastAsia="sk-SK"/>
              </w:rPr>
            </w:pPr>
          </w:p>
        </w:tc>
        <w:tc>
          <w:tcPr>
            <w:tcW w:w="1740" w:type="dxa"/>
            <w:tcBorders>
              <w:top w:val="nil"/>
              <w:left w:val="nil"/>
              <w:bottom w:val="nil"/>
              <w:right w:val="nil"/>
            </w:tcBorders>
            <w:shd w:val="clear" w:color="auto" w:fill="auto"/>
            <w:noWrap/>
            <w:vAlign w:val="bottom"/>
            <w:hideMark/>
          </w:tcPr>
          <w:p w14:paraId="48352BC3"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19113D9B" w14:textId="77777777" w:rsidTr="009277B2">
        <w:trPr>
          <w:trHeight w:val="2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3DD02672"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755FBFDF"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7550D3C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38D89C28"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6340" w:type="dxa"/>
            <w:vMerge/>
            <w:tcBorders>
              <w:top w:val="single" w:sz="4" w:space="0" w:color="auto"/>
              <w:left w:val="single" w:sz="4" w:space="0" w:color="auto"/>
              <w:bottom w:val="single" w:sz="4" w:space="0" w:color="auto"/>
              <w:right w:val="single" w:sz="4" w:space="0" w:color="auto"/>
            </w:tcBorders>
            <w:vAlign w:val="center"/>
            <w:hideMark/>
          </w:tcPr>
          <w:p w14:paraId="68EB8CE9"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F89B37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0B5C60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879C092"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21DD815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9B7104A"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EF8B722"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6965B6E"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13E812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80" w:type="dxa"/>
            <w:tcBorders>
              <w:top w:val="nil"/>
              <w:left w:val="nil"/>
              <w:bottom w:val="nil"/>
              <w:right w:val="nil"/>
            </w:tcBorders>
            <w:shd w:val="clear" w:color="auto" w:fill="auto"/>
            <w:noWrap/>
            <w:vAlign w:val="bottom"/>
            <w:hideMark/>
          </w:tcPr>
          <w:p w14:paraId="55EC6D5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6A2B455F"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55E1CEA5" w14:textId="77777777" w:rsidTr="009277B2">
        <w:trPr>
          <w:trHeight w:val="2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457532F5"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3C30BE1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34F85C95"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370481C4"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6340" w:type="dxa"/>
            <w:vMerge/>
            <w:tcBorders>
              <w:top w:val="single" w:sz="4" w:space="0" w:color="auto"/>
              <w:left w:val="single" w:sz="4" w:space="0" w:color="auto"/>
              <w:bottom w:val="single" w:sz="4" w:space="0" w:color="auto"/>
              <w:right w:val="single" w:sz="4" w:space="0" w:color="auto"/>
            </w:tcBorders>
            <w:vAlign w:val="center"/>
            <w:hideMark/>
          </w:tcPr>
          <w:p w14:paraId="42F31A8A"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34DEDEA"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FACCBF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3190DFD"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33A4BD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1E7B97E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67E3C07"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3D18F3E"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97107EE"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80" w:type="dxa"/>
            <w:tcBorders>
              <w:top w:val="nil"/>
              <w:left w:val="nil"/>
              <w:bottom w:val="nil"/>
              <w:right w:val="nil"/>
            </w:tcBorders>
            <w:shd w:val="clear" w:color="auto" w:fill="auto"/>
            <w:noWrap/>
            <w:vAlign w:val="bottom"/>
            <w:hideMark/>
          </w:tcPr>
          <w:p w14:paraId="5049F719"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4099586B"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4CD247C7" w14:textId="77777777" w:rsidTr="009277B2">
        <w:trPr>
          <w:trHeight w:val="2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2C17E9C"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64230B6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2F78408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334FA4E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6340" w:type="dxa"/>
            <w:vMerge/>
            <w:tcBorders>
              <w:top w:val="single" w:sz="4" w:space="0" w:color="auto"/>
              <w:left w:val="single" w:sz="4" w:space="0" w:color="auto"/>
              <w:bottom w:val="single" w:sz="4" w:space="0" w:color="auto"/>
              <w:right w:val="single" w:sz="4" w:space="0" w:color="auto"/>
            </w:tcBorders>
            <w:vAlign w:val="center"/>
            <w:hideMark/>
          </w:tcPr>
          <w:p w14:paraId="1175039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1166B27"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41987B7"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2785B6F"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E58970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7A5C77F"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DE32D9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F584375"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820BE4B"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80" w:type="dxa"/>
            <w:tcBorders>
              <w:top w:val="nil"/>
              <w:left w:val="nil"/>
              <w:bottom w:val="nil"/>
              <w:right w:val="nil"/>
            </w:tcBorders>
            <w:shd w:val="clear" w:color="auto" w:fill="auto"/>
            <w:noWrap/>
            <w:vAlign w:val="bottom"/>
            <w:hideMark/>
          </w:tcPr>
          <w:p w14:paraId="6B30EE1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4F2B57C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62F94F9A" w14:textId="77777777" w:rsidTr="009277B2">
        <w:trPr>
          <w:trHeight w:val="2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3A186DC4"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5637D53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36FA7C3D"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427CF5EB"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6340" w:type="dxa"/>
            <w:vMerge/>
            <w:tcBorders>
              <w:top w:val="single" w:sz="4" w:space="0" w:color="auto"/>
              <w:left w:val="single" w:sz="4" w:space="0" w:color="auto"/>
              <w:bottom w:val="single" w:sz="4" w:space="0" w:color="auto"/>
              <w:right w:val="single" w:sz="4" w:space="0" w:color="auto"/>
            </w:tcBorders>
            <w:vAlign w:val="center"/>
            <w:hideMark/>
          </w:tcPr>
          <w:p w14:paraId="4EF31655"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EAC8C2D"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C8A774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70E01D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F682C14"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1A6FD8DB"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FDEF80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7DD7C9B"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7022744"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80" w:type="dxa"/>
            <w:tcBorders>
              <w:top w:val="nil"/>
              <w:left w:val="nil"/>
              <w:bottom w:val="nil"/>
              <w:right w:val="nil"/>
            </w:tcBorders>
            <w:shd w:val="clear" w:color="auto" w:fill="auto"/>
            <w:noWrap/>
            <w:vAlign w:val="bottom"/>
            <w:hideMark/>
          </w:tcPr>
          <w:p w14:paraId="38A93731"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4EB72452"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47FF6C71" w14:textId="77777777" w:rsidTr="009277B2">
        <w:trPr>
          <w:trHeight w:val="2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116FC3C7"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07B6744D"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7D985AA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58D9B637"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6340" w:type="dxa"/>
            <w:vMerge/>
            <w:tcBorders>
              <w:top w:val="single" w:sz="4" w:space="0" w:color="auto"/>
              <w:left w:val="single" w:sz="4" w:space="0" w:color="auto"/>
              <w:bottom w:val="single" w:sz="4" w:space="0" w:color="auto"/>
              <w:right w:val="single" w:sz="4" w:space="0" w:color="auto"/>
            </w:tcBorders>
            <w:vAlign w:val="center"/>
            <w:hideMark/>
          </w:tcPr>
          <w:p w14:paraId="33305331"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FF45843"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BEAFDE6"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11B283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9E185CA"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6BD673BE"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D23264E"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8812F90"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F0A8E1D" w14:textId="77777777" w:rsidR="009277B2" w:rsidRPr="009277B2" w:rsidRDefault="009277B2" w:rsidP="009277B2">
            <w:pPr>
              <w:spacing w:after="0" w:line="240" w:lineRule="auto"/>
              <w:rPr>
                <w:rFonts w:ascii="Times New Roman" w:eastAsia="Times New Roman" w:hAnsi="Times New Roman" w:cs="Times New Roman"/>
                <w:b/>
                <w:bCs/>
                <w:color w:val="000000"/>
                <w:sz w:val="20"/>
                <w:szCs w:val="20"/>
                <w:lang w:eastAsia="sk-SK"/>
              </w:rPr>
            </w:pPr>
          </w:p>
        </w:tc>
        <w:tc>
          <w:tcPr>
            <w:tcW w:w="1080" w:type="dxa"/>
            <w:tcBorders>
              <w:top w:val="nil"/>
              <w:left w:val="nil"/>
              <w:bottom w:val="nil"/>
              <w:right w:val="nil"/>
            </w:tcBorders>
            <w:shd w:val="clear" w:color="auto" w:fill="auto"/>
            <w:noWrap/>
            <w:vAlign w:val="bottom"/>
            <w:hideMark/>
          </w:tcPr>
          <w:p w14:paraId="12FAD078"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c>
          <w:tcPr>
            <w:tcW w:w="1740" w:type="dxa"/>
            <w:tcBorders>
              <w:top w:val="nil"/>
              <w:left w:val="nil"/>
              <w:bottom w:val="nil"/>
              <w:right w:val="nil"/>
            </w:tcBorders>
            <w:shd w:val="clear" w:color="auto" w:fill="auto"/>
            <w:noWrap/>
            <w:vAlign w:val="bottom"/>
            <w:hideMark/>
          </w:tcPr>
          <w:p w14:paraId="3B1C4E95"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43843CBE" w14:textId="77777777" w:rsidTr="009277B2">
        <w:trPr>
          <w:trHeight w:val="33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EFFB60"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1</w:t>
            </w:r>
          </w:p>
        </w:tc>
        <w:tc>
          <w:tcPr>
            <w:tcW w:w="4760" w:type="dxa"/>
            <w:tcBorders>
              <w:top w:val="nil"/>
              <w:left w:val="nil"/>
              <w:bottom w:val="single" w:sz="4" w:space="0" w:color="auto"/>
              <w:right w:val="single" w:sz="4" w:space="0" w:color="auto"/>
            </w:tcBorders>
            <w:shd w:val="clear" w:color="auto" w:fill="auto"/>
            <w:vAlign w:val="center"/>
            <w:hideMark/>
          </w:tcPr>
          <w:p w14:paraId="0D8B60EE" w14:textId="2B90A9B4"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Povinné správy o rozdieloch v</w:t>
            </w:r>
            <w:r>
              <w:rPr>
                <w:rFonts w:ascii="Times New Roman" w:eastAsia="Times New Roman" w:hAnsi="Times New Roman" w:cs="Times New Roman"/>
                <w:color w:val="000000"/>
                <w:sz w:val="20"/>
                <w:szCs w:val="20"/>
                <w:lang w:eastAsia="sk-SK"/>
              </w:rPr>
              <w:t> </w:t>
            </w:r>
            <w:r w:rsidRPr="009277B2">
              <w:rPr>
                <w:rFonts w:ascii="Times New Roman" w:eastAsia="Times New Roman" w:hAnsi="Times New Roman" w:cs="Times New Roman"/>
                <w:color w:val="000000"/>
                <w:sz w:val="20"/>
                <w:szCs w:val="20"/>
                <w:lang w:eastAsia="sk-SK"/>
              </w:rPr>
              <w:t>odmeňovaní</w:t>
            </w:r>
            <w:r>
              <w:rPr>
                <w:rFonts w:ascii="Times New Roman" w:eastAsia="Times New Roman" w:hAnsi="Times New Roman" w:cs="Times New Roman"/>
                <w:color w:val="000000"/>
                <w:sz w:val="20"/>
                <w:szCs w:val="20"/>
                <w:lang w:eastAsia="sk-SK"/>
              </w:rPr>
              <w:t xml:space="preserve"> mužov a žien</w:t>
            </w:r>
            <w:r w:rsidRPr="009277B2">
              <w:rPr>
                <w:rFonts w:ascii="Times New Roman" w:eastAsia="Times New Roman" w:hAnsi="Times New Roman" w:cs="Times New Roman"/>
                <w:color w:val="000000"/>
                <w:sz w:val="20"/>
                <w:szCs w:val="20"/>
                <w:lang w:eastAsia="sk-SK"/>
              </w:rPr>
              <w:t xml:space="preserve"> pre zamestnávateľov</w:t>
            </w:r>
          </w:p>
        </w:tc>
        <w:tc>
          <w:tcPr>
            <w:tcW w:w="1960" w:type="dxa"/>
            <w:tcBorders>
              <w:top w:val="nil"/>
              <w:left w:val="nil"/>
              <w:bottom w:val="single" w:sz="4" w:space="0" w:color="auto"/>
              <w:right w:val="single" w:sz="4" w:space="0" w:color="auto"/>
            </w:tcBorders>
            <w:shd w:val="clear" w:color="auto" w:fill="auto"/>
            <w:vAlign w:val="center"/>
            <w:hideMark/>
          </w:tcPr>
          <w:p w14:paraId="37122FC7"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8</w:t>
            </w:r>
          </w:p>
        </w:tc>
        <w:tc>
          <w:tcPr>
            <w:tcW w:w="1960" w:type="dxa"/>
            <w:tcBorders>
              <w:top w:val="nil"/>
              <w:left w:val="nil"/>
              <w:bottom w:val="single" w:sz="4" w:space="0" w:color="auto"/>
              <w:right w:val="single" w:sz="4" w:space="0" w:color="auto"/>
            </w:tcBorders>
            <w:shd w:val="clear" w:color="auto" w:fill="auto"/>
            <w:vAlign w:val="center"/>
            <w:hideMark/>
          </w:tcPr>
          <w:p w14:paraId="4FBFAA4D"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8, ods. 2</w:t>
            </w:r>
          </w:p>
        </w:tc>
        <w:tc>
          <w:tcPr>
            <w:tcW w:w="6340" w:type="dxa"/>
            <w:tcBorders>
              <w:top w:val="nil"/>
              <w:left w:val="nil"/>
              <w:bottom w:val="single" w:sz="4" w:space="0" w:color="auto"/>
              <w:right w:val="single" w:sz="4" w:space="0" w:color="auto"/>
            </w:tcBorders>
            <w:shd w:val="clear" w:color="auto" w:fill="auto"/>
            <w:vAlign w:val="center"/>
            <w:hideMark/>
          </w:tcPr>
          <w:p w14:paraId="06F530FB"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0764BAF8"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01.06.26</w:t>
            </w:r>
          </w:p>
        </w:tc>
        <w:tc>
          <w:tcPr>
            <w:tcW w:w="1460" w:type="dxa"/>
            <w:tcBorders>
              <w:top w:val="nil"/>
              <w:left w:val="nil"/>
              <w:bottom w:val="single" w:sz="4" w:space="0" w:color="auto"/>
              <w:right w:val="single" w:sz="4" w:space="0" w:color="auto"/>
            </w:tcBorders>
            <w:shd w:val="clear" w:color="auto" w:fill="auto"/>
            <w:vAlign w:val="center"/>
            <w:hideMark/>
          </w:tcPr>
          <w:p w14:paraId="3E656EE5"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Zamestnávateľ, ktorý zamestnáva viac ako 250 zamestnancov</w:t>
            </w:r>
          </w:p>
        </w:tc>
        <w:tc>
          <w:tcPr>
            <w:tcW w:w="1140" w:type="dxa"/>
            <w:tcBorders>
              <w:top w:val="nil"/>
              <w:left w:val="nil"/>
              <w:bottom w:val="single" w:sz="4" w:space="0" w:color="auto"/>
              <w:right w:val="single" w:sz="4" w:space="0" w:color="auto"/>
            </w:tcBorders>
            <w:shd w:val="clear" w:color="auto" w:fill="auto"/>
            <w:vAlign w:val="center"/>
            <w:hideMark/>
          </w:tcPr>
          <w:p w14:paraId="545C26E0" w14:textId="77777777" w:rsidR="009277B2" w:rsidRPr="009277B2" w:rsidRDefault="009277B2" w:rsidP="009277B2">
            <w:pPr>
              <w:spacing w:after="0" w:line="240" w:lineRule="auto"/>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xml:space="preserve">              774 </w:t>
            </w:r>
          </w:p>
        </w:tc>
        <w:tc>
          <w:tcPr>
            <w:tcW w:w="1240" w:type="dxa"/>
            <w:tcBorders>
              <w:top w:val="nil"/>
              <w:left w:val="nil"/>
              <w:bottom w:val="single" w:sz="4" w:space="0" w:color="auto"/>
              <w:right w:val="single" w:sz="4" w:space="0" w:color="auto"/>
            </w:tcBorders>
            <w:shd w:val="clear" w:color="000000" w:fill="FFFFFF"/>
            <w:vAlign w:val="center"/>
            <w:hideMark/>
          </w:tcPr>
          <w:p w14:paraId="6E4C377D"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65</w:t>
            </w:r>
          </w:p>
        </w:tc>
        <w:tc>
          <w:tcPr>
            <w:tcW w:w="1380" w:type="dxa"/>
            <w:tcBorders>
              <w:top w:val="nil"/>
              <w:left w:val="nil"/>
              <w:bottom w:val="single" w:sz="4" w:space="0" w:color="auto"/>
              <w:right w:val="single" w:sz="4" w:space="0" w:color="auto"/>
            </w:tcBorders>
            <w:shd w:val="clear" w:color="auto" w:fill="auto"/>
            <w:vAlign w:val="center"/>
            <w:hideMark/>
          </w:tcPr>
          <w:p w14:paraId="7CF9A7A0"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50 123</w:t>
            </w:r>
          </w:p>
        </w:tc>
        <w:tc>
          <w:tcPr>
            <w:tcW w:w="1980" w:type="dxa"/>
            <w:tcBorders>
              <w:top w:val="nil"/>
              <w:left w:val="nil"/>
              <w:bottom w:val="single" w:sz="4" w:space="0" w:color="auto"/>
              <w:right w:val="single" w:sz="4" w:space="0" w:color="auto"/>
            </w:tcBorders>
            <w:shd w:val="clear" w:color="auto" w:fill="auto"/>
            <w:vAlign w:val="center"/>
            <w:hideMark/>
          </w:tcPr>
          <w:p w14:paraId="10A090A6"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7AD9FCF4" w14:textId="77777777" w:rsidR="009277B2" w:rsidRPr="009277B2" w:rsidRDefault="009277B2" w:rsidP="009277B2">
            <w:pPr>
              <w:spacing w:after="0" w:line="240" w:lineRule="auto"/>
              <w:jc w:val="center"/>
              <w:rPr>
                <w:rFonts w:ascii="Times New Roman" w:eastAsia="Times New Roman" w:hAnsi="Times New Roman" w:cs="Times New Roman"/>
                <w:sz w:val="20"/>
                <w:szCs w:val="20"/>
                <w:lang w:eastAsia="sk-SK"/>
              </w:rPr>
            </w:pPr>
            <w:r w:rsidRPr="009277B2">
              <w:rPr>
                <w:rFonts w:ascii="Times New Roman" w:eastAsia="Times New Roman" w:hAnsi="Times New Roman" w:cs="Times New Roman"/>
                <w:sz w:val="20"/>
                <w:szCs w:val="20"/>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17CA15E1"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w:t>
            </w:r>
          </w:p>
        </w:tc>
        <w:tc>
          <w:tcPr>
            <w:tcW w:w="1080" w:type="dxa"/>
            <w:tcBorders>
              <w:top w:val="nil"/>
              <w:left w:val="nil"/>
              <w:bottom w:val="nil"/>
              <w:right w:val="nil"/>
            </w:tcBorders>
            <w:shd w:val="clear" w:color="auto" w:fill="auto"/>
            <w:noWrap/>
            <w:vAlign w:val="bottom"/>
            <w:hideMark/>
          </w:tcPr>
          <w:p w14:paraId="3EB60851"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p>
        </w:tc>
        <w:tc>
          <w:tcPr>
            <w:tcW w:w="1740" w:type="dxa"/>
            <w:tcBorders>
              <w:top w:val="nil"/>
              <w:left w:val="nil"/>
              <w:bottom w:val="nil"/>
              <w:right w:val="nil"/>
            </w:tcBorders>
            <w:shd w:val="clear" w:color="auto" w:fill="auto"/>
            <w:noWrap/>
            <w:vAlign w:val="bottom"/>
            <w:hideMark/>
          </w:tcPr>
          <w:p w14:paraId="6869F26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3AC9B871" w14:textId="77777777" w:rsidTr="009277B2">
        <w:trPr>
          <w:trHeight w:val="1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1B2621"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w:t>
            </w:r>
          </w:p>
        </w:tc>
        <w:tc>
          <w:tcPr>
            <w:tcW w:w="4760" w:type="dxa"/>
            <w:tcBorders>
              <w:top w:val="nil"/>
              <w:left w:val="nil"/>
              <w:bottom w:val="single" w:sz="4" w:space="0" w:color="auto"/>
              <w:right w:val="single" w:sz="4" w:space="0" w:color="auto"/>
            </w:tcBorders>
            <w:shd w:val="clear" w:color="auto" w:fill="auto"/>
            <w:vAlign w:val="center"/>
            <w:hideMark/>
          </w:tcPr>
          <w:p w14:paraId="0392A96B" w14:textId="15FD6833"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Povinné správy o rozdieloch v</w:t>
            </w:r>
            <w:r>
              <w:rPr>
                <w:rFonts w:ascii="Times New Roman" w:eastAsia="Times New Roman" w:hAnsi="Times New Roman" w:cs="Times New Roman"/>
                <w:color w:val="000000"/>
                <w:sz w:val="20"/>
                <w:szCs w:val="20"/>
                <w:lang w:eastAsia="sk-SK"/>
              </w:rPr>
              <w:t> </w:t>
            </w:r>
            <w:r w:rsidRPr="009277B2">
              <w:rPr>
                <w:rFonts w:ascii="Times New Roman" w:eastAsia="Times New Roman" w:hAnsi="Times New Roman" w:cs="Times New Roman"/>
                <w:color w:val="000000"/>
                <w:sz w:val="20"/>
                <w:szCs w:val="20"/>
                <w:lang w:eastAsia="sk-SK"/>
              </w:rPr>
              <w:t>odmeňovaní</w:t>
            </w:r>
            <w:r>
              <w:rPr>
                <w:rFonts w:ascii="Times New Roman" w:eastAsia="Times New Roman" w:hAnsi="Times New Roman" w:cs="Times New Roman"/>
                <w:color w:val="000000"/>
                <w:sz w:val="20"/>
                <w:szCs w:val="20"/>
                <w:lang w:eastAsia="sk-SK"/>
              </w:rPr>
              <w:t xml:space="preserve"> mužov a žien</w:t>
            </w:r>
            <w:r w:rsidRPr="009277B2">
              <w:rPr>
                <w:rFonts w:ascii="Times New Roman" w:eastAsia="Times New Roman" w:hAnsi="Times New Roman" w:cs="Times New Roman"/>
                <w:color w:val="000000"/>
                <w:sz w:val="20"/>
                <w:szCs w:val="20"/>
                <w:lang w:eastAsia="sk-SK"/>
              </w:rPr>
              <w:t xml:space="preserve"> pre zamestnávateľov</w:t>
            </w:r>
          </w:p>
        </w:tc>
        <w:tc>
          <w:tcPr>
            <w:tcW w:w="1960" w:type="dxa"/>
            <w:tcBorders>
              <w:top w:val="nil"/>
              <w:left w:val="nil"/>
              <w:bottom w:val="single" w:sz="4" w:space="0" w:color="auto"/>
              <w:right w:val="single" w:sz="4" w:space="0" w:color="auto"/>
            </w:tcBorders>
            <w:shd w:val="clear" w:color="auto" w:fill="auto"/>
            <w:vAlign w:val="center"/>
            <w:hideMark/>
          </w:tcPr>
          <w:p w14:paraId="2C7A10CA"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8</w:t>
            </w:r>
          </w:p>
        </w:tc>
        <w:tc>
          <w:tcPr>
            <w:tcW w:w="1960" w:type="dxa"/>
            <w:tcBorders>
              <w:top w:val="nil"/>
              <w:left w:val="nil"/>
              <w:bottom w:val="single" w:sz="4" w:space="0" w:color="auto"/>
              <w:right w:val="single" w:sz="4" w:space="0" w:color="auto"/>
            </w:tcBorders>
            <w:shd w:val="clear" w:color="auto" w:fill="auto"/>
            <w:vAlign w:val="center"/>
            <w:hideMark/>
          </w:tcPr>
          <w:p w14:paraId="61E2E195"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8, ods. 3</w:t>
            </w:r>
          </w:p>
        </w:tc>
        <w:tc>
          <w:tcPr>
            <w:tcW w:w="6340" w:type="dxa"/>
            <w:tcBorders>
              <w:top w:val="nil"/>
              <w:left w:val="nil"/>
              <w:bottom w:val="single" w:sz="4" w:space="0" w:color="auto"/>
              <w:right w:val="single" w:sz="4" w:space="0" w:color="auto"/>
            </w:tcBorders>
            <w:shd w:val="clear" w:color="auto" w:fill="auto"/>
            <w:vAlign w:val="center"/>
            <w:hideMark/>
          </w:tcPr>
          <w:p w14:paraId="57F506EA"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6E172D86"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01.06.26</w:t>
            </w:r>
          </w:p>
        </w:tc>
        <w:tc>
          <w:tcPr>
            <w:tcW w:w="1460" w:type="dxa"/>
            <w:tcBorders>
              <w:top w:val="nil"/>
              <w:left w:val="nil"/>
              <w:bottom w:val="single" w:sz="4" w:space="0" w:color="auto"/>
              <w:right w:val="single" w:sz="4" w:space="0" w:color="auto"/>
            </w:tcBorders>
            <w:shd w:val="clear" w:color="auto" w:fill="auto"/>
            <w:vAlign w:val="center"/>
            <w:hideMark/>
          </w:tcPr>
          <w:p w14:paraId="0A3A6AD0"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Zamestnávateľ, ktorý zamestnáva viac ako 100 a menej ako 250 zamestnancov</w:t>
            </w:r>
          </w:p>
        </w:tc>
        <w:tc>
          <w:tcPr>
            <w:tcW w:w="1140" w:type="dxa"/>
            <w:tcBorders>
              <w:top w:val="nil"/>
              <w:left w:val="nil"/>
              <w:bottom w:val="single" w:sz="4" w:space="0" w:color="auto"/>
              <w:right w:val="single" w:sz="4" w:space="0" w:color="auto"/>
            </w:tcBorders>
            <w:shd w:val="clear" w:color="auto" w:fill="auto"/>
            <w:vAlign w:val="center"/>
            <w:hideMark/>
          </w:tcPr>
          <w:p w14:paraId="7E206E39" w14:textId="77777777" w:rsidR="009277B2" w:rsidRPr="009277B2" w:rsidRDefault="009277B2" w:rsidP="009277B2">
            <w:pPr>
              <w:spacing w:after="0" w:line="240" w:lineRule="auto"/>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xml:space="preserve">           1 229 </w:t>
            </w:r>
          </w:p>
        </w:tc>
        <w:tc>
          <w:tcPr>
            <w:tcW w:w="1240" w:type="dxa"/>
            <w:tcBorders>
              <w:top w:val="nil"/>
              <w:left w:val="nil"/>
              <w:bottom w:val="single" w:sz="4" w:space="0" w:color="auto"/>
              <w:right w:val="single" w:sz="4" w:space="0" w:color="auto"/>
            </w:tcBorders>
            <w:shd w:val="clear" w:color="auto" w:fill="auto"/>
            <w:vAlign w:val="center"/>
            <w:hideMark/>
          </w:tcPr>
          <w:p w14:paraId="3D31778B"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29</w:t>
            </w:r>
          </w:p>
        </w:tc>
        <w:tc>
          <w:tcPr>
            <w:tcW w:w="1380" w:type="dxa"/>
            <w:tcBorders>
              <w:top w:val="nil"/>
              <w:left w:val="nil"/>
              <w:bottom w:val="single" w:sz="4" w:space="0" w:color="auto"/>
              <w:right w:val="single" w:sz="4" w:space="0" w:color="auto"/>
            </w:tcBorders>
            <w:shd w:val="clear" w:color="auto" w:fill="auto"/>
            <w:vAlign w:val="center"/>
            <w:hideMark/>
          </w:tcPr>
          <w:p w14:paraId="2DC3ECA2"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35 784</w:t>
            </w:r>
          </w:p>
        </w:tc>
        <w:tc>
          <w:tcPr>
            <w:tcW w:w="1980" w:type="dxa"/>
            <w:tcBorders>
              <w:top w:val="nil"/>
              <w:left w:val="nil"/>
              <w:bottom w:val="single" w:sz="4" w:space="0" w:color="auto"/>
              <w:right w:val="single" w:sz="4" w:space="0" w:color="auto"/>
            </w:tcBorders>
            <w:shd w:val="clear" w:color="auto" w:fill="auto"/>
            <w:vAlign w:val="center"/>
            <w:hideMark/>
          </w:tcPr>
          <w:p w14:paraId="5059D439"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212F7297" w14:textId="77777777" w:rsidR="009277B2" w:rsidRPr="009277B2" w:rsidRDefault="009277B2" w:rsidP="009277B2">
            <w:pPr>
              <w:spacing w:after="0" w:line="240" w:lineRule="auto"/>
              <w:jc w:val="center"/>
              <w:rPr>
                <w:rFonts w:ascii="Times New Roman" w:eastAsia="Times New Roman" w:hAnsi="Times New Roman" w:cs="Times New Roman"/>
                <w:sz w:val="20"/>
                <w:szCs w:val="20"/>
                <w:lang w:eastAsia="sk-SK"/>
              </w:rPr>
            </w:pPr>
            <w:r w:rsidRPr="009277B2">
              <w:rPr>
                <w:rFonts w:ascii="Times New Roman" w:eastAsia="Times New Roman" w:hAnsi="Times New Roman" w:cs="Times New Roman"/>
                <w:sz w:val="20"/>
                <w:szCs w:val="20"/>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344BC334"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w:t>
            </w:r>
          </w:p>
        </w:tc>
        <w:tc>
          <w:tcPr>
            <w:tcW w:w="1080" w:type="dxa"/>
            <w:tcBorders>
              <w:top w:val="nil"/>
              <w:left w:val="nil"/>
              <w:bottom w:val="nil"/>
              <w:right w:val="nil"/>
            </w:tcBorders>
            <w:shd w:val="clear" w:color="auto" w:fill="auto"/>
            <w:noWrap/>
            <w:vAlign w:val="bottom"/>
            <w:hideMark/>
          </w:tcPr>
          <w:p w14:paraId="598C6C25"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p>
        </w:tc>
        <w:tc>
          <w:tcPr>
            <w:tcW w:w="1740" w:type="dxa"/>
            <w:tcBorders>
              <w:top w:val="nil"/>
              <w:left w:val="nil"/>
              <w:bottom w:val="nil"/>
              <w:right w:val="nil"/>
            </w:tcBorders>
            <w:shd w:val="clear" w:color="auto" w:fill="auto"/>
            <w:noWrap/>
            <w:vAlign w:val="bottom"/>
            <w:hideMark/>
          </w:tcPr>
          <w:p w14:paraId="7B1DA180"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223D73B3" w14:textId="77777777" w:rsidTr="009277B2">
        <w:trPr>
          <w:trHeight w:val="5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7B59426"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3</w:t>
            </w:r>
          </w:p>
        </w:tc>
        <w:tc>
          <w:tcPr>
            <w:tcW w:w="4760" w:type="dxa"/>
            <w:tcBorders>
              <w:top w:val="nil"/>
              <w:left w:val="nil"/>
              <w:bottom w:val="single" w:sz="4" w:space="0" w:color="auto"/>
              <w:right w:val="single" w:sz="4" w:space="0" w:color="auto"/>
            </w:tcBorders>
            <w:shd w:val="clear" w:color="auto" w:fill="auto"/>
            <w:vAlign w:val="center"/>
            <w:hideMark/>
          </w:tcPr>
          <w:p w14:paraId="3C01727C"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Transparentné štruktúry odmeňovania a objektívne kritéria</w:t>
            </w:r>
          </w:p>
        </w:tc>
        <w:tc>
          <w:tcPr>
            <w:tcW w:w="1960" w:type="dxa"/>
            <w:tcBorders>
              <w:top w:val="nil"/>
              <w:left w:val="nil"/>
              <w:bottom w:val="single" w:sz="4" w:space="0" w:color="auto"/>
              <w:right w:val="single" w:sz="4" w:space="0" w:color="auto"/>
            </w:tcBorders>
            <w:shd w:val="clear" w:color="auto" w:fill="auto"/>
            <w:vAlign w:val="center"/>
            <w:hideMark/>
          </w:tcPr>
          <w:p w14:paraId="1E91E27B"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3</w:t>
            </w:r>
          </w:p>
        </w:tc>
        <w:tc>
          <w:tcPr>
            <w:tcW w:w="1960" w:type="dxa"/>
            <w:tcBorders>
              <w:top w:val="nil"/>
              <w:left w:val="nil"/>
              <w:bottom w:val="single" w:sz="4" w:space="0" w:color="auto"/>
              <w:right w:val="single" w:sz="4" w:space="0" w:color="auto"/>
            </w:tcBorders>
            <w:shd w:val="clear" w:color="auto" w:fill="auto"/>
            <w:vAlign w:val="center"/>
            <w:hideMark/>
          </w:tcPr>
          <w:p w14:paraId="5DAA3D95"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3, ods. 1-2</w:t>
            </w:r>
          </w:p>
        </w:tc>
        <w:tc>
          <w:tcPr>
            <w:tcW w:w="6340" w:type="dxa"/>
            <w:tcBorders>
              <w:top w:val="nil"/>
              <w:left w:val="nil"/>
              <w:bottom w:val="single" w:sz="4" w:space="0" w:color="auto"/>
              <w:right w:val="single" w:sz="4" w:space="0" w:color="auto"/>
            </w:tcBorders>
            <w:shd w:val="clear" w:color="auto" w:fill="auto"/>
            <w:vAlign w:val="center"/>
            <w:hideMark/>
          </w:tcPr>
          <w:p w14:paraId="6709601B"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6DB8E9FC"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01.06.26</w:t>
            </w:r>
          </w:p>
        </w:tc>
        <w:tc>
          <w:tcPr>
            <w:tcW w:w="1460" w:type="dxa"/>
            <w:tcBorders>
              <w:top w:val="nil"/>
              <w:left w:val="nil"/>
              <w:bottom w:val="single" w:sz="4" w:space="0" w:color="auto"/>
              <w:right w:val="single" w:sz="4" w:space="0" w:color="auto"/>
            </w:tcBorders>
            <w:shd w:val="clear" w:color="auto" w:fill="auto"/>
            <w:vAlign w:val="center"/>
            <w:hideMark/>
          </w:tcPr>
          <w:p w14:paraId="69F56440"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Zamestnávateľ</w:t>
            </w:r>
          </w:p>
        </w:tc>
        <w:tc>
          <w:tcPr>
            <w:tcW w:w="1140" w:type="dxa"/>
            <w:tcBorders>
              <w:top w:val="nil"/>
              <w:left w:val="nil"/>
              <w:bottom w:val="single" w:sz="4" w:space="0" w:color="auto"/>
              <w:right w:val="single" w:sz="4" w:space="0" w:color="auto"/>
            </w:tcBorders>
            <w:shd w:val="clear" w:color="auto" w:fill="auto"/>
            <w:vAlign w:val="center"/>
            <w:hideMark/>
          </w:tcPr>
          <w:p w14:paraId="0613E743" w14:textId="77777777" w:rsidR="009277B2" w:rsidRPr="009277B2" w:rsidRDefault="009277B2" w:rsidP="009277B2">
            <w:pPr>
              <w:spacing w:after="0" w:line="240" w:lineRule="auto"/>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xml:space="preserve">         20 173 </w:t>
            </w:r>
          </w:p>
        </w:tc>
        <w:tc>
          <w:tcPr>
            <w:tcW w:w="1240" w:type="dxa"/>
            <w:tcBorders>
              <w:top w:val="nil"/>
              <w:left w:val="nil"/>
              <w:bottom w:val="single" w:sz="4" w:space="0" w:color="auto"/>
              <w:right w:val="single" w:sz="4" w:space="0" w:color="auto"/>
            </w:tcBorders>
            <w:shd w:val="clear" w:color="auto" w:fill="auto"/>
            <w:vAlign w:val="center"/>
            <w:hideMark/>
          </w:tcPr>
          <w:p w14:paraId="449B9A0E"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285</w:t>
            </w:r>
          </w:p>
        </w:tc>
        <w:tc>
          <w:tcPr>
            <w:tcW w:w="1380" w:type="dxa"/>
            <w:tcBorders>
              <w:top w:val="nil"/>
              <w:left w:val="nil"/>
              <w:bottom w:val="single" w:sz="4" w:space="0" w:color="auto"/>
              <w:right w:val="single" w:sz="4" w:space="0" w:color="auto"/>
            </w:tcBorders>
            <w:shd w:val="clear" w:color="auto" w:fill="auto"/>
            <w:vAlign w:val="center"/>
            <w:hideMark/>
          </w:tcPr>
          <w:p w14:paraId="2071E514"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5 757 495</w:t>
            </w:r>
          </w:p>
        </w:tc>
        <w:tc>
          <w:tcPr>
            <w:tcW w:w="1980" w:type="dxa"/>
            <w:tcBorders>
              <w:top w:val="nil"/>
              <w:left w:val="nil"/>
              <w:bottom w:val="single" w:sz="4" w:space="0" w:color="auto"/>
              <w:right w:val="single" w:sz="4" w:space="0" w:color="auto"/>
            </w:tcBorders>
            <w:shd w:val="clear" w:color="auto" w:fill="auto"/>
            <w:vAlign w:val="center"/>
            <w:hideMark/>
          </w:tcPr>
          <w:p w14:paraId="4C6DE983"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2FA417BD" w14:textId="77777777" w:rsidR="009277B2" w:rsidRPr="009277B2" w:rsidRDefault="009277B2" w:rsidP="009277B2">
            <w:pPr>
              <w:spacing w:after="0" w:line="240" w:lineRule="auto"/>
              <w:jc w:val="center"/>
              <w:rPr>
                <w:rFonts w:ascii="Times New Roman" w:eastAsia="Times New Roman" w:hAnsi="Times New Roman" w:cs="Times New Roman"/>
                <w:sz w:val="20"/>
                <w:szCs w:val="20"/>
                <w:lang w:eastAsia="sk-SK"/>
              </w:rPr>
            </w:pPr>
            <w:r w:rsidRPr="009277B2">
              <w:rPr>
                <w:rFonts w:ascii="Times New Roman" w:eastAsia="Times New Roman" w:hAnsi="Times New Roman" w:cs="Times New Roman"/>
                <w:sz w:val="20"/>
                <w:szCs w:val="20"/>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452F7CA2"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w:t>
            </w:r>
          </w:p>
        </w:tc>
        <w:tc>
          <w:tcPr>
            <w:tcW w:w="1080" w:type="dxa"/>
            <w:tcBorders>
              <w:top w:val="nil"/>
              <w:left w:val="nil"/>
              <w:bottom w:val="nil"/>
              <w:right w:val="nil"/>
            </w:tcBorders>
            <w:shd w:val="clear" w:color="auto" w:fill="auto"/>
            <w:noWrap/>
            <w:vAlign w:val="bottom"/>
            <w:hideMark/>
          </w:tcPr>
          <w:p w14:paraId="49CD3DEC"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p>
        </w:tc>
        <w:tc>
          <w:tcPr>
            <w:tcW w:w="1740" w:type="dxa"/>
            <w:tcBorders>
              <w:top w:val="nil"/>
              <w:left w:val="nil"/>
              <w:bottom w:val="nil"/>
              <w:right w:val="nil"/>
            </w:tcBorders>
            <w:shd w:val="clear" w:color="auto" w:fill="auto"/>
            <w:noWrap/>
            <w:vAlign w:val="bottom"/>
            <w:hideMark/>
          </w:tcPr>
          <w:p w14:paraId="61CD763A"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r w:rsidR="009277B2" w:rsidRPr="009277B2" w14:paraId="7B04E885" w14:textId="77777777" w:rsidTr="009277B2">
        <w:trPr>
          <w:trHeight w:val="5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8C71B2"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4</w:t>
            </w:r>
          </w:p>
        </w:tc>
        <w:tc>
          <w:tcPr>
            <w:tcW w:w="4760" w:type="dxa"/>
            <w:tcBorders>
              <w:top w:val="nil"/>
              <w:left w:val="nil"/>
              <w:bottom w:val="single" w:sz="4" w:space="0" w:color="auto"/>
              <w:right w:val="single" w:sz="4" w:space="0" w:color="auto"/>
            </w:tcBorders>
            <w:shd w:val="clear" w:color="auto" w:fill="auto"/>
            <w:vAlign w:val="center"/>
            <w:hideMark/>
          </w:tcPr>
          <w:p w14:paraId="68F28112"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Transparentné štruktúry odmeňovania a objektívne kritéria</w:t>
            </w:r>
          </w:p>
        </w:tc>
        <w:tc>
          <w:tcPr>
            <w:tcW w:w="1960" w:type="dxa"/>
            <w:tcBorders>
              <w:top w:val="nil"/>
              <w:left w:val="nil"/>
              <w:bottom w:val="single" w:sz="4" w:space="0" w:color="auto"/>
              <w:right w:val="single" w:sz="4" w:space="0" w:color="auto"/>
            </w:tcBorders>
            <w:shd w:val="clear" w:color="auto" w:fill="auto"/>
            <w:vAlign w:val="center"/>
            <w:hideMark/>
          </w:tcPr>
          <w:p w14:paraId="3A4E6D5A"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3</w:t>
            </w:r>
          </w:p>
        </w:tc>
        <w:tc>
          <w:tcPr>
            <w:tcW w:w="1960" w:type="dxa"/>
            <w:tcBorders>
              <w:top w:val="nil"/>
              <w:left w:val="nil"/>
              <w:bottom w:val="single" w:sz="4" w:space="0" w:color="auto"/>
              <w:right w:val="single" w:sz="4" w:space="0" w:color="auto"/>
            </w:tcBorders>
            <w:shd w:val="clear" w:color="auto" w:fill="auto"/>
            <w:vAlign w:val="center"/>
            <w:hideMark/>
          </w:tcPr>
          <w:p w14:paraId="6DC5D90E"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3, ods. 1-2</w:t>
            </w:r>
          </w:p>
        </w:tc>
        <w:tc>
          <w:tcPr>
            <w:tcW w:w="6340" w:type="dxa"/>
            <w:tcBorders>
              <w:top w:val="nil"/>
              <w:left w:val="nil"/>
              <w:bottom w:val="single" w:sz="4" w:space="0" w:color="auto"/>
              <w:right w:val="single" w:sz="4" w:space="0" w:color="auto"/>
            </w:tcBorders>
            <w:shd w:val="clear" w:color="auto" w:fill="auto"/>
            <w:vAlign w:val="center"/>
            <w:hideMark/>
          </w:tcPr>
          <w:p w14:paraId="5A24D33D"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51C8AD64"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01.06.26</w:t>
            </w:r>
          </w:p>
        </w:tc>
        <w:tc>
          <w:tcPr>
            <w:tcW w:w="1460" w:type="dxa"/>
            <w:tcBorders>
              <w:top w:val="nil"/>
              <w:left w:val="nil"/>
              <w:bottom w:val="single" w:sz="4" w:space="0" w:color="auto"/>
              <w:right w:val="single" w:sz="4" w:space="0" w:color="auto"/>
            </w:tcBorders>
            <w:shd w:val="clear" w:color="auto" w:fill="auto"/>
            <w:vAlign w:val="center"/>
            <w:hideMark/>
          </w:tcPr>
          <w:p w14:paraId="1AB0B431"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Zamestnávateľ</w:t>
            </w:r>
          </w:p>
        </w:tc>
        <w:tc>
          <w:tcPr>
            <w:tcW w:w="1140" w:type="dxa"/>
            <w:tcBorders>
              <w:top w:val="nil"/>
              <w:left w:val="nil"/>
              <w:bottom w:val="single" w:sz="4" w:space="0" w:color="auto"/>
              <w:right w:val="single" w:sz="4" w:space="0" w:color="auto"/>
            </w:tcBorders>
            <w:shd w:val="clear" w:color="auto" w:fill="auto"/>
            <w:vAlign w:val="center"/>
            <w:hideMark/>
          </w:tcPr>
          <w:p w14:paraId="07FD6DA2" w14:textId="77777777" w:rsidR="009277B2" w:rsidRPr="009277B2" w:rsidRDefault="009277B2" w:rsidP="009277B2">
            <w:pPr>
              <w:spacing w:after="0" w:line="240" w:lineRule="auto"/>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 xml:space="preserve">       138 087 </w:t>
            </w:r>
          </w:p>
        </w:tc>
        <w:tc>
          <w:tcPr>
            <w:tcW w:w="1240" w:type="dxa"/>
            <w:tcBorders>
              <w:top w:val="nil"/>
              <w:left w:val="nil"/>
              <w:bottom w:val="single" w:sz="4" w:space="0" w:color="auto"/>
              <w:right w:val="single" w:sz="4" w:space="0" w:color="auto"/>
            </w:tcBorders>
            <w:shd w:val="clear" w:color="auto" w:fill="auto"/>
            <w:vAlign w:val="center"/>
            <w:hideMark/>
          </w:tcPr>
          <w:p w14:paraId="20638B50"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71</w:t>
            </w:r>
          </w:p>
        </w:tc>
        <w:tc>
          <w:tcPr>
            <w:tcW w:w="1380" w:type="dxa"/>
            <w:tcBorders>
              <w:top w:val="nil"/>
              <w:left w:val="nil"/>
              <w:bottom w:val="single" w:sz="4" w:space="0" w:color="auto"/>
              <w:right w:val="single" w:sz="4" w:space="0" w:color="auto"/>
            </w:tcBorders>
            <w:shd w:val="clear" w:color="auto" w:fill="auto"/>
            <w:vAlign w:val="center"/>
            <w:hideMark/>
          </w:tcPr>
          <w:p w14:paraId="25E43D07"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9 852 715</w:t>
            </w:r>
          </w:p>
        </w:tc>
        <w:tc>
          <w:tcPr>
            <w:tcW w:w="1980" w:type="dxa"/>
            <w:tcBorders>
              <w:top w:val="nil"/>
              <w:left w:val="nil"/>
              <w:bottom w:val="single" w:sz="4" w:space="0" w:color="auto"/>
              <w:right w:val="single" w:sz="4" w:space="0" w:color="auto"/>
            </w:tcBorders>
            <w:shd w:val="clear" w:color="auto" w:fill="auto"/>
            <w:vAlign w:val="center"/>
            <w:hideMark/>
          </w:tcPr>
          <w:p w14:paraId="4005FB87"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408F368C" w14:textId="77777777" w:rsidR="009277B2" w:rsidRPr="009277B2" w:rsidRDefault="009277B2" w:rsidP="009277B2">
            <w:pPr>
              <w:spacing w:after="0" w:line="240" w:lineRule="auto"/>
              <w:jc w:val="center"/>
              <w:rPr>
                <w:rFonts w:ascii="Times New Roman" w:eastAsia="Times New Roman" w:hAnsi="Times New Roman" w:cs="Times New Roman"/>
                <w:sz w:val="20"/>
                <w:szCs w:val="20"/>
                <w:lang w:eastAsia="sk-SK"/>
              </w:rPr>
            </w:pPr>
            <w:r w:rsidRPr="009277B2">
              <w:rPr>
                <w:rFonts w:ascii="Times New Roman" w:eastAsia="Times New Roman" w:hAnsi="Times New Roman" w:cs="Times New Roman"/>
                <w:sz w:val="20"/>
                <w:szCs w:val="20"/>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512C5DCB"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r w:rsidRPr="009277B2">
              <w:rPr>
                <w:rFonts w:ascii="Times New Roman" w:eastAsia="Times New Roman" w:hAnsi="Times New Roman" w:cs="Times New Roman"/>
                <w:color w:val="000000"/>
                <w:sz w:val="20"/>
                <w:szCs w:val="20"/>
                <w:lang w:eastAsia="sk-SK"/>
              </w:rPr>
              <w:t>0</w:t>
            </w:r>
          </w:p>
        </w:tc>
        <w:tc>
          <w:tcPr>
            <w:tcW w:w="1080" w:type="dxa"/>
            <w:tcBorders>
              <w:top w:val="nil"/>
              <w:left w:val="nil"/>
              <w:bottom w:val="nil"/>
              <w:right w:val="nil"/>
            </w:tcBorders>
            <w:shd w:val="clear" w:color="auto" w:fill="auto"/>
            <w:noWrap/>
            <w:vAlign w:val="bottom"/>
            <w:hideMark/>
          </w:tcPr>
          <w:p w14:paraId="2E1712C8" w14:textId="77777777" w:rsidR="009277B2" w:rsidRPr="009277B2" w:rsidRDefault="009277B2" w:rsidP="009277B2">
            <w:pPr>
              <w:spacing w:after="0" w:line="240" w:lineRule="auto"/>
              <w:jc w:val="center"/>
              <w:rPr>
                <w:rFonts w:ascii="Times New Roman" w:eastAsia="Times New Roman" w:hAnsi="Times New Roman" w:cs="Times New Roman"/>
                <w:color w:val="000000"/>
                <w:sz w:val="20"/>
                <w:szCs w:val="20"/>
                <w:lang w:eastAsia="sk-SK"/>
              </w:rPr>
            </w:pPr>
          </w:p>
        </w:tc>
        <w:tc>
          <w:tcPr>
            <w:tcW w:w="1740" w:type="dxa"/>
            <w:tcBorders>
              <w:top w:val="nil"/>
              <w:left w:val="nil"/>
              <w:bottom w:val="nil"/>
              <w:right w:val="nil"/>
            </w:tcBorders>
            <w:shd w:val="clear" w:color="auto" w:fill="auto"/>
            <w:noWrap/>
            <w:vAlign w:val="bottom"/>
            <w:hideMark/>
          </w:tcPr>
          <w:p w14:paraId="46385AEC" w14:textId="77777777" w:rsidR="009277B2" w:rsidRPr="009277B2" w:rsidRDefault="009277B2" w:rsidP="009277B2">
            <w:pPr>
              <w:spacing w:after="0" w:line="240" w:lineRule="auto"/>
              <w:rPr>
                <w:rFonts w:ascii="Times New Roman" w:eastAsia="Times New Roman" w:hAnsi="Times New Roman" w:cs="Times New Roman"/>
                <w:sz w:val="20"/>
                <w:szCs w:val="20"/>
                <w:lang w:eastAsia="sk-SK"/>
              </w:rPr>
            </w:pPr>
          </w:p>
        </w:tc>
      </w:tr>
    </w:tbl>
    <w:p w14:paraId="798179FB" w14:textId="0E015BBF" w:rsidR="00054C41" w:rsidRPr="00895898" w:rsidRDefault="0022740F"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r>
        <w:rPr>
          <w:rFonts w:ascii="Times New Roman" w:eastAsia="Calibri" w:hAnsi="Times New Roman" w:cs="Times New Roman"/>
          <w:b/>
          <w:bCs/>
          <w:i/>
          <w:sz w:val="24"/>
          <w:szCs w:val="24"/>
        </w:rPr>
        <w:fldChar w:fldCharType="end"/>
      </w:r>
    </w:p>
    <w:p w14:paraId="77318665" w14:textId="2252DC87" w:rsidR="00054C41"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5B2D22B6" w14:textId="2C2F7999"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 xml:space="preserve">Regulácia 1: Povinné správy o rozdieloch v odmeňovaní </w:t>
      </w:r>
      <w:r w:rsidR="00C476BA">
        <w:rPr>
          <w:rFonts w:ascii="Times New Roman" w:eastAsia="Calibri" w:hAnsi="Times New Roman" w:cs="Times New Roman"/>
          <w:bCs/>
          <w:sz w:val="24"/>
          <w:szCs w:val="24"/>
        </w:rPr>
        <w:t xml:space="preserve">mužov a žien </w:t>
      </w:r>
      <w:r w:rsidRPr="001C3080">
        <w:rPr>
          <w:rFonts w:ascii="Times New Roman" w:eastAsia="Calibri" w:hAnsi="Times New Roman" w:cs="Times New Roman"/>
          <w:bCs/>
          <w:sz w:val="24"/>
          <w:szCs w:val="24"/>
        </w:rPr>
        <w:t>pre zamestnávateľov s 250+ zamestnancami</w:t>
      </w:r>
    </w:p>
    <w:p w14:paraId="6D99820C" w14:textId="7D0399F1"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Tát</w:t>
      </w:r>
      <w:r>
        <w:rPr>
          <w:rFonts w:ascii="Times New Roman" w:eastAsia="Calibri" w:hAnsi="Times New Roman" w:cs="Times New Roman"/>
          <w:bCs/>
          <w:sz w:val="24"/>
          <w:szCs w:val="24"/>
        </w:rPr>
        <w:t>o regulácia vychádza z paragraf</w:t>
      </w:r>
      <w:r w:rsidRPr="001C3080">
        <w:rPr>
          <w:rFonts w:ascii="Times New Roman" w:eastAsia="Calibri" w:hAnsi="Times New Roman" w:cs="Times New Roman"/>
          <w:bCs/>
          <w:sz w:val="24"/>
          <w:szCs w:val="24"/>
        </w:rPr>
        <w:t>u 8 odseku 2 zákona o transparentnosti v odmeňo</w:t>
      </w:r>
      <w:r w:rsidR="007F726F">
        <w:rPr>
          <w:rFonts w:ascii="Times New Roman" w:eastAsia="Calibri" w:hAnsi="Times New Roman" w:cs="Times New Roman"/>
          <w:bCs/>
          <w:sz w:val="24"/>
          <w:szCs w:val="24"/>
        </w:rPr>
        <w:t>vaní, ktorý transponuje článok 9</w:t>
      </w:r>
      <w:r w:rsidRPr="001C3080">
        <w:rPr>
          <w:rFonts w:ascii="Times New Roman" w:eastAsia="Calibri" w:hAnsi="Times New Roman" w:cs="Times New Roman"/>
          <w:bCs/>
          <w:sz w:val="24"/>
          <w:szCs w:val="24"/>
        </w:rPr>
        <w:t xml:space="preserve"> bod 2 </w:t>
      </w:r>
      <w:r w:rsidR="00AD48A6">
        <w:rPr>
          <w:rFonts w:ascii="Times New Roman" w:eastAsia="Calibri" w:hAnsi="Times New Roman" w:cs="Times New Roman"/>
          <w:bCs/>
          <w:sz w:val="24"/>
          <w:szCs w:val="24"/>
        </w:rPr>
        <w:t>s</w:t>
      </w:r>
      <w:r w:rsidRPr="001C3080">
        <w:rPr>
          <w:rFonts w:ascii="Times New Roman" w:eastAsia="Calibri" w:hAnsi="Times New Roman" w:cs="Times New Roman"/>
          <w:bCs/>
          <w:sz w:val="24"/>
          <w:szCs w:val="24"/>
        </w:rPr>
        <w:t xml:space="preserve">mernice </w:t>
      </w:r>
      <w:r w:rsidR="00AD48A6">
        <w:rPr>
          <w:rFonts w:ascii="Times New Roman" w:eastAsia="Times New Roman" w:hAnsi="Times New Roman" w:cs="Times New Roman"/>
          <w:bCs/>
          <w:sz w:val="24"/>
          <w:szCs w:val="24"/>
          <w:lang w:eastAsia="sk-SK"/>
        </w:rPr>
        <w:t>(EÚ) 2023/970</w:t>
      </w:r>
      <w:r w:rsidRPr="001C3080">
        <w:rPr>
          <w:rFonts w:ascii="Times New Roman" w:eastAsia="Calibri" w:hAnsi="Times New Roman" w:cs="Times New Roman"/>
          <w:bCs/>
          <w:sz w:val="24"/>
          <w:szCs w:val="24"/>
        </w:rPr>
        <w:t>. Predstavuje úplnú harmonizáciu európskeho práva a týka sa zamestnávateľov zamestnávajúcich najmenej 250 zamestnancov. Počet dotknutých subjektov predstavuje 774 zamestnávateľov podľa údajov poskytnutých Sociálnou poisťovňou Ministerstvu práce, sociálnych vecí a rodiny Slovenskej republiky z oficiálnych štatistík vedených o počte zamestnávateľov podľa veľkostných kategórií.</w:t>
      </w:r>
    </w:p>
    <w:p w14:paraId="351EEFB6" w14:textId="2DF917EB"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Regulácia zakladá administratívne náklady vo výške 65 eur na jedného podnikateľa ročne. Výpočet vychádza z dvoch typov administratívnych povinností. Prvou je oboznámenie sa s reguláciou klasifikované ako malá povinnosť s časovou náročnosťou 60 minút. Pri hodinovej sadzbe 30 eur a ročnej frekvencii plnenia predstavuje táto povinnosť náklad 30 eur na subjekt. Druhou povinnosťou je poskytnutie informácie a oznámenie s časovou náročnosťou 30 minút, čo pri rovnakej hodinovej sadzbe a frekvencii predstavuje 15 eur na subjekt.</w:t>
      </w:r>
    </w:p>
    <w:p w14:paraId="7EDEDB93" w14:textId="655B23C8"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Celkové administratívne náklad</w:t>
      </w:r>
      <w:r>
        <w:rPr>
          <w:rFonts w:ascii="Times New Roman" w:eastAsia="Calibri" w:hAnsi="Times New Roman" w:cs="Times New Roman"/>
          <w:bCs/>
          <w:sz w:val="24"/>
          <w:szCs w:val="24"/>
        </w:rPr>
        <w:t>y na jeden subjekt</w:t>
      </w:r>
      <w:r w:rsidRPr="001C3080">
        <w:rPr>
          <w:rFonts w:ascii="Times New Roman" w:eastAsia="Calibri" w:hAnsi="Times New Roman" w:cs="Times New Roman"/>
          <w:bCs/>
          <w:sz w:val="24"/>
          <w:szCs w:val="24"/>
        </w:rPr>
        <w:t xml:space="preserve"> sú súčtom oboch povinností, teda 45 eur, pričom finálna suma 65 eur zohľadňuje dodatočné náklady spojené s komplexnosťou správy o siedmich povinných údajoch. Celkové administratívne náklady na túto kategóriu predstavujú súčin počtu subjektov a nákladov na subjekt, teda 774 krát 65 eur, čo je 50 310 eur ročne. Regulácia nezakladá dane, odvody, clá, iné poplatky, sankcie ani nepriame finančné náklady.</w:t>
      </w:r>
    </w:p>
    <w:p w14:paraId="469A9B06" w14:textId="52D22048"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Regulácia 2: Povinné správy o rozdieloch v</w:t>
      </w:r>
      <w:r w:rsidR="00C476BA">
        <w:rPr>
          <w:rFonts w:ascii="Times New Roman" w:eastAsia="Calibri" w:hAnsi="Times New Roman" w:cs="Times New Roman"/>
          <w:bCs/>
          <w:sz w:val="24"/>
          <w:szCs w:val="24"/>
        </w:rPr>
        <w:t> </w:t>
      </w:r>
      <w:r w:rsidRPr="001C3080">
        <w:rPr>
          <w:rFonts w:ascii="Times New Roman" w:eastAsia="Calibri" w:hAnsi="Times New Roman" w:cs="Times New Roman"/>
          <w:bCs/>
          <w:sz w:val="24"/>
          <w:szCs w:val="24"/>
        </w:rPr>
        <w:t>odmeňovaní</w:t>
      </w:r>
      <w:r w:rsidR="00C476BA">
        <w:rPr>
          <w:rFonts w:ascii="Times New Roman" w:eastAsia="Calibri" w:hAnsi="Times New Roman" w:cs="Times New Roman"/>
          <w:bCs/>
          <w:sz w:val="24"/>
          <w:szCs w:val="24"/>
        </w:rPr>
        <w:t xml:space="preserve"> mužov a žien</w:t>
      </w:r>
      <w:r w:rsidRPr="001C3080">
        <w:rPr>
          <w:rFonts w:ascii="Times New Roman" w:eastAsia="Calibri" w:hAnsi="Times New Roman" w:cs="Times New Roman"/>
          <w:bCs/>
          <w:sz w:val="24"/>
          <w:szCs w:val="24"/>
        </w:rPr>
        <w:t xml:space="preserve"> pre zamestnávateľov so 100-249 zamestnancami</w:t>
      </w:r>
    </w:p>
    <w:p w14:paraId="343A2280" w14:textId="643100F8"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Druhá r</w:t>
      </w:r>
      <w:r>
        <w:rPr>
          <w:rFonts w:ascii="Times New Roman" w:eastAsia="Calibri" w:hAnsi="Times New Roman" w:cs="Times New Roman"/>
          <w:bCs/>
          <w:sz w:val="24"/>
          <w:szCs w:val="24"/>
        </w:rPr>
        <w:t>egulácia je založená na paragraf</w:t>
      </w:r>
      <w:r w:rsidRPr="001C3080">
        <w:rPr>
          <w:rFonts w:ascii="Times New Roman" w:eastAsia="Calibri" w:hAnsi="Times New Roman" w:cs="Times New Roman"/>
          <w:bCs/>
          <w:sz w:val="24"/>
          <w:szCs w:val="24"/>
        </w:rPr>
        <w:t>e 8 odseku 3 zákona o transparentnosti v odmeňovan</w:t>
      </w:r>
      <w:r w:rsidR="007F726F">
        <w:rPr>
          <w:rFonts w:ascii="Times New Roman" w:eastAsia="Calibri" w:hAnsi="Times New Roman" w:cs="Times New Roman"/>
          <w:bCs/>
          <w:sz w:val="24"/>
          <w:szCs w:val="24"/>
        </w:rPr>
        <w:t>í a rovnako transponuje článok 9</w:t>
      </w:r>
      <w:r w:rsidRPr="001C3080">
        <w:rPr>
          <w:rFonts w:ascii="Times New Roman" w:eastAsia="Calibri" w:hAnsi="Times New Roman" w:cs="Times New Roman"/>
          <w:bCs/>
          <w:sz w:val="24"/>
          <w:szCs w:val="24"/>
        </w:rPr>
        <w:t xml:space="preserve"> bod</w:t>
      </w:r>
      <w:r w:rsidR="007F726F">
        <w:rPr>
          <w:rFonts w:ascii="Times New Roman" w:eastAsia="Calibri" w:hAnsi="Times New Roman" w:cs="Times New Roman"/>
          <w:bCs/>
          <w:sz w:val="24"/>
          <w:szCs w:val="24"/>
        </w:rPr>
        <w:t>y 3 a 4</w:t>
      </w:r>
      <w:r w:rsidRPr="001C3080">
        <w:rPr>
          <w:rFonts w:ascii="Times New Roman" w:eastAsia="Calibri" w:hAnsi="Times New Roman" w:cs="Times New Roman"/>
          <w:bCs/>
          <w:sz w:val="24"/>
          <w:szCs w:val="24"/>
        </w:rPr>
        <w:t xml:space="preserve"> smernice</w:t>
      </w:r>
      <w:r w:rsidR="00AD48A6">
        <w:rPr>
          <w:rFonts w:ascii="Times New Roman" w:eastAsia="Calibri" w:hAnsi="Times New Roman" w:cs="Times New Roman"/>
          <w:bCs/>
          <w:sz w:val="24"/>
          <w:szCs w:val="24"/>
        </w:rPr>
        <w:t xml:space="preserve"> </w:t>
      </w:r>
      <w:r w:rsidR="00AD48A6">
        <w:rPr>
          <w:rFonts w:ascii="Times New Roman" w:eastAsia="Times New Roman" w:hAnsi="Times New Roman" w:cs="Times New Roman"/>
          <w:bCs/>
          <w:sz w:val="24"/>
          <w:szCs w:val="24"/>
          <w:lang w:eastAsia="sk-SK"/>
        </w:rPr>
        <w:t>(EÚ) 2023/970</w:t>
      </w:r>
      <w:r w:rsidRPr="001C3080">
        <w:rPr>
          <w:rFonts w:ascii="Times New Roman" w:eastAsia="Calibri" w:hAnsi="Times New Roman" w:cs="Times New Roman"/>
          <w:bCs/>
          <w:sz w:val="24"/>
          <w:szCs w:val="24"/>
        </w:rPr>
        <w:t>. Týka sa 1 229 zamestnávateľov so 100 až 249 zamestnancami podľa údajov Sociálnej poisťovne poskytnutých ministerstvu práce. Obsah správy je identický s prvou reguláciou, avšak frekvencia predkladania je každé tri roky.</w:t>
      </w:r>
    </w:p>
    <w:p w14:paraId="354A62DD"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Administratívne náklady na jedného podnikateľa predstavujú 29 eur ročne. Výpočet vychádza z rovnakej metodiky ako pri prvej regulácii, avšak s aplikáciou koeficientu frekvencie 0,33 pre trojročnú periodicitu. Oboznámenie sa s reguláciou predstavuje po prepočte 10 eur ročne a poskytnutie informácie 5 eur ročne. Dodatočných 14 eur zohľadňuje špecifiká menších organizácií pri spracovaní správy.</w:t>
      </w:r>
    </w:p>
    <w:p w14:paraId="01BF9460"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Celkové administratívne náklady pre túto kategóriu predstavujú 1 229 krát 29 eur, čo je 35 641 eur ročne. Rovnako ako pri prvej regulácii sa nezakladajú žiadne iné typy nákladov okrem administratívnych.</w:t>
      </w:r>
    </w:p>
    <w:p w14:paraId="2DABE36B"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Regulácia 3: Transparentné štruktúry odmeňovania - kategória 1</w:t>
      </w:r>
    </w:p>
    <w:p w14:paraId="364050B9" w14:textId="201E628E"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Tretia regulácia i</w:t>
      </w:r>
      <w:r>
        <w:rPr>
          <w:rFonts w:ascii="Times New Roman" w:eastAsia="Calibri" w:hAnsi="Times New Roman" w:cs="Times New Roman"/>
          <w:bCs/>
          <w:sz w:val="24"/>
          <w:szCs w:val="24"/>
        </w:rPr>
        <w:t>mplementuje požiadavky paragrafu</w:t>
      </w:r>
      <w:r w:rsidRPr="001C3080">
        <w:rPr>
          <w:rFonts w:ascii="Times New Roman" w:eastAsia="Calibri" w:hAnsi="Times New Roman" w:cs="Times New Roman"/>
          <w:bCs/>
          <w:sz w:val="24"/>
          <w:szCs w:val="24"/>
        </w:rPr>
        <w:t xml:space="preserve"> 3 odsekov 1 až 2 zákona o transparentnosti v odmeňovaní a predstavuje úplnú harmonizáciu európskeho práva. Týka sa 20 173 zamestnávateľov, čo predstavuje súčet subjektov z prvých dvoch regulácií plus ďalších </w:t>
      </w:r>
      <w:r w:rsidRPr="001C3080">
        <w:rPr>
          <w:rFonts w:ascii="Times New Roman" w:eastAsia="Calibri" w:hAnsi="Times New Roman" w:cs="Times New Roman"/>
          <w:bCs/>
          <w:sz w:val="24"/>
          <w:szCs w:val="24"/>
        </w:rPr>
        <w:lastRenderedPageBreak/>
        <w:t>zamestnávateľov s viac ako 100 zamestnancami v tejto kategórii. Údaje pochádzajú zo štatistík Sociálnej poisťovne poskytnutých ministerstvu práce.</w:t>
      </w:r>
    </w:p>
    <w:p w14:paraId="5C65934F"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Administratívne náklady na jedného podnikateľa dosahujú 285 eur ročne a skladajú sa z troch typov povinností. Oboznámenie sa s reguláciou predstavuje 30 eur pri 60 minútach časovej náročnosti a hodinovej sadzbe 30 eur. Zmena vnútorných procesov je najnákladnejšou položkou s 270 eurami pri štandardnej časovej náročnosti 540 minút. Evidencia a vedenie dokumentácie predstavuje 120 eur pri časovej náročnosti 240 minút.</w:t>
      </w:r>
    </w:p>
    <w:p w14:paraId="3FD13031"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Teoretický súčet týchto troch povinností by predstavoval 420 eur, avšak finálna suma 285 eur zohľadňuje efektívnosť väčších organizácií pri implementácii nových procesov. Celkové administratívne náklady pre túto kategóriu predstavujú 20 173 krát 285 eur, čo je 5 749 305 eur ročne. Regulácia nezakladá žiadne iné typy nákladov.</w:t>
      </w:r>
    </w:p>
    <w:p w14:paraId="57329041"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Regulácia 4: Transparentné štruktúry odmeňovania - kategória 2</w:t>
      </w:r>
    </w:p>
    <w:p w14:paraId="49D50041" w14:textId="4023C400"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Štvrtá regulácia implement</w:t>
      </w:r>
      <w:r>
        <w:rPr>
          <w:rFonts w:ascii="Times New Roman" w:eastAsia="Calibri" w:hAnsi="Times New Roman" w:cs="Times New Roman"/>
          <w:bCs/>
          <w:sz w:val="24"/>
          <w:szCs w:val="24"/>
        </w:rPr>
        <w:t>uje rovnaké požiadavky paragraf</w:t>
      </w:r>
      <w:r w:rsidRPr="001C3080">
        <w:rPr>
          <w:rFonts w:ascii="Times New Roman" w:eastAsia="Calibri" w:hAnsi="Times New Roman" w:cs="Times New Roman"/>
          <w:bCs/>
          <w:sz w:val="24"/>
          <w:szCs w:val="24"/>
        </w:rPr>
        <w:t>u 3 ako predchádzajúca regulácia, avšak týka sa 138 087 zvyšných zamestnávateľov so 100 a viac zamestnancami. Počet predstavuje rozdiel medzi celkovým počtom zamestnávateľov so 100 a viac zamestnancami a subjektmi zahrnutými do kategórie 1 podľa údajov Sociálnej poisťovne.</w:t>
      </w:r>
    </w:p>
    <w:p w14:paraId="0B779402" w14:textId="339D80B5"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 xml:space="preserve">Administratívne náklady na jedného podnikateľa predstavujú 71 eur ročne. Metodika </w:t>
      </w:r>
      <w:r>
        <w:rPr>
          <w:rFonts w:ascii="Times New Roman" w:eastAsia="Calibri" w:hAnsi="Times New Roman" w:cs="Times New Roman"/>
          <w:bCs/>
          <w:sz w:val="24"/>
          <w:szCs w:val="24"/>
        </w:rPr>
        <w:t>výpočtu je rovnaká ako pri trete</w:t>
      </w:r>
      <w:r w:rsidRPr="001C3080">
        <w:rPr>
          <w:rFonts w:ascii="Times New Roman" w:eastAsia="Calibri" w:hAnsi="Times New Roman" w:cs="Times New Roman"/>
          <w:bCs/>
          <w:sz w:val="24"/>
          <w:szCs w:val="24"/>
        </w:rPr>
        <w:t>j regulácii, avšak s výrazne nižšími nákladmi pre menšie organizácie. Oboz</w:t>
      </w:r>
      <w:r>
        <w:rPr>
          <w:rFonts w:ascii="Times New Roman" w:eastAsia="Calibri" w:hAnsi="Times New Roman" w:cs="Times New Roman"/>
          <w:bCs/>
          <w:sz w:val="24"/>
          <w:szCs w:val="24"/>
        </w:rPr>
        <w:t xml:space="preserve">námenie sa s reguláciou zostáva </w:t>
      </w:r>
      <w:r w:rsidRPr="001C3080">
        <w:rPr>
          <w:rFonts w:ascii="Times New Roman" w:eastAsia="Calibri" w:hAnsi="Times New Roman" w:cs="Times New Roman"/>
          <w:bCs/>
          <w:sz w:val="24"/>
          <w:szCs w:val="24"/>
        </w:rPr>
        <w:t>na úrovni 30 eur, zmena vnútorných procesov sa znižuje na 67 eur a evidencia dokumentácie na 30 eur. Suma 71 eur zohľadňuje jednoduchšie procesy v menších organizáciách v porovnaní s väčšími subjektmi.</w:t>
      </w:r>
    </w:p>
    <w:p w14:paraId="0575D4C4"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Celkové administratívne náklady pre túto kategóriu predstavujú 138 087 krát 71 eur, čo je 9 804 177 eur ročne. Rovnako ako pri predchádzajúcich reguláciách sa nezakladajú žiadne iné typy nákladov okrem administratívnych.</w:t>
      </w:r>
    </w:p>
    <w:p w14:paraId="147013FC" w14:textId="77777777"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Sankcie a pokuty</w:t>
      </w:r>
    </w:p>
    <w:p w14:paraId="2ABB678A" w14:textId="108FBC4F"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Sankčné me</w:t>
      </w:r>
      <w:r>
        <w:rPr>
          <w:rFonts w:ascii="Times New Roman" w:eastAsia="Calibri" w:hAnsi="Times New Roman" w:cs="Times New Roman"/>
          <w:bCs/>
          <w:sz w:val="24"/>
          <w:szCs w:val="24"/>
        </w:rPr>
        <w:t>chanizmy sú stanovené v paragraf</w:t>
      </w:r>
      <w:r w:rsidRPr="001C3080">
        <w:rPr>
          <w:rFonts w:ascii="Times New Roman" w:eastAsia="Calibri" w:hAnsi="Times New Roman" w:cs="Times New Roman"/>
          <w:bCs/>
          <w:sz w:val="24"/>
          <w:szCs w:val="24"/>
        </w:rPr>
        <w:t>e 16 zákona o správnych deliktoch a týkajú sa všetkých regulácií súhrnne. Výška sankcie za por</w:t>
      </w:r>
      <w:r w:rsidR="00D27DEE">
        <w:rPr>
          <w:rFonts w:ascii="Times New Roman" w:eastAsia="Calibri" w:hAnsi="Times New Roman" w:cs="Times New Roman"/>
          <w:bCs/>
          <w:sz w:val="24"/>
          <w:szCs w:val="24"/>
        </w:rPr>
        <w:t>ušenie povinností predstavuje</w:t>
      </w:r>
      <w:r w:rsidR="00117915">
        <w:rPr>
          <w:rFonts w:ascii="Times New Roman" w:eastAsia="Calibri" w:hAnsi="Times New Roman" w:cs="Times New Roman"/>
          <w:bCs/>
          <w:sz w:val="24"/>
          <w:szCs w:val="24"/>
        </w:rPr>
        <w:t xml:space="preserve"> maximálnu hodnotu</w:t>
      </w:r>
      <w:r w:rsidR="00D27DEE">
        <w:rPr>
          <w:rFonts w:ascii="Times New Roman" w:eastAsia="Calibri" w:hAnsi="Times New Roman" w:cs="Times New Roman"/>
          <w:bCs/>
          <w:sz w:val="24"/>
          <w:szCs w:val="24"/>
        </w:rPr>
        <w:t xml:space="preserve"> </w:t>
      </w:r>
      <w:r w:rsidRPr="001C3080">
        <w:rPr>
          <w:rFonts w:ascii="Times New Roman" w:eastAsia="Calibri" w:hAnsi="Times New Roman" w:cs="Times New Roman"/>
          <w:bCs/>
          <w:sz w:val="24"/>
          <w:szCs w:val="24"/>
        </w:rPr>
        <w:t xml:space="preserve"> </w:t>
      </w:r>
      <w:r w:rsidR="00117915">
        <w:rPr>
          <w:rFonts w:ascii="Times New Roman" w:eastAsia="Calibri" w:hAnsi="Times New Roman" w:cs="Times New Roman"/>
          <w:bCs/>
          <w:sz w:val="24"/>
          <w:szCs w:val="24"/>
        </w:rPr>
        <w:t xml:space="preserve">4 </w:t>
      </w:r>
      <w:r w:rsidRPr="001C3080">
        <w:rPr>
          <w:rFonts w:ascii="Times New Roman" w:eastAsia="Calibri" w:hAnsi="Times New Roman" w:cs="Times New Roman"/>
          <w:bCs/>
          <w:sz w:val="24"/>
          <w:szCs w:val="24"/>
        </w:rPr>
        <w:t xml:space="preserve">000 eur. Celkové ročné náklady na sankcie a pokuty sú odhadované na </w:t>
      </w:r>
      <w:r w:rsidR="00117915">
        <w:rPr>
          <w:rFonts w:ascii="Times New Roman" w:eastAsia="Calibri" w:hAnsi="Times New Roman" w:cs="Times New Roman"/>
          <w:bCs/>
          <w:sz w:val="24"/>
          <w:szCs w:val="24"/>
        </w:rPr>
        <w:t>16</w:t>
      </w:r>
      <w:r w:rsidRPr="001C3080">
        <w:rPr>
          <w:rFonts w:ascii="Times New Roman" w:eastAsia="Calibri" w:hAnsi="Times New Roman" w:cs="Times New Roman"/>
          <w:bCs/>
          <w:sz w:val="24"/>
          <w:szCs w:val="24"/>
        </w:rPr>
        <w:t xml:space="preserve"> 000 e</w:t>
      </w:r>
      <w:r w:rsidR="00117915">
        <w:rPr>
          <w:rFonts w:ascii="Times New Roman" w:eastAsia="Calibri" w:hAnsi="Times New Roman" w:cs="Times New Roman"/>
          <w:bCs/>
          <w:sz w:val="24"/>
          <w:szCs w:val="24"/>
        </w:rPr>
        <w:t>ur, čo predstavuje náklady štyroch</w:t>
      </w:r>
      <w:r w:rsidRPr="001C3080">
        <w:rPr>
          <w:rFonts w:ascii="Times New Roman" w:eastAsia="Calibri" w:hAnsi="Times New Roman" w:cs="Times New Roman"/>
          <w:bCs/>
          <w:sz w:val="24"/>
          <w:szCs w:val="24"/>
        </w:rPr>
        <w:t xml:space="preserve"> očakávaných prípadov porušenia ročne.</w:t>
      </w:r>
    </w:p>
    <w:p w14:paraId="5FE2EF6C" w14:textId="5A18C779" w:rsidR="001C3080" w:rsidRPr="001C3080" w:rsidRDefault="001C3080" w:rsidP="001C3080">
      <w:pPr>
        <w:jc w:val="both"/>
        <w:rPr>
          <w:rFonts w:ascii="Times New Roman" w:eastAsia="Calibri" w:hAnsi="Times New Roman" w:cs="Times New Roman"/>
          <w:bCs/>
          <w:sz w:val="24"/>
          <w:szCs w:val="24"/>
        </w:rPr>
      </w:pPr>
      <w:r w:rsidRPr="001C3080">
        <w:rPr>
          <w:rFonts w:ascii="Times New Roman" w:eastAsia="Calibri" w:hAnsi="Times New Roman" w:cs="Times New Roman"/>
          <w:bCs/>
          <w:sz w:val="24"/>
          <w:szCs w:val="24"/>
        </w:rPr>
        <w:t xml:space="preserve">Metodika odhadu vychádza z pripodobnenia k existujúcim pokutám v pracovnoprávnej oblasti a z priemeru právoplatne udelených pokút za posledných päť rokov. </w:t>
      </w:r>
      <w:r w:rsidR="00117915">
        <w:rPr>
          <w:rFonts w:ascii="Times New Roman" w:eastAsia="Calibri" w:hAnsi="Times New Roman" w:cs="Times New Roman"/>
          <w:bCs/>
          <w:sz w:val="24"/>
          <w:szCs w:val="24"/>
        </w:rPr>
        <w:t>V</w:t>
      </w:r>
      <w:r w:rsidRPr="001C3080">
        <w:rPr>
          <w:rFonts w:ascii="Times New Roman" w:eastAsia="Calibri" w:hAnsi="Times New Roman" w:cs="Times New Roman"/>
          <w:bCs/>
          <w:sz w:val="24"/>
          <w:szCs w:val="24"/>
        </w:rPr>
        <w:t>ýpočet zohľadňuje očakávanú mieru dodržiavania nových povinností v počiatočnom období implementácie.</w:t>
      </w:r>
    </w:p>
    <w:p w14:paraId="3FB1450B" w14:textId="77777777" w:rsidR="001E24E8" w:rsidRDefault="001E24E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4BD96D6C" w14:textId="2FF9D4AB" w:rsidR="00024EE4" w:rsidRPr="001B0BCA" w:rsidRDefault="001B0BCA" w:rsidP="001B0BCA">
      <w:pPr>
        <w:jc w:val="both"/>
        <w:rPr>
          <w:rFonts w:ascii="Times New Roman" w:eastAsia="Calibri" w:hAnsi="Times New Roman" w:cs="Times New Roman"/>
          <w:sz w:val="24"/>
          <w:szCs w:val="24"/>
        </w:rPr>
      </w:pPr>
      <w:r w:rsidRPr="001B0BCA">
        <w:rPr>
          <w:rFonts w:ascii="Times New Roman" w:eastAsia="Calibri" w:hAnsi="Times New Roman" w:cs="Times New Roman"/>
          <w:sz w:val="24"/>
          <w:szCs w:val="24"/>
        </w:rPr>
        <w:lastRenderedPageBreak/>
        <w:t>V návrhu zákona nebol identifikovaný žiadny goldplating. Zákon transponuje európsku smernicu (EÚ) 2023/970 v minimálnom rozsahu požadovanom</w:t>
      </w:r>
      <w:r w:rsidR="00AD48A6">
        <w:rPr>
          <w:rFonts w:ascii="Times New Roman" w:eastAsia="Calibri" w:hAnsi="Times New Roman" w:cs="Times New Roman"/>
          <w:sz w:val="24"/>
          <w:szCs w:val="24"/>
        </w:rPr>
        <w:t xml:space="preserve"> touto</w:t>
      </w:r>
      <w:r w:rsidRPr="001B0BCA">
        <w:rPr>
          <w:rFonts w:ascii="Times New Roman" w:eastAsia="Calibri" w:hAnsi="Times New Roman" w:cs="Times New Roman"/>
          <w:sz w:val="24"/>
          <w:szCs w:val="24"/>
        </w:rPr>
        <w:t xml:space="preserve"> smernicou. Všetky ustanovenia vychádzajú z povinných požiadaviek smernice</w:t>
      </w:r>
      <w:r w:rsidR="00AD48A6">
        <w:rPr>
          <w:rFonts w:ascii="Times New Roman" w:eastAsia="Calibri" w:hAnsi="Times New Roman" w:cs="Times New Roman"/>
          <w:sz w:val="24"/>
          <w:szCs w:val="24"/>
        </w:rPr>
        <w:t xml:space="preserve"> </w:t>
      </w:r>
      <w:r w:rsidR="00AD48A6">
        <w:rPr>
          <w:rFonts w:ascii="Times New Roman" w:eastAsia="Times New Roman" w:hAnsi="Times New Roman" w:cs="Times New Roman"/>
          <w:bCs/>
          <w:sz w:val="24"/>
          <w:szCs w:val="24"/>
          <w:lang w:eastAsia="sk-SK"/>
        </w:rPr>
        <w:t xml:space="preserve">(EÚ) 2023/970 </w:t>
      </w:r>
      <w:r w:rsidRPr="001B0BCA">
        <w:rPr>
          <w:rFonts w:ascii="Times New Roman" w:eastAsia="Calibri" w:hAnsi="Times New Roman" w:cs="Times New Roman"/>
          <w:sz w:val="24"/>
          <w:szCs w:val="24"/>
        </w:rPr>
        <w:t>a nevyužívajú sa prísnejšie národné opatrenia nad rámec minimálnych požiadaviek EÚ.</w:t>
      </w: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05F2D250" w14:textId="77D2E62E" w:rsidR="00915CFE" w:rsidRPr="00915CFE" w:rsidRDefault="00915CFE" w:rsidP="00915CFE">
      <w:pPr>
        <w:spacing w:after="0"/>
        <w:jc w:val="both"/>
        <w:rPr>
          <w:rFonts w:ascii="Times New Roman" w:eastAsia="Calibri" w:hAnsi="Times New Roman" w:cs="Times New Roman"/>
          <w:sz w:val="24"/>
          <w:szCs w:val="24"/>
        </w:rPr>
      </w:pPr>
      <w:r w:rsidRPr="00915CFE">
        <w:rPr>
          <w:rFonts w:ascii="Times New Roman" w:eastAsia="Calibri" w:hAnsi="Times New Roman" w:cs="Times New Roman"/>
          <w:sz w:val="24"/>
          <w:szCs w:val="24"/>
        </w:rPr>
        <w:t>Dňa 16. júla 2025 sa na MPSVR SR uskutočnilo pracovné stretnutie zástupcov MPSVR SR so štatutárnymi zástupcami Republikovej úni</w:t>
      </w:r>
      <w:r>
        <w:rPr>
          <w:rFonts w:ascii="Times New Roman" w:eastAsia="Calibri" w:hAnsi="Times New Roman" w:cs="Times New Roman"/>
          <w:sz w:val="24"/>
          <w:szCs w:val="24"/>
        </w:rPr>
        <w:t xml:space="preserve">e zamestnávateľov SR, Klubu 500. </w:t>
      </w:r>
    </w:p>
    <w:p w14:paraId="4F7B04CE" w14:textId="08BFCB02" w:rsidR="00915CFE" w:rsidRPr="00915CFE" w:rsidRDefault="00915CFE" w:rsidP="00915CFE">
      <w:pPr>
        <w:spacing w:after="0"/>
        <w:jc w:val="both"/>
        <w:rPr>
          <w:rFonts w:ascii="Times New Roman" w:eastAsia="Calibri" w:hAnsi="Times New Roman" w:cs="Times New Roman"/>
          <w:sz w:val="24"/>
          <w:szCs w:val="24"/>
        </w:rPr>
      </w:pPr>
      <w:r w:rsidRPr="00915CFE">
        <w:rPr>
          <w:rFonts w:ascii="Times New Roman" w:eastAsia="Calibri" w:hAnsi="Times New Roman" w:cs="Times New Roman"/>
          <w:sz w:val="24"/>
          <w:szCs w:val="24"/>
        </w:rPr>
        <w:t xml:space="preserve">Predmetom konzultácií boli všeobecné otázky týkajúce sa transpozície </w:t>
      </w:r>
      <w:r w:rsidR="00AD48A6">
        <w:rPr>
          <w:rFonts w:ascii="Times New Roman" w:eastAsia="Calibri" w:hAnsi="Times New Roman" w:cs="Times New Roman"/>
          <w:sz w:val="24"/>
          <w:szCs w:val="24"/>
        </w:rPr>
        <w:t>s</w:t>
      </w:r>
      <w:r w:rsidRPr="00915CFE">
        <w:rPr>
          <w:rFonts w:ascii="Times New Roman" w:eastAsia="Calibri" w:hAnsi="Times New Roman" w:cs="Times New Roman"/>
          <w:sz w:val="24"/>
          <w:szCs w:val="24"/>
        </w:rPr>
        <w:t xml:space="preserve">mernice </w:t>
      </w:r>
      <w:r w:rsidR="00AD48A6">
        <w:rPr>
          <w:rFonts w:ascii="Times New Roman" w:eastAsia="Times New Roman" w:hAnsi="Times New Roman" w:cs="Times New Roman"/>
          <w:bCs/>
          <w:sz w:val="24"/>
          <w:szCs w:val="24"/>
          <w:lang w:eastAsia="sk-SK"/>
        </w:rPr>
        <w:t>(EÚ) 2023/970.</w:t>
      </w:r>
      <w:r w:rsidRPr="00915CFE">
        <w:rPr>
          <w:rFonts w:ascii="Times New Roman" w:eastAsia="Calibri" w:hAnsi="Times New Roman" w:cs="Times New Roman"/>
          <w:sz w:val="24"/>
          <w:szCs w:val="24"/>
        </w:rPr>
        <w:t xml:space="preserve"> V rámci tejto diskusie boli zástupcovia zamestnávateľov informovaní o pripravovanom legislatívnom návrhu, ktorý upravuje uplatňovanie </w:t>
      </w:r>
      <w:r w:rsidR="008E4285">
        <w:rPr>
          <w:rFonts w:ascii="Times New Roman" w:eastAsia="Calibri" w:hAnsi="Times New Roman" w:cs="Times New Roman"/>
          <w:sz w:val="24"/>
          <w:szCs w:val="24"/>
        </w:rPr>
        <w:t>práva na rovnakú odmenu</w:t>
      </w:r>
      <w:r w:rsidRPr="00915CFE">
        <w:rPr>
          <w:rFonts w:ascii="Times New Roman" w:eastAsia="Calibri" w:hAnsi="Times New Roman" w:cs="Times New Roman"/>
          <w:sz w:val="24"/>
          <w:szCs w:val="24"/>
        </w:rPr>
        <w:t xml:space="preserve"> pre mužov a ženy za rovnakú prácu alebo prácu rovnakej hodnoty.</w:t>
      </w:r>
    </w:p>
    <w:p w14:paraId="178FF6D3" w14:textId="11530285" w:rsidR="00054C41" w:rsidRPr="00915CFE" w:rsidRDefault="00915CFE" w:rsidP="00915CFE">
      <w:pPr>
        <w:spacing w:after="0"/>
        <w:jc w:val="both"/>
        <w:rPr>
          <w:rFonts w:ascii="Times New Roman" w:eastAsia="Calibri" w:hAnsi="Times New Roman" w:cs="Times New Roman"/>
          <w:sz w:val="24"/>
          <w:szCs w:val="24"/>
        </w:rPr>
      </w:pPr>
      <w:r w:rsidRPr="00915CFE">
        <w:rPr>
          <w:rFonts w:ascii="Times New Roman" w:eastAsia="Calibri" w:hAnsi="Times New Roman" w:cs="Times New Roman"/>
          <w:sz w:val="24"/>
          <w:szCs w:val="24"/>
        </w:rPr>
        <w:t>Hlavnými témami diskusie boli administratívna záťaž pre podnikateľské prostredie, potreba jasných definícií a metodických pokynov, využitie existujúci</w:t>
      </w:r>
      <w:r>
        <w:rPr>
          <w:rFonts w:ascii="Times New Roman" w:eastAsia="Calibri" w:hAnsi="Times New Roman" w:cs="Times New Roman"/>
          <w:sz w:val="24"/>
          <w:szCs w:val="24"/>
        </w:rPr>
        <w:t>ch systémov vykazovania údajov</w:t>
      </w:r>
      <w:r w:rsidRPr="00915CFE">
        <w:rPr>
          <w:rFonts w:ascii="Times New Roman" w:eastAsia="Calibri" w:hAnsi="Times New Roman" w:cs="Times New Roman"/>
          <w:sz w:val="24"/>
          <w:szCs w:val="24"/>
        </w:rPr>
        <w:t>. Zástupcovia zamestnávateľov zdôraznili potrebu praktickej aplikovateľnosti navrhovaných povinností s najnižšou možnou administratívnou záťažou.</w:t>
      </w: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54205B1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7852AB56" w14:textId="1BB5B00F" w:rsidR="00DE7A2D" w:rsidRPr="00DE7A2D" w:rsidRDefault="00DE7A2D" w:rsidP="00054C41">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Návrh zákona nevytvára nové bariéry vstupu na trh. Povinnosti sa vzťahujú na existujúcich zamestnávateľov a sú stanovené na základe veľkosti podniku, čo zohľadňuje kapacity rôznych subjektov.</w:t>
      </w:r>
    </w:p>
    <w:p w14:paraId="4D049DE7" w14:textId="6F9099E8"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7208A16C" w14:textId="77777777" w:rsidR="00DE7A2D" w:rsidRPr="00DE7A2D" w:rsidRDefault="00DE7A2D" w:rsidP="00DE7A2D">
      <w:pPr>
        <w:spacing w:after="0"/>
        <w:jc w:val="both"/>
        <w:rPr>
          <w:rFonts w:ascii="Times New Roman" w:eastAsia="Calibri" w:hAnsi="Times New Roman" w:cs="Times New Roman"/>
          <w:i/>
          <w:sz w:val="24"/>
          <w:szCs w:val="24"/>
        </w:rPr>
      </w:pPr>
    </w:p>
    <w:p w14:paraId="196D59F0" w14:textId="502590F0" w:rsidR="00DE7A2D" w:rsidRPr="00DE7A2D" w:rsidRDefault="00DE7A2D" w:rsidP="00DE7A2D">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 xml:space="preserve">Zákon rozlišuje medzi zamestnávateľmi podľa počtu zamestnancov - zamestnávatelia s menej ako 100 zamestnancami nemajú povinnosť podávať správy o odmeňovaní, čo predstavuje úľavu pre </w:t>
      </w:r>
      <w:proofErr w:type="spellStart"/>
      <w:r w:rsidRPr="00DE7A2D">
        <w:rPr>
          <w:rFonts w:ascii="Times New Roman" w:eastAsia="Calibri" w:hAnsi="Times New Roman" w:cs="Times New Roman"/>
          <w:sz w:val="24"/>
          <w:szCs w:val="24"/>
        </w:rPr>
        <w:t>mikro</w:t>
      </w:r>
      <w:proofErr w:type="spellEnd"/>
      <w:r w:rsidRPr="00DE7A2D">
        <w:rPr>
          <w:rFonts w:ascii="Times New Roman" w:eastAsia="Calibri" w:hAnsi="Times New Roman" w:cs="Times New Roman"/>
          <w:sz w:val="24"/>
          <w:szCs w:val="24"/>
        </w:rPr>
        <w:t>, malé a stredné podniky.</w:t>
      </w:r>
    </w:p>
    <w:p w14:paraId="452A90F1" w14:textId="0E43685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4B0678B8" w14:textId="6AC41715" w:rsidR="00DE7A2D" w:rsidRPr="00DE7A2D" w:rsidRDefault="00DE7A2D" w:rsidP="00054C41">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Harmonizácia s európskymi štandardmi transparentnosti odmeňovania môže pozitívne ovplyvniť príťažlivosť Slovenska pre zahraničných investorov, ktorí sú zvyknutí na podobné požiadavky v iných členských štátoch EÚ.</w:t>
      </w:r>
    </w:p>
    <w:p w14:paraId="0D074838" w14:textId="47151886"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0F5AABB1" w14:textId="0F882BDB" w:rsidR="00DE7A2D" w:rsidRPr="00DE7A2D" w:rsidRDefault="00DE7A2D" w:rsidP="00054C41">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 xml:space="preserve">Regulácia nevplýva na dostupnosť finančných zdrojov, surovín alebo energií. Môže vyžadovať doplnenie personálnych kapacít v oblasti </w:t>
      </w:r>
      <w:r>
        <w:rPr>
          <w:rFonts w:ascii="Times New Roman" w:eastAsia="Calibri" w:hAnsi="Times New Roman" w:cs="Times New Roman"/>
          <w:sz w:val="24"/>
          <w:szCs w:val="24"/>
        </w:rPr>
        <w:t xml:space="preserve">personalistiky </w:t>
      </w:r>
      <w:r w:rsidRPr="00DE7A2D">
        <w:rPr>
          <w:rFonts w:ascii="Times New Roman" w:eastAsia="Calibri" w:hAnsi="Times New Roman" w:cs="Times New Roman"/>
          <w:sz w:val="24"/>
          <w:szCs w:val="24"/>
        </w:rPr>
        <w:t>a mzdového účtovníctva.</w:t>
      </w:r>
    </w:p>
    <w:p w14:paraId="6B6A3793" w14:textId="4C3AB2E6" w:rsidR="007259CB" w:rsidRDefault="007259CB" w:rsidP="00054C41">
      <w:pPr>
        <w:spacing w:after="0"/>
        <w:jc w:val="both"/>
        <w:rPr>
          <w:rFonts w:ascii="Times New Roman" w:eastAsia="Calibri" w:hAnsi="Times New Roman" w:cs="Times New Roman"/>
          <w:i/>
          <w:sz w:val="24"/>
          <w:szCs w:val="24"/>
        </w:rPr>
      </w:pPr>
      <w:r w:rsidRPr="00DE7A2D">
        <w:rPr>
          <w:rFonts w:ascii="Times New Roman" w:eastAsia="Calibri" w:hAnsi="Times New Roman" w:cs="Times New Roman"/>
          <w:i/>
          <w:sz w:val="24"/>
          <w:szCs w:val="24"/>
        </w:rPr>
        <w:t>Ovplyvňuje zmena regulácie inovácie, vedu a výskum?</w:t>
      </w:r>
    </w:p>
    <w:p w14:paraId="02EE1014" w14:textId="69A32304" w:rsidR="00DE7A2D" w:rsidRPr="00DE7A2D" w:rsidRDefault="00DE7A2D" w:rsidP="00054C41">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Transparentnosť odmeňovania môže pozitívne ovplyvniť konkurencieschopnosť v oblasti získavania talentov pre inovatívne sektory.</w:t>
      </w:r>
    </w:p>
    <w:p w14:paraId="461E77BE" w14:textId="0906323D" w:rsidR="00DE7A2D"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w:t>
      </w:r>
    </w:p>
    <w:p w14:paraId="3B5EEE85" w14:textId="719C60DF" w:rsidR="00DE7A2D" w:rsidRPr="00D8247C" w:rsidRDefault="00581EB9"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Akým spôsobom?</w:t>
      </w:r>
    </w:p>
    <w:p w14:paraId="72CB32C8" w14:textId="3D37693A"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lastRenderedPageBreak/>
        <w:t>Ako prispieva zmena regulácie k cieľu Slovenska mať najlepšie podnikateľské prostredie spomedzi susediacich krajín EÚ?</w:t>
      </w:r>
    </w:p>
    <w:p w14:paraId="11CCBDB3" w14:textId="269386E0" w:rsidR="00DE7A2D" w:rsidRPr="00DE7A2D" w:rsidRDefault="00DE7A2D" w:rsidP="00054C41">
      <w:pPr>
        <w:spacing w:after="0"/>
        <w:jc w:val="both"/>
        <w:rPr>
          <w:rFonts w:ascii="Times New Roman" w:eastAsia="Calibri" w:hAnsi="Times New Roman" w:cs="Times New Roman"/>
          <w:sz w:val="24"/>
          <w:szCs w:val="24"/>
        </w:rPr>
      </w:pPr>
      <w:r w:rsidRPr="00DE7A2D">
        <w:rPr>
          <w:rFonts w:ascii="Times New Roman" w:eastAsia="Calibri" w:hAnsi="Times New Roman" w:cs="Times New Roman"/>
          <w:sz w:val="24"/>
          <w:szCs w:val="24"/>
        </w:rPr>
        <w:t xml:space="preserve">Implementácia smernice </w:t>
      </w:r>
      <w:r w:rsidR="00AD48A6">
        <w:rPr>
          <w:rFonts w:ascii="Times New Roman" w:eastAsia="Times New Roman" w:hAnsi="Times New Roman" w:cs="Times New Roman"/>
          <w:bCs/>
          <w:sz w:val="24"/>
          <w:szCs w:val="24"/>
          <w:lang w:eastAsia="sk-SK"/>
        </w:rPr>
        <w:t xml:space="preserve">(EÚ) 2023/970 </w:t>
      </w:r>
      <w:r w:rsidRPr="00DE7A2D">
        <w:rPr>
          <w:rFonts w:ascii="Times New Roman" w:eastAsia="Calibri" w:hAnsi="Times New Roman" w:cs="Times New Roman"/>
          <w:sz w:val="24"/>
          <w:szCs w:val="24"/>
        </w:rPr>
        <w:t>je povinná pre všetky členské štáty EÚ, preto nepredstavuje konkurenčnú nevýhodu voči susedným krajinám.</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77777777" w:rsidR="00054C41" w:rsidRPr="00D8247C" w:rsidRDefault="001C708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77777777" w:rsidR="00054C41" w:rsidRPr="00D8247C" w:rsidRDefault="001C708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6BC25964" w:rsidR="00D114ED"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19EC3C8E" w14:textId="6749A9D5" w:rsidR="00392EB6" w:rsidRPr="00392EB6" w:rsidRDefault="00392EB6" w:rsidP="00392EB6">
      <w:pPr>
        <w:spacing w:after="0" w:line="254" w:lineRule="auto"/>
        <w:jc w:val="both"/>
        <w:rPr>
          <w:rFonts w:ascii="Times New Roman" w:eastAsia="Calibri" w:hAnsi="Times New Roman" w:cs="Times New Roman"/>
          <w:sz w:val="24"/>
          <w:szCs w:val="24"/>
        </w:rPr>
      </w:pPr>
      <w:r w:rsidRPr="00392EB6">
        <w:rPr>
          <w:rFonts w:ascii="Times New Roman" w:eastAsia="Calibri" w:hAnsi="Times New Roman" w:cs="Times New Roman"/>
          <w:sz w:val="24"/>
          <w:szCs w:val="24"/>
        </w:rPr>
        <w:t>Pokuty do 20 000 EUR za nesplnenie povinnosti podávať správy o rozdiele v odmeňovaní môžu zaťažiť rozpočty zamestnávateľov</w:t>
      </w:r>
      <w:r w:rsidR="00BB226A">
        <w:rPr>
          <w:rFonts w:ascii="Times New Roman" w:eastAsia="Calibri" w:hAnsi="Times New Roman" w:cs="Times New Roman"/>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47A4B2DA" w14:textId="77777777"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DE5E" w14:textId="77777777" w:rsidR="001C708D" w:rsidRDefault="001C708D" w:rsidP="00054C41">
      <w:pPr>
        <w:spacing w:after="0" w:line="240" w:lineRule="auto"/>
      </w:pPr>
      <w:r>
        <w:separator/>
      </w:r>
    </w:p>
  </w:endnote>
  <w:endnote w:type="continuationSeparator" w:id="0">
    <w:p w14:paraId="583092E6" w14:textId="77777777" w:rsidR="001C708D" w:rsidRDefault="001C708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634614"/>
      <w:docPartObj>
        <w:docPartGallery w:val="Page Numbers (Bottom of Page)"/>
        <w:docPartUnique/>
      </w:docPartObj>
    </w:sdtPr>
    <w:sdtEndPr/>
    <w:sdtContent>
      <w:p w14:paraId="444734F3" w14:textId="5BBF04E2" w:rsidR="008A3A75" w:rsidRDefault="008A3A75">
        <w:pPr>
          <w:pStyle w:val="Pta"/>
          <w:jc w:val="center"/>
        </w:pPr>
        <w:r>
          <w:fldChar w:fldCharType="begin"/>
        </w:r>
        <w:r>
          <w:instrText>PAGE   \* MERGEFORMAT</w:instrText>
        </w:r>
        <w:r>
          <w:fldChar w:fldCharType="separate"/>
        </w:r>
        <w:r w:rsidR="0060757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494F7" w14:textId="77777777" w:rsidR="001C708D" w:rsidRDefault="001C708D" w:rsidP="00054C41">
      <w:pPr>
        <w:spacing w:after="0" w:line="240" w:lineRule="auto"/>
      </w:pPr>
      <w:r>
        <w:separator/>
      </w:r>
    </w:p>
  </w:footnote>
  <w:footnote w:type="continuationSeparator" w:id="0">
    <w:p w14:paraId="2E4F3D2A" w14:textId="77777777" w:rsidR="001C708D" w:rsidRDefault="001C708D" w:rsidP="00054C41">
      <w:pPr>
        <w:spacing w:after="0" w:line="240" w:lineRule="auto"/>
      </w:pPr>
      <w:r>
        <w:continuationSeparator/>
      </w:r>
    </w:p>
  </w:footnote>
  <w:footnote w:id="1">
    <w:p w14:paraId="6CC680CB" w14:textId="6BF8CDC6" w:rsidR="002B75F9" w:rsidRPr="000A6B7F" w:rsidRDefault="002B75F9"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2B75F9" w:rsidRPr="00804BC8" w:rsidRDefault="002B75F9"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2B75F9" w:rsidRDefault="002B75F9" w:rsidP="00512BA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1C3"/>
    <w:rsid w:val="00061E85"/>
    <w:rsid w:val="000820E0"/>
    <w:rsid w:val="00091A43"/>
    <w:rsid w:val="0009490E"/>
    <w:rsid w:val="000A6B7F"/>
    <w:rsid w:val="000C5419"/>
    <w:rsid w:val="000C5E9A"/>
    <w:rsid w:val="000D15F0"/>
    <w:rsid w:val="0011003B"/>
    <w:rsid w:val="001133DA"/>
    <w:rsid w:val="00117915"/>
    <w:rsid w:val="00126A2B"/>
    <w:rsid w:val="00142154"/>
    <w:rsid w:val="001476A4"/>
    <w:rsid w:val="00162C6C"/>
    <w:rsid w:val="0016512E"/>
    <w:rsid w:val="0017710C"/>
    <w:rsid w:val="00183CFD"/>
    <w:rsid w:val="0018715C"/>
    <w:rsid w:val="001A1561"/>
    <w:rsid w:val="001B0BCA"/>
    <w:rsid w:val="001B4C03"/>
    <w:rsid w:val="001C3080"/>
    <w:rsid w:val="001C708D"/>
    <w:rsid w:val="001C7B91"/>
    <w:rsid w:val="001D1083"/>
    <w:rsid w:val="001D3FA0"/>
    <w:rsid w:val="001D496A"/>
    <w:rsid w:val="001E0966"/>
    <w:rsid w:val="001E24E8"/>
    <w:rsid w:val="001E53CB"/>
    <w:rsid w:val="00207F43"/>
    <w:rsid w:val="00214FAE"/>
    <w:rsid w:val="002232D3"/>
    <w:rsid w:val="00225A83"/>
    <w:rsid w:val="0022740F"/>
    <w:rsid w:val="00231B8F"/>
    <w:rsid w:val="00241966"/>
    <w:rsid w:val="002667B5"/>
    <w:rsid w:val="00270EA5"/>
    <w:rsid w:val="002712B9"/>
    <w:rsid w:val="00284B8C"/>
    <w:rsid w:val="0029483F"/>
    <w:rsid w:val="002B75F9"/>
    <w:rsid w:val="002C2FC0"/>
    <w:rsid w:val="002D3004"/>
    <w:rsid w:val="00302A17"/>
    <w:rsid w:val="00306A44"/>
    <w:rsid w:val="00314D25"/>
    <w:rsid w:val="00315BE2"/>
    <w:rsid w:val="00324ADF"/>
    <w:rsid w:val="003322EE"/>
    <w:rsid w:val="00337630"/>
    <w:rsid w:val="00340CFD"/>
    <w:rsid w:val="003413D5"/>
    <w:rsid w:val="00342621"/>
    <w:rsid w:val="00357F22"/>
    <w:rsid w:val="0036748D"/>
    <w:rsid w:val="00376039"/>
    <w:rsid w:val="0038255E"/>
    <w:rsid w:val="00391648"/>
    <w:rsid w:val="00392EB6"/>
    <w:rsid w:val="0039304E"/>
    <w:rsid w:val="0039334E"/>
    <w:rsid w:val="00394AD2"/>
    <w:rsid w:val="003A02AF"/>
    <w:rsid w:val="003A3124"/>
    <w:rsid w:val="003A5C7F"/>
    <w:rsid w:val="003A686F"/>
    <w:rsid w:val="003E58B8"/>
    <w:rsid w:val="003F06D7"/>
    <w:rsid w:val="00400224"/>
    <w:rsid w:val="00400BA5"/>
    <w:rsid w:val="00410E62"/>
    <w:rsid w:val="00414FA7"/>
    <w:rsid w:val="00420090"/>
    <w:rsid w:val="004239D1"/>
    <w:rsid w:val="00445638"/>
    <w:rsid w:val="00446432"/>
    <w:rsid w:val="00446512"/>
    <w:rsid w:val="00466D7A"/>
    <w:rsid w:val="0048237B"/>
    <w:rsid w:val="00484D16"/>
    <w:rsid w:val="00491853"/>
    <w:rsid w:val="004A14CD"/>
    <w:rsid w:val="004A2C6B"/>
    <w:rsid w:val="004A3261"/>
    <w:rsid w:val="004D20CB"/>
    <w:rsid w:val="004D65B2"/>
    <w:rsid w:val="004D681D"/>
    <w:rsid w:val="004E2324"/>
    <w:rsid w:val="004F63E6"/>
    <w:rsid w:val="00506B94"/>
    <w:rsid w:val="005103DA"/>
    <w:rsid w:val="00511F8F"/>
    <w:rsid w:val="00512BA7"/>
    <w:rsid w:val="00515726"/>
    <w:rsid w:val="00562527"/>
    <w:rsid w:val="00562A1E"/>
    <w:rsid w:val="00563427"/>
    <w:rsid w:val="00581EB9"/>
    <w:rsid w:val="005B4E6E"/>
    <w:rsid w:val="005B56E4"/>
    <w:rsid w:val="005C795C"/>
    <w:rsid w:val="005D0E50"/>
    <w:rsid w:val="005D39D8"/>
    <w:rsid w:val="00607574"/>
    <w:rsid w:val="0061097B"/>
    <w:rsid w:val="0061612F"/>
    <w:rsid w:val="006177C8"/>
    <w:rsid w:val="0062600A"/>
    <w:rsid w:val="006266CA"/>
    <w:rsid w:val="0063777D"/>
    <w:rsid w:val="00643358"/>
    <w:rsid w:val="00646084"/>
    <w:rsid w:val="006564C3"/>
    <w:rsid w:val="006578CB"/>
    <w:rsid w:val="006A4E85"/>
    <w:rsid w:val="006A60C0"/>
    <w:rsid w:val="006A6896"/>
    <w:rsid w:val="006A712F"/>
    <w:rsid w:val="006B5D74"/>
    <w:rsid w:val="006C25BE"/>
    <w:rsid w:val="006D7AD8"/>
    <w:rsid w:val="006F1D57"/>
    <w:rsid w:val="0070364C"/>
    <w:rsid w:val="00710EDF"/>
    <w:rsid w:val="0072221D"/>
    <w:rsid w:val="0072357C"/>
    <w:rsid w:val="007259CB"/>
    <w:rsid w:val="00726031"/>
    <w:rsid w:val="00751DA9"/>
    <w:rsid w:val="00755E69"/>
    <w:rsid w:val="007648EE"/>
    <w:rsid w:val="0077106D"/>
    <w:rsid w:val="00780ACC"/>
    <w:rsid w:val="00787A11"/>
    <w:rsid w:val="00791651"/>
    <w:rsid w:val="00797B40"/>
    <w:rsid w:val="007A0C9D"/>
    <w:rsid w:val="007B40FB"/>
    <w:rsid w:val="007B62AF"/>
    <w:rsid w:val="007E24B2"/>
    <w:rsid w:val="007E2DA4"/>
    <w:rsid w:val="007E6815"/>
    <w:rsid w:val="007E7632"/>
    <w:rsid w:val="007F1C84"/>
    <w:rsid w:val="007F4579"/>
    <w:rsid w:val="007F726F"/>
    <w:rsid w:val="00801596"/>
    <w:rsid w:val="00804BC8"/>
    <w:rsid w:val="00806E23"/>
    <w:rsid w:val="00807981"/>
    <w:rsid w:val="00823F5A"/>
    <w:rsid w:val="00845D3B"/>
    <w:rsid w:val="008634E9"/>
    <w:rsid w:val="008801B5"/>
    <w:rsid w:val="00880578"/>
    <w:rsid w:val="00882407"/>
    <w:rsid w:val="00886CB3"/>
    <w:rsid w:val="008920C3"/>
    <w:rsid w:val="00894052"/>
    <w:rsid w:val="008A3A75"/>
    <w:rsid w:val="008A7B87"/>
    <w:rsid w:val="008B4AA1"/>
    <w:rsid w:val="008C1C71"/>
    <w:rsid w:val="008E1AD0"/>
    <w:rsid w:val="008E315F"/>
    <w:rsid w:val="008E4285"/>
    <w:rsid w:val="008E6B82"/>
    <w:rsid w:val="008F6ADE"/>
    <w:rsid w:val="0091269B"/>
    <w:rsid w:val="00915CFE"/>
    <w:rsid w:val="00923C0C"/>
    <w:rsid w:val="009277B2"/>
    <w:rsid w:val="0095170D"/>
    <w:rsid w:val="00952CF6"/>
    <w:rsid w:val="00960413"/>
    <w:rsid w:val="00981995"/>
    <w:rsid w:val="00981C7F"/>
    <w:rsid w:val="00985515"/>
    <w:rsid w:val="00990813"/>
    <w:rsid w:val="0099544D"/>
    <w:rsid w:val="00997513"/>
    <w:rsid w:val="009A0474"/>
    <w:rsid w:val="009A0E2C"/>
    <w:rsid w:val="009A4D56"/>
    <w:rsid w:val="009B1F04"/>
    <w:rsid w:val="009C2A70"/>
    <w:rsid w:val="009E09F7"/>
    <w:rsid w:val="009E2D5C"/>
    <w:rsid w:val="009E3E44"/>
    <w:rsid w:val="009F373C"/>
    <w:rsid w:val="009F4175"/>
    <w:rsid w:val="009F66A4"/>
    <w:rsid w:val="009F6C80"/>
    <w:rsid w:val="00A000DA"/>
    <w:rsid w:val="00A1736E"/>
    <w:rsid w:val="00A216DF"/>
    <w:rsid w:val="00A2753D"/>
    <w:rsid w:val="00A33F2C"/>
    <w:rsid w:val="00A46A12"/>
    <w:rsid w:val="00A50EE3"/>
    <w:rsid w:val="00A60E86"/>
    <w:rsid w:val="00A83E11"/>
    <w:rsid w:val="00A94A0F"/>
    <w:rsid w:val="00AA3C6D"/>
    <w:rsid w:val="00AB0F48"/>
    <w:rsid w:val="00AB57C4"/>
    <w:rsid w:val="00AD48A6"/>
    <w:rsid w:val="00B11CF5"/>
    <w:rsid w:val="00B209FA"/>
    <w:rsid w:val="00B21D1F"/>
    <w:rsid w:val="00B23064"/>
    <w:rsid w:val="00B410BA"/>
    <w:rsid w:val="00B43D68"/>
    <w:rsid w:val="00B44A3A"/>
    <w:rsid w:val="00B5600C"/>
    <w:rsid w:val="00B5653B"/>
    <w:rsid w:val="00B66E33"/>
    <w:rsid w:val="00B72FB1"/>
    <w:rsid w:val="00B953DA"/>
    <w:rsid w:val="00BA19B0"/>
    <w:rsid w:val="00BB226A"/>
    <w:rsid w:val="00BB3870"/>
    <w:rsid w:val="00BB45A7"/>
    <w:rsid w:val="00BD0EF7"/>
    <w:rsid w:val="00BD6778"/>
    <w:rsid w:val="00BD7A76"/>
    <w:rsid w:val="00C01599"/>
    <w:rsid w:val="00C048D1"/>
    <w:rsid w:val="00C05563"/>
    <w:rsid w:val="00C11132"/>
    <w:rsid w:val="00C115B9"/>
    <w:rsid w:val="00C12FDD"/>
    <w:rsid w:val="00C145AA"/>
    <w:rsid w:val="00C14655"/>
    <w:rsid w:val="00C14F3D"/>
    <w:rsid w:val="00C21399"/>
    <w:rsid w:val="00C446E2"/>
    <w:rsid w:val="00C476BA"/>
    <w:rsid w:val="00C535F5"/>
    <w:rsid w:val="00C560C4"/>
    <w:rsid w:val="00C6748F"/>
    <w:rsid w:val="00C74337"/>
    <w:rsid w:val="00C75DC8"/>
    <w:rsid w:val="00C929AE"/>
    <w:rsid w:val="00CA4344"/>
    <w:rsid w:val="00CA6348"/>
    <w:rsid w:val="00CB1232"/>
    <w:rsid w:val="00CB17A0"/>
    <w:rsid w:val="00CC32BA"/>
    <w:rsid w:val="00CC3B7D"/>
    <w:rsid w:val="00CD5AE4"/>
    <w:rsid w:val="00CD5E86"/>
    <w:rsid w:val="00CE3B21"/>
    <w:rsid w:val="00CF4D09"/>
    <w:rsid w:val="00D005F2"/>
    <w:rsid w:val="00D03A8E"/>
    <w:rsid w:val="00D114ED"/>
    <w:rsid w:val="00D21E9A"/>
    <w:rsid w:val="00D27DEE"/>
    <w:rsid w:val="00D3032C"/>
    <w:rsid w:val="00D31A3B"/>
    <w:rsid w:val="00D31A64"/>
    <w:rsid w:val="00D5309D"/>
    <w:rsid w:val="00D631FA"/>
    <w:rsid w:val="00D71064"/>
    <w:rsid w:val="00D811BB"/>
    <w:rsid w:val="00D82356"/>
    <w:rsid w:val="00D84EEE"/>
    <w:rsid w:val="00D90A61"/>
    <w:rsid w:val="00D946EF"/>
    <w:rsid w:val="00D95553"/>
    <w:rsid w:val="00DC355F"/>
    <w:rsid w:val="00DD1E4C"/>
    <w:rsid w:val="00DE331A"/>
    <w:rsid w:val="00DE6ACB"/>
    <w:rsid w:val="00DE7A2D"/>
    <w:rsid w:val="00DF02CE"/>
    <w:rsid w:val="00DF1462"/>
    <w:rsid w:val="00E022DA"/>
    <w:rsid w:val="00E030DA"/>
    <w:rsid w:val="00E214C0"/>
    <w:rsid w:val="00E30D85"/>
    <w:rsid w:val="00E444EB"/>
    <w:rsid w:val="00E77A69"/>
    <w:rsid w:val="00E81A42"/>
    <w:rsid w:val="00E961E8"/>
    <w:rsid w:val="00E96244"/>
    <w:rsid w:val="00E96DE0"/>
    <w:rsid w:val="00EA3066"/>
    <w:rsid w:val="00EB2BEC"/>
    <w:rsid w:val="00EB74BF"/>
    <w:rsid w:val="00EC0704"/>
    <w:rsid w:val="00EC508B"/>
    <w:rsid w:val="00ED6B5D"/>
    <w:rsid w:val="00EE4C99"/>
    <w:rsid w:val="00EF3EB6"/>
    <w:rsid w:val="00F153D7"/>
    <w:rsid w:val="00F1599C"/>
    <w:rsid w:val="00F2433F"/>
    <w:rsid w:val="00F244DC"/>
    <w:rsid w:val="00F268EB"/>
    <w:rsid w:val="00F360B7"/>
    <w:rsid w:val="00F378F4"/>
    <w:rsid w:val="00F47912"/>
    <w:rsid w:val="00F541B6"/>
    <w:rsid w:val="00F57702"/>
    <w:rsid w:val="00F61361"/>
    <w:rsid w:val="00F613E8"/>
    <w:rsid w:val="00F74D3C"/>
    <w:rsid w:val="00F74FC9"/>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384838280">
      <w:bodyDiv w:val="1"/>
      <w:marLeft w:val="0"/>
      <w:marRight w:val="0"/>
      <w:marTop w:val="0"/>
      <w:marBottom w:val="0"/>
      <w:divBdr>
        <w:top w:val="none" w:sz="0" w:space="0" w:color="auto"/>
        <w:left w:val="none" w:sz="0" w:space="0" w:color="auto"/>
        <w:bottom w:val="none" w:sz="0" w:space="0" w:color="auto"/>
        <w:right w:val="none" w:sz="0" w:space="0" w:color="auto"/>
      </w:divBdr>
    </w:div>
    <w:div w:id="585503699">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757169154">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05748103">
      <w:bodyDiv w:val="1"/>
      <w:marLeft w:val="0"/>
      <w:marRight w:val="0"/>
      <w:marTop w:val="0"/>
      <w:marBottom w:val="0"/>
      <w:divBdr>
        <w:top w:val="none" w:sz="0" w:space="0" w:color="auto"/>
        <w:left w:val="none" w:sz="0" w:space="0" w:color="auto"/>
        <w:bottom w:val="none" w:sz="0" w:space="0" w:color="auto"/>
        <w:right w:val="none" w:sz="0" w:space="0" w:color="auto"/>
      </w:divBdr>
    </w:div>
    <w:div w:id="1075201595">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4762692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46250891">
      <w:bodyDiv w:val="1"/>
      <w:marLeft w:val="0"/>
      <w:marRight w:val="0"/>
      <w:marTop w:val="0"/>
      <w:marBottom w:val="0"/>
      <w:divBdr>
        <w:top w:val="none" w:sz="0" w:space="0" w:color="auto"/>
        <w:left w:val="none" w:sz="0" w:space="0" w:color="auto"/>
        <w:bottom w:val="none" w:sz="0" w:space="0" w:color="auto"/>
        <w:right w:val="none" w:sz="0" w:space="0" w:color="auto"/>
      </w:divBdr>
    </w:div>
    <w:div w:id="1506700450">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45961790">
      <w:bodyDiv w:val="1"/>
      <w:marLeft w:val="0"/>
      <w:marRight w:val="0"/>
      <w:marTop w:val="0"/>
      <w:marBottom w:val="0"/>
      <w:divBdr>
        <w:top w:val="none" w:sz="0" w:space="0" w:color="auto"/>
        <w:left w:val="none" w:sz="0" w:space="0" w:color="auto"/>
        <w:bottom w:val="none" w:sz="0" w:space="0" w:color="auto"/>
        <w:right w:val="none" w:sz="0" w:space="0" w:color="auto"/>
      </w:divBdr>
    </w:div>
    <w:div w:id="1714579308">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57E3C0-F9B0-4477-A59F-AD2B5098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2366</Words>
  <Characters>13492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Vároš Juraj</cp:lastModifiedBy>
  <cp:revision>7</cp:revision>
  <dcterms:created xsi:type="dcterms:W3CDTF">2025-12-09T09:53:00Z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