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F44788" w:rsidRDefault="008C189B" w:rsidP="00F44788">
      <w:pPr>
        <w:jc w:val="center"/>
        <w:rPr>
          <w:b/>
          <w:caps/>
          <w:spacing w:val="30"/>
          <w:lang w:val="sk-SK"/>
        </w:rPr>
      </w:pPr>
      <w:r w:rsidRPr="00F44788">
        <w:rPr>
          <w:b/>
          <w:caps/>
          <w:spacing w:val="30"/>
          <w:lang w:val="sk-SK"/>
        </w:rPr>
        <w:t>Doložka zlučiteľnosti</w:t>
      </w:r>
    </w:p>
    <w:p w:rsidR="008C189B" w:rsidRPr="00F44788" w:rsidRDefault="00846FD6" w:rsidP="00F44788">
      <w:pPr>
        <w:jc w:val="center"/>
        <w:rPr>
          <w:b/>
          <w:lang w:val="sk-SK"/>
        </w:rPr>
      </w:pPr>
      <w:r w:rsidRPr="00F44788">
        <w:rPr>
          <w:b/>
          <w:lang w:val="sk-SK"/>
        </w:rPr>
        <w:t>návrhu zákona</w:t>
      </w:r>
      <w:r w:rsidR="008C189B" w:rsidRPr="00F44788">
        <w:rPr>
          <w:b/>
          <w:lang w:val="sk-SK"/>
        </w:rPr>
        <w:t xml:space="preserve"> s právom Európskej únie 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1.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Navrhovateľ</w:t>
      </w:r>
      <w:r w:rsidR="00233D8C" w:rsidRPr="00F44788">
        <w:rPr>
          <w:b/>
          <w:lang w:val="sk-SK"/>
        </w:rPr>
        <w:t xml:space="preserve">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233D8C" w:rsidRPr="00F44788">
        <w:rPr>
          <w:lang w:val="sk-SK"/>
        </w:rPr>
        <w:t xml:space="preserve"> </w:t>
      </w:r>
      <w:r w:rsidR="00DB27D6">
        <w:rPr>
          <w:lang w:val="sk-SK"/>
        </w:rPr>
        <w:t>Vláda</w:t>
      </w:r>
      <w:r w:rsidR="00233D8C" w:rsidRPr="00F44788">
        <w:rPr>
          <w:lang w:val="sk-SK"/>
        </w:rPr>
        <w:t xml:space="preserve"> Slovenskej republiky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D81D24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2.</w:t>
      </w:r>
      <w:r w:rsidRPr="00F44788">
        <w:rPr>
          <w:b/>
          <w:lang w:val="sk-SK"/>
        </w:rPr>
        <w:tab/>
        <w:t xml:space="preserve">Názov návrhu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5A0FFE" w:rsidRPr="00F44788">
        <w:rPr>
          <w:lang w:val="sk-SK"/>
        </w:rPr>
        <w:t xml:space="preserve"> </w:t>
      </w:r>
      <w:r w:rsidR="00DB27D6">
        <w:rPr>
          <w:lang w:val="sk-SK"/>
        </w:rPr>
        <w:t>Vládny návrh</w:t>
      </w:r>
      <w:r w:rsidR="00EA5640" w:rsidRPr="00F44788">
        <w:rPr>
          <w:lang w:val="sk-SK"/>
        </w:rPr>
        <w:t xml:space="preserve"> zákona</w:t>
      </w:r>
      <w:r w:rsidR="00D81D24">
        <w:rPr>
          <w:lang w:val="sk-SK"/>
        </w:rPr>
        <w:t xml:space="preserve"> </w:t>
      </w:r>
      <w:r w:rsidR="00D81D24" w:rsidRPr="00D81D24">
        <w:rPr>
          <w:color w:val="000000"/>
          <w:lang w:val="sk-SK"/>
        </w:rPr>
        <w:t>o</w:t>
      </w:r>
      <w:r w:rsidR="009D3311">
        <w:rPr>
          <w:color w:val="000000"/>
          <w:lang w:val="sk-SK"/>
        </w:rPr>
        <w:t> rovnakom odmeňovaní mužov a žien</w:t>
      </w:r>
      <w:r w:rsidR="00D81D24" w:rsidRPr="00D81D24">
        <w:rPr>
          <w:color w:val="000000"/>
          <w:lang w:val="sk-SK"/>
        </w:rPr>
        <w:t xml:space="preserve"> za rovnakú prácu alebo </w:t>
      </w:r>
      <w:r w:rsidR="00D50BDE">
        <w:rPr>
          <w:color w:val="000000"/>
          <w:lang w:val="sk-SK"/>
        </w:rPr>
        <w:t xml:space="preserve">za </w:t>
      </w:r>
      <w:bookmarkStart w:id="0" w:name="_GoBack"/>
      <w:bookmarkEnd w:id="0"/>
      <w:r w:rsidR="00D81D24" w:rsidRPr="00D81D24">
        <w:rPr>
          <w:color w:val="000000"/>
          <w:lang w:val="sk-SK"/>
        </w:rPr>
        <w:t>prácu rovnakej hodnoty a o zmene a doplnení niektorých zákonov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3.</w:t>
      </w:r>
      <w:r w:rsidRPr="00F44788">
        <w:rPr>
          <w:b/>
          <w:lang w:val="sk-SK"/>
        </w:rPr>
        <w:tab/>
      </w:r>
      <w:r w:rsidR="00FA2284" w:rsidRPr="00F44788">
        <w:rPr>
          <w:b/>
          <w:lang w:val="sk-SK"/>
        </w:rPr>
        <w:t>Predmet</w:t>
      </w:r>
      <w:r w:rsidRPr="00F44788">
        <w:rPr>
          <w:b/>
          <w:lang w:val="sk-SK"/>
        </w:rPr>
        <w:t xml:space="preserve"> návrhu </w:t>
      </w:r>
      <w:r w:rsidR="00846FD6" w:rsidRPr="00F44788">
        <w:rPr>
          <w:b/>
          <w:lang w:val="sk-SK"/>
        </w:rPr>
        <w:t xml:space="preserve">zákona </w:t>
      </w:r>
      <w:r w:rsidRPr="00F44788">
        <w:rPr>
          <w:b/>
          <w:lang w:val="sk-SK"/>
        </w:rPr>
        <w:t>je upraven</w:t>
      </w:r>
      <w:r w:rsidR="00CC3A07" w:rsidRPr="00F44788">
        <w:rPr>
          <w:b/>
          <w:lang w:val="sk-SK"/>
        </w:rPr>
        <w:t>ý</w:t>
      </w:r>
      <w:r w:rsidRPr="00F44788">
        <w:rPr>
          <w:b/>
          <w:lang w:val="sk-SK"/>
        </w:rPr>
        <w:t xml:space="preserve"> v práve Európskej únie</w:t>
      </w:r>
      <w:r w:rsidR="00846FD6" w:rsidRPr="00F44788">
        <w:rPr>
          <w:b/>
          <w:lang w:val="sk-SK"/>
        </w:rPr>
        <w:t>:</w:t>
      </w:r>
    </w:p>
    <w:p w:rsidR="008C189B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>v </w:t>
      </w:r>
      <w:r w:rsidR="008C189B" w:rsidRPr="00F44788">
        <w:rPr>
          <w:lang w:val="sk-SK"/>
        </w:rPr>
        <w:t>primárnom</w:t>
      </w:r>
      <w:r w:rsidRPr="00F44788">
        <w:rPr>
          <w:lang w:val="sk-SK"/>
        </w:rPr>
        <w:t xml:space="preserve"> práve</w:t>
      </w:r>
    </w:p>
    <w:p w:rsidR="00FD3725" w:rsidRPr="00F44788" w:rsidRDefault="002E3A97" w:rsidP="002E3A97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>
        <w:rPr>
          <w:lang w:val="sk-SK"/>
        </w:rPr>
        <w:t xml:space="preserve">v </w:t>
      </w:r>
      <w:r w:rsidR="00FD3725">
        <w:rPr>
          <w:lang w:val="sk-SK"/>
        </w:rPr>
        <w:t>čl. 2 a</w:t>
      </w:r>
      <w:r w:rsidR="005F607B">
        <w:rPr>
          <w:lang w:val="sk-SK"/>
        </w:rPr>
        <w:t xml:space="preserve"> čl. </w:t>
      </w:r>
      <w:r w:rsidR="00FD3725">
        <w:rPr>
          <w:lang w:val="sk-SK"/>
        </w:rPr>
        <w:t>3 ods.</w:t>
      </w:r>
      <w:r>
        <w:rPr>
          <w:lang w:val="sk-SK"/>
        </w:rPr>
        <w:t xml:space="preserve"> </w:t>
      </w:r>
      <w:r w:rsidR="00FD3725">
        <w:rPr>
          <w:lang w:val="sk-SK"/>
        </w:rPr>
        <w:t>3 Zmluvy o Európskej únii</w:t>
      </w:r>
      <w:r>
        <w:rPr>
          <w:lang w:val="sk-SK"/>
        </w:rPr>
        <w:t>,</w:t>
      </w:r>
      <w:r w:rsidR="00FD3725">
        <w:rPr>
          <w:lang w:val="sk-SK"/>
        </w:rPr>
        <w:t xml:space="preserve"> </w:t>
      </w:r>
    </w:p>
    <w:p w:rsidR="008C189B" w:rsidRPr="00E565B6" w:rsidRDefault="009D20F1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E565B6">
        <w:rPr>
          <w:lang w:val="sk-SK"/>
        </w:rPr>
        <w:t>v</w:t>
      </w:r>
      <w:r w:rsidR="003F4210" w:rsidRPr="00E565B6">
        <w:rPr>
          <w:lang w:val="sk-SK"/>
        </w:rPr>
        <w:t> </w:t>
      </w:r>
      <w:r w:rsidR="005E1A89">
        <w:rPr>
          <w:color w:val="000000"/>
        </w:rPr>
        <w:t xml:space="preserve">čl. </w:t>
      </w:r>
      <w:r w:rsidR="00FD3725">
        <w:rPr>
          <w:color w:val="000000"/>
          <w:lang w:val="sk-SK"/>
        </w:rPr>
        <w:t>8</w:t>
      </w:r>
      <w:r w:rsidR="005E1A89">
        <w:rPr>
          <w:color w:val="000000"/>
        </w:rPr>
        <w:t xml:space="preserve">, čl. </w:t>
      </w:r>
      <w:r w:rsidR="00FD3725">
        <w:rPr>
          <w:color w:val="000000"/>
          <w:lang w:val="sk-SK"/>
        </w:rPr>
        <w:t>10</w:t>
      </w:r>
      <w:r w:rsidR="005E1A89">
        <w:rPr>
          <w:color w:val="000000"/>
        </w:rPr>
        <w:t xml:space="preserve"> a</w:t>
      </w:r>
      <w:r w:rsidR="00E565B6" w:rsidRPr="00E565B6">
        <w:rPr>
          <w:color w:val="000000"/>
        </w:rPr>
        <w:t xml:space="preserve"> čl. 15</w:t>
      </w:r>
      <w:r w:rsidR="00FD3725">
        <w:rPr>
          <w:color w:val="000000"/>
          <w:lang w:val="sk-SK"/>
        </w:rPr>
        <w:t>7 ods.1</w:t>
      </w:r>
      <w:r w:rsidR="00E565B6" w:rsidRPr="00E565B6">
        <w:rPr>
          <w:color w:val="000000"/>
        </w:rPr>
        <w:t xml:space="preserve"> </w:t>
      </w:r>
      <w:r w:rsidRPr="00E565B6">
        <w:rPr>
          <w:lang w:val="sk-SK"/>
        </w:rPr>
        <w:t>Zmluvy o fungovaní Európskej únie</w:t>
      </w:r>
      <w:r w:rsidR="008C189B" w:rsidRPr="00E565B6">
        <w:rPr>
          <w:lang w:val="sk-SK"/>
        </w:rPr>
        <w:t>,</w:t>
      </w:r>
    </w:p>
    <w:p w:rsidR="003F4210" w:rsidRPr="00E565B6" w:rsidRDefault="003F4210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E565B6">
        <w:rPr>
          <w:lang w:val="sk-SK"/>
        </w:rPr>
        <w:t xml:space="preserve">v </w:t>
      </w:r>
      <w:r w:rsidR="00764C45" w:rsidRPr="00E565B6">
        <w:rPr>
          <w:color w:val="000000"/>
        </w:rPr>
        <w:t xml:space="preserve">čl. </w:t>
      </w:r>
      <w:r w:rsidR="00E565B6" w:rsidRPr="00E565B6">
        <w:rPr>
          <w:color w:val="000000"/>
          <w:lang w:val="sk-SK"/>
        </w:rPr>
        <w:t>2</w:t>
      </w:r>
      <w:r w:rsidR="00FD3725">
        <w:rPr>
          <w:color w:val="000000"/>
          <w:lang w:val="sk-SK"/>
        </w:rPr>
        <w:t>1</w:t>
      </w:r>
      <w:r w:rsidR="00905011">
        <w:rPr>
          <w:color w:val="000000"/>
          <w:lang w:val="sk-SK"/>
        </w:rPr>
        <w:t xml:space="preserve"> a 23</w:t>
      </w:r>
      <w:r w:rsidR="00764C45" w:rsidRPr="00E565B6">
        <w:rPr>
          <w:color w:val="000000"/>
        </w:rPr>
        <w:t xml:space="preserve"> </w:t>
      </w:r>
      <w:r w:rsidRPr="00E565B6">
        <w:rPr>
          <w:lang w:val="sk-SK"/>
        </w:rPr>
        <w:t>Charty</w:t>
      </w:r>
      <w:r w:rsidR="005E1A89">
        <w:rPr>
          <w:lang w:val="sk-SK"/>
        </w:rPr>
        <w:t xml:space="preserve"> základných práv Európskej únie;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E52B7" w:rsidRPr="00F44788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 xml:space="preserve">v </w:t>
      </w:r>
      <w:r w:rsidR="008C189B" w:rsidRPr="00F44788">
        <w:rPr>
          <w:lang w:val="sk-SK"/>
        </w:rPr>
        <w:t xml:space="preserve">sekundárnom </w:t>
      </w:r>
      <w:r w:rsidRPr="00F44788">
        <w:rPr>
          <w:lang w:val="sk-SK"/>
        </w:rPr>
        <w:t>práve</w:t>
      </w:r>
    </w:p>
    <w:p w:rsidR="00FD3BEF" w:rsidRPr="00A54AC5" w:rsidRDefault="00FD3BEF" w:rsidP="00FD3BEF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>
        <w:rPr>
          <w:lang w:val="sk-SK"/>
        </w:rPr>
        <w:t>s</w:t>
      </w:r>
      <w:r w:rsidRPr="00FD3BEF">
        <w:rPr>
          <w:lang w:val="sk-SK"/>
        </w:rPr>
        <w:t>mernica Európskeho parlamentu a Rady (EÚ) 202</w:t>
      </w:r>
      <w:r w:rsidR="008970B1">
        <w:rPr>
          <w:lang w:val="sk-SK"/>
        </w:rPr>
        <w:t>3</w:t>
      </w:r>
      <w:r w:rsidRPr="00FD3BEF">
        <w:rPr>
          <w:lang w:val="sk-SK"/>
        </w:rPr>
        <w:t>/</w:t>
      </w:r>
      <w:r w:rsidR="008970B1">
        <w:rPr>
          <w:lang w:val="sk-SK"/>
        </w:rPr>
        <w:t>970</w:t>
      </w:r>
      <w:r w:rsidRPr="00FD3BEF">
        <w:rPr>
          <w:lang w:val="sk-SK"/>
        </w:rPr>
        <w:t xml:space="preserve"> z </w:t>
      </w:r>
      <w:r w:rsidR="008970B1">
        <w:rPr>
          <w:lang w:val="sk-SK"/>
        </w:rPr>
        <w:t>10</w:t>
      </w:r>
      <w:r w:rsidRPr="00FD3BEF">
        <w:rPr>
          <w:lang w:val="sk-SK"/>
        </w:rPr>
        <w:t xml:space="preserve">. </w:t>
      </w:r>
      <w:r w:rsidR="008970B1">
        <w:rPr>
          <w:lang w:val="sk-SK"/>
        </w:rPr>
        <w:t>mája 2023,</w:t>
      </w:r>
      <w:r w:rsidRPr="00FD3BEF">
        <w:rPr>
          <w:lang w:val="sk-SK"/>
        </w:rPr>
        <w:t xml:space="preserve"> </w:t>
      </w:r>
      <w:r w:rsidR="008970B1">
        <w:t>ktorou sa posilňuje uplatňovanie zásady rovnakej odmeny pre mužov a ženy za rovnakú prácu alebo prácu rovnakej hodnoty prostredníctvom transparentnosti odmeňovania a mechanizmov presadzovania</w:t>
      </w:r>
      <w:r w:rsidR="002E3A97">
        <w:rPr>
          <w:lang w:val="sk-SK"/>
        </w:rPr>
        <w:t xml:space="preserve"> </w:t>
      </w:r>
      <w:r w:rsidR="002E3A97" w:rsidRPr="0030079C">
        <w:t>(</w:t>
      </w:r>
      <w:r w:rsidR="002E3A97" w:rsidRPr="0030079C">
        <w:rPr>
          <w:iCs/>
        </w:rPr>
        <w:t>Ú. v. EÚ L 132, 17.5.2023)</w:t>
      </w:r>
      <w:r w:rsidR="002E3A97">
        <w:rPr>
          <w:lang w:val="sk-SK"/>
        </w:rPr>
        <w:t xml:space="preserve">, </w:t>
      </w:r>
      <w:r w:rsidR="002E3A97" w:rsidRPr="00F44788">
        <w:t xml:space="preserve">gestor zodpovedný za prebratie smernice – </w:t>
      </w:r>
      <w:r w:rsidR="002E3A97">
        <w:rPr>
          <w:lang w:val="sk-SK"/>
        </w:rPr>
        <w:t>Ministerstvo práce, sociálnych vecí a rodiny Slovenskej republiky</w:t>
      </w:r>
      <w:r w:rsidR="005E1A89">
        <w:rPr>
          <w:lang w:val="sk-SK"/>
        </w:rPr>
        <w:t>;</w:t>
      </w:r>
    </w:p>
    <w:p w:rsidR="00A54AC5" w:rsidRPr="006F765E" w:rsidRDefault="00A54AC5" w:rsidP="006F765E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6F765E">
        <w:t>nariadenie</w:t>
      </w:r>
      <w:r>
        <w:rPr>
          <w:bCs/>
          <w:bdr w:val="none" w:sz="0" w:space="0" w:color="auto" w:frame="1"/>
          <w:shd w:val="clear" w:color="auto" w:fill="FFFFFF"/>
          <w:lang w:val="sk-SK"/>
        </w:rPr>
        <w:t xml:space="preserve"> Európskeho parlamentu a Rady (EÚ) 2016/679 z 27. apríla 2016 o ochrane </w:t>
      </w:r>
      <w:r w:rsidR="006F765E">
        <w:rPr>
          <w:bCs/>
          <w:bdr w:val="none" w:sz="0" w:space="0" w:color="auto" w:frame="1"/>
          <w:shd w:val="clear" w:color="auto" w:fill="FFFFFF"/>
          <w:lang w:val="sk-SK"/>
        </w:rPr>
        <w:t xml:space="preserve">    </w:t>
      </w:r>
      <w:r>
        <w:rPr>
          <w:bCs/>
          <w:bdr w:val="none" w:sz="0" w:space="0" w:color="auto" w:frame="1"/>
          <w:shd w:val="clear" w:color="auto" w:fill="FFFFFF"/>
          <w:lang w:val="sk-SK"/>
        </w:rPr>
        <w:t xml:space="preserve">fyzických osôb pri spracúvaní osobných údajov a o voľnom pohybe takýchto údajov, ktorým sa zrušuje smernica 95/46/ES (všeobecné nariadenie o ochrane údajov) (Ú. v. EÚ L 119, 4.5.2016) v platnom znení, </w:t>
      </w:r>
      <w:r w:rsidRPr="006F765E">
        <w:t xml:space="preserve">gestor </w:t>
      </w:r>
      <w:r w:rsidR="006F765E" w:rsidRPr="006F765E">
        <w:rPr>
          <w:lang w:val="sk-SK"/>
        </w:rPr>
        <w:t>- Úrad na ochranu osobných údajov</w:t>
      </w:r>
      <w:r w:rsidR="003E3ED9">
        <w:rPr>
          <w:lang w:val="sk-SK"/>
        </w:rPr>
        <w:t xml:space="preserve"> Slovenskej republiky;</w:t>
      </w:r>
    </w:p>
    <w:p w:rsidR="00FD3BEF" w:rsidRPr="00F44788" w:rsidRDefault="00FD3BEF" w:rsidP="00FD3BEF">
      <w:pPr>
        <w:tabs>
          <w:tab w:val="left" w:pos="360"/>
        </w:tabs>
        <w:jc w:val="both"/>
        <w:rPr>
          <w:lang w:val="sk-SK"/>
        </w:rPr>
      </w:pPr>
    </w:p>
    <w:p w:rsidR="00584295" w:rsidRPr="00A65810" w:rsidRDefault="008C189B" w:rsidP="00584295">
      <w:pPr>
        <w:numPr>
          <w:ilvl w:val="0"/>
          <w:numId w:val="6"/>
        </w:numPr>
        <w:tabs>
          <w:tab w:val="left" w:pos="709"/>
        </w:tabs>
        <w:jc w:val="both"/>
        <w:rPr>
          <w:rStyle w:val="Zvraznenie"/>
          <w:i w:val="0"/>
          <w:iCs w:val="0"/>
          <w:strike/>
          <w:lang w:val="sk-SK"/>
        </w:rPr>
      </w:pPr>
      <w:r w:rsidRPr="00F44788">
        <w:rPr>
          <w:lang w:val="sk-SK"/>
        </w:rPr>
        <w:tab/>
        <w:t>v judikatúre Súdneho dvora Európskej únie</w:t>
      </w:r>
      <w:r w:rsidR="00BA0406">
        <w:rPr>
          <w:lang w:val="sk-SK"/>
        </w:rPr>
        <w:t xml:space="preserve">, najmä prípady </w:t>
      </w:r>
      <w:r w:rsidR="00BA0406" w:rsidRPr="006507F3">
        <w:rPr>
          <w:lang w:val="en-US"/>
        </w:rPr>
        <w:t xml:space="preserve">C-43/75 – </w:t>
      </w:r>
      <w:proofErr w:type="spellStart"/>
      <w:r w:rsidR="00BA0406" w:rsidRPr="006507F3">
        <w:rPr>
          <w:i/>
          <w:lang w:val="en-US"/>
        </w:rPr>
        <w:t>Defrenne</w:t>
      </w:r>
      <w:proofErr w:type="spellEnd"/>
      <w:r w:rsidR="00BA0406" w:rsidRPr="006507F3">
        <w:rPr>
          <w:i/>
          <w:lang w:val="en-US"/>
        </w:rPr>
        <w:t xml:space="preserve"> II</w:t>
      </w:r>
      <w:r w:rsidR="00BA0406">
        <w:rPr>
          <w:lang w:val="en-US"/>
        </w:rPr>
        <w:t>,</w:t>
      </w:r>
      <w:r w:rsidR="00BA0406" w:rsidRPr="00BD3DD4">
        <w:rPr>
          <w:lang w:val="en-US"/>
        </w:rPr>
        <w:t xml:space="preserve">        </w:t>
      </w:r>
      <w:r w:rsidR="00BD3DD4">
        <w:rPr>
          <w:lang w:val="en-US"/>
        </w:rPr>
        <w:t xml:space="preserve">       </w:t>
      </w:r>
      <w:r w:rsidR="00BA0406" w:rsidRPr="00BD3DD4">
        <w:rPr>
          <w:lang w:val="en-US"/>
        </w:rPr>
        <w:t xml:space="preserve"> </w:t>
      </w:r>
      <w:r w:rsidR="00BA0406" w:rsidRPr="006507F3">
        <w:rPr>
          <w:lang w:val="en-US"/>
        </w:rPr>
        <w:t xml:space="preserve">C-129/79 – </w:t>
      </w:r>
      <w:proofErr w:type="spellStart"/>
      <w:r w:rsidR="00BA0406" w:rsidRPr="006507F3">
        <w:rPr>
          <w:i/>
          <w:lang w:val="en-US"/>
        </w:rPr>
        <w:t>McCarthys</w:t>
      </w:r>
      <w:proofErr w:type="spellEnd"/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7352A1">
        <w:rPr>
          <w:lang w:val="en-US"/>
        </w:rPr>
        <w:t xml:space="preserve">C-237/85 – </w:t>
      </w:r>
      <w:proofErr w:type="spellStart"/>
      <w:r w:rsidR="00BA0406" w:rsidRPr="007352A1">
        <w:rPr>
          <w:i/>
          <w:lang w:val="en-US"/>
        </w:rPr>
        <w:t>Rummler</w:t>
      </w:r>
      <w:proofErr w:type="spellEnd"/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6507F3">
        <w:rPr>
          <w:lang w:val="en-US"/>
        </w:rPr>
        <w:t xml:space="preserve">C-109/88 – </w:t>
      </w:r>
      <w:proofErr w:type="spellStart"/>
      <w:r w:rsidR="00BA0406" w:rsidRPr="006507F3">
        <w:rPr>
          <w:i/>
          <w:lang w:val="en-US"/>
        </w:rPr>
        <w:t>Danfoss</w:t>
      </w:r>
      <w:proofErr w:type="spellEnd"/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6507F3">
        <w:rPr>
          <w:lang w:val="en-US"/>
        </w:rPr>
        <w:t xml:space="preserve">C-262/88 – </w:t>
      </w:r>
      <w:r w:rsidR="00BA0406" w:rsidRPr="006507F3">
        <w:rPr>
          <w:i/>
          <w:lang w:val="en-US"/>
        </w:rPr>
        <w:t>Barber</w:t>
      </w:r>
      <w:r w:rsidR="00BA0406">
        <w:rPr>
          <w:lang w:val="en-US"/>
        </w:rPr>
        <w:t>,</w:t>
      </w:r>
      <w:r w:rsidR="00BA0406">
        <w:rPr>
          <w:i/>
          <w:lang w:val="en-US"/>
        </w:rPr>
        <w:t xml:space="preserve"> </w:t>
      </w:r>
      <w:r w:rsidR="00395BFA">
        <w:rPr>
          <w:i/>
          <w:lang w:val="en-US"/>
        </w:rPr>
        <w:t xml:space="preserve">   </w:t>
      </w:r>
      <w:r w:rsidR="00BA0406" w:rsidRPr="006507F3">
        <w:rPr>
          <w:lang w:val="en-US"/>
        </w:rPr>
        <w:t xml:space="preserve">C-184/89 – </w:t>
      </w:r>
      <w:proofErr w:type="spellStart"/>
      <w:r w:rsidR="00BA0406" w:rsidRPr="006507F3">
        <w:rPr>
          <w:i/>
          <w:lang w:val="en-US"/>
        </w:rPr>
        <w:t>Nimz</w:t>
      </w:r>
      <w:proofErr w:type="spellEnd"/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6507F3">
        <w:rPr>
          <w:lang w:val="en-US"/>
        </w:rPr>
        <w:t xml:space="preserve">C-400/93 – </w:t>
      </w:r>
      <w:r w:rsidR="00BA0406" w:rsidRPr="006507F3">
        <w:rPr>
          <w:i/>
          <w:lang w:val="en-US"/>
        </w:rPr>
        <w:t>Royal Copenhagen</w:t>
      </w:r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6507F3">
        <w:rPr>
          <w:lang w:val="en-US"/>
        </w:rPr>
        <w:t xml:space="preserve">C-320/00 – </w:t>
      </w:r>
      <w:r w:rsidR="00BA0406" w:rsidRPr="006507F3">
        <w:rPr>
          <w:i/>
          <w:lang w:val="en-US"/>
        </w:rPr>
        <w:t>Lawrence</w:t>
      </w:r>
      <w:r w:rsidR="00BA0406">
        <w:rPr>
          <w:lang w:val="en-US"/>
        </w:rPr>
        <w:t>,</w:t>
      </w:r>
      <w:r w:rsidR="00BA0406" w:rsidRPr="00580A55">
        <w:rPr>
          <w:lang w:val="en-US"/>
        </w:rPr>
        <w:t xml:space="preserve"> </w:t>
      </w:r>
      <w:r w:rsidR="00BA0406" w:rsidRPr="007352A1">
        <w:rPr>
          <w:lang w:val="en-US"/>
        </w:rPr>
        <w:t xml:space="preserve">C-427/11 – </w:t>
      </w:r>
      <w:r w:rsidR="00BA0406" w:rsidRPr="007352A1">
        <w:rPr>
          <w:i/>
          <w:lang w:val="en-US"/>
        </w:rPr>
        <w:t>Kenny</w:t>
      </w:r>
    </w:p>
    <w:p w:rsidR="00584295" w:rsidRDefault="00584295" w:rsidP="00584295">
      <w:pPr>
        <w:jc w:val="both"/>
        <w:rPr>
          <w:rStyle w:val="Zvraznenie"/>
          <w:b/>
          <w:i w:val="0"/>
        </w:rPr>
      </w:pPr>
    </w:p>
    <w:p w:rsidR="00584295" w:rsidRPr="00AA1CFA" w:rsidRDefault="00A65810" w:rsidP="00484607">
      <w:pPr>
        <w:ind w:firstLine="360"/>
        <w:jc w:val="both"/>
        <w:rPr>
          <w:rStyle w:val="Zvraznenie"/>
          <w:b/>
          <w:i w:val="0"/>
          <w:lang w:val="sk-SK"/>
        </w:rPr>
      </w:pPr>
      <w:r w:rsidRPr="00AA1CFA">
        <w:rPr>
          <w:lang w:val="sk-SK"/>
        </w:rPr>
        <w:t>R</w:t>
      </w:r>
      <w:r w:rsidR="00584295" w:rsidRPr="00AA1CFA">
        <w:rPr>
          <w:lang w:val="sk-SK"/>
        </w:rPr>
        <w:t xml:space="preserve">ozsudok Súdneho dvora </w:t>
      </w:r>
      <w:r w:rsidR="001F2DA5" w:rsidRPr="00AA1CFA">
        <w:rPr>
          <w:lang w:val="sk-SK"/>
        </w:rPr>
        <w:t xml:space="preserve">z 8. apríla 1976 </w:t>
      </w:r>
      <w:r w:rsidR="00584295" w:rsidRPr="00AA1CFA">
        <w:rPr>
          <w:lang w:val="sk-SK"/>
        </w:rPr>
        <w:t xml:space="preserve">vo veci, </w:t>
      </w:r>
      <w:proofErr w:type="spellStart"/>
      <w:r w:rsidR="00584295" w:rsidRPr="00AA1CFA">
        <w:rPr>
          <w:lang w:val="sk-SK"/>
        </w:rPr>
        <w:t>Gabrielle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Defrenne</w:t>
      </w:r>
      <w:proofErr w:type="spellEnd"/>
      <w:r w:rsidR="00584295" w:rsidRPr="00AA1CFA">
        <w:rPr>
          <w:lang w:val="sk-SK"/>
        </w:rPr>
        <w:t xml:space="preserve"> proti Société Anonyme </w:t>
      </w:r>
      <w:proofErr w:type="spellStart"/>
      <w:r w:rsidR="00584295" w:rsidRPr="00AA1CFA">
        <w:rPr>
          <w:lang w:val="sk-SK"/>
        </w:rPr>
        <w:t>Belge</w:t>
      </w:r>
      <w:proofErr w:type="spellEnd"/>
      <w:r w:rsidR="00584295" w:rsidRPr="00AA1CFA">
        <w:rPr>
          <w:lang w:val="sk-SK"/>
        </w:rPr>
        <w:t xml:space="preserve"> de </w:t>
      </w:r>
      <w:proofErr w:type="spellStart"/>
      <w:r w:rsidR="00584295" w:rsidRPr="00AA1CFA">
        <w:rPr>
          <w:lang w:val="sk-SK"/>
        </w:rPr>
        <w:t>Navigation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Aerienne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Sabena</w:t>
      </w:r>
      <w:proofErr w:type="spellEnd"/>
      <w:r w:rsidR="001F2DA5" w:rsidRPr="00AA1CFA">
        <w:rPr>
          <w:lang w:val="sk-SK"/>
        </w:rPr>
        <w:t>,</w:t>
      </w:r>
      <w:r w:rsidR="00484607" w:rsidRPr="00AA1CFA">
        <w:rPr>
          <w:lang w:val="sk-SK"/>
        </w:rPr>
        <w:t xml:space="preserve"> č.</w:t>
      </w:r>
      <w:r w:rsidR="001F2DA5" w:rsidRPr="00AA1CFA">
        <w:rPr>
          <w:lang w:val="sk-SK"/>
        </w:rPr>
        <w:t xml:space="preserve"> C-43/75:</w:t>
      </w:r>
      <w:r w:rsidR="00484607" w:rsidRPr="00AA1CFA">
        <w:rPr>
          <w:lang w:val="sk-SK"/>
        </w:rPr>
        <w:t xml:space="preserve"> „</w:t>
      </w:r>
      <w:r w:rsidR="00484607" w:rsidRPr="00AA1CFA">
        <w:rPr>
          <w:i/>
          <w:lang w:val="sk-SK"/>
        </w:rPr>
        <w:t>Bývalý článok 119 TEES (teraz článok 157 ZFEÚ) sledoval hospodársky a sociálny cieľ, čím preukázal, že zásada rovnosti odmeňovania mužov a žien „patrí medzi základy Spoločenstva“ a je teda ustanovením s priamou účinnosťou.</w:t>
      </w:r>
      <w:r w:rsidR="00484607" w:rsidRPr="00AA1CFA">
        <w:rPr>
          <w:lang w:val="sk-SK"/>
        </w:rPr>
        <w:t>“.</w:t>
      </w:r>
    </w:p>
    <w:p w:rsidR="00584295" w:rsidRPr="00AA1CFA" w:rsidRDefault="00584295" w:rsidP="00584295">
      <w:pPr>
        <w:jc w:val="both"/>
        <w:rPr>
          <w:rStyle w:val="Zvraznenie"/>
          <w:b/>
          <w:i w:val="0"/>
          <w:lang w:val="sk-SK"/>
        </w:rPr>
      </w:pPr>
    </w:p>
    <w:p w:rsidR="00584295" w:rsidRPr="00AA1CFA" w:rsidRDefault="00A65810" w:rsidP="00484607">
      <w:pPr>
        <w:ind w:firstLine="360"/>
        <w:jc w:val="both"/>
        <w:rPr>
          <w:b/>
          <w:iCs/>
          <w:lang w:val="sk-SK"/>
        </w:rPr>
      </w:pPr>
      <w:r w:rsidRPr="00AA1CFA">
        <w:rPr>
          <w:lang w:val="sk-SK"/>
        </w:rPr>
        <w:t>R</w:t>
      </w:r>
      <w:r w:rsidR="00584295" w:rsidRPr="00AA1CFA">
        <w:rPr>
          <w:lang w:val="sk-SK"/>
        </w:rPr>
        <w:t xml:space="preserve">ozsudok Súdneho dvora </w:t>
      </w:r>
      <w:r w:rsidR="001F2DA5" w:rsidRPr="00AA1CFA">
        <w:rPr>
          <w:lang w:val="sk-SK"/>
        </w:rPr>
        <w:t xml:space="preserve">z 27. </w:t>
      </w:r>
      <w:r w:rsidR="00484607" w:rsidRPr="00AA1CFA">
        <w:rPr>
          <w:lang w:val="sk-SK"/>
        </w:rPr>
        <w:t>m</w:t>
      </w:r>
      <w:r w:rsidR="001F2DA5" w:rsidRPr="00AA1CFA">
        <w:rPr>
          <w:lang w:val="sk-SK"/>
        </w:rPr>
        <w:t xml:space="preserve">arca  1980 </w:t>
      </w:r>
      <w:r w:rsidR="00584295" w:rsidRPr="00AA1CFA">
        <w:rPr>
          <w:lang w:val="sk-SK"/>
        </w:rPr>
        <w:t>vo veci</w:t>
      </w:r>
      <w:r w:rsidR="001F2DA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Macarthys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Ltd</w:t>
      </w:r>
      <w:proofErr w:type="spellEnd"/>
      <w:r w:rsidR="00584295" w:rsidRPr="00AA1CFA">
        <w:rPr>
          <w:lang w:val="sk-SK"/>
        </w:rPr>
        <w:t xml:space="preserve"> proti</w:t>
      </w:r>
      <w:r w:rsidR="001F2DA5" w:rsidRPr="00AA1CFA">
        <w:rPr>
          <w:lang w:val="sk-SK"/>
        </w:rPr>
        <w:t xml:space="preserve"> </w:t>
      </w:r>
      <w:proofErr w:type="spellStart"/>
      <w:r w:rsidR="001F2DA5" w:rsidRPr="00AA1CFA">
        <w:rPr>
          <w:lang w:val="sk-SK"/>
        </w:rPr>
        <w:t>Wendy</w:t>
      </w:r>
      <w:proofErr w:type="spellEnd"/>
      <w:r w:rsidR="001F2DA5" w:rsidRPr="00AA1CFA">
        <w:rPr>
          <w:lang w:val="sk-SK"/>
        </w:rPr>
        <w:t xml:space="preserve"> </w:t>
      </w:r>
      <w:proofErr w:type="spellStart"/>
      <w:r w:rsidR="001F2DA5" w:rsidRPr="00AA1CFA">
        <w:rPr>
          <w:lang w:val="sk-SK"/>
        </w:rPr>
        <w:t>Smith</w:t>
      </w:r>
      <w:proofErr w:type="spellEnd"/>
      <w:r w:rsidR="001F2DA5" w:rsidRPr="00AA1CFA">
        <w:rPr>
          <w:lang w:val="sk-SK"/>
        </w:rPr>
        <w:t>,</w:t>
      </w:r>
      <w:r w:rsidR="00484607" w:rsidRPr="00AA1CFA">
        <w:rPr>
          <w:lang w:val="sk-SK"/>
        </w:rPr>
        <w:t xml:space="preserve"> č.</w:t>
      </w:r>
      <w:r w:rsidR="001F2DA5" w:rsidRPr="00AA1CFA">
        <w:rPr>
          <w:lang w:val="sk-SK"/>
        </w:rPr>
        <w:t xml:space="preserve"> C-129/79</w:t>
      </w:r>
      <w:r w:rsidR="00484607" w:rsidRPr="00AA1CFA">
        <w:rPr>
          <w:lang w:val="sk-SK"/>
        </w:rPr>
        <w:t>: „</w:t>
      </w:r>
      <w:r w:rsidR="00484607" w:rsidRPr="00AA1CFA">
        <w:rPr>
          <w:i/>
          <w:lang w:val="sk-SK"/>
        </w:rPr>
        <w:t>Toto ustanovenie zmluvy (čl. 157 ZFEÚ) možno uplatniť pred vnútroštátnymi súdmi, najmä v prípadoch diskriminácie vyplývajúcej priamo z legislatívnych ustanovení alebo kolektívnych zmlúv, ako aj v prípadoch, keď sa práca vykonáva v tom istom zariadení alebo službe, či už súkromnom alebo verejnom.</w:t>
      </w:r>
      <w:r w:rsidR="00484607" w:rsidRPr="00AA1CFA">
        <w:rPr>
          <w:lang w:val="sk-SK"/>
        </w:rPr>
        <w:t>“.</w:t>
      </w:r>
    </w:p>
    <w:p w:rsidR="00584295" w:rsidRPr="00AA1CFA" w:rsidRDefault="00584295" w:rsidP="00584295">
      <w:pPr>
        <w:jc w:val="both"/>
        <w:rPr>
          <w:rStyle w:val="Zvraznenie"/>
          <w:b/>
          <w:i w:val="0"/>
          <w:lang w:val="sk-SK"/>
        </w:rPr>
      </w:pPr>
    </w:p>
    <w:p w:rsidR="00584295" w:rsidRPr="00A65810" w:rsidRDefault="00A65810" w:rsidP="00484607">
      <w:pPr>
        <w:ind w:firstLine="360"/>
        <w:jc w:val="both"/>
        <w:rPr>
          <w:b/>
          <w:iCs/>
          <w:lang w:val="sk-SK"/>
        </w:rPr>
      </w:pPr>
      <w:r w:rsidRPr="00AA1CFA">
        <w:rPr>
          <w:rStyle w:val="Zvraznenie"/>
          <w:i w:val="0"/>
          <w:lang w:val="sk-SK"/>
        </w:rPr>
        <w:t>R</w:t>
      </w:r>
      <w:r w:rsidR="00584295" w:rsidRPr="00AA1CFA">
        <w:rPr>
          <w:rStyle w:val="Zvraznenie"/>
          <w:i w:val="0"/>
          <w:lang w:val="sk-SK"/>
        </w:rPr>
        <w:t xml:space="preserve">ozsudok Súdneho dvora </w:t>
      </w:r>
      <w:r w:rsidR="001F2DA5" w:rsidRPr="00AA1CFA">
        <w:rPr>
          <w:rStyle w:val="Zvraznenie"/>
          <w:i w:val="0"/>
          <w:lang w:val="sk-SK"/>
        </w:rPr>
        <w:t>z</w:t>
      </w:r>
      <w:r w:rsidR="00484607" w:rsidRPr="00AA1CFA">
        <w:rPr>
          <w:rStyle w:val="Zvraznenie"/>
          <w:i w:val="0"/>
          <w:lang w:val="sk-SK"/>
        </w:rPr>
        <w:t xml:space="preserve"> 1. júla 1986 </w:t>
      </w:r>
      <w:r w:rsidR="00584295" w:rsidRPr="00AA1CFA">
        <w:rPr>
          <w:rStyle w:val="Zvraznenie"/>
          <w:i w:val="0"/>
          <w:lang w:val="sk-SK"/>
        </w:rPr>
        <w:t xml:space="preserve">vo veci </w:t>
      </w:r>
      <w:proofErr w:type="spellStart"/>
      <w:r w:rsidR="00584295" w:rsidRPr="00AA1CFA">
        <w:rPr>
          <w:lang w:val="sk-SK"/>
        </w:rPr>
        <w:t>Gisela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Rummler</w:t>
      </w:r>
      <w:proofErr w:type="spellEnd"/>
      <w:r w:rsidR="00584295" w:rsidRPr="00AA1CFA">
        <w:rPr>
          <w:lang w:val="sk-SK"/>
        </w:rPr>
        <w:t xml:space="preserve"> proti </w:t>
      </w:r>
      <w:proofErr w:type="spellStart"/>
      <w:r w:rsidR="00584295" w:rsidRPr="00AA1CFA">
        <w:rPr>
          <w:lang w:val="sk-SK"/>
        </w:rPr>
        <w:t>Dato-Druck</w:t>
      </w:r>
      <w:proofErr w:type="spellEnd"/>
      <w:r w:rsidR="00584295" w:rsidRPr="00AA1CFA">
        <w:rPr>
          <w:lang w:val="sk-SK"/>
        </w:rPr>
        <w:t xml:space="preserve"> </w:t>
      </w:r>
      <w:proofErr w:type="spellStart"/>
      <w:r w:rsidR="00584295" w:rsidRPr="00AA1CFA">
        <w:rPr>
          <w:lang w:val="sk-SK"/>
        </w:rPr>
        <w:t>GmbH</w:t>
      </w:r>
      <w:proofErr w:type="spellEnd"/>
      <w:r w:rsidR="001F2DA5" w:rsidRPr="00AA1CFA">
        <w:rPr>
          <w:lang w:val="sk-SK"/>
        </w:rPr>
        <w:t>,</w:t>
      </w:r>
      <w:r w:rsidR="00484607" w:rsidRPr="00AA1CFA">
        <w:rPr>
          <w:lang w:val="sk-SK"/>
        </w:rPr>
        <w:t xml:space="preserve"> č.</w:t>
      </w:r>
      <w:r w:rsidR="001F2DA5">
        <w:rPr>
          <w:lang w:val="sk-SK"/>
        </w:rPr>
        <w:t xml:space="preserve"> </w:t>
      </w:r>
      <w:r w:rsidR="001F2DA5" w:rsidRPr="00A65810">
        <w:rPr>
          <w:rStyle w:val="Zvraznenie"/>
          <w:i w:val="0"/>
          <w:lang w:val="sk-SK"/>
        </w:rPr>
        <w:t>C-237/85</w:t>
      </w:r>
      <w:r w:rsidR="00484607">
        <w:rPr>
          <w:rStyle w:val="Zvraznenie"/>
          <w:i w:val="0"/>
          <w:lang w:val="sk-SK"/>
        </w:rPr>
        <w:t xml:space="preserve">: </w:t>
      </w:r>
      <w:r w:rsidR="00484607" w:rsidRPr="00484607">
        <w:rPr>
          <w:rStyle w:val="Zvraznenie"/>
          <w:i w:val="0"/>
          <w:lang w:val="sk-SK"/>
        </w:rPr>
        <w:t>„</w:t>
      </w:r>
      <w:r w:rsidR="00484607" w:rsidRPr="00484607">
        <w:rPr>
          <w:rStyle w:val="Zvraznenie"/>
          <w:lang w:val="sk-SK"/>
        </w:rPr>
        <w:t>Povaha úloh zahrnutých do vykonávanej práce „by mala byť merateľná pomocou systému“. Pri rozlišovaní mzdových sadzieb bolo preto v súlade so zásadou nediskriminácie použiť kritérium založené na objektívne merateľnej náročnosti práce potrebnej na vykonanie práce alebo na objektívne posúdenom stupni fyzickej náročnosti práce</w:t>
      </w:r>
      <w:r w:rsidR="00484607">
        <w:rPr>
          <w:rStyle w:val="Zvraznenie"/>
          <w:i w:val="0"/>
          <w:lang w:val="sk-SK"/>
        </w:rPr>
        <w:t>.</w:t>
      </w:r>
      <w:r w:rsidR="00484607" w:rsidRPr="00484607">
        <w:rPr>
          <w:rStyle w:val="Zvraznenie"/>
          <w:i w:val="0"/>
          <w:lang w:val="sk-SK"/>
        </w:rPr>
        <w:t>“</w:t>
      </w:r>
      <w:r w:rsidR="00484607">
        <w:rPr>
          <w:rStyle w:val="Zvraznenie"/>
          <w:i w:val="0"/>
          <w:lang w:val="sk-SK"/>
        </w:rPr>
        <w:t>.</w:t>
      </w:r>
    </w:p>
    <w:p w:rsidR="00584295" w:rsidRDefault="00584295" w:rsidP="00584295">
      <w:pPr>
        <w:jc w:val="both"/>
        <w:rPr>
          <w:rStyle w:val="Zvraznenie"/>
          <w:i w:val="0"/>
          <w:lang w:val="sk-SK"/>
        </w:rPr>
      </w:pPr>
    </w:p>
    <w:p w:rsidR="00584295" w:rsidRPr="00F01BF9" w:rsidRDefault="00A65810" w:rsidP="00484607">
      <w:pPr>
        <w:ind w:firstLine="360"/>
        <w:jc w:val="both"/>
        <w:rPr>
          <w:rStyle w:val="Zvraznenie"/>
          <w:i w:val="0"/>
          <w:lang w:val="sk-SK"/>
        </w:rPr>
      </w:pPr>
      <w:r>
        <w:rPr>
          <w:rStyle w:val="Zvraznenie"/>
          <w:i w:val="0"/>
          <w:lang w:val="sk-SK"/>
        </w:rPr>
        <w:t xml:space="preserve">Rozsudok </w:t>
      </w:r>
      <w:r w:rsidR="00584295" w:rsidRPr="00A65810">
        <w:rPr>
          <w:rStyle w:val="Zvraznenie"/>
          <w:i w:val="0"/>
          <w:lang w:val="sk-SK"/>
        </w:rPr>
        <w:t>Súdneho dvora</w:t>
      </w:r>
      <w:r w:rsidR="00484607">
        <w:rPr>
          <w:rStyle w:val="Zvraznenie"/>
          <w:i w:val="0"/>
          <w:lang w:val="sk-SK"/>
        </w:rPr>
        <w:t xml:space="preserve"> zo 17. októbra 1989</w:t>
      </w:r>
      <w:r w:rsidR="00584295" w:rsidRPr="00A65810">
        <w:rPr>
          <w:rStyle w:val="Zvraznenie"/>
          <w:i w:val="0"/>
          <w:lang w:val="sk-SK"/>
        </w:rPr>
        <w:t xml:space="preserve"> vo veci</w:t>
      </w:r>
      <w:r w:rsidR="00584295" w:rsidRPr="00584295">
        <w:t xml:space="preserve"> </w:t>
      </w:r>
      <w:proofErr w:type="spellStart"/>
      <w:r w:rsidR="00584295" w:rsidRPr="00A65810">
        <w:rPr>
          <w:rStyle w:val="Zvraznenie"/>
          <w:i w:val="0"/>
          <w:lang w:val="sk-SK"/>
        </w:rPr>
        <w:t>Handels</w:t>
      </w:r>
      <w:proofErr w:type="spellEnd"/>
      <w:r w:rsidR="00584295" w:rsidRPr="00A65810">
        <w:rPr>
          <w:rStyle w:val="Zvraznenie"/>
          <w:i w:val="0"/>
          <w:lang w:val="sk-SK"/>
        </w:rPr>
        <w:t xml:space="preserve">- </w:t>
      </w:r>
      <w:proofErr w:type="spellStart"/>
      <w:r w:rsidR="00584295" w:rsidRPr="00A65810">
        <w:rPr>
          <w:rStyle w:val="Zvraznenie"/>
          <w:i w:val="0"/>
          <w:lang w:val="sk-SK"/>
        </w:rPr>
        <w:t>og</w:t>
      </w:r>
      <w:proofErr w:type="spellEnd"/>
      <w:r w:rsidR="00584295" w:rsidRPr="00A65810">
        <w:rPr>
          <w:rStyle w:val="Zvraznenie"/>
          <w:i w:val="0"/>
          <w:lang w:val="sk-SK"/>
        </w:rPr>
        <w:t xml:space="preserve"> </w:t>
      </w:r>
      <w:proofErr w:type="spellStart"/>
      <w:r w:rsidR="00584295" w:rsidRPr="00A65810">
        <w:rPr>
          <w:rStyle w:val="Zvraznenie"/>
          <w:i w:val="0"/>
          <w:lang w:val="sk-SK"/>
        </w:rPr>
        <w:t>Kontorfunktionærernes</w:t>
      </w:r>
      <w:proofErr w:type="spellEnd"/>
      <w:r w:rsidR="00584295" w:rsidRPr="00A65810">
        <w:rPr>
          <w:rStyle w:val="Zvraznenie"/>
          <w:i w:val="0"/>
          <w:lang w:val="sk-SK"/>
        </w:rPr>
        <w:t xml:space="preserve"> </w:t>
      </w:r>
      <w:proofErr w:type="spellStart"/>
      <w:r w:rsidR="00584295" w:rsidRPr="00A65810">
        <w:rPr>
          <w:rStyle w:val="Zvraznenie"/>
          <w:i w:val="0"/>
          <w:lang w:val="sk-SK"/>
        </w:rPr>
        <w:t>Forbund</w:t>
      </w:r>
      <w:proofErr w:type="spellEnd"/>
      <w:r w:rsidR="00584295" w:rsidRPr="00A65810">
        <w:rPr>
          <w:rStyle w:val="Zvraznenie"/>
          <w:i w:val="0"/>
          <w:lang w:val="sk-SK"/>
        </w:rPr>
        <w:t xml:space="preserve"> i </w:t>
      </w:r>
      <w:proofErr w:type="spellStart"/>
      <w:r w:rsidR="00584295" w:rsidRPr="00A65810">
        <w:rPr>
          <w:rStyle w:val="Zvraznenie"/>
          <w:i w:val="0"/>
          <w:lang w:val="sk-SK"/>
        </w:rPr>
        <w:t>Danmark</w:t>
      </w:r>
      <w:proofErr w:type="spellEnd"/>
      <w:r w:rsidR="00584295" w:rsidRPr="00A65810">
        <w:rPr>
          <w:rStyle w:val="Zvraznenie"/>
          <w:i w:val="0"/>
          <w:lang w:val="sk-SK"/>
        </w:rPr>
        <w:t xml:space="preserve"> proti </w:t>
      </w:r>
      <w:proofErr w:type="spellStart"/>
      <w:r w:rsidR="00584295" w:rsidRPr="00A65810">
        <w:rPr>
          <w:rStyle w:val="Zvraznenie"/>
          <w:i w:val="0"/>
          <w:lang w:val="sk-SK"/>
        </w:rPr>
        <w:t>Dansk</w:t>
      </w:r>
      <w:proofErr w:type="spellEnd"/>
      <w:r w:rsidR="00584295" w:rsidRPr="00A65810">
        <w:rPr>
          <w:rStyle w:val="Zvraznenie"/>
          <w:i w:val="0"/>
          <w:lang w:val="sk-SK"/>
        </w:rPr>
        <w:t xml:space="preserve"> </w:t>
      </w:r>
      <w:proofErr w:type="spellStart"/>
      <w:r w:rsidR="00584295" w:rsidRPr="00A65810">
        <w:rPr>
          <w:rStyle w:val="Zvraznenie"/>
          <w:i w:val="0"/>
          <w:lang w:val="sk-SK"/>
        </w:rPr>
        <w:t>Arbejdsgiverforening</w:t>
      </w:r>
      <w:proofErr w:type="spellEnd"/>
      <w:r w:rsidR="00484607">
        <w:rPr>
          <w:rStyle w:val="Zvraznenie"/>
          <w:i w:val="0"/>
          <w:lang w:val="sk-SK"/>
        </w:rPr>
        <w:t xml:space="preserve">, č. </w:t>
      </w:r>
      <w:r w:rsidR="00484607" w:rsidRPr="00A65810">
        <w:rPr>
          <w:rStyle w:val="Zvraznenie"/>
          <w:i w:val="0"/>
          <w:lang w:val="sk-SK"/>
        </w:rPr>
        <w:t>C-109/88</w:t>
      </w:r>
      <w:r w:rsidR="00484607">
        <w:rPr>
          <w:rStyle w:val="Zvraznenie"/>
          <w:i w:val="0"/>
          <w:lang w:val="sk-SK"/>
        </w:rPr>
        <w:t xml:space="preserve">: </w:t>
      </w:r>
      <w:r w:rsidR="00484607" w:rsidRPr="00484607">
        <w:rPr>
          <w:rStyle w:val="Zvraznenie"/>
          <w:i w:val="0"/>
          <w:lang w:val="sk-SK"/>
        </w:rPr>
        <w:t>„</w:t>
      </w:r>
      <w:r w:rsidR="00484607" w:rsidRPr="00484607">
        <w:rPr>
          <w:rStyle w:val="Zvraznenie"/>
          <w:lang w:val="sk-SK"/>
        </w:rPr>
        <w:t xml:space="preserve">Viaceré platby nad rámec základného a minimálneho platu spadajú do pôsobnosti článku 157 ZFEÚ, od individuálnych príplatkov k platu (vypočítaných na základe kritérií, ako je mobilita, odborná príprava alebo dĺžka služby zamestnanca) až po </w:t>
      </w:r>
      <w:r w:rsidR="00484607" w:rsidRPr="00F01BF9">
        <w:rPr>
          <w:rStyle w:val="Zvraznenie"/>
          <w:lang w:val="sk-SK"/>
        </w:rPr>
        <w:t>základný plat.</w:t>
      </w:r>
      <w:r w:rsidR="00484607" w:rsidRPr="00F01BF9">
        <w:rPr>
          <w:rStyle w:val="Zvraznenie"/>
          <w:i w:val="0"/>
          <w:lang w:val="sk-SK"/>
        </w:rPr>
        <w:t>“.</w:t>
      </w:r>
    </w:p>
    <w:p w:rsidR="00442590" w:rsidRPr="00F01BF9" w:rsidRDefault="00442590" w:rsidP="00442590">
      <w:pPr>
        <w:jc w:val="both"/>
        <w:rPr>
          <w:rStyle w:val="Zvraznenie"/>
          <w:b/>
          <w:i w:val="0"/>
          <w:iCs w:val="0"/>
          <w:lang w:val="sk-SK"/>
        </w:rPr>
      </w:pPr>
    </w:p>
    <w:p w:rsidR="00442590" w:rsidRPr="00F01BF9" w:rsidRDefault="00A65810" w:rsidP="00484607">
      <w:pPr>
        <w:ind w:firstLine="360"/>
        <w:jc w:val="both"/>
        <w:rPr>
          <w:b/>
          <w:lang w:val="sk-SK"/>
        </w:rPr>
      </w:pPr>
      <w:r w:rsidRPr="00F01BF9">
        <w:rPr>
          <w:rStyle w:val="Zvraznenie"/>
          <w:i w:val="0"/>
          <w:lang w:val="sk-SK"/>
        </w:rPr>
        <w:t>R</w:t>
      </w:r>
      <w:r w:rsidR="00442590" w:rsidRPr="00F01BF9">
        <w:rPr>
          <w:rStyle w:val="Zvraznenie"/>
          <w:i w:val="0"/>
          <w:lang w:val="sk-SK"/>
        </w:rPr>
        <w:t xml:space="preserve">ozsudok Súdneho dvora </w:t>
      </w:r>
      <w:r w:rsidR="00484607" w:rsidRPr="00F01BF9">
        <w:rPr>
          <w:rStyle w:val="Zvraznenie"/>
          <w:i w:val="0"/>
          <w:lang w:val="sk-SK"/>
        </w:rPr>
        <w:t xml:space="preserve">zo 17. mája 1990 </w:t>
      </w:r>
      <w:r w:rsidR="00442590" w:rsidRPr="00F01BF9">
        <w:rPr>
          <w:rStyle w:val="Zvraznenie"/>
          <w:i w:val="0"/>
          <w:lang w:val="sk-SK"/>
        </w:rPr>
        <w:t xml:space="preserve">vo veci </w:t>
      </w:r>
      <w:r w:rsidR="00442590" w:rsidRPr="00F01BF9">
        <w:rPr>
          <w:lang w:val="sk-SK"/>
        </w:rPr>
        <w:t xml:space="preserve">Douglas </w:t>
      </w:r>
      <w:proofErr w:type="spellStart"/>
      <w:r w:rsidR="00442590" w:rsidRPr="00F01BF9">
        <w:rPr>
          <w:lang w:val="sk-SK"/>
        </w:rPr>
        <w:t>Harvey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Barber</w:t>
      </w:r>
      <w:proofErr w:type="spellEnd"/>
      <w:r w:rsidR="00442590" w:rsidRPr="00F01BF9">
        <w:rPr>
          <w:lang w:val="sk-SK"/>
        </w:rPr>
        <w:t xml:space="preserve"> proti </w:t>
      </w:r>
      <w:proofErr w:type="spellStart"/>
      <w:r w:rsidR="00442590" w:rsidRPr="00F01BF9">
        <w:rPr>
          <w:lang w:val="sk-SK"/>
        </w:rPr>
        <w:t>Guardian</w:t>
      </w:r>
      <w:proofErr w:type="spellEnd"/>
      <w:r w:rsidR="00442590" w:rsidRPr="00F01BF9">
        <w:rPr>
          <w:lang w:val="sk-SK"/>
        </w:rPr>
        <w:t xml:space="preserve"> Royal Exchange </w:t>
      </w:r>
      <w:proofErr w:type="spellStart"/>
      <w:r w:rsidR="00442590" w:rsidRPr="00F01BF9">
        <w:rPr>
          <w:lang w:val="sk-SK"/>
        </w:rPr>
        <w:t>Assurance</w:t>
      </w:r>
      <w:proofErr w:type="spellEnd"/>
      <w:r w:rsidR="00442590" w:rsidRPr="00F01BF9">
        <w:rPr>
          <w:lang w:val="sk-SK"/>
        </w:rPr>
        <w:t xml:space="preserve"> Group</w:t>
      </w:r>
      <w:r w:rsidR="00484607" w:rsidRPr="00F01BF9">
        <w:rPr>
          <w:lang w:val="sk-SK"/>
        </w:rPr>
        <w:t>, č. C-262/88: „</w:t>
      </w:r>
      <w:r w:rsidR="00484607" w:rsidRPr="00F01BF9">
        <w:rPr>
          <w:i/>
          <w:lang w:val="sk-SK"/>
        </w:rPr>
        <w:t>Dávky a príspevky zamestnancov podľa podmienok systému zamestnaneckého dôchodkového zabezpečenia spadajú do pojmu mzda</w:t>
      </w:r>
      <w:r w:rsidR="00484607" w:rsidRPr="00F01BF9">
        <w:rPr>
          <w:lang w:val="sk-SK"/>
        </w:rPr>
        <w:t>.</w:t>
      </w:r>
      <w:r w:rsidR="00484607" w:rsidRPr="00F01BF9">
        <w:rPr>
          <w:rStyle w:val="Zvraznenie"/>
          <w:i w:val="0"/>
          <w:lang w:val="sk-SK"/>
        </w:rPr>
        <w:t>“</w:t>
      </w:r>
      <w:r w:rsidR="00484607" w:rsidRPr="00F01BF9">
        <w:rPr>
          <w:i/>
          <w:lang w:val="sk-SK"/>
        </w:rPr>
        <w:t>.</w:t>
      </w:r>
    </w:p>
    <w:p w:rsidR="00442590" w:rsidRPr="00F01BF9" w:rsidRDefault="00442590" w:rsidP="00442590">
      <w:pPr>
        <w:jc w:val="both"/>
        <w:rPr>
          <w:rStyle w:val="Zvraznenie"/>
          <w:b/>
          <w:i w:val="0"/>
          <w:iCs w:val="0"/>
          <w:lang w:val="sk-SK"/>
        </w:rPr>
      </w:pPr>
    </w:p>
    <w:p w:rsidR="00442590" w:rsidRPr="00F01BF9" w:rsidRDefault="00A65810" w:rsidP="005C5BEC">
      <w:pPr>
        <w:ind w:firstLine="360"/>
        <w:jc w:val="both"/>
        <w:rPr>
          <w:b/>
          <w:lang w:val="sk-SK"/>
        </w:rPr>
      </w:pPr>
      <w:r w:rsidRPr="00F01BF9">
        <w:rPr>
          <w:rStyle w:val="Zvraznenie"/>
          <w:i w:val="0"/>
          <w:lang w:val="sk-SK"/>
        </w:rPr>
        <w:t>Rozsudok</w:t>
      </w:r>
      <w:r w:rsidR="00442590" w:rsidRPr="00F01BF9">
        <w:rPr>
          <w:rStyle w:val="Zvraznenie"/>
          <w:i w:val="0"/>
          <w:lang w:val="sk-SK"/>
        </w:rPr>
        <w:t xml:space="preserve"> Súdneho dvora</w:t>
      </w:r>
      <w:r w:rsidR="00484607" w:rsidRPr="00F01BF9">
        <w:rPr>
          <w:rStyle w:val="Zvraznenie"/>
          <w:i w:val="0"/>
          <w:lang w:val="sk-SK"/>
        </w:rPr>
        <w:t xml:space="preserve"> zo 7. februára 1991</w:t>
      </w:r>
      <w:r w:rsidR="00442590" w:rsidRPr="00F01BF9">
        <w:rPr>
          <w:rStyle w:val="Zvraznenie"/>
          <w:i w:val="0"/>
          <w:lang w:val="sk-SK"/>
        </w:rPr>
        <w:t xml:space="preserve"> vo veci</w:t>
      </w:r>
      <w:r w:rsidR="00442590" w:rsidRPr="00F01BF9">
        <w:rPr>
          <w:lang w:val="sk-SK"/>
        </w:rPr>
        <w:t xml:space="preserve"> Helga </w:t>
      </w:r>
      <w:proofErr w:type="spellStart"/>
      <w:r w:rsidR="00442590" w:rsidRPr="00F01BF9">
        <w:rPr>
          <w:lang w:val="sk-SK"/>
        </w:rPr>
        <w:t>Nimz</w:t>
      </w:r>
      <w:proofErr w:type="spellEnd"/>
      <w:r w:rsidR="00442590" w:rsidRPr="00F01BF9">
        <w:rPr>
          <w:lang w:val="sk-SK"/>
        </w:rPr>
        <w:t xml:space="preserve">  proti </w:t>
      </w:r>
      <w:proofErr w:type="spellStart"/>
      <w:r w:rsidR="00442590" w:rsidRPr="00F01BF9">
        <w:rPr>
          <w:lang w:val="sk-SK"/>
        </w:rPr>
        <w:t>Freie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und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Hansestadt</w:t>
      </w:r>
      <w:proofErr w:type="spellEnd"/>
      <w:r w:rsidR="00442590" w:rsidRPr="00F01BF9">
        <w:rPr>
          <w:lang w:val="sk-SK"/>
        </w:rPr>
        <w:t xml:space="preserve"> Hamburg</w:t>
      </w:r>
      <w:r w:rsidR="00484607" w:rsidRPr="00F01BF9">
        <w:rPr>
          <w:lang w:val="sk-SK"/>
        </w:rPr>
        <w:t>,</w:t>
      </w:r>
      <w:r w:rsidR="00442590" w:rsidRPr="00F01BF9">
        <w:rPr>
          <w:lang w:val="sk-SK"/>
        </w:rPr>
        <w:t xml:space="preserve"> </w:t>
      </w:r>
      <w:r w:rsidR="00484607" w:rsidRPr="00F01BF9">
        <w:rPr>
          <w:lang w:val="sk-SK"/>
        </w:rPr>
        <w:t xml:space="preserve">č. C-184/89: „ </w:t>
      </w:r>
      <w:r w:rsidR="00484607" w:rsidRPr="00F01BF9">
        <w:rPr>
          <w:i/>
          <w:lang w:val="sk-SK"/>
        </w:rPr>
        <w:t>Postupné zvyšovanie mzdy zamestnanca, ktorý zostáva na tej istej pozícii počas určitého obdobia, ustanovené v kolektívnej zmluve a v systémoch odmeňovania za kusovú prácu patrí pod pojem „odmena“ v zmysle článku 157 ZFEÚ.</w:t>
      </w:r>
      <w:r w:rsidR="00484607" w:rsidRPr="00F01BF9">
        <w:rPr>
          <w:lang w:val="sk-SK"/>
        </w:rPr>
        <w:t>“.</w:t>
      </w:r>
    </w:p>
    <w:p w:rsidR="00442590" w:rsidRPr="00F01BF9" w:rsidRDefault="00442590" w:rsidP="00442590">
      <w:pPr>
        <w:jc w:val="both"/>
        <w:rPr>
          <w:rStyle w:val="Zvraznenie"/>
          <w:b/>
          <w:i w:val="0"/>
          <w:iCs w:val="0"/>
          <w:lang w:val="sk-SK"/>
        </w:rPr>
      </w:pPr>
    </w:p>
    <w:p w:rsidR="00A65810" w:rsidRPr="00F01BF9" w:rsidRDefault="00A65810" w:rsidP="005C5BEC">
      <w:pPr>
        <w:ind w:firstLine="360"/>
        <w:jc w:val="both"/>
        <w:rPr>
          <w:lang w:val="sk-SK"/>
        </w:rPr>
      </w:pPr>
      <w:r w:rsidRPr="00F01BF9">
        <w:rPr>
          <w:rStyle w:val="Zvraznenie"/>
          <w:i w:val="0"/>
          <w:lang w:val="sk-SK"/>
        </w:rPr>
        <w:t>Rozsudok</w:t>
      </w:r>
      <w:r w:rsidR="00442590" w:rsidRPr="00F01BF9">
        <w:rPr>
          <w:rStyle w:val="Zvraznenie"/>
          <w:i w:val="0"/>
          <w:lang w:val="sk-SK"/>
        </w:rPr>
        <w:t xml:space="preserve"> Súdneho dvora </w:t>
      </w:r>
      <w:r w:rsidR="00484607" w:rsidRPr="00F01BF9">
        <w:rPr>
          <w:rStyle w:val="Zvraznenie"/>
          <w:i w:val="0"/>
          <w:lang w:val="sk-SK"/>
        </w:rPr>
        <w:t xml:space="preserve">z 31. mája 1995 </w:t>
      </w:r>
      <w:r w:rsidR="00442590" w:rsidRPr="00F01BF9">
        <w:rPr>
          <w:rStyle w:val="Zvraznenie"/>
          <w:i w:val="0"/>
          <w:lang w:val="sk-SK"/>
        </w:rPr>
        <w:t>vo veci</w:t>
      </w:r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Specialarbejderforbundet</w:t>
      </w:r>
      <w:proofErr w:type="spellEnd"/>
      <w:r w:rsidR="00442590" w:rsidRPr="00F01BF9">
        <w:rPr>
          <w:lang w:val="sk-SK"/>
        </w:rPr>
        <w:t xml:space="preserve"> i </w:t>
      </w:r>
      <w:proofErr w:type="spellStart"/>
      <w:r w:rsidR="00442590" w:rsidRPr="00F01BF9">
        <w:rPr>
          <w:lang w:val="sk-SK"/>
        </w:rPr>
        <w:t>Danmark</w:t>
      </w:r>
      <w:proofErr w:type="spellEnd"/>
      <w:r w:rsidR="00442590" w:rsidRPr="00F01BF9">
        <w:rPr>
          <w:lang w:val="sk-SK"/>
        </w:rPr>
        <w:t xml:space="preserve"> proti </w:t>
      </w:r>
      <w:proofErr w:type="spellStart"/>
      <w:r w:rsidR="00442590" w:rsidRPr="00F01BF9">
        <w:rPr>
          <w:lang w:val="sk-SK"/>
        </w:rPr>
        <w:t>Dansk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Industri</w:t>
      </w:r>
      <w:proofErr w:type="spellEnd"/>
      <w:r w:rsidR="00484607" w:rsidRPr="00F01BF9">
        <w:rPr>
          <w:lang w:val="sk-SK"/>
        </w:rPr>
        <w:t>,</w:t>
      </w:r>
      <w:r w:rsidR="002D25B0" w:rsidRPr="00F01BF9">
        <w:rPr>
          <w:lang w:val="sk-SK"/>
        </w:rPr>
        <w:t xml:space="preserve"> č. </w:t>
      </w:r>
      <w:r w:rsidR="00484607" w:rsidRPr="00F01BF9">
        <w:rPr>
          <w:lang w:val="sk-SK"/>
        </w:rPr>
        <w:t>C-400/93: „</w:t>
      </w:r>
      <w:r w:rsidR="000A4205" w:rsidRPr="00F01BF9">
        <w:rPr>
          <w:lang w:val="sk-SK"/>
        </w:rPr>
        <w:t>Z</w:t>
      </w:r>
      <w:r w:rsidR="000A4205" w:rsidRPr="00F01BF9">
        <w:rPr>
          <w:i/>
          <w:lang w:val="sk-SK"/>
        </w:rPr>
        <w:t>mluva a smernica sa vzťahujú na systémy odmeňovania za kusovú prácu, v ktorých odmena závisí úplne alebo vo veľkej miere od individuálneho výkonu každého pracovníka.</w:t>
      </w:r>
      <w:r w:rsidR="00484607" w:rsidRPr="00F01BF9">
        <w:rPr>
          <w:lang w:val="sk-SK"/>
        </w:rPr>
        <w:t>“</w:t>
      </w:r>
      <w:r w:rsidR="000A4205" w:rsidRPr="00F01BF9">
        <w:rPr>
          <w:lang w:val="sk-SK"/>
        </w:rPr>
        <w:t>.</w:t>
      </w:r>
    </w:p>
    <w:p w:rsidR="00484607" w:rsidRPr="00F01BF9" w:rsidRDefault="00484607" w:rsidP="00A65810">
      <w:pPr>
        <w:jc w:val="both"/>
        <w:rPr>
          <w:b/>
          <w:lang w:val="sk-SK"/>
        </w:rPr>
      </w:pPr>
    </w:p>
    <w:p w:rsidR="00442590" w:rsidRPr="00F01BF9" w:rsidRDefault="00A65810" w:rsidP="005C5BEC">
      <w:pPr>
        <w:ind w:firstLine="360"/>
        <w:jc w:val="both"/>
        <w:rPr>
          <w:b/>
          <w:lang w:val="sk-SK"/>
        </w:rPr>
      </w:pPr>
      <w:r w:rsidRPr="00F01BF9">
        <w:rPr>
          <w:rStyle w:val="Zvraznenie"/>
          <w:i w:val="0"/>
          <w:lang w:val="sk-SK"/>
        </w:rPr>
        <w:t>R</w:t>
      </w:r>
      <w:r w:rsidR="00442590" w:rsidRPr="00F01BF9">
        <w:rPr>
          <w:rStyle w:val="Zvraznenie"/>
          <w:i w:val="0"/>
          <w:lang w:val="sk-SK"/>
        </w:rPr>
        <w:t>ozsudok Súdneho dvora</w:t>
      </w:r>
      <w:r w:rsidR="00484607" w:rsidRPr="00F01BF9">
        <w:rPr>
          <w:rStyle w:val="Zvraznenie"/>
          <w:i w:val="0"/>
          <w:lang w:val="sk-SK"/>
        </w:rPr>
        <w:t xml:space="preserve"> zo 17. septembra 2002</w:t>
      </w:r>
      <w:r w:rsidR="00442590" w:rsidRPr="00F01BF9">
        <w:rPr>
          <w:rStyle w:val="Zvraznenie"/>
          <w:i w:val="0"/>
          <w:lang w:val="sk-SK"/>
        </w:rPr>
        <w:t xml:space="preserve"> vo veci</w:t>
      </w:r>
      <w:r w:rsidR="00442590" w:rsidRPr="00F01BF9">
        <w:rPr>
          <w:lang w:val="sk-SK"/>
        </w:rPr>
        <w:t xml:space="preserve"> A.G. </w:t>
      </w:r>
      <w:proofErr w:type="spellStart"/>
      <w:r w:rsidR="00442590" w:rsidRPr="00F01BF9">
        <w:rPr>
          <w:lang w:val="sk-SK"/>
        </w:rPr>
        <w:t>Lawrence</w:t>
      </w:r>
      <w:proofErr w:type="spellEnd"/>
      <w:r w:rsidR="00442590" w:rsidRPr="00F01BF9">
        <w:rPr>
          <w:lang w:val="sk-SK"/>
        </w:rPr>
        <w:t xml:space="preserve"> a ostatní proti Regent Office </w:t>
      </w:r>
      <w:proofErr w:type="spellStart"/>
      <w:r w:rsidR="00442590" w:rsidRPr="00F01BF9">
        <w:rPr>
          <w:lang w:val="sk-SK"/>
        </w:rPr>
        <w:t>Care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Ltd</w:t>
      </w:r>
      <w:proofErr w:type="spellEnd"/>
      <w:r w:rsidR="00442590" w:rsidRPr="00F01BF9">
        <w:rPr>
          <w:lang w:val="sk-SK"/>
        </w:rPr>
        <w:t xml:space="preserve">, Commercial </w:t>
      </w:r>
      <w:proofErr w:type="spellStart"/>
      <w:r w:rsidR="00442590" w:rsidRPr="00F01BF9">
        <w:rPr>
          <w:lang w:val="sk-SK"/>
        </w:rPr>
        <w:t>Catering</w:t>
      </w:r>
      <w:proofErr w:type="spellEnd"/>
      <w:r w:rsidR="00442590" w:rsidRPr="00F01BF9">
        <w:rPr>
          <w:lang w:val="sk-SK"/>
        </w:rPr>
        <w:t xml:space="preserve"> Group, </w:t>
      </w:r>
      <w:proofErr w:type="spellStart"/>
      <w:r w:rsidR="00442590" w:rsidRPr="00F01BF9">
        <w:rPr>
          <w:lang w:val="sk-SK"/>
        </w:rPr>
        <w:t>Mitie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Secure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Services</w:t>
      </w:r>
      <w:proofErr w:type="spellEnd"/>
      <w:r w:rsidR="00442590" w:rsidRPr="00F01BF9">
        <w:rPr>
          <w:lang w:val="sk-SK"/>
        </w:rPr>
        <w:t xml:space="preserve"> </w:t>
      </w:r>
      <w:proofErr w:type="spellStart"/>
      <w:r w:rsidR="00442590" w:rsidRPr="00F01BF9">
        <w:rPr>
          <w:lang w:val="sk-SK"/>
        </w:rPr>
        <w:t>Ltd</w:t>
      </w:r>
      <w:proofErr w:type="spellEnd"/>
      <w:r w:rsidR="00484607" w:rsidRPr="00F01BF9">
        <w:rPr>
          <w:lang w:val="sk-SK"/>
        </w:rPr>
        <w:t>, č. C-320/00: „</w:t>
      </w:r>
      <w:r w:rsidR="000A4205" w:rsidRPr="00F01BF9">
        <w:rPr>
          <w:i/>
          <w:lang w:val="sk-SK"/>
        </w:rPr>
        <w:t>Súdny dvor EÚ tiež upresnil, že bývalý článok 141 ods. 1 Zmluvy o ES (teraz článok 157 Zmluvy o fungovaní EÚ) stanovuje zásadu, že za rovnakú prácu alebo prácu rovnakej hodnoty musí byť poskytovaná rovnaká odmena bez ohľadu na to, či ju vykonáva muž alebo žena.</w:t>
      </w:r>
      <w:r w:rsidR="00484607" w:rsidRPr="00F01BF9">
        <w:rPr>
          <w:lang w:val="sk-SK"/>
        </w:rPr>
        <w:t>“</w:t>
      </w:r>
      <w:r w:rsidR="000A4205" w:rsidRPr="00F01BF9">
        <w:rPr>
          <w:lang w:val="sk-SK"/>
        </w:rPr>
        <w:t>.</w:t>
      </w:r>
    </w:p>
    <w:p w:rsidR="00442590" w:rsidRPr="00F01BF9" w:rsidRDefault="00442590" w:rsidP="00442590">
      <w:pPr>
        <w:jc w:val="both"/>
        <w:rPr>
          <w:rStyle w:val="Zvraznenie"/>
          <w:b/>
          <w:i w:val="0"/>
          <w:iCs w:val="0"/>
          <w:lang w:val="sk-SK"/>
        </w:rPr>
      </w:pPr>
    </w:p>
    <w:p w:rsidR="00442590" w:rsidRPr="00A65810" w:rsidRDefault="00A65810" w:rsidP="005C5BEC">
      <w:pPr>
        <w:ind w:firstLine="360"/>
        <w:jc w:val="both"/>
        <w:rPr>
          <w:rStyle w:val="Zvraznenie"/>
          <w:b/>
          <w:i w:val="0"/>
          <w:iCs w:val="0"/>
          <w:lang w:val="sk-SK"/>
        </w:rPr>
      </w:pPr>
      <w:r w:rsidRPr="00F01BF9">
        <w:rPr>
          <w:rStyle w:val="Zvraznenie"/>
          <w:i w:val="0"/>
          <w:lang w:val="sk-SK"/>
        </w:rPr>
        <w:t xml:space="preserve">Rozsudok </w:t>
      </w:r>
      <w:r w:rsidR="00442590" w:rsidRPr="00F01BF9">
        <w:rPr>
          <w:rStyle w:val="Zvraznenie"/>
          <w:i w:val="0"/>
          <w:lang w:val="sk-SK"/>
        </w:rPr>
        <w:t xml:space="preserve">Súdneho dvora </w:t>
      </w:r>
      <w:r w:rsidR="00484607" w:rsidRPr="00F01BF9">
        <w:rPr>
          <w:rStyle w:val="Zvraznenie"/>
          <w:i w:val="0"/>
          <w:lang w:val="sk-SK"/>
        </w:rPr>
        <w:t xml:space="preserve">z 28. februára 2013 </w:t>
      </w:r>
      <w:r w:rsidR="00442590" w:rsidRPr="00F01BF9">
        <w:rPr>
          <w:rStyle w:val="Zvraznenie"/>
          <w:i w:val="0"/>
          <w:lang w:val="sk-SK"/>
        </w:rPr>
        <w:t xml:space="preserve">vo veci </w:t>
      </w:r>
      <w:proofErr w:type="spellStart"/>
      <w:r w:rsidR="00442590" w:rsidRPr="00F01BF9">
        <w:rPr>
          <w:rStyle w:val="Zvraznenie"/>
          <w:i w:val="0"/>
          <w:lang w:val="sk-SK"/>
        </w:rPr>
        <w:t>Margaret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</w:t>
      </w:r>
      <w:proofErr w:type="spellStart"/>
      <w:r w:rsidR="00442590" w:rsidRPr="00F01BF9">
        <w:rPr>
          <w:rStyle w:val="Zvraznenie"/>
          <w:i w:val="0"/>
          <w:lang w:val="sk-SK"/>
        </w:rPr>
        <w:t>Kenny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a ostatní proti Minister </w:t>
      </w:r>
      <w:proofErr w:type="spellStart"/>
      <w:r w:rsidR="00442590" w:rsidRPr="00F01BF9">
        <w:rPr>
          <w:rStyle w:val="Zvraznenie"/>
          <w:i w:val="0"/>
          <w:lang w:val="sk-SK"/>
        </w:rPr>
        <w:t>for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</w:t>
      </w:r>
      <w:proofErr w:type="spellStart"/>
      <w:r w:rsidR="00442590" w:rsidRPr="00F01BF9">
        <w:rPr>
          <w:rStyle w:val="Zvraznenie"/>
          <w:i w:val="0"/>
          <w:lang w:val="sk-SK"/>
        </w:rPr>
        <w:t>Justice</w:t>
      </w:r>
      <w:proofErr w:type="spellEnd"/>
      <w:r w:rsidR="00442590" w:rsidRPr="00F01BF9">
        <w:rPr>
          <w:rStyle w:val="Zvraznenie"/>
          <w:i w:val="0"/>
          <w:lang w:val="sk-SK"/>
        </w:rPr>
        <w:t xml:space="preserve">, </w:t>
      </w:r>
      <w:proofErr w:type="spellStart"/>
      <w:r w:rsidR="00442590" w:rsidRPr="00F01BF9">
        <w:rPr>
          <w:rStyle w:val="Zvraznenie"/>
          <w:i w:val="0"/>
          <w:lang w:val="sk-SK"/>
        </w:rPr>
        <w:t>Equality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and </w:t>
      </w:r>
      <w:proofErr w:type="spellStart"/>
      <w:r w:rsidR="00442590" w:rsidRPr="00F01BF9">
        <w:rPr>
          <w:rStyle w:val="Zvraznenie"/>
          <w:i w:val="0"/>
          <w:lang w:val="sk-SK"/>
        </w:rPr>
        <w:t>Law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</w:t>
      </w:r>
      <w:proofErr w:type="spellStart"/>
      <w:r w:rsidR="00442590" w:rsidRPr="00F01BF9">
        <w:rPr>
          <w:rStyle w:val="Zvraznenie"/>
          <w:i w:val="0"/>
          <w:lang w:val="sk-SK"/>
        </w:rPr>
        <w:t>Reform</w:t>
      </w:r>
      <w:proofErr w:type="spellEnd"/>
      <w:r w:rsidR="00442590" w:rsidRPr="00F01BF9">
        <w:rPr>
          <w:rStyle w:val="Zvraznenie"/>
          <w:i w:val="0"/>
          <w:lang w:val="sk-SK"/>
        </w:rPr>
        <w:t xml:space="preserve"> a</w:t>
      </w:r>
      <w:r w:rsidR="00484607" w:rsidRPr="00F01BF9">
        <w:rPr>
          <w:rStyle w:val="Zvraznenie"/>
          <w:i w:val="0"/>
          <w:lang w:val="sk-SK"/>
        </w:rPr>
        <w:t> ostatní, č. C-427/11: „</w:t>
      </w:r>
      <w:r w:rsidR="000A4205" w:rsidRPr="00F01BF9">
        <w:rPr>
          <w:rStyle w:val="Zvraznenie"/>
          <w:lang w:val="sk-SK"/>
        </w:rPr>
        <w:t>Opatrenie</w:t>
      </w:r>
      <w:r w:rsidR="000A4205" w:rsidRPr="000A4205">
        <w:rPr>
          <w:rStyle w:val="Zvraznenie"/>
          <w:lang w:val="sk-SK"/>
        </w:rPr>
        <w:t>, ktoré výrazne znevýhodňuje pracovníkov jedného pohlavia v porovnaní s pracovníkmi druhého pohlavia, je v súlade so zásadou rovnakého odmeňovania len vtedy, ak je rozdiel v zaobchádzaní „odôvodnený objektívnymi faktormi, ktoré nesúvisia s diskrimináciou na základe pohlavia</w:t>
      </w:r>
      <w:r w:rsidR="000A4205">
        <w:rPr>
          <w:rStyle w:val="Zvraznenie"/>
          <w:i w:val="0"/>
          <w:lang w:val="sk-SK"/>
        </w:rPr>
        <w:t>.</w:t>
      </w:r>
      <w:r w:rsidR="00484607" w:rsidRPr="00484607">
        <w:rPr>
          <w:rStyle w:val="Zvraznenie"/>
          <w:i w:val="0"/>
          <w:lang w:val="sk-SK"/>
        </w:rPr>
        <w:t>“</w:t>
      </w:r>
      <w:r w:rsidR="000A4205">
        <w:rPr>
          <w:rStyle w:val="Zvraznenie"/>
          <w:i w:val="0"/>
          <w:lang w:val="sk-SK"/>
        </w:rPr>
        <w:t>.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233D8C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4.</w:t>
      </w:r>
      <w:r w:rsidRPr="00F44788">
        <w:rPr>
          <w:b/>
          <w:lang w:val="sk-SK"/>
        </w:rPr>
        <w:tab/>
        <w:t xml:space="preserve">Záväzky Slovenskej republiky </w:t>
      </w:r>
      <w:r w:rsidR="00F44788">
        <w:rPr>
          <w:b/>
          <w:lang w:val="sk-SK"/>
        </w:rPr>
        <w:t>vo vzťahu k Európskej únii:</w:t>
      </w:r>
    </w:p>
    <w:p w:rsidR="005E1A89" w:rsidRPr="005E1A89" w:rsidRDefault="008C189B" w:rsidP="00FD3BEF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rPr>
          <w:lang w:val="sk-SK"/>
        </w:rPr>
        <w:tab/>
      </w:r>
      <w:r w:rsidR="00C10182" w:rsidRPr="00F44788">
        <w:t>lehota na prebranie príslušného právneho aktu Európskej únie, príp. aj osobitná lehota účinnosti jeho ustanovení:</w:t>
      </w:r>
      <w:r w:rsidR="00FD3BEF">
        <w:rPr>
          <w:lang w:val="sk-SK"/>
        </w:rPr>
        <w:t xml:space="preserve"> </w:t>
      </w:r>
    </w:p>
    <w:p w:rsidR="006806D7" w:rsidRPr="00FD3BEF" w:rsidRDefault="00B36900" w:rsidP="005E1A89">
      <w:pPr>
        <w:widowControl/>
        <w:tabs>
          <w:tab w:val="num" w:pos="2520"/>
        </w:tabs>
        <w:autoSpaceDE/>
        <w:autoSpaceDN/>
        <w:adjustRightInd/>
        <w:spacing w:before="120"/>
        <w:ind w:left="714"/>
        <w:jc w:val="both"/>
      </w:pPr>
      <w:r w:rsidRPr="00FD3BEF">
        <w:rPr>
          <w:lang w:val="sk-SK"/>
        </w:rPr>
        <w:t xml:space="preserve">Lehota na prebratie </w:t>
      </w:r>
      <w:r w:rsidR="00226263">
        <w:rPr>
          <w:lang w:val="sk-SK"/>
        </w:rPr>
        <w:t xml:space="preserve">smernice </w:t>
      </w:r>
      <w:r w:rsidR="00C12859" w:rsidRPr="00C12859">
        <w:rPr>
          <w:bCs/>
        </w:rPr>
        <w:t xml:space="preserve">(EÚ) 2023/970 </w:t>
      </w:r>
      <w:r w:rsidR="00226263">
        <w:rPr>
          <w:lang w:val="sk-SK"/>
        </w:rPr>
        <w:t xml:space="preserve">je </w:t>
      </w:r>
      <w:r w:rsidR="00FD3BEF" w:rsidRPr="00FD3BEF">
        <w:rPr>
          <w:lang w:val="sk-SK"/>
        </w:rPr>
        <w:t>do</w:t>
      </w:r>
      <w:r w:rsidR="008970B1">
        <w:rPr>
          <w:lang w:val="sk-SK"/>
        </w:rPr>
        <w:t xml:space="preserve"> 7</w:t>
      </w:r>
      <w:r w:rsidR="00FD3BEF" w:rsidRPr="00FD3BEF">
        <w:rPr>
          <w:lang w:val="sk-SK"/>
        </w:rPr>
        <w:t xml:space="preserve">. </w:t>
      </w:r>
      <w:r w:rsidR="008970B1">
        <w:rPr>
          <w:lang w:val="sk-SK"/>
        </w:rPr>
        <w:t>júna</w:t>
      </w:r>
      <w:r w:rsidR="00FD3BEF" w:rsidRPr="00FD3BEF">
        <w:rPr>
          <w:lang w:val="sk-SK"/>
        </w:rPr>
        <w:t xml:space="preserve"> 202</w:t>
      </w:r>
      <w:r w:rsidR="008970B1">
        <w:rPr>
          <w:lang w:val="sk-SK"/>
        </w:rPr>
        <w:t>6</w:t>
      </w:r>
      <w:r w:rsidRPr="00FD3BEF">
        <w:rPr>
          <w:lang w:val="sk-SK"/>
        </w:rPr>
        <w:t>.</w:t>
      </w:r>
    </w:p>
    <w:p w:rsidR="00F44788" w:rsidRPr="00F44788" w:rsidRDefault="00F44788" w:rsidP="00F44788">
      <w:pPr>
        <w:ind w:left="714"/>
        <w:jc w:val="both"/>
        <w:rPr>
          <w:lang w:val="sk-SK"/>
        </w:rPr>
      </w:pPr>
    </w:p>
    <w:p w:rsidR="00F51F6B" w:rsidRPr="00F44788" w:rsidRDefault="00F51F6B" w:rsidP="00F51F6B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začatí konania v rámci „EÚ Pilot“ alebo o začatí postupu Európskej komisie, alebo o konaní Súdneho dvora Európskej únie proti Slovenskej republike podľa čl. 258 a</w:t>
      </w:r>
      <w:r>
        <w:rPr>
          <w:lang w:val="sk-SK"/>
        </w:rPr>
        <w:t> </w:t>
      </w:r>
      <w:r w:rsidRPr="00F44788">
        <w:t>260 Zmluvy o fungovaní Európskej únie v jej platnom znení spolu s uvedením konkrétnych vytýkaných nedostatkov a požiadaviek na zabezpečenie nápravy so zreteľom na n</w:t>
      </w:r>
      <w:r w:rsidRPr="00F44788">
        <w:rPr>
          <w:bCs/>
        </w:rPr>
        <w:t>ariadenie Európskeho parlamentu a Rady (ES) č. 1049/2001 z 30. mája 2001 o prístupe verejnosti k dokumentom Európskeho parlamentu, Rady a Komisie</w:t>
      </w:r>
      <w:r w:rsidRPr="00F44788">
        <w:t>:</w:t>
      </w:r>
    </w:p>
    <w:p w:rsidR="00F51F6B" w:rsidRPr="005E1A89" w:rsidRDefault="00F51F6B" w:rsidP="00F51F6B">
      <w:pPr>
        <w:spacing w:before="120"/>
        <w:ind w:left="709"/>
        <w:jc w:val="both"/>
        <w:rPr>
          <w:lang w:val="sk-SK"/>
        </w:rPr>
      </w:pPr>
      <w:r w:rsidRPr="0061419A">
        <w:t xml:space="preserve">Proti </w:t>
      </w:r>
      <w:r w:rsidRPr="0061419A">
        <w:rPr>
          <w:lang w:eastAsia="cs-CZ"/>
        </w:rPr>
        <w:t>Slovenskej</w:t>
      </w:r>
      <w:r w:rsidRPr="0061419A">
        <w:t xml:space="preserve"> republike nezačalo žiadne konanie o porušení podľa čl. 258 až 260 Zmluvy o fungovaní Európskej únie</w:t>
      </w:r>
      <w:r>
        <w:rPr>
          <w:lang w:val="sk-SK"/>
        </w:rPr>
        <w:t xml:space="preserve"> v súvislosti so smernicou (EÚ) 2023/970.</w:t>
      </w:r>
    </w:p>
    <w:p w:rsidR="00580786" w:rsidRDefault="00580786" w:rsidP="00F44788">
      <w:pPr>
        <w:ind w:left="709"/>
        <w:jc w:val="both"/>
      </w:pPr>
    </w:p>
    <w:p w:rsidR="00C10182" w:rsidRPr="00F44788" w:rsidRDefault="00C10182" w:rsidP="00F44788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právnych predpisoch, v ktorých sú uvádzané právne akty Európskej únie už prebrané, spolu s uvedením rozsahu ich prebrania, príp. potreby prijatia ďalších úprav:</w:t>
      </w:r>
    </w:p>
    <w:p w:rsidR="002E3A97" w:rsidRDefault="002E3A97" w:rsidP="00F44788">
      <w:pPr>
        <w:ind w:left="714"/>
        <w:jc w:val="both"/>
        <w:rPr>
          <w:lang w:val="sk-SK"/>
        </w:rPr>
      </w:pPr>
    </w:p>
    <w:p w:rsidR="007674D3" w:rsidRPr="00F44788" w:rsidRDefault="007674D3" w:rsidP="00F44788">
      <w:pPr>
        <w:ind w:left="714"/>
        <w:jc w:val="both"/>
        <w:rPr>
          <w:lang w:val="sk-SK"/>
        </w:rPr>
      </w:pPr>
      <w:r w:rsidRPr="00F44788">
        <w:rPr>
          <w:lang w:val="sk-SK"/>
        </w:rPr>
        <w:t>Smernica</w:t>
      </w:r>
      <w:r w:rsidR="005E1A89">
        <w:rPr>
          <w:lang w:val="sk-SK"/>
        </w:rPr>
        <w:t xml:space="preserve"> (EÚ)</w:t>
      </w:r>
      <w:r w:rsidR="00764C45" w:rsidRPr="00F44788">
        <w:rPr>
          <w:lang w:val="sk-SK"/>
        </w:rPr>
        <w:t xml:space="preserve"> </w:t>
      </w:r>
      <w:r w:rsidR="00F51F6B">
        <w:rPr>
          <w:bCs/>
          <w:bdr w:val="none" w:sz="0" w:space="0" w:color="auto" w:frame="1"/>
          <w:shd w:val="clear" w:color="auto" w:fill="FFFFFF"/>
          <w:lang w:val="sk-SK"/>
        </w:rPr>
        <w:t>2023</w:t>
      </w:r>
      <w:r w:rsidR="00E565B6">
        <w:rPr>
          <w:bCs/>
          <w:bdr w:val="none" w:sz="0" w:space="0" w:color="auto" w:frame="1"/>
          <w:shd w:val="clear" w:color="auto" w:fill="FFFFFF"/>
          <w:lang w:val="sk-SK"/>
        </w:rPr>
        <w:t>/</w:t>
      </w:r>
      <w:r w:rsidR="00F51F6B">
        <w:rPr>
          <w:bCs/>
          <w:bdr w:val="none" w:sz="0" w:space="0" w:color="auto" w:frame="1"/>
          <w:shd w:val="clear" w:color="auto" w:fill="FFFFFF"/>
          <w:lang w:val="sk-SK"/>
        </w:rPr>
        <w:t>970</w:t>
      </w:r>
      <w:r w:rsidR="00764C45" w:rsidRPr="00F44788">
        <w:rPr>
          <w:bCs/>
          <w:bdr w:val="none" w:sz="0" w:space="0" w:color="auto" w:frame="1"/>
          <w:shd w:val="clear" w:color="auto" w:fill="FFFFFF"/>
          <w:lang w:val="sk-SK"/>
        </w:rPr>
        <w:t xml:space="preserve"> je</w:t>
      </w:r>
      <w:r w:rsidRPr="00F44788">
        <w:rPr>
          <w:lang w:val="sk-SK"/>
        </w:rPr>
        <w:t xml:space="preserve"> prebrat</w:t>
      </w:r>
      <w:r w:rsidR="00764C45" w:rsidRPr="00F44788">
        <w:rPr>
          <w:lang w:val="sk-SK"/>
        </w:rPr>
        <w:t>á</w:t>
      </w:r>
      <w:r w:rsidR="002E3A97">
        <w:rPr>
          <w:lang w:val="sk-SK"/>
        </w:rPr>
        <w:t xml:space="preserve"> v týchto </w:t>
      </w:r>
      <w:r w:rsidR="00BA0406">
        <w:rPr>
          <w:lang w:val="sk-SK"/>
        </w:rPr>
        <w:t xml:space="preserve">právnych </w:t>
      </w:r>
      <w:r w:rsidR="002E3A97">
        <w:rPr>
          <w:lang w:val="sk-SK"/>
        </w:rPr>
        <w:t>predpisoch</w:t>
      </w:r>
      <w:r w:rsidR="00E565B6">
        <w:rPr>
          <w:lang w:val="sk-SK"/>
        </w:rPr>
        <w:t>:</w:t>
      </w:r>
    </w:p>
    <w:p w:rsidR="0028449E" w:rsidRPr="0028449E" w:rsidRDefault="0028449E" w:rsidP="002E3A97">
      <w:pPr>
        <w:numPr>
          <w:ilvl w:val="0"/>
          <w:numId w:val="14"/>
        </w:numPr>
        <w:jc w:val="both"/>
        <w:rPr>
          <w:bCs/>
          <w:lang w:val="sk-SK"/>
        </w:rPr>
      </w:pPr>
      <w:r w:rsidRPr="0028449E">
        <w:rPr>
          <w:bCs/>
          <w:lang w:val="sk-SK"/>
        </w:rPr>
        <w:t>Zákonník práce</w:t>
      </w:r>
      <w:r w:rsidR="002E3A97">
        <w:rPr>
          <w:bCs/>
          <w:lang w:val="sk-SK"/>
        </w:rPr>
        <w:t>,</w:t>
      </w:r>
    </w:p>
    <w:p w:rsidR="0028449E" w:rsidRPr="0028449E" w:rsidRDefault="0028449E" w:rsidP="002E3A97">
      <w:pPr>
        <w:numPr>
          <w:ilvl w:val="0"/>
          <w:numId w:val="14"/>
        </w:numPr>
        <w:jc w:val="both"/>
        <w:rPr>
          <w:bCs/>
          <w:lang w:val="sk-SK"/>
        </w:rPr>
      </w:pPr>
      <w:r w:rsidRPr="0028449E">
        <w:rPr>
          <w:bCs/>
          <w:lang w:val="sk-SK"/>
        </w:rPr>
        <w:t>Občiansky zákonník</w:t>
      </w:r>
      <w:r w:rsidR="00650ACF">
        <w:rPr>
          <w:bCs/>
          <w:lang w:val="sk-SK"/>
        </w:rPr>
        <w:t>,</w:t>
      </w:r>
    </w:p>
    <w:p w:rsidR="0028449E" w:rsidRPr="0028449E" w:rsidRDefault="0028449E" w:rsidP="002E3A97">
      <w:pPr>
        <w:numPr>
          <w:ilvl w:val="0"/>
          <w:numId w:val="14"/>
        </w:numPr>
        <w:jc w:val="both"/>
        <w:rPr>
          <w:bCs/>
          <w:lang w:val="sk-SK"/>
        </w:rPr>
      </w:pPr>
      <w:r w:rsidRPr="0028449E">
        <w:rPr>
          <w:bCs/>
          <w:lang w:val="sk-SK"/>
        </w:rPr>
        <w:t>Civilný sporový poriadok</w:t>
      </w:r>
      <w:r w:rsidR="00650ACF">
        <w:rPr>
          <w:bCs/>
          <w:lang w:val="sk-SK"/>
        </w:rPr>
        <w:t>,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Národnej rady Slovenskej republiky č. 308/1993 Z. z. o zriadení Slovenského národného strediska pre ľudské práva v znení neskorších predpisov</w:t>
      </w:r>
      <w:r>
        <w:rPr>
          <w:bCs/>
          <w:lang w:val="sk-SK"/>
        </w:rPr>
        <w:t>,</w:t>
      </w:r>
      <w:r w:rsidR="0028449E" w:rsidRPr="0028449E">
        <w:rPr>
          <w:bCs/>
          <w:lang w:val="sk-SK"/>
        </w:rPr>
        <w:t> 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Národnej rady Slovenskej republiky č. 233/1995 Z. z. o súdnych exekútoroch a exekučnej činnosti (Exekučný poriadok) a o zmene a doplnení ďalších zákonov v znení neskorších predpisov</w:t>
      </w:r>
      <w:r>
        <w:rPr>
          <w:bCs/>
          <w:lang w:val="sk-SK"/>
        </w:rPr>
        <w:t>,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73/1998 Z. z. o štátnej službe príslušníkov Policajného zboru, Slovenskej informačnej služby, Zboru väzenskej a justičnej stráže Slovenskej republiky a Železničnej polície v znení neskorších predpisov</w:t>
      </w:r>
      <w:r>
        <w:rPr>
          <w:bCs/>
          <w:lang w:val="sk-SK"/>
        </w:rPr>
        <w:t>,</w:t>
      </w:r>
      <w:r w:rsidR="0028449E" w:rsidRPr="0028449E">
        <w:rPr>
          <w:bCs/>
          <w:lang w:val="sk-SK"/>
        </w:rPr>
        <w:t> 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315/2001 Z. z. o Hasičskom a záchrannom zbore v znení neskorších predpisov 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365/2004 Z. z. o rovnakom zaobchádzaní v niektorých oblastiach a o ochrane pred diskrimináciou a o zmene a doplnení niektorých zákonov (antidiskriminačný záko</w:t>
      </w:r>
      <w:r>
        <w:rPr>
          <w:bCs/>
          <w:lang w:val="sk-SK"/>
        </w:rPr>
        <w:t>n) v znení neskorších predpisov,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 103/2007 Z. z. o trojstranných konzultáciách na celoštátnej úrovni a o zmene a doplnení niektorých zákonov (zákon o tripartite) v znení neskorších predpisov</w:t>
      </w:r>
      <w:r>
        <w:rPr>
          <w:bCs/>
          <w:lang w:val="sk-SK"/>
        </w:rPr>
        <w:t>,</w:t>
      </w:r>
    </w:p>
    <w:p w:rsid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281/2015 Z. z. o štátnej službe profesionálnych vojakov a o zmene a doplnení niektorých zákonov v znení neskorších predpisov</w:t>
      </w:r>
      <w:r>
        <w:rPr>
          <w:bCs/>
          <w:lang w:val="sk-SK"/>
        </w:rPr>
        <w:t>,</w:t>
      </w:r>
      <w:r w:rsidR="0028449E" w:rsidRPr="0028449E">
        <w:rPr>
          <w:bCs/>
          <w:lang w:val="sk-SK"/>
        </w:rPr>
        <w:t> </w:t>
      </w:r>
    </w:p>
    <w:p w:rsidR="00960F84" w:rsidRPr="0028449E" w:rsidRDefault="00960F84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Pr="00960F84">
        <w:rPr>
          <w:bCs/>
          <w:lang w:val="sk-SK"/>
        </w:rPr>
        <w:t>ákon č. 343/2015 Z. z. o verejnom obstarávaní a o zmene a doplnení niektorých zákonov v znení neskorších predpisov</w:t>
      </w:r>
      <w:r>
        <w:rPr>
          <w:bCs/>
          <w:lang w:val="sk-SK"/>
        </w:rPr>
        <w:t>,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 400/2015 Z. z. o tvorbe právnych predpisov a o Zbierke zákonov Slovenskej republiky a o zmene a doplnení niektorých zákonov v znení neskorších predpisov</w:t>
      </w:r>
      <w:r>
        <w:rPr>
          <w:bCs/>
          <w:lang w:val="sk-SK"/>
        </w:rPr>
        <w:t>,</w:t>
      </w:r>
    </w:p>
    <w:p w:rsidR="0028449E" w:rsidRP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55/2017 Z. z. o štátnej službe a o zmene a doplnení niektorých zákon</w:t>
      </w:r>
      <w:r>
        <w:rPr>
          <w:bCs/>
          <w:lang w:val="sk-SK"/>
        </w:rPr>
        <w:t>ov v znení neskorších predpisov,</w:t>
      </w:r>
    </w:p>
    <w:p w:rsidR="0028449E" w:rsidRDefault="00650ACF" w:rsidP="002E3A97">
      <w:pPr>
        <w:numPr>
          <w:ilvl w:val="0"/>
          <w:numId w:val="14"/>
        </w:numPr>
        <w:jc w:val="both"/>
        <w:rPr>
          <w:bCs/>
          <w:lang w:val="sk-SK"/>
        </w:rPr>
      </w:pPr>
      <w:r>
        <w:rPr>
          <w:bCs/>
          <w:lang w:val="sk-SK"/>
        </w:rPr>
        <w:t>z</w:t>
      </w:r>
      <w:r w:rsidR="0028449E" w:rsidRPr="0028449E">
        <w:rPr>
          <w:bCs/>
          <w:lang w:val="sk-SK"/>
        </w:rPr>
        <w:t>ákon č. 35/2019 Z. z. o finančnej správe a o zmene a doplnení niektorých zákonov v znení neskorších predpisov</w:t>
      </w:r>
      <w:r>
        <w:rPr>
          <w:bCs/>
          <w:lang w:val="sk-SK"/>
        </w:rPr>
        <w:t>.</w:t>
      </w:r>
    </w:p>
    <w:p w:rsidR="002E3A97" w:rsidRPr="0028449E" w:rsidRDefault="002E3A97" w:rsidP="002E3A97">
      <w:pPr>
        <w:jc w:val="both"/>
        <w:rPr>
          <w:bCs/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5.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</w:t>
      </w:r>
      <w:r w:rsidRPr="00F44788">
        <w:rPr>
          <w:b/>
          <w:lang w:val="sk-SK"/>
        </w:rPr>
        <w:t xml:space="preserve">ávrh </w:t>
      </w:r>
      <w:r w:rsidR="00846FD6" w:rsidRPr="00F44788">
        <w:rPr>
          <w:b/>
          <w:lang w:val="sk-SK"/>
        </w:rPr>
        <w:t>zákona je zlučiteľný</w:t>
      </w:r>
      <w:r w:rsidRPr="00F44788">
        <w:rPr>
          <w:b/>
          <w:lang w:val="sk-SK"/>
        </w:rPr>
        <w:t xml:space="preserve"> s právom Európskej únie:</w:t>
      </w:r>
      <w:r w:rsidR="006806D7" w:rsidRPr="00F44788">
        <w:rPr>
          <w:b/>
          <w:lang w:val="sk-SK"/>
        </w:rPr>
        <w:t xml:space="preserve"> </w:t>
      </w:r>
      <w:r w:rsidR="009D20F1" w:rsidRPr="00F44788">
        <w:rPr>
          <w:lang w:val="sk-SK"/>
        </w:rPr>
        <w:t>Úplne.</w:t>
      </w:r>
    </w:p>
    <w:sectPr w:rsidR="008C189B" w:rsidRPr="00F44788" w:rsidSect="008C1599">
      <w:footerReference w:type="default" r:id="rId7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73" w:rsidRDefault="00307573" w:rsidP="00934EB8">
      <w:r>
        <w:separator/>
      </w:r>
    </w:p>
  </w:endnote>
  <w:endnote w:type="continuationSeparator" w:id="0">
    <w:p w:rsidR="00307573" w:rsidRDefault="00307573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8C" w:rsidRDefault="00233D8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50BDE" w:rsidRPr="00D50BDE">
      <w:rPr>
        <w:noProof/>
        <w:lang w:val="sk-SK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73" w:rsidRDefault="00307573" w:rsidP="00934EB8">
      <w:r>
        <w:separator/>
      </w:r>
    </w:p>
  </w:footnote>
  <w:footnote w:type="continuationSeparator" w:id="0">
    <w:p w:rsidR="00307573" w:rsidRDefault="00307573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287356"/>
    <w:multiLevelType w:val="hybridMultilevel"/>
    <w:tmpl w:val="31D8A04E"/>
    <w:lvl w:ilvl="0" w:tplc="37D669E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31F1"/>
    <w:multiLevelType w:val="hybridMultilevel"/>
    <w:tmpl w:val="4F24B1D0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753522C"/>
    <w:multiLevelType w:val="hybridMultilevel"/>
    <w:tmpl w:val="E04C74F6"/>
    <w:lvl w:ilvl="0" w:tplc="9580E15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39507907"/>
    <w:multiLevelType w:val="hybridMultilevel"/>
    <w:tmpl w:val="A1782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2D0395B"/>
    <w:multiLevelType w:val="hybridMultilevel"/>
    <w:tmpl w:val="25D00688"/>
    <w:lvl w:ilvl="0" w:tplc="93F81B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943206"/>
    <w:multiLevelType w:val="hybridMultilevel"/>
    <w:tmpl w:val="AE94F1CE"/>
    <w:lvl w:ilvl="0" w:tplc="93F81B0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1B70635"/>
    <w:multiLevelType w:val="hybridMultilevel"/>
    <w:tmpl w:val="A7A022A4"/>
    <w:lvl w:ilvl="0" w:tplc="93F81B0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34FD9"/>
    <w:rsid w:val="000636F3"/>
    <w:rsid w:val="00083297"/>
    <w:rsid w:val="00087CA1"/>
    <w:rsid w:val="000A4205"/>
    <w:rsid w:val="000B715A"/>
    <w:rsid w:val="000F5A8D"/>
    <w:rsid w:val="0010557B"/>
    <w:rsid w:val="001653ED"/>
    <w:rsid w:val="001937E5"/>
    <w:rsid w:val="00193B21"/>
    <w:rsid w:val="001C74C5"/>
    <w:rsid w:val="001D0003"/>
    <w:rsid w:val="001D4473"/>
    <w:rsid w:val="001F2DA5"/>
    <w:rsid w:val="001F7802"/>
    <w:rsid w:val="00201A64"/>
    <w:rsid w:val="0020424B"/>
    <w:rsid w:val="00205C11"/>
    <w:rsid w:val="00226263"/>
    <w:rsid w:val="00233D8C"/>
    <w:rsid w:val="00240D81"/>
    <w:rsid w:val="002461D4"/>
    <w:rsid w:val="00253B9F"/>
    <w:rsid w:val="002651A7"/>
    <w:rsid w:val="00271368"/>
    <w:rsid w:val="00273EE1"/>
    <w:rsid w:val="0028449E"/>
    <w:rsid w:val="002B17E0"/>
    <w:rsid w:val="002D25B0"/>
    <w:rsid w:val="002E3A97"/>
    <w:rsid w:val="002F36E4"/>
    <w:rsid w:val="00302AC6"/>
    <w:rsid w:val="0030402C"/>
    <w:rsid w:val="00307573"/>
    <w:rsid w:val="0031480D"/>
    <w:rsid w:val="003309ED"/>
    <w:rsid w:val="00346D46"/>
    <w:rsid w:val="00351228"/>
    <w:rsid w:val="00365C0D"/>
    <w:rsid w:val="00370C10"/>
    <w:rsid w:val="0037579E"/>
    <w:rsid w:val="00384C6B"/>
    <w:rsid w:val="00384DBA"/>
    <w:rsid w:val="00391CB5"/>
    <w:rsid w:val="00395BFA"/>
    <w:rsid w:val="003A1616"/>
    <w:rsid w:val="003E3ED9"/>
    <w:rsid w:val="003E58F6"/>
    <w:rsid w:val="003F4210"/>
    <w:rsid w:val="00403D00"/>
    <w:rsid w:val="00432D51"/>
    <w:rsid w:val="0043441A"/>
    <w:rsid w:val="00442590"/>
    <w:rsid w:val="004507CC"/>
    <w:rsid w:val="004636A3"/>
    <w:rsid w:val="004638A6"/>
    <w:rsid w:val="00477C12"/>
    <w:rsid w:val="00484607"/>
    <w:rsid w:val="004D0F2A"/>
    <w:rsid w:val="005200E3"/>
    <w:rsid w:val="00540E1D"/>
    <w:rsid w:val="0054591D"/>
    <w:rsid w:val="00551190"/>
    <w:rsid w:val="00552D57"/>
    <w:rsid w:val="00556766"/>
    <w:rsid w:val="00580786"/>
    <w:rsid w:val="00580A55"/>
    <w:rsid w:val="00584295"/>
    <w:rsid w:val="005960F7"/>
    <w:rsid w:val="005A0FFE"/>
    <w:rsid w:val="005B56CD"/>
    <w:rsid w:val="005B6227"/>
    <w:rsid w:val="005B737B"/>
    <w:rsid w:val="005C5BEC"/>
    <w:rsid w:val="005D378A"/>
    <w:rsid w:val="005D7AE1"/>
    <w:rsid w:val="005E1A89"/>
    <w:rsid w:val="005E55F0"/>
    <w:rsid w:val="005F251D"/>
    <w:rsid w:val="005F607B"/>
    <w:rsid w:val="0060106D"/>
    <w:rsid w:val="006161F7"/>
    <w:rsid w:val="00617E7B"/>
    <w:rsid w:val="00630942"/>
    <w:rsid w:val="00631E69"/>
    <w:rsid w:val="00634511"/>
    <w:rsid w:val="00650ACF"/>
    <w:rsid w:val="006546F4"/>
    <w:rsid w:val="006723FD"/>
    <w:rsid w:val="00673740"/>
    <w:rsid w:val="006806D7"/>
    <w:rsid w:val="006A439A"/>
    <w:rsid w:val="006B44D3"/>
    <w:rsid w:val="006D260A"/>
    <w:rsid w:val="006E0F67"/>
    <w:rsid w:val="006E498A"/>
    <w:rsid w:val="006E62F4"/>
    <w:rsid w:val="006F765E"/>
    <w:rsid w:val="0073203F"/>
    <w:rsid w:val="00734841"/>
    <w:rsid w:val="007452A9"/>
    <w:rsid w:val="0076457A"/>
    <w:rsid w:val="00764C25"/>
    <w:rsid w:val="00764C45"/>
    <w:rsid w:val="007674D3"/>
    <w:rsid w:val="00782D84"/>
    <w:rsid w:val="007A2390"/>
    <w:rsid w:val="007D6C37"/>
    <w:rsid w:val="007E7424"/>
    <w:rsid w:val="00805C92"/>
    <w:rsid w:val="00812DA7"/>
    <w:rsid w:val="008155DB"/>
    <w:rsid w:val="00824E77"/>
    <w:rsid w:val="00830FEC"/>
    <w:rsid w:val="00846FD6"/>
    <w:rsid w:val="0085629A"/>
    <w:rsid w:val="0085712F"/>
    <w:rsid w:val="00880970"/>
    <w:rsid w:val="008856C4"/>
    <w:rsid w:val="008970B1"/>
    <w:rsid w:val="008A127D"/>
    <w:rsid w:val="008A2C3E"/>
    <w:rsid w:val="008B0B82"/>
    <w:rsid w:val="008C1599"/>
    <w:rsid w:val="008C189B"/>
    <w:rsid w:val="008E52B7"/>
    <w:rsid w:val="008E5457"/>
    <w:rsid w:val="008F02E0"/>
    <w:rsid w:val="00905011"/>
    <w:rsid w:val="00911E2B"/>
    <w:rsid w:val="00933900"/>
    <w:rsid w:val="00934EB8"/>
    <w:rsid w:val="00936AE3"/>
    <w:rsid w:val="00960F84"/>
    <w:rsid w:val="009D20F1"/>
    <w:rsid w:val="009D3311"/>
    <w:rsid w:val="009F5F4B"/>
    <w:rsid w:val="00A1270D"/>
    <w:rsid w:val="00A52E5E"/>
    <w:rsid w:val="00A54AC5"/>
    <w:rsid w:val="00A5602F"/>
    <w:rsid w:val="00A65810"/>
    <w:rsid w:val="00A712D7"/>
    <w:rsid w:val="00A87F08"/>
    <w:rsid w:val="00AA1CFA"/>
    <w:rsid w:val="00AA7F05"/>
    <w:rsid w:val="00AB0519"/>
    <w:rsid w:val="00AB7C17"/>
    <w:rsid w:val="00AC7439"/>
    <w:rsid w:val="00AE20B9"/>
    <w:rsid w:val="00AE27BA"/>
    <w:rsid w:val="00AF3F55"/>
    <w:rsid w:val="00B13D80"/>
    <w:rsid w:val="00B15496"/>
    <w:rsid w:val="00B17FB7"/>
    <w:rsid w:val="00B36900"/>
    <w:rsid w:val="00B44FA4"/>
    <w:rsid w:val="00B50934"/>
    <w:rsid w:val="00B53D60"/>
    <w:rsid w:val="00B54B9B"/>
    <w:rsid w:val="00B85023"/>
    <w:rsid w:val="00B9564B"/>
    <w:rsid w:val="00BA0406"/>
    <w:rsid w:val="00BB3A85"/>
    <w:rsid w:val="00BD3DD4"/>
    <w:rsid w:val="00BD4512"/>
    <w:rsid w:val="00BD7312"/>
    <w:rsid w:val="00BE7BE2"/>
    <w:rsid w:val="00C040EC"/>
    <w:rsid w:val="00C10182"/>
    <w:rsid w:val="00C12859"/>
    <w:rsid w:val="00C1748B"/>
    <w:rsid w:val="00C7559B"/>
    <w:rsid w:val="00C758BD"/>
    <w:rsid w:val="00C942EF"/>
    <w:rsid w:val="00CB2832"/>
    <w:rsid w:val="00CC04D5"/>
    <w:rsid w:val="00CC3A07"/>
    <w:rsid w:val="00CC57D1"/>
    <w:rsid w:val="00CC72B3"/>
    <w:rsid w:val="00CE18BA"/>
    <w:rsid w:val="00CE39DE"/>
    <w:rsid w:val="00D117FE"/>
    <w:rsid w:val="00D24F49"/>
    <w:rsid w:val="00D36903"/>
    <w:rsid w:val="00D45B92"/>
    <w:rsid w:val="00D50BDE"/>
    <w:rsid w:val="00D80C66"/>
    <w:rsid w:val="00D81D24"/>
    <w:rsid w:val="00DA067D"/>
    <w:rsid w:val="00DB27D6"/>
    <w:rsid w:val="00DB62B2"/>
    <w:rsid w:val="00DE7A44"/>
    <w:rsid w:val="00E03CF3"/>
    <w:rsid w:val="00E10AD3"/>
    <w:rsid w:val="00E31152"/>
    <w:rsid w:val="00E433EA"/>
    <w:rsid w:val="00E50BF2"/>
    <w:rsid w:val="00E50F21"/>
    <w:rsid w:val="00E565B6"/>
    <w:rsid w:val="00E57D9C"/>
    <w:rsid w:val="00E61B04"/>
    <w:rsid w:val="00E766AF"/>
    <w:rsid w:val="00E859DF"/>
    <w:rsid w:val="00EA5640"/>
    <w:rsid w:val="00EB61C3"/>
    <w:rsid w:val="00F01BF9"/>
    <w:rsid w:val="00F13EE7"/>
    <w:rsid w:val="00F24B1E"/>
    <w:rsid w:val="00F2534E"/>
    <w:rsid w:val="00F32101"/>
    <w:rsid w:val="00F44788"/>
    <w:rsid w:val="00F463F1"/>
    <w:rsid w:val="00F51F6B"/>
    <w:rsid w:val="00F769D5"/>
    <w:rsid w:val="00F82821"/>
    <w:rsid w:val="00F87A92"/>
    <w:rsid w:val="00F93AF2"/>
    <w:rsid w:val="00FA2284"/>
    <w:rsid w:val="00FB0BB0"/>
    <w:rsid w:val="00FD062D"/>
    <w:rsid w:val="00FD3725"/>
    <w:rsid w:val="00FD3BEF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D67FD"/>
  <w15:chartTrackingRefBased/>
  <w15:docId w15:val="{D846DB27-9B08-460A-B922-21AE6A0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Vrazn">
    <w:name w:val="Strong"/>
    <w:uiPriority w:val="22"/>
    <w:qFormat/>
    <w:rsid w:val="00EA5640"/>
    <w:rPr>
      <w:rFonts w:cs="Times New Roman"/>
      <w:b/>
    </w:rPr>
  </w:style>
  <w:style w:type="paragraph" w:styleId="Revzia">
    <w:name w:val="Revision"/>
    <w:hidden/>
    <w:uiPriority w:val="99"/>
    <w:unhideWhenUsed/>
    <w:rsid w:val="00AE20B9"/>
    <w:rPr>
      <w:sz w:val="24"/>
      <w:szCs w:val="24"/>
      <w:lang w:val="ru-RU"/>
    </w:rPr>
  </w:style>
  <w:style w:type="character" w:styleId="Hypertextovprepojenie">
    <w:name w:val="Hyperlink"/>
    <w:uiPriority w:val="99"/>
    <w:semiHidden/>
    <w:unhideWhenUsed/>
    <w:rsid w:val="005D7AE1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84295"/>
    <w:rPr>
      <w:i/>
      <w:iCs/>
    </w:rPr>
  </w:style>
  <w:style w:type="paragraph" w:styleId="Odsekzoznamu">
    <w:name w:val="List Paragraph"/>
    <w:basedOn w:val="Normlny"/>
    <w:uiPriority w:val="99"/>
    <w:qFormat/>
    <w:rsid w:val="0058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9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6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02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9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5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9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891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58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5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12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17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43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11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35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79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090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Vároš Juraj</cp:lastModifiedBy>
  <cp:revision>14</cp:revision>
  <cp:lastPrinted>2025-08-11T11:34:00Z</cp:lastPrinted>
  <dcterms:created xsi:type="dcterms:W3CDTF">2025-10-30T09:54:00Z</dcterms:created>
  <dcterms:modified xsi:type="dcterms:W3CDTF">2025-12-17T11:16:00Z</dcterms:modified>
</cp:coreProperties>
</file>