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1AD" w:rsidRPr="00582B35" w:rsidRDefault="007021AD" w:rsidP="007021AD">
      <w:pPr>
        <w:tabs>
          <w:tab w:val="left" w:pos="-1985"/>
          <w:tab w:val="left" w:pos="709"/>
          <w:tab w:val="left" w:pos="1077"/>
          <w:tab w:val="left" w:pos="3600"/>
        </w:tabs>
        <w:spacing w:line="360" w:lineRule="auto"/>
        <w:jc w:val="center"/>
        <w:rPr>
          <w:b/>
          <w:sz w:val="28"/>
          <w:szCs w:val="28"/>
        </w:rPr>
      </w:pPr>
      <w:r w:rsidRPr="00582B35">
        <w:rPr>
          <w:b/>
          <w:sz w:val="28"/>
          <w:szCs w:val="28"/>
        </w:rPr>
        <w:t>NÁRODNÁ RADA SLOVENSKEJ REPUBLIKY</w:t>
      </w:r>
    </w:p>
    <w:p w:rsidR="007021AD" w:rsidRPr="00582B35" w:rsidRDefault="007021AD" w:rsidP="007021AD">
      <w:pPr>
        <w:tabs>
          <w:tab w:val="left" w:pos="-1985"/>
          <w:tab w:val="left" w:pos="709"/>
          <w:tab w:val="left" w:pos="1077"/>
        </w:tabs>
        <w:spacing w:line="360" w:lineRule="auto"/>
        <w:jc w:val="center"/>
        <w:rPr>
          <w:b/>
          <w:sz w:val="28"/>
          <w:szCs w:val="28"/>
        </w:rPr>
      </w:pPr>
      <w:r w:rsidRPr="00582B35">
        <w:rPr>
          <w:b/>
          <w:sz w:val="28"/>
          <w:szCs w:val="28"/>
        </w:rPr>
        <w:t xml:space="preserve">  </w:t>
      </w:r>
      <w:r w:rsidR="00B37C6F">
        <w:rPr>
          <w:b/>
          <w:sz w:val="28"/>
          <w:szCs w:val="28"/>
        </w:rPr>
        <w:t>I</w:t>
      </w:r>
      <w:r w:rsidR="00BA139F">
        <w:rPr>
          <w:b/>
          <w:sz w:val="28"/>
          <w:szCs w:val="28"/>
        </w:rPr>
        <w:t>X</w:t>
      </w:r>
      <w:r w:rsidRPr="00582B35">
        <w:rPr>
          <w:b/>
          <w:sz w:val="28"/>
          <w:szCs w:val="28"/>
        </w:rPr>
        <w:t>. volebné obdobie</w:t>
      </w:r>
    </w:p>
    <w:p w:rsidR="00BA139F" w:rsidRPr="00582B35" w:rsidRDefault="007021AD" w:rsidP="00BA139F">
      <w:pPr>
        <w:tabs>
          <w:tab w:val="left" w:pos="-1985"/>
          <w:tab w:val="left" w:pos="709"/>
          <w:tab w:val="left" w:pos="1077"/>
        </w:tabs>
        <w:spacing w:line="360" w:lineRule="auto"/>
        <w:jc w:val="center"/>
        <w:rPr>
          <w:b/>
        </w:rPr>
      </w:pPr>
      <w:r w:rsidRPr="00582B35">
        <w:rPr>
          <w:b/>
          <w:sz w:val="28"/>
          <w:szCs w:val="28"/>
        </w:rPr>
        <w:t>___________________________________________</w:t>
      </w:r>
      <w:r w:rsidRPr="00582B35">
        <w:rPr>
          <w:b/>
          <w:sz w:val="28"/>
          <w:szCs w:val="28"/>
        </w:rPr>
        <w:br/>
      </w:r>
    </w:p>
    <w:p w:rsidR="00BA139F" w:rsidRPr="00582B35" w:rsidRDefault="00BA139F" w:rsidP="00BA139F">
      <w:pPr>
        <w:pStyle w:val="Zkladntext2"/>
        <w:tabs>
          <w:tab w:val="left" w:pos="-1985"/>
          <w:tab w:val="left" w:pos="709"/>
          <w:tab w:val="left" w:pos="1077"/>
        </w:tabs>
        <w:spacing w:line="360" w:lineRule="auto"/>
        <w:rPr>
          <w:bCs/>
          <w:szCs w:val="24"/>
          <w:lang w:eastAsia="sk-SK"/>
        </w:rPr>
      </w:pPr>
      <w:r w:rsidRPr="00582B35">
        <w:rPr>
          <w:bCs/>
          <w:szCs w:val="24"/>
          <w:lang w:eastAsia="sk-SK"/>
        </w:rPr>
        <w:t xml:space="preserve">Číslo:  </w:t>
      </w:r>
      <w:r>
        <w:rPr>
          <w:bCs/>
          <w:szCs w:val="24"/>
          <w:lang w:eastAsia="sk-SK"/>
        </w:rPr>
        <w:t>KNR-UPV-</w:t>
      </w:r>
      <w:r w:rsidR="00594260">
        <w:rPr>
          <w:bCs/>
          <w:szCs w:val="24"/>
          <w:lang w:eastAsia="sk-SK"/>
        </w:rPr>
        <w:t>6278</w:t>
      </w:r>
      <w:r>
        <w:rPr>
          <w:bCs/>
          <w:szCs w:val="24"/>
          <w:lang w:eastAsia="sk-SK"/>
        </w:rPr>
        <w:t>/</w:t>
      </w:r>
      <w:r w:rsidRPr="00582B35">
        <w:rPr>
          <w:bCs/>
          <w:szCs w:val="24"/>
          <w:lang w:eastAsia="sk-SK"/>
        </w:rPr>
        <w:t>20</w:t>
      </w:r>
      <w:r w:rsidR="005356E0">
        <w:rPr>
          <w:bCs/>
          <w:szCs w:val="24"/>
          <w:lang w:eastAsia="sk-SK"/>
        </w:rPr>
        <w:t>2</w:t>
      </w:r>
      <w:r w:rsidR="006823AF">
        <w:rPr>
          <w:bCs/>
          <w:szCs w:val="24"/>
          <w:lang w:eastAsia="sk-SK"/>
        </w:rPr>
        <w:t>5</w:t>
      </w:r>
      <w:r w:rsidR="005356E0">
        <w:rPr>
          <w:bCs/>
          <w:szCs w:val="24"/>
          <w:lang w:eastAsia="sk-SK"/>
        </w:rPr>
        <w:t>-</w:t>
      </w:r>
      <w:r w:rsidR="00594260">
        <w:rPr>
          <w:bCs/>
          <w:szCs w:val="24"/>
          <w:lang w:eastAsia="sk-SK"/>
        </w:rPr>
        <w:t>4</w:t>
      </w:r>
    </w:p>
    <w:p w:rsidR="00BA139F" w:rsidRPr="00582B35" w:rsidRDefault="00BA139F" w:rsidP="00BA139F">
      <w:pPr>
        <w:spacing w:line="360" w:lineRule="auto"/>
        <w:jc w:val="center"/>
        <w:rPr>
          <w:b/>
          <w:spacing w:val="60"/>
          <w:sz w:val="28"/>
          <w:szCs w:val="28"/>
        </w:rPr>
      </w:pPr>
    </w:p>
    <w:p w:rsidR="00BA139F" w:rsidRDefault="00BA139F" w:rsidP="00BA139F">
      <w:pPr>
        <w:spacing w:line="360" w:lineRule="auto"/>
        <w:rPr>
          <w:b/>
          <w:spacing w:val="60"/>
          <w:sz w:val="28"/>
          <w:szCs w:val="28"/>
        </w:rPr>
      </w:pPr>
    </w:p>
    <w:p w:rsidR="00A14547" w:rsidRDefault="00A14547" w:rsidP="00BA139F">
      <w:pPr>
        <w:spacing w:line="360" w:lineRule="auto"/>
        <w:jc w:val="center"/>
        <w:rPr>
          <w:b/>
          <w:spacing w:val="60"/>
        </w:rPr>
      </w:pPr>
    </w:p>
    <w:p w:rsidR="009172B7" w:rsidRPr="00D94EB6" w:rsidRDefault="009172B7" w:rsidP="00BA139F">
      <w:pPr>
        <w:spacing w:line="360" w:lineRule="auto"/>
        <w:jc w:val="center"/>
        <w:rPr>
          <w:b/>
          <w:spacing w:val="60"/>
        </w:rPr>
      </w:pPr>
    </w:p>
    <w:p w:rsidR="00BA139F" w:rsidRPr="00582B35" w:rsidRDefault="006823AF" w:rsidP="00BA139F">
      <w:pPr>
        <w:spacing w:line="360" w:lineRule="auto"/>
        <w:jc w:val="center"/>
        <w:rPr>
          <w:b/>
          <w:spacing w:val="60"/>
          <w:sz w:val="32"/>
          <w:szCs w:val="32"/>
        </w:rPr>
      </w:pPr>
      <w:r>
        <w:rPr>
          <w:b/>
          <w:spacing w:val="60"/>
          <w:sz w:val="32"/>
          <w:szCs w:val="32"/>
        </w:rPr>
        <w:t>1115</w:t>
      </w:r>
      <w:r w:rsidR="00BA139F" w:rsidRPr="00582B35">
        <w:rPr>
          <w:b/>
          <w:spacing w:val="60"/>
          <w:sz w:val="32"/>
          <w:szCs w:val="32"/>
        </w:rPr>
        <w:t>a</w:t>
      </w:r>
    </w:p>
    <w:p w:rsidR="007021AD" w:rsidRPr="00582B35" w:rsidRDefault="007021AD" w:rsidP="007021AD">
      <w:pPr>
        <w:pStyle w:val="Nadpis3"/>
        <w:spacing w:line="360" w:lineRule="auto"/>
        <w:rPr>
          <w:rFonts w:ascii="Times New Roman" w:hAnsi="Times New Roman"/>
          <w:bCs/>
          <w:szCs w:val="28"/>
          <w:lang w:val="sk-SK"/>
        </w:rPr>
      </w:pPr>
    </w:p>
    <w:p w:rsidR="007021AD" w:rsidRDefault="002575F1" w:rsidP="00F95609">
      <w:pPr>
        <w:pStyle w:val="Nadpis3"/>
        <w:spacing w:line="360" w:lineRule="auto"/>
        <w:rPr>
          <w:rFonts w:ascii="Times New Roman" w:hAnsi="Times New Roman"/>
          <w:bCs/>
          <w:szCs w:val="28"/>
          <w:lang w:val="sk-SK"/>
        </w:rPr>
      </w:pPr>
      <w:r w:rsidRPr="00F95609">
        <w:rPr>
          <w:rFonts w:ascii="Times New Roman" w:hAnsi="Times New Roman"/>
          <w:bCs/>
          <w:szCs w:val="28"/>
          <w:lang w:val="sk-SK"/>
        </w:rPr>
        <w:t>S</w:t>
      </w:r>
      <w:r w:rsidR="007021AD" w:rsidRPr="00F95609">
        <w:rPr>
          <w:rFonts w:ascii="Times New Roman" w:hAnsi="Times New Roman"/>
          <w:bCs/>
          <w:szCs w:val="28"/>
          <w:lang w:val="sk-SK"/>
        </w:rPr>
        <w:t> p r á v</w:t>
      </w:r>
      <w:r w:rsidR="00F95609">
        <w:rPr>
          <w:rFonts w:ascii="Times New Roman" w:hAnsi="Times New Roman"/>
          <w:bCs/>
          <w:szCs w:val="28"/>
          <w:lang w:val="sk-SK"/>
        </w:rPr>
        <w:t> </w:t>
      </w:r>
      <w:r w:rsidR="007021AD" w:rsidRPr="00F95609">
        <w:rPr>
          <w:rFonts w:ascii="Times New Roman" w:hAnsi="Times New Roman"/>
          <w:bCs/>
          <w:szCs w:val="28"/>
          <w:lang w:val="sk-SK"/>
        </w:rPr>
        <w:t>a</w:t>
      </w:r>
    </w:p>
    <w:p w:rsidR="00F95609" w:rsidRPr="00F95609" w:rsidRDefault="00F95609" w:rsidP="00F95609"/>
    <w:p w:rsidR="006823AF" w:rsidRPr="006823AF" w:rsidRDefault="00BA2857" w:rsidP="006823AF">
      <w:pPr>
        <w:spacing w:line="360" w:lineRule="auto"/>
        <w:jc w:val="both"/>
        <w:rPr>
          <w:b/>
          <w:lang w:val="en-US"/>
        </w:rPr>
      </w:pPr>
      <w:r w:rsidRPr="006823AF">
        <w:rPr>
          <w:rFonts w:cs="Arial"/>
          <w:b/>
          <w:noProof/>
        </w:rPr>
        <w:t xml:space="preserve">Ústavnoprávneho výboru Národnej rady Slovenskej republiky </w:t>
      </w:r>
      <w:r w:rsidR="00191EE8" w:rsidRPr="006823AF">
        <w:rPr>
          <w:b/>
        </w:rPr>
        <w:t>o</w:t>
      </w:r>
      <w:r w:rsidR="003520B3" w:rsidRPr="006823AF">
        <w:rPr>
          <w:b/>
        </w:rPr>
        <w:t> </w:t>
      </w:r>
      <w:r w:rsidR="00191EE8" w:rsidRPr="006823AF">
        <w:rPr>
          <w:b/>
        </w:rPr>
        <w:t>prerokovaní</w:t>
      </w:r>
      <w:r w:rsidR="003520B3" w:rsidRPr="006823AF">
        <w:rPr>
          <w:b/>
        </w:rPr>
        <w:t xml:space="preserve"> </w:t>
      </w:r>
      <w:proofErr w:type="spellStart"/>
      <w:r w:rsidR="00BA139F" w:rsidRPr="006823AF">
        <w:rPr>
          <w:b/>
          <w:lang w:val="en-US"/>
        </w:rPr>
        <w:t>vládneho</w:t>
      </w:r>
      <w:proofErr w:type="spellEnd"/>
      <w:r w:rsidR="006823AF" w:rsidRPr="006823AF">
        <w:rPr>
          <w:b/>
          <w:shd w:val="clear" w:color="auto" w:fill="FFFFFF"/>
        </w:rPr>
        <w:t xml:space="preserve"> návrhu zákona, ktorým sa mení a dopĺňa zákon č. 300/2005 Z. z. Trestný zákon v  znení neskorších predpisov a ktorým sa dopĺňa zákon Národnej rady Slovenskej republiky č.  233/1995 Z. z. o súdnych exekútoroch a exekučn</w:t>
      </w:r>
      <w:r w:rsidR="006823AF">
        <w:rPr>
          <w:b/>
          <w:shd w:val="clear" w:color="auto" w:fill="FFFFFF"/>
        </w:rPr>
        <w:t>ej činnosti (Exekučný poriadok) a  </w:t>
      </w:r>
      <w:r w:rsidR="006823AF" w:rsidRPr="006823AF">
        <w:rPr>
          <w:b/>
          <w:shd w:val="clear" w:color="auto" w:fill="FFFFFF"/>
        </w:rPr>
        <w:t xml:space="preserve">o </w:t>
      </w:r>
      <w:r w:rsidR="006823AF">
        <w:rPr>
          <w:b/>
          <w:shd w:val="clear" w:color="auto" w:fill="FFFFFF"/>
        </w:rPr>
        <w:t> </w:t>
      </w:r>
      <w:r w:rsidR="006823AF" w:rsidRPr="006823AF">
        <w:rPr>
          <w:b/>
          <w:shd w:val="clear" w:color="auto" w:fill="FFFFFF"/>
        </w:rPr>
        <w:t>zmene a doplnení ďalších zákonov v znení neskorších predpisov (tlač 1115) v druhom čítaní</w:t>
      </w:r>
    </w:p>
    <w:p w:rsidR="002D4AB3" w:rsidRDefault="007021AD" w:rsidP="00545C94">
      <w:pPr>
        <w:shd w:val="clear" w:color="auto" w:fill="FFFFFF"/>
        <w:spacing w:line="360" w:lineRule="auto"/>
        <w:jc w:val="both"/>
        <w:rPr>
          <w:b/>
        </w:rPr>
      </w:pPr>
      <w:r w:rsidRPr="00582B35">
        <w:rPr>
          <w:b/>
          <w:bCs/>
        </w:rPr>
        <w:t>___________________________________________________________________________</w:t>
      </w:r>
    </w:p>
    <w:p w:rsidR="00EE4438" w:rsidRDefault="00EE4438" w:rsidP="00191EE8">
      <w:pPr>
        <w:pStyle w:val="Zkladntext3"/>
        <w:spacing w:line="360" w:lineRule="auto"/>
        <w:jc w:val="both"/>
        <w:rPr>
          <w:b w:val="0"/>
          <w:szCs w:val="24"/>
        </w:rPr>
      </w:pPr>
    </w:p>
    <w:p w:rsidR="00AF0ACD" w:rsidRDefault="00AF0ACD" w:rsidP="00191EE8">
      <w:pPr>
        <w:pStyle w:val="Zkladntext3"/>
        <w:spacing w:line="360" w:lineRule="auto"/>
        <w:jc w:val="both"/>
        <w:rPr>
          <w:b w:val="0"/>
          <w:szCs w:val="24"/>
        </w:rPr>
      </w:pPr>
    </w:p>
    <w:p w:rsidR="00AF0ACD" w:rsidRPr="00582B35" w:rsidRDefault="00AF0ACD" w:rsidP="00191EE8">
      <w:pPr>
        <w:pStyle w:val="Zkladntext3"/>
        <w:spacing w:line="360" w:lineRule="auto"/>
        <w:jc w:val="both"/>
        <w:rPr>
          <w:b w:val="0"/>
          <w:szCs w:val="24"/>
        </w:rPr>
      </w:pPr>
    </w:p>
    <w:p w:rsidR="006823AF" w:rsidRPr="006823AF" w:rsidRDefault="007021AD" w:rsidP="006823AF">
      <w:pPr>
        <w:spacing w:line="360" w:lineRule="auto"/>
        <w:jc w:val="both"/>
        <w:rPr>
          <w:lang w:val="en-US"/>
        </w:rPr>
      </w:pPr>
      <w:r w:rsidRPr="00582B35">
        <w:tab/>
        <w:t xml:space="preserve">Ústavnoprávny výbor </w:t>
      </w:r>
      <w:r w:rsidRPr="00582B35">
        <w:rPr>
          <w:bCs/>
        </w:rPr>
        <w:t xml:space="preserve">Národnej rady </w:t>
      </w:r>
      <w:r w:rsidR="008E719A" w:rsidRPr="00582B35">
        <w:rPr>
          <w:bCs/>
        </w:rPr>
        <w:t xml:space="preserve">podáva Národnej rade Slovenskej republiky podľa zákona Národnej rady Slovenskej republiky č. 350/1996 Z. z. o rokovacom poriadku </w:t>
      </w:r>
      <w:r w:rsidR="008E719A" w:rsidRPr="00FB5B7E">
        <w:rPr>
          <w:bCs/>
        </w:rPr>
        <w:t xml:space="preserve">Národnej rady Slovenskej republiky v znení neskorších predpisov </w:t>
      </w:r>
      <w:r w:rsidR="00500066" w:rsidRPr="00FB5B7E">
        <w:rPr>
          <w:bCs/>
        </w:rPr>
        <w:t>s</w:t>
      </w:r>
      <w:r w:rsidR="008E719A" w:rsidRPr="00FB5B7E">
        <w:t>právu</w:t>
      </w:r>
      <w:r w:rsidR="00B37C6F">
        <w:t xml:space="preserve"> </w:t>
      </w:r>
      <w:r w:rsidR="00106665" w:rsidRPr="00FB5B7E">
        <w:rPr>
          <w:bCs/>
        </w:rPr>
        <w:t>o</w:t>
      </w:r>
      <w:r w:rsidR="00B37C6F">
        <w:rPr>
          <w:bCs/>
        </w:rPr>
        <w:t> </w:t>
      </w:r>
      <w:r w:rsidR="003D26F1" w:rsidRPr="00FB5B7E">
        <w:rPr>
          <w:bCs/>
        </w:rPr>
        <w:t>výsledku</w:t>
      </w:r>
      <w:r w:rsidR="00B37C6F">
        <w:rPr>
          <w:bCs/>
        </w:rPr>
        <w:t xml:space="preserve"> </w:t>
      </w:r>
      <w:r w:rsidR="00106665" w:rsidRPr="003520B3">
        <w:rPr>
          <w:bCs/>
        </w:rPr>
        <w:t>prerokovan</w:t>
      </w:r>
      <w:r w:rsidR="003D26F1" w:rsidRPr="003520B3">
        <w:rPr>
          <w:bCs/>
        </w:rPr>
        <w:t>ia</w:t>
      </w:r>
      <w:r w:rsidR="00B37C6F">
        <w:rPr>
          <w:bCs/>
        </w:rPr>
        <w:t xml:space="preserve"> </w:t>
      </w:r>
      <w:proofErr w:type="spellStart"/>
      <w:r w:rsidR="00EE4438" w:rsidRPr="00EE4438">
        <w:rPr>
          <w:lang w:val="en-US"/>
        </w:rPr>
        <w:t>vládneho</w:t>
      </w:r>
      <w:proofErr w:type="spellEnd"/>
      <w:r w:rsidR="00EE4438" w:rsidRPr="00EE4438">
        <w:rPr>
          <w:lang w:val="en-US"/>
        </w:rPr>
        <w:t xml:space="preserve"> </w:t>
      </w:r>
      <w:r w:rsidR="006823AF" w:rsidRPr="006823AF">
        <w:rPr>
          <w:shd w:val="clear" w:color="auto" w:fill="FFFFFF"/>
        </w:rPr>
        <w:t>návrh</w:t>
      </w:r>
      <w:r w:rsidR="006823AF">
        <w:rPr>
          <w:shd w:val="clear" w:color="auto" w:fill="FFFFFF"/>
        </w:rPr>
        <w:t>u</w:t>
      </w:r>
      <w:r w:rsidR="006823AF" w:rsidRPr="006823AF">
        <w:rPr>
          <w:shd w:val="clear" w:color="auto" w:fill="FFFFFF"/>
        </w:rPr>
        <w:t xml:space="preserve"> zákona, ktorým sa mení a dopĺňa </w:t>
      </w:r>
      <w:r w:rsidR="006823AF" w:rsidRPr="006823AF">
        <w:rPr>
          <w:b/>
          <w:shd w:val="clear" w:color="auto" w:fill="FFFFFF"/>
        </w:rPr>
        <w:t>zákon č. 300/2005 Z. z. Trestný zákon</w:t>
      </w:r>
      <w:r w:rsidR="006823AF" w:rsidRPr="006823AF">
        <w:rPr>
          <w:shd w:val="clear" w:color="auto" w:fill="FFFFFF"/>
        </w:rPr>
        <w:t xml:space="preserve"> v  znení neskorších predpisov a ktorým sa dopĺňa </w:t>
      </w:r>
      <w:r w:rsidR="006823AF" w:rsidRPr="006823AF">
        <w:rPr>
          <w:b/>
          <w:shd w:val="clear" w:color="auto" w:fill="FFFFFF"/>
        </w:rPr>
        <w:t>zákon Národnej rady Slovenskej republiky č. 233/1995 Z. z. o súdnych exekútoroch a exekučn</w:t>
      </w:r>
      <w:r w:rsidR="006823AF">
        <w:rPr>
          <w:b/>
          <w:shd w:val="clear" w:color="auto" w:fill="FFFFFF"/>
        </w:rPr>
        <w:t xml:space="preserve">ej činnosti (Exekučný poriadok) </w:t>
      </w:r>
      <w:r w:rsidR="006823AF">
        <w:rPr>
          <w:shd w:val="clear" w:color="auto" w:fill="FFFFFF"/>
        </w:rPr>
        <w:t>a  </w:t>
      </w:r>
      <w:r w:rsidR="006823AF" w:rsidRPr="006823AF">
        <w:rPr>
          <w:shd w:val="clear" w:color="auto" w:fill="FFFFFF"/>
        </w:rPr>
        <w:t xml:space="preserve">o </w:t>
      </w:r>
      <w:r w:rsidR="006823AF">
        <w:rPr>
          <w:shd w:val="clear" w:color="auto" w:fill="FFFFFF"/>
        </w:rPr>
        <w:t> </w:t>
      </w:r>
      <w:r w:rsidR="006823AF" w:rsidRPr="006823AF">
        <w:rPr>
          <w:shd w:val="clear" w:color="auto" w:fill="FFFFFF"/>
        </w:rPr>
        <w:t>zmene a doplnení ďalších zákonov v znení neskorších predpisov (tlač 1115)</w:t>
      </w:r>
      <w:r w:rsidR="006823AF">
        <w:rPr>
          <w:shd w:val="clear" w:color="auto" w:fill="FFFFFF"/>
        </w:rPr>
        <w:t>.</w:t>
      </w:r>
    </w:p>
    <w:p w:rsidR="006823AF" w:rsidRDefault="006823AF" w:rsidP="006823AF">
      <w:pPr>
        <w:jc w:val="both"/>
        <w:rPr>
          <w:shd w:val="clear" w:color="auto" w:fill="FFFFFF"/>
        </w:rPr>
      </w:pPr>
    </w:p>
    <w:p w:rsidR="00987D1F" w:rsidRDefault="00987D1F" w:rsidP="006823AF">
      <w:pPr>
        <w:jc w:val="both"/>
        <w:rPr>
          <w:shd w:val="clear" w:color="auto" w:fill="FFFFFF"/>
        </w:rPr>
      </w:pPr>
    </w:p>
    <w:p w:rsidR="00987D1F" w:rsidRPr="00A61386" w:rsidRDefault="00987D1F" w:rsidP="006823AF">
      <w:pPr>
        <w:jc w:val="both"/>
        <w:rPr>
          <w:shd w:val="clear" w:color="auto" w:fill="FFFFFF"/>
        </w:rPr>
      </w:pPr>
    </w:p>
    <w:p w:rsidR="0040487E" w:rsidRPr="00582B35" w:rsidRDefault="0040487E" w:rsidP="0040487E">
      <w:pPr>
        <w:pStyle w:val="Zkladntext3"/>
        <w:tabs>
          <w:tab w:val="left" w:pos="-1985"/>
          <w:tab w:val="left" w:pos="709"/>
          <w:tab w:val="left" w:pos="1077"/>
        </w:tabs>
        <w:spacing w:line="360" w:lineRule="auto"/>
        <w:rPr>
          <w:bCs/>
          <w:szCs w:val="24"/>
        </w:rPr>
      </w:pPr>
      <w:r w:rsidRPr="00582B35">
        <w:rPr>
          <w:bCs/>
          <w:szCs w:val="24"/>
        </w:rPr>
        <w:lastRenderedPageBreak/>
        <w:t>I.</w:t>
      </w:r>
    </w:p>
    <w:p w:rsidR="0040487E" w:rsidRDefault="0040487E" w:rsidP="003E59BE">
      <w:pPr>
        <w:rPr>
          <w:lang w:val="en-US"/>
        </w:rPr>
      </w:pPr>
    </w:p>
    <w:p w:rsidR="00EE4438" w:rsidRPr="00EE4438" w:rsidRDefault="00EE4438" w:rsidP="00EE4438">
      <w:pPr>
        <w:spacing w:line="360" w:lineRule="auto"/>
        <w:ind w:firstLine="708"/>
        <w:jc w:val="both"/>
      </w:pPr>
      <w:r w:rsidRPr="00EE4438">
        <w:rPr>
          <w:bCs/>
        </w:rPr>
        <w:t>Národná rada Slovenskej republiky</w:t>
      </w:r>
      <w:r w:rsidRPr="00EE4438">
        <w:rPr>
          <w:b/>
          <w:bCs/>
        </w:rPr>
        <w:t xml:space="preserve"> </w:t>
      </w:r>
      <w:r w:rsidRPr="00EE4438">
        <w:rPr>
          <w:bCs/>
        </w:rPr>
        <w:t>uznesením z</w:t>
      </w:r>
      <w:r w:rsidR="00987D1F">
        <w:rPr>
          <w:bCs/>
        </w:rPr>
        <w:t> 9</w:t>
      </w:r>
      <w:r w:rsidR="009426AB">
        <w:rPr>
          <w:bCs/>
        </w:rPr>
        <w:t>. decembra</w:t>
      </w:r>
      <w:r w:rsidR="00AF0ACD">
        <w:rPr>
          <w:bCs/>
        </w:rPr>
        <w:t xml:space="preserve"> </w:t>
      </w:r>
      <w:r w:rsidRPr="00EE4438">
        <w:rPr>
          <w:bCs/>
        </w:rPr>
        <w:t>202</w:t>
      </w:r>
      <w:r w:rsidR="009426AB">
        <w:rPr>
          <w:bCs/>
        </w:rPr>
        <w:t>5</w:t>
      </w:r>
      <w:r w:rsidRPr="00EE4438">
        <w:rPr>
          <w:bCs/>
        </w:rPr>
        <w:t xml:space="preserve"> rozhodla, že prerokuje</w:t>
      </w:r>
      <w:r w:rsidR="004737D3">
        <w:rPr>
          <w:bCs/>
        </w:rPr>
        <w:t xml:space="preserve"> vládny</w:t>
      </w:r>
      <w:r w:rsidRPr="00EE4438">
        <w:t xml:space="preserve"> návrh zákona v skrátenom legislatívnom konaní. </w:t>
      </w:r>
    </w:p>
    <w:p w:rsidR="00EE4438" w:rsidRPr="002A779B" w:rsidRDefault="00EE4438" w:rsidP="008C168B">
      <w:pPr>
        <w:pStyle w:val="Bezriadkovania"/>
      </w:pPr>
    </w:p>
    <w:p w:rsidR="005E23DD" w:rsidRPr="008C168B" w:rsidRDefault="00EE4438" w:rsidP="008C168B">
      <w:pPr>
        <w:spacing w:line="360" w:lineRule="auto"/>
        <w:ind w:firstLine="708"/>
        <w:jc w:val="both"/>
        <w:rPr>
          <w:bCs/>
        </w:rPr>
      </w:pPr>
      <w:r w:rsidRPr="002A779B">
        <w:rPr>
          <w:bCs/>
        </w:rPr>
        <w:t>Národná rada Sl</w:t>
      </w:r>
      <w:r w:rsidR="00C33BE7">
        <w:rPr>
          <w:bCs/>
        </w:rPr>
        <w:t xml:space="preserve">ovenskej republiky uznesením </w:t>
      </w:r>
      <w:r w:rsidRPr="002A779B">
        <w:rPr>
          <w:bCs/>
        </w:rPr>
        <w:t>z</w:t>
      </w:r>
      <w:r w:rsidR="005E23DD">
        <w:rPr>
          <w:bCs/>
        </w:rPr>
        <w:t> </w:t>
      </w:r>
      <w:r w:rsidR="00987D1F">
        <w:rPr>
          <w:bCs/>
        </w:rPr>
        <w:t>10</w:t>
      </w:r>
      <w:r w:rsidR="009426AB">
        <w:rPr>
          <w:bCs/>
        </w:rPr>
        <w:t>. decembra</w:t>
      </w:r>
      <w:r w:rsidRPr="002A779B">
        <w:rPr>
          <w:bCs/>
        </w:rPr>
        <w:t xml:space="preserve"> 202</w:t>
      </w:r>
      <w:r w:rsidR="009426AB">
        <w:rPr>
          <w:bCs/>
        </w:rPr>
        <w:t>5</w:t>
      </w:r>
      <w:r w:rsidRPr="002A779B">
        <w:rPr>
          <w:bCs/>
        </w:rPr>
        <w:t xml:space="preserve"> </w:t>
      </w:r>
      <w:r w:rsidR="003F161C">
        <w:rPr>
          <w:bCs/>
        </w:rPr>
        <w:t xml:space="preserve">rozhodla o tom, že </w:t>
      </w:r>
      <w:r w:rsidRPr="002A779B">
        <w:rPr>
          <w:bCs/>
        </w:rPr>
        <w:t>vládn</w:t>
      </w:r>
      <w:r w:rsidR="00294B22" w:rsidRPr="002A779B">
        <w:rPr>
          <w:bCs/>
        </w:rPr>
        <w:t>y</w:t>
      </w:r>
      <w:r w:rsidR="009426AB" w:rsidRPr="009426AB">
        <w:rPr>
          <w:shd w:val="clear" w:color="auto" w:fill="FFFFFF"/>
        </w:rPr>
        <w:t xml:space="preserve"> návrh zákona, ktorým sa mení a dopĺňa </w:t>
      </w:r>
      <w:r w:rsidR="009426AB" w:rsidRPr="009426AB">
        <w:rPr>
          <w:b/>
          <w:shd w:val="clear" w:color="auto" w:fill="FFFFFF"/>
        </w:rPr>
        <w:t>zákon č. 300/2005 Z. z. Trestný zákon</w:t>
      </w:r>
      <w:r w:rsidR="009426AB" w:rsidRPr="009426AB">
        <w:rPr>
          <w:shd w:val="clear" w:color="auto" w:fill="FFFFFF"/>
        </w:rPr>
        <w:t xml:space="preserve"> v  znení neskorších predpisov a ktorým sa dopĺňa </w:t>
      </w:r>
      <w:r w:rsidR="009426AB" w:rsidRPr="009426AB">
        <w:rPr>
          <w:b/>
          <w:shd w:val="clear" w:color="auto" w:fill="FFFFFF"/>
        </w:rPr>
        <w:t>zákon Nár</w:t>
      </w:r>
      <w:r w:rsidR="009426AB">
        <w:rPr>
          <w:b/>
          <w:shd w:val="clear" w:color="auto" w:fill="FFFFFF"/>
        </w:rPr>
        <w:t xml:space="preserve">odnej rady Slovenskej republiky </w:t>
      </w:r>
      <w:r w:rsidR="009426AB" w:rsidRPr="009426AB">
        <w:rPr>
          <w:b/>
          <w:shd w:val="clear" w:color="auto" w:fill="FFFFFF"/>
        </w:rPr>
        <w:t xml:space="preserve">č. </w:t>
      </w:r>
      <w:r w:rsidR="009426AB">
        <w:rPr>
          <w:b/>
          <w:shd w:val="clear" w:color="auto" w:fill="FFFFFF"/>
        </w:rPr>
        <w:t> </w:t>
      </w:r>
      <w:r w:rsidR="009426AB" w:rsidRPr="009426AB">
        <w:rPr>
          <w:b/>
          <w:shd w:val="clear" w:color="auto" w:fill="FFFFFF"/>
        </w:rPr>
        <w:t>233/1995 Z. z. o súdnych exekútoroch a exekučn</w:t>
      </w:r>
      <w:r w:rsidR="009426AB">
        <w:rPr>
          <w:b/>
          <w:shd w:val="clear" w:color="auto" w:fill="FFFFFF"/>
        </w:rPr>
        <w:t xml:space="preserve">ej činnosti (Exekučný poriadok) </w:t>
      </w:r>
      <w:r w:rsidR="009426AB">
        <w:rPr>
          <w:shd w:val="clear" w:color="auto" w:fill="FFFFFF"/>
        </w:rPr>
        <w:t>a  </w:t>
      </w:r>
      <w:r w:rsidR="009426AB" w:rsidRPr="009426AB">
        <w:rPr>
          <w:shd w:val="clear" w:color="auto" w:fill="FFFFFF"/>
        </w:rPr>
        <w:t xml:space="preserve">o </w:t>
      </w:r>
      <w:r w:rsidR="009426AB">
        <w:rPr>
          <w:shd w:val="clear" w:color="auto" w:fill="FFFFFF"/>
        </w:rPr>
        <w:t> </w:t>
      </w:r>
      <w:r w:rsidR="009426AB" w:rsidRPr="009426AB">
        <w:rPr>
          <w:shd w:val="clear" w:color="auto" w:fill="FFFFFF"/>
        </w:rPr>
        <w:t>zmene a doplnení ďalších zákonov v znení neskorších predpisov (tlač 1115)</w:t>
      </w:r>
      <w:r w:rsidR="00A73BF6" w:rsidRPr="00A73BF6">
        <w:rPr>
          <w:bCs/>
        </w:rPr>
        <w:t xml:space="preserve"> </w:t>
      </w:r>
      <w:r w:rsidR="003F161C">
        <w:rPr>
          <w:bCs/>
        </w:rPr>
        <w:t xml:space="preserve">prerokuje v druhom čítaní a pridelila ho </w:t>
      </w:r>
      <w:r w:rsidR="007021AD" w:rsidRPr="00450919">
        <w:t>na  </w:t>
      </w:r>
      <w:r w:rsidR="007021AD" w:rsidRPr="00191EE8">
        <w:t>prerokovanie</w:t>
      </w:r>
      <w:r w:rsidR="00B37C6F">
        <w:t xml:space="preserve"> </w:t>
      </w:r>
      <w:r w:rsidR="007021AD" w:rsidRPr="00191EE8">
        <w:t>Ústavnoprávnemu</w:t>
      </w:r>
      <w:r w:rsidR="00B37C6F">
        <w:t xml:space="preserve"> </w:t>
      </w:r>
      <w:r w:rsidR="007021AD" w:rsidRPr="00191EE8">
        <w:t>výboru</w:t>
      </w:r>
      <w:r w:rsidR="00B37C6F">
        <w:t xml:space="preserve"> </w:t>
      </w:r>
      <w:r w:rsidR="007021AD" w:rsidRPr="00191EE8">
        <w:t>Národ</w:t>
      </w:r>
      <w:r w:rsidR="002575F1" w:rsidRPr="00191EE8">
        <w:t>nej rady Slovenskej</w:t>
      </w:r>
      <w:r w:rsidR="00B37C6F">
        <w:t xml:space="preserve"> </w:t>
      </w:r>
      <w:r w:rsidR="002575F1" w:rsidRPr="00191EE8">
        <w:t>republiky</w:t>
      </w:r>
      <w:r w:rsidR="00EB45A5" w:rsidRPr="00191EE8">
        <w:t>, a </w:t>
      </w:r>
      <w:r w:rsidR="00946149" w:rsidRPr="00191EE8">
        <w:t>to aj</w:t>
      </w:r>
      <w:r w:rsidR="00A4115B">
        <w:t xml:space="preserve"> </w:t>
      </w:r>
      <w:r w:rsidR="00946149" w:rsidRPr="00191EE8">
        <w:t>ako</w:t>
      </w:r>
      <w:r w:rsidR="00A4115B">
        <w:t xml:space="preserve"> </w:t>
      </w:r>
      <w:r w:rsidR="00946149" w:rsidRPr="00191EE8">
        <w:t>gestorskému</w:t>
      </w:r>
      <w:r w:rsidR="00A4115B">
        <w:t xml:space="preserve"> v</w:t>
      </w:r>
      <w:r w:rsidR="00946149" w:rsidRPr="00191EE8">
        <w:t>ýboru</w:t>
      </w:r>
      <w:r w:rsidR="0070162E" w:rsidRPr="00191EE8">
        <w:t xml:space="preserve"> a</w:t>
      </w:r>
      <w:r w:rsidR="00A4115B">
        <w:t> </w:t>
      </w:r>
      <w:r w:rsidR="0070162E" w:rsidRPr="00191EE8">
        <w:t>určila</w:t>
      </w:r>
      <w:r w:rsidR="00A4115B">
        <w:t xml:space="preserve"> </w:t>
      </w:r>
      <w:r w:rsidR="0070162E" w:rsidRPr="00191EE8">
        <w:t>lehotu</w:t>
      </w:r>
      <w:r w:rsidR="00A4115B">
        <w:t xml:space="preserve"> </w:t>
      </w:r>
      <w:r w:rsidR="00F95609">
        <w:rPr>
          <w:bCs/>
        </w:rPr>
        <w:t>na</w:t>
      </w:r>
      <w:r w:rsidR="00A4115B">
        <w:rPr>
          <w:bCs/>
        </w:rPr>
        <w:t xml:space="preserve"> </w:t>
      </w:r>
      <w:r w:rsidR="00F95609">
        <w:rPr>
          <w:bCs/>
        </w:rPr>
        <w:t>jeho</w:t>
      </w:r>
      <w:r w:rsidR="00A4115B">
        <w:rPr>
          <w:bCs/>
        </w:rPr>
        <w:t xml:space="preserve"> </w:t>
      </w:r>
      <w:r w:rsidR="00F95609">
        <w:rPr>
          <w:bCs/>
        </w:rPr>
        <w:t>prerokovanie v</w:t>
      </w:r>
      <w:r w:rsidR="00A4115B">
        <w:rPr>
          <w:bCs/>
        </w:rPr>
        <w:t> </w:t>
      </w:r>
      <w:r w:rsidR="0070162E" w:rsidRPr="00191EE8">
        <w:rPr>
          <w:bCs/>
        </w:rPr>
        <w:t>druhom</w:t>
      </w:r>
      <w:r w:rsidR="00A4115B">
        <w:rPr>
          <w:bCs/>
        </w:rPr>
        <w:t xml:space="preserve"> </w:t>
      </w:r>
      <w:r w:rsidR="0070162E" w:rsidRPr="00191EE8">
        <w:rPr>
          <w:bCs/>
        </w:rPr>
        <w:t>čítaní</w:t>
      </w:r>
      <w:r w:rsidR="00A73BF6">
        <w:rPr>
          <w:bCs/>
        </w:rPr>
        <w:t xml:space="preserve"> ihneď</w:t>
      </w:r>
      <w:r w:rsidR="0070162E" w:rsidRPr="00191EE8">
        <w:rPr>
          <w:bCs/>
        </w:rPr>
        <w:t>.</w:t>
      </w:r>
    </w:p>
    <w:p w:rsidR="007021AD" w:rsidRPr="00582B35" w:rsidRDefault="007021AD" w:rsidP="007021AD">
      <w:pPr>
        <w:tabs>
          <w:tab w:val="left" w:pos="-1985"/>
          <w:tab w:val="left" w:pos="709"/>
          <w:tab w:val="left" w:pos="1077"/>
        </w:tabs>
        <w:spacing w:line="360" w:lineRule="auto"/>
        <w:jc w:val="center"/>
        <w:rPr>
          <w:b/>
          <w:bCs/>
        </w:rPr>
      </w:pPr>
      <w:r w:rsidRPr="00582B35">
        <w:rPr>
          <w:b/>
          <w:bCs/>
        </w:rPr>
        <w:t>II.</w:t>
      </w:r>
    </w:p>
    <w:p w:rsidR="00CF5349" w:rsidRDefault="00CF5349" w:rsidP="008C168B">
      <w:pPr>
        <w:pStyle w:val="Bezriadkovania"/>
      </w:pPr>
    </w:p>
    <w:p w:rsidR="007021AD" w:rsidRDefault="007021AD" w:rsidP="007021AD">
      <w:pPr>
        <w:pStyle w:val="Zkladntext2"/>
        <w:tabs>
          <w:tab w:val="left" w:pos="-1985"/>
          <w:tab w:val="left" w:pos="709"/>
          <w:tab w:val="left" w:pos="1077"/>
        </w:tabs>
        <w:spacing w:line="360" w:lineRule="auto"/>
        <w:rPr>
          <w:szCs w:val="24"/>
          <w:lang w:eastAsia="sk-SK"/>
        </w:rPr>
      </w:pPr>
      <w:r w:rsidRPr="00582B35">
        <w:rPr>
          <w:szCs w:val="24"/>
          <w:lang w:eastAsia="sk-SK"/>
        </w:rPr>
        <w:tab/>
        <w:t>Poslanci Národnej rady Slovenskej republiky, ktorí nie sú členmi vý</w:t>
      </w:r>
      <w:r w:rsidR="000825A7" w:rsidRPr="00582B35">
        <w:rPr>
          <w:szCs w:val="24"/>
          <w:lang w:eastAsia="sk-SK"/>
        </w:rPr>
        <w:t>boru, ktorému</w:t>
      </w:r>
      <w:r w:rsidRPr="00582B35">
        <w:rPr>
          <w:szCs w:val="24"/>
          <w:lang w:eastAsia="sk-SK"/>
        </w:rPr>
        <w:t xml:space="preserve"> bol </w:t>
      </w:r>
      <w:r w:rsidR="00F95609">
        <w:rPr>
          <w:szCs w:val="24"/>
          <w:lang w:eastAsia="sk-SK"/>
        </w:rPr>
        <w:t xml:space="preserve">vládny </w:t>
      </w:r>
      <w:r w:rsidRPr="00582B35">
        <w:rPr>
          <w:szCs w:val="24"/>
          <w:lang w:eastAsia="sk-SK"/>
        </w:rPr>
        <w:t>návrh</w:t>
      </w:r>
      <w:r w:rsidR="00A4115B">
        <w:rPr>
          <w:szCs w:val="24"/>
          <w:lang w:eastAsia="sk-SK"/>
        </w:rPr>
        <w:t xml:space="preserve"> </w:t>
      </w:r>
      <w:r w:rsidRPr="00582B35">
        <w:rPr>
          <w:szCs w:val="24"/>
          <w:lang w:eastAsia="sk-SK"/>
        </w:rPr>
        <w:t xml:space="preserve">zákona pridelený, </w:t>
      </w:r>
      <w:r w:rsidRPr="00582B35">
        <w:rPr>
          <w:bCs/>
          <w:szCs w:val="24"/>
          <w:lang w:eastAsia="sk-SK"/>
        </w:rPr>
        <w:t>neoznámili v určenej lehote</w:t>
      </w:r>
      <w:r w:rsidR="00A4115B">
        <w:rPr>
          <w:bCs/>
          <w:szCs w:val="24"/>
          <w:lang w:eastAsia="sk-SK"/>
        </w:rPr>
        <w:t xml:space="preserve"> </w:t>
      </w:r>
      <w:r w:rsidRPr="00582B35">
        <w:rPr>
          <w:szCs w:val="24"/>
          <w:lang w:eastAsia="sk-SK"/>
        </w:rPr>
        <w:t xml:space="preserve">výboru </w:t>
      </w:r>
      <w:r w:rsidRPr="00582B35">
        <w:rPr>
          <w:bCs/>
          <w:szCs w:val="24"/>
          <w:lang w:eastAsia="sk-SK"/>
        </w:rPr>
        <w:t>žiadne stanovisko</w:t>
      </w:r>
      <w:r w:rsidRPr="00582B35">
        <w:rPr>
          <w:szCs w:val="24"/>
          <w:lang w:eastAsia="sk-SK"/>
        </w:rPr>
        <w:t xml:space="preserve"> k predmetnému </w:t>
      </w:r>
      <w:r w:rsidR="00F95609">
        <w:rPr>
          <w:szCs w:val="24"/>
          <w:lang w:eastAsia="sk-SK"/>
        </w:rPr>
        <w:t xml:space="preserve">vládnemu </w:t>
      </w:r>
      <w:r w:rsidRPr="00582B35">
        <w:rPr>
          <w:szCs w:val="24"/>
          <w:lang w:eastAsia="sk-SK"/>
        </w:rPr>
        <w:t>návrhu zákona (§ 75 ods. 2 zákona o rokovacom poriadku Národ</w:t>
      </w:r>
      <w:r w:rsidR="00553252" w:rsidRPr="00582B35">
        <w:rPr>
          <w:szCs w:val="24"/>
          <w:lang w:eastAsia="sk-SK"/>
        </w:rPr>
        <w:t>nej rady Slovenskej republiky).</w:t>
      </w:r>
    </w:p>
    <w:p w:rsidR="005E23DD" w:rsidRPr="00582B35" w:rsidRDefault="005E23DD" w:rsidP="003E59BE"/>
    <w:p w:rsidR="007021AD" w:rsidRDefault="007021AD" w:rsidP="00F13AA1">
      <w:pPr>
        <w:pStyle w:val="Zkladntext3"/>
        <w:tabs>
          <w:tab w:val="left" w:pos="-1985"/>
          <w:tab w:val="left" w:pos="709"/>
          <w:tab w:val="left" w:pos="1077"/>
        </w:tabs>
        <w:rPr>
          <w:bCs/>
          <w:szCs w:val="24"/>
        </w:rPr>
      </w:pPr>
      <w:r w:rsidRPr="00582B35">
        <w:rPr>
          <w:bCs/>
          <w:szCs w:val="24"/>
        </w:rPr>
        <w:t>III.</w:t>
      </w:r>
    </w:p>
    <w:p w:rsidR="00F13AA1" w:rsidRPr="00AF0ACD" w:rsidRDefault="00F13AA1" w:rsidP="00F13AA1">
      <w:pPr>
        <w:ind w:firstLine="708"/>
        <w:jc w:val="both"/>
      </w:pPr>
    </w:p>
    <w:p w:rsidR="00A32E5B" w:rsidRPr="00387A2D" w:rsidRDefault="00B965DC" w:rsidP="00AF0ACD">
      <w:pPr>
        <w:spacing w:line="360" w:lineRule="auto"/>
        <w:ind w:firstLine="708"/>
        <w:jc w:val="both"/>
        <w:rPr>
          <w:b/>
        </w:rPr>
      </w:pPr>
      <w:r w:rsidRPr="00AF0ACD">
        <w:rPr>
          <w:bCs/>
        </w:rPr>
        <w:t xml:space="preserve">Vládny </w:t>
      </w:r>
      <w:r w:rsidR="00EE4438" w:rsidRPr="00AF0ACD">
        <w:rPr>
          <w:bCs/>
        </w:rPr>
        <w:t>návrh zákona</w:t>
      </w:r>
      <w:r w:rsidR="009426AB" w:rsidRPr="009426AB">
        <w:rPr>
          <w:shd w:val="clear" w:color="auto" w:fill="FFFFFF"/>
        </w:rPr>
        <w:t xml:space="preserve">, ktorým sa mení a dopĺňa </w:t>
      </w:r>
      <w:r w:rsidR="009426AB" w:rsidRPr="009426AB">
        <w:rPr>
          <w:b/>
          <w:shd w:val="clear" w:color="auto" w:fill="FFFFFF"/>
        </w:rPr>
        <w:t>zákon č. 300/2005 Z. z. Trestný zákon</w:t>
      </w:r>
      <w:r w:rsidR="009426AB" w:rsidRPr="009426AB">
        <w:rPr>
          <w:shd w:val="clear" w:color="auto" w:fill="FFFFFF"/>
        </w:rPr>
        <w:t xml:space="preserve"> v  znení neskorších predpisov a ktorým sa dopĺňa </w:t>
      </w:r>
      <w:r w:rsidR="009426AB" w:rsidRPr="009426AB">
        <w:rPr>
          <w:b/>
          <w:shd w:val="clear" w:color="auto" w:fill="FFFFFF"/>
        </w:rPr>
        <w:t>zákon Národnej rady Slovenskej republiky č. 233/1995 Z. z. o súdnych exekútoroch a exekučn</w:t>
      </w:r>
      <w:r w:rsidR="009426AB">
        <w:rPr>
          <w:b/>
          <w:shd w:val="clear" w:color="auto" w:fill="FFFFFF"/>
        </w:rPr>
        <w:t xml:space="preserve">ej činnosti (Exekučný poriadok) </w:t>
      </w:r>
      <w:r w:rsidR="009426AB">
        <w:rPr>
          <w:shd w:val="clear" w:color="auto" w:fill="FFFFFF"/>
        </w:rPr>
        <w:t>a  </w:t>
      </w:r>
      <w:r w:rsidR="009426AB" w:rsidRPr="009426AB">
        <w:rPr>
          <w:shd w:val="clear" w:color="auto" w:fill="FFFFFF"/>
        </w:rPr>
        <w:t xml:space="preserve">o </w:t>
      </w:r>
      <w:r w:rsidR="009426AB">
        <w:rPr>
          <w:shd w:val="clear" w:color="auto" w:fill="FFFFFF"/>
        </w:rPr>
        <w:t> </w:t>
      </w:r>
      <w:r w:rsidR="009426AB" w:rsidRPr="009426AB">
        <w:rPr>
          <w:shd w:val="clear" w:color="auto" w:fill="FFFFFF"/>
        </w:rPr>
        <w:t>zmene a doplnení ďalších zákonov v znení neskorších predpisov (tlač 1115)</w:t>
      </w:r>
      <w:r w:rsidR="00A73BF6">
        <w:t xml:space="preserve"> </w:t>
      </w:r>
      <w:r w:rsidR="00637C4C" w:rsidRPr="002A779B">
        <w:t xml:space="preserve">prerokoval </w:t>
      </w:r>
      <w:r w:rsidR="00FE1890" w:rsidRPr="002A779B">
        <w:rPr>
          <w:bCs/>
        </w:rPr>
        <w:t>Ú</w:t>
      </w:r>
      <w:r w:rsidR="00AE7AF0" w:rsidRPr="002A779B">
        <w:t xml:space="preserve">stavnoprávny výbor Národnej rady Slovenskej republiky </w:t>
      </w:r>
      <w:r w:rsidR="00690B79" w:rsidRPr="002A779B">
        <w:t>a </w:t>
      </w:r>
      <w:r w:rsidR="002575F1" w:rsidRPr="002A779B">
        <w:t xml:space="preserve">odporúčal </w:t>
      </w:r>
      <w:r w:rsidR="002040D1" w:rsidRPr="002A779B">
        <w:t xml:space="preserve">ho </w:t>
      </w:r>
      <w:r w:rsidR="002575F1" w:rsidRPr="002A779B">
        <w:t>Národnej rad</w:t>
      </w:r>
      <w:r w:rsidR="00AE7AF0" w:rsidRPr="002A779B">
        <w:t>e</w:t>
      </w:r>
      <w:r w:rsidR="002575F1" w:rsidRPr="002A779B">
        <w:t xml:space="preserve"> Slovenskej republiky </w:t>
      </w:r>
      <w:r w:rsidR="00B768E0" w:rsidRPr="002A779B">
        <w:t xml:space="preserve">uznesením </w:t>
      </w:r>
      <w:r w:rsidR="003E10C1" w:rsidRPr="00387A2D">
        <w:t>č.</w:t>
      </w:r>
      <w:r w:rsidR="004B67B0" w:rsidRPr="00387A2D">
        <w:t xml:space="preserve"> </w:t>
      </w:r>
      <w:r w:rsidR="00594260" w:rsidRPr="00387A2D">
        <w:t>411</w:t>
      </w:r>
      <w:r w:rsidR="00F95609" w:rsidRPr="00387A2D">
        <w:t xml:space="preserve"> z </w:t>
      </w:r>
      <w:r w:rsidR="00F015A7" w:rsidRPr="00387A2D">
        <w:t> </w:t>
      </w:r>
      <w:r w:rsidR="00594260" w:rsidRPr="00387A2D">
        <w:t>11</w:t>
      </w:r>
      <w:r w:rsidR="009426AB" w:rsidRPr="00387A2D">
        <w:t>. decembra</w:t>
      </w:r>
      <w:r w:rsidR="007C1BCC" w:rsidRPr="00387A2D">
        <w:t xml:space="preserve"> 202</w:t>
      </w:r>
      <w:r w:rsidR="009426AB" w:rsidRPr="00387A2D">
        <w:t>5</w:t>
      </w:r>
      <w:r w:rsidR="007C1BCC" w:rsidRPr="00387A2D">
        <w:t xml:space="preserve"> </w:t>
      </w:r>
      <w:r w:rsidR="002575F1" w:rsidRPr="00387A2D">
        <w:rPr>
          <w:b/>
        </w:rPr>
        <w:t>schváli</w:t>
      </w:r>
      <w:r w:rsidR="00A32E5B" w:rsidRPr="00387A2D">
        <w:rPr>
          <w:b/>
        </w:rPr>
        <w:t>ť</w:t>
      </w:r>
      <w:r w:rsidR="009D2283" w:rsidRPr="00387A2D">
        <w:rPr>
          <w:b/>
        </w:rPr>
        <w:t xml:space="preserve">.  </w:t>
      </w:r>
    </w:p>
    <w:p w:rsidR="005E23DD" w:rsidRPr="00A73BF6" w:rsidRDefault="005E23DD" w:rsidP="008C168B"/>
    <w:p w:rsidR="00FD26E9" w:rsidRDefault="00FD26E9" w:rsidP="00FD26E9">
      <w:pPr>
        <w:pStyle w:val="Zkladntext3"/>
        <w:tabs>
          <w:tab w:val="left" w:pos="-1985"/>
          <w:tab w:val="left" w:pos="709"/>
          <w:tab w:val="left" w:pos="1077"/>
        </w:tabs>
        <w:rPr>
          <w:bCs/>
          <w:szCs w:val="24"/>
        </w:rPr>
      </w:pPr>
      <w:r w:rsidRPr="00582B35">
        <w:rPr>
          <w:bCs/>
          <w:szCs w:val="24"/>
        </w:rPr>
        <w:t>IV.</w:t>
      </w:r>
    </w:p>
    <w:p w:rsidR="00FD26E9" w:rsidRPr="007C1BCC" w:rsidRDefault="00FD26E9" w:rsidP="003E59BE"/>
    <w:p w:rsidR="008C168B" w:rsidRDefault="00FD26E9" w:rsidP="008C168B">
      <w:pPr>
        <w:tabs>
          <w:tab w:val="left" w:pos="-1985"/>
          <w:tab w:val="left" w:pos="709"/>
          <w:tab w:val="left" w:pos="1077"/>
        </w:tabs>
        <w:spacing w:line="360" w:lineRule="auto"/>
        <w:jc w:val="both"/>
      </w:pPr>
      <w:r w:rsidRPr="007C1BCC">
        <w:tab/>
      </w:r>
      <w:r w:rsidRPr="00F13AA1">
        <w:t>Z</w:t>
      </w:r>
      <w:r>
        <w:t> </w:t>
      </w:r>
      <w:r w:rsidRPr="00F13AA1">
        <w:t>uznesenia</w:t>
      </w:r>
      <w:r>
        <w:t xml:space="preserve"> </w:t>
      </w:r>
      <w:r w:rsidRPr="00F13AA1">
        <w:t>Ústavnoprávneho</w:t>
      </w:r>
      <w:r>
        <w:t xml:space="preserve"> </w:t>
      </w:r>
      <w:r w:rsidRPr="00F13AA1">
        <w:t>výboru</w:t>
      </w:r>
      <w:r>
        <w:t xml:space="preserve"> </w:t>
      </w:r>
      <w:r w:rsidRPr="00F13AA1">
        <w:t xml:space="preserve">Národnej rady Slovenskej republiky </w:t>
      </w:r>
      <w:r w:rsidR="00A73BF6">
        <w:t xml:space="preserve">uvedeného v časti III. </w:t>
      </w:r>
      <w:r w:rsidRPr="00F13AA1">
        <w:t xml:space="preserve">tejto správy </w:t>
      </w:r>
      <w:r w:rsidR="00033FCD">
        <w:t>vyplýva</w:t>
      </w:r>
      <w:r w:rsidR="0052534A">
        <w:t>jú</w:t>
      </w:r>
      <w:r w:rsidR="00033FCD">
        <w:t xml:space="preserve"> t</w:t>
      </w:r>
      <w:r w:rsidR="0052534A">
        <w:t>ie</w:t>
      </w:r>
      <w:r w:rsidR="00033FCD">
        <w:t>to pozmeňujúc</w:t>
      </w:r>
      <w:r w:rsidR="0052534A">
        <w:t>e</w:t>
      </w:r>
      <w:r w:rsidR="00033FCD">
        <w:t xml:space="preserve"> návrh</w:t>
      </w:r>
      <w:r w:rsidR="0052534A">
        <w:t>y</w:t>
      </w:r>
      <w:r w:rsidR="00033FCD">
        <w:t xml:space="preserve">: </w:t>
      </w:r>
    </w:p>
    <w:p w:rsidR="008C168B" w:rsidRPr="003A35C1" w:rsidRDefault="008C168B" w:rsidP="008C168B">
      <w:pPr>
        <w:tabs>
          <w:tab w:val="left" w:pos="-1985"/>
          <w:tab w:val="left" w:pos="709"/>
          <w:tab w:val="left" w:pos="1077"/>
        </w:tabs>
        <w:spacing w:line="360" w:lineRule="auto"/>
        <w:jc w:val="both"/>
      </w:pPr>
    </w:p>
    <w:p w:rsidR="001B5495" w:rsidRDefault="001B5495" w:rsidP="001B5495">
      <w:pPr>
        <w:jc w:val="both"/>
        <w:rPr>
          <w:rFonts w:eastAsiaTheme="minorHAnsi"/>
          <w:bCs/>
          <w:lang w:eastAsia="en-US"/>
        </w:rPr>
      </w:pPr>
      <w:r w:rsidRPr="003A35C1">
        <w:rPr>
          <w:rFonts w:eastAsiaTheme="minorHAnsi"/>
          <w:bCs/>
          <w:lang w:eastAsia="en-US"/>
        </w:rPr>
        <w:t xml:space="preserve">1. Čl. I sa dopĺňa bodmi 4 a </w:t>
      </w:r>
      <w:r w:rsidR="00C15C71">
        <w:rPr>
          <w:rFonts w:eastAsiaTheme="minorHAnsi"/>
          <w:bCs/>
          <w:lang w:eastAsia="en-US"/>
        </w:rPr>
        <w:t>5</w:t>
      </w:r>
      <w:r w:rsidRPr="003A35C1">
        <w:rPr>
          <w:rFonts w:eastAsiaTheme="minorHAnsi"/>
          <w:bCs/>
          <w:lang w:eastAsia="en-US"/>
        </w:rPr>
        <w:t>, ktoré znejú:</w:t>
      </w:r>
    </w:p>
    <w:p w:rsidR="001B5495" w:rsidRPr="003A35C1" w:rsidRDefault="001B5495" w:rsidP="001B5495">
      <w:pPr>
        <w:jc w:val="both"/>
        <w:rPr>
          <w:rFonts w:eastAsiaTheme="minorHAnsi"/>
          <w:bCs/>
          <w:lang w:eastAsia="en-US"/>
        </w:rPr>
      </w:pPr>
    </w:p>
    <w:p w:rsidR="001B5495" w:rsidRDefault="001B5495" w:rsidP="001B5495">
      <w:pPr>
        <w:jc w:val="both"/>
        <w:rPr>
          <w:rFonts w:eastAsia="Calibri"/>
          <w:szCs w:val="22"/>
          <w:lang w:eastAsia="en-US"/>
        </w:rPr>
      </w:pPr>
      <w:r w:rsidRPr="003A35C1">
        <w:rPr>
          <w:rFonts w:eastAsiaTheme="minorHAnsi"/>
          <w:lang w:eastAsia="en-US"/>
        </w:rPr>
        <w:t>„</w:t>
      </w:r>
      <w:r w:rsidR="00F67742">
        <w:rPr>
          <w:rFonts w:eastAsiaTheme="minorHAnsi"/>
          <w:lang w:eastAsia="en-US"/>
        </w:rPr>
        <w:t>4</w:t>
      </w:r>
      <w:r w:rsidRPr="003A35C1">
        <w:rPr>
          <w:rFonts w:eastAsia="Calibri"/>
          <w:szCs w:val="22"/>
          <w:lang w:eastAsia="en-US"/>
        </w:rPr>
        <w:t xml:space="preserve">. Za § 351 sa vkladá § 351a, ktorý vrátane nadpisu znie: </w:t>
      </w:r>
    </w:p>
    <w:p w:rsidR="008C168B" w:rsidRPr="003A35C1" w:rsidRDefault="008C168B" w:rsidP="001B5495">
      <w:pPr>
        <w:jc w:val="both"/>
        <w:rPr>
          <w:rFonts w:eastAsia="Calibri"/>
          <w:szCs w:val="22"/>
          <w:lang w:eastAsia="en-US"/>
        </w:rPr>
      </w:pPr>
    </w:p>
    <w:p w:rsidR="001B5495" w:rsidRPr="003A35C1" w:rsidRDefault="001B5495" w:rsidP="001B5495">
      <w:pPr>
        <w:jc w:val="center"/>
        <w:rPr>
          <w:rFonts w:eastAsia="Calibri"/>
          <w:szCs w:val="22"/>
          <w:lang w:eastAsia="en-US"/>
        </w:rPr>
      </w:pPr>
      <w:r w:rsidRPr="003A35C1">
        <w:rPr>
          <w:rFonts w:eastAsia="Calibri"/>
          <w:szCs w:val="22"/>
          <w:lang w:eastAsia="en-US"/>
        </w:rPr>
        <w:lastRenderedPageBreak/>
        <w:t>„§ 351a</w:t>
      </w:r>
    </w:p>
    <w:p w:rsidR="001B5495" w:rsidRPr="003A35C1" w:rsidRDefault="001B5495" w:rsidP="001B5495">
      <w:pPr>
        <w:jc w:val="center"/>
        <w:rPr>
          <w:rFonts w:eastAsia="Calibri"/>
          <w:szCs w:val="22"/>
          <w:lang w:eastAsia="en-US"/>
        </w:rPr>
      </w:pPr>
      <w:r w:rsidRPr="003A35C1">
        <w:rPr>
          <w:rFonts w:eastAsia="Calibri"/>
          <w:szCs w:val="22"/>
          <w:lang w:eastAsia="en-US"/>
        </w:rPr>
        <w:t>Marenie volebnej kampane</w:t>
      </w:r>
    </w:p>
    <w:p w:rsidR="001B5495" w:rsidRPr="003A35C1" w:rsidRDefault="001B5495" w:rsidP="001B5495">
      <w:pPr>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 xml:space="preserve">Kto v spojení s cudzou mocou alebo cudzím činiteľom </w:t>
      </w:r>
    </w:p>
    <w:p w:rsidR="001B5495" w:rsidRPr="003A35C1" w:rsidRDefault="001B5495" w:rsidP="001B5495">
      <w:pPr>
        <w:numPr>
          <w:ilvl w:val="0"/>
          <w:numId w:val="30"/>
        </w:numPr>
        <w:contextualSpacing/>
        <w:jc w:val="both"/>
        <w:rPr>
          <w:rFonts w:eastAsia="Calibri"/>
          <w:szCs w:val="22"/>
          <w:lang w:eastAsia="en-US"/>
        </w:rPr>
      </w:pPr>
      <w:r w:rsidRPr="003A35C1">
        <w:rPr>
          <w:rFonts w:eastAsia="Calibri"/>
          <w:szCs w:val="22"/>
          <w:lang w:eastAsia="en-US"/>
        </w:rPr>
        <w:t>poruší zákaz vykonávať činnosť na podporu alebo</w:t>
      </w:r>
      <w:r w:rsidR="009172B7">
        <w:rPr>
          <w:rFonts w:eastAsia="Calibri"/>
          <w:szCs w:val="22"/>
          <w:lang w:eastAsia="en-US"/>
        </w:rPr>
        <w:t xml:space="preserve"> v neprospech politických strán </w:t>
      </w:r>
      <w:r w:rsidRPr="003A35C1">
        <w:rPr>
          <w:rFonts w:eastAsia="Calibri"/>
          <w:szCs w:val="22"/>
          <w:lang w:eastAsia="en-US"/>
        </w:rPr>
        <w:t xml:space="preserve">a </w:t>
      </w:r>
      <w:r w:rsidR="009172B7">
        <w:rPr>
          <w:rFonts w:eastAsia="Calibri"/>
          <w:szCs w:val="22"/>
          <w:lang w:eastAsia="en-US"/>
        </w:rPr>
        <w:t> </w:t>
      </w:r>
      <w:r w:rsidRPr="003A35C1">
        <w:rPr>
          <w:rFonts w:eastAsia="Calibri"/>
          <w:szCs w:val="22"/>
          <w:lang w:eastAsia="en-US"/>
        </w:rPr>
        <w:t>hnutí, koalícií politických strán a hnutí aleb</w:t>
      </w:r>
      <w:r w:rsidR="009172B7">
        <w:rPr>
          <w:rFonts w:eastAsia="Calibri"/>
          <w:szCs w:val="22"/>
          <w:lang w:eastAsia="en-US"/>
        </w:rPr>
        <w:t xml:space="preserve">o kandidátov v čase ustanovenom </w:t>
      </w:r>
      <w:r w:rsidRPr="003A35C1">
        <w:rPr>
          <w:rFonts w:eastAsia="Calibri"/>
          <w:szCs w:val="22"/>
          <w:lang w:eastAsia="en-US"/>
        </w:rPr>
        <w:t xml:space="preserve">na </w:t>
      </w:r>
      <w:r w:rsidR="009172B7">
        <w:rPr>
          <w:rFonts w:eastAsia="Calibri"/>
          <w:szCs w:val="22"/>
          <w:lang w:eastAsia="en-US"/>
        </w:rPr>
        <w:t> </w:t>
      </w:r>
      <w:r w:rsidRPr="003A35C1">
        <w:rPr>
          <w:rFonts w:eastAsia="Calibri"/>
          <w:szCs w:val="22"/>
          <w:lang w:eastAsia="en-US"/>
        </w:rPr>
        <w:t>volebnú kampaň, alebo</w:t>
      </w:r>
    </w:p>
    <w:p w:rsidR="001B5495" w:rsidRPr="003A35C1" w:rsidRDefault="001B5495" w:rsidP="001B5495">
      <w:pPr>
        <w:numPr>
          <w:ilvl w:val="0"/>
          <w:numId w:val="30"/>
        </w:numPr>
        <w:contextualSpacing/>
        <w:jc w:val="both"/>
        <w:rPr>
          <w:rFonts w:eastAsia="Calibri"/>
          <w:szCs w:val="22"/>
          <w:lang w:eastAsia="en-US"/>
        </w:rPr>
      </w:pPr>
      <w:r w:rsidRPr="003A35C1">
        <w:rPr>
          <w:rFonts w:eastAsia="Calibri"/>
          <w:szCs w:val="22"/>
          <w:lang w:eastAsia="en-US"/>
        </w:rPr>
        <w:t>poruší zákaz zverejňovať informácie o kandidujúcich politických stranách a hnutiach, kandidujúcich koalíciách politických strán a hnutí alebo kandidátoch 48 hodín predo dňom konania volieb a v deň konania volieb až do skončenia hlasovania,</w:t>
      </w:r>
    </w:p>
    <w:p w:rsidR="001B5495" w:rsidRPr="003A35C1" w:rsidRDefault="001B5495" w:rsidP="001B5495">
      <w:pPr>
        <w:ind w:firstLine="708"/>
        <w:jc w:val="both"/>
        <w:rPr>
          <w:rFonts w:eastAsia="Calibri"/>
          <w:szCs w:val="22"/>
          <w:lang w:eastAsia="en-US"/>
        </w:rPr>
      </w:pPr>
      <w:r w:rsidRPr="003A35C1">
        <w:rPr>
          <w:rFonts w:eastAsia="Calibri"/>
          <w:szCs w:val="22"/>
          <w:lang w:eastAsia="en-US"/>
        </w:rPr>
        <w:t>potrestá sa odňatím slobody až na jeden rok.“.</w:t>
      </w:r>
    </w:p>
    <w:p w:rsidR="001B5495" w:rsidRPr="003A35C1" w:rsidRDefault="001B5495" w:rsidP="001B5495">
      <w:pPr>
        <w:jc w:val="both"/>
        <w:rPr>
          <w:rFonts w:eastAsiaTheme="minorHAnsi"/>
          <w:lang w:eastAsia="en-US"/>
        </w:rPr>
      </w:pPr>
    </w:p>
    <w:p w:rsidR="001B5495" w:rsidRPr="003A35C1" w:rsidRDefault="00C15C71" w:rsidP="001B5495">
      <w:pPr>
        <w:jc w:val="both"/>
        <w:rPr>
          <w:rFonts w:eastAsiaTheme="minorHAnsi"/>
          <w:lang w:eastAsia="en-US"/>
        </w:rPr>
      </w:pPr>
      <w:r>
        <w:rPr>
          <w:rFonts w:eastAsiaTheme="minorHAnsi"/>
          <w:lang w:eastAsia="en-US"/>
        </w:rPr>
        <w:t>5</w:t>
      </w:r>
      <w:r w:rsidR="001B5495" w:rsidRPr="003A35C1">
        <w:rPr>
          <w:rFonts w:eastAsiaTheme="minorHAnsi"/>
          <w:lang w:eastAsia="en-US"/>
        </w:rPr>
        <w:t>. Za § 417e sa vkladá § 417f, ktorý znie:</w:t>
      </w:r>
    </w:p>
    <w:p w:rsidR="001B5495" w:rsidRPr="003A35C1" w:rsidRDefault="001B5495" w:rsidP="001B5495">
      <w:pPr>
        <w:jc w:val="center"/>
        <w:rPr>
          <w:rFonts w:eastAsiaTheme="minorHAnsi"/>
          <w:lang w:eastAsia="en-US"/>
        </w:rPr>
      </w:pPr>
    </w:p>
    <w:p w:rsidR="001B5495" w:rsidRPr="003A35C1" w:rsidRDefault="001B5495" w:rsidP="001B5495">
      <w:pPr>
        <w:jc w:val="center"/>
        <w:rPr>
          <w:rFonts w:eastAsiaTheme="minorHAnsi"/>
          <w:lang w:eastAsia="en-US"/>
        </w:rPr>
      </w:pPr>
      <w:r w:rsidRPr="003A35C1">
        <w:rPr>
          <w:rFonts w:eastAsiaTheme="minorHAnsi"/>
          <w:lang w:eastAsia="en-US"/>
        </w:rPr>
        <w:t>„§ 417f</w:t>
      </w:r>
    </w:p>
    <w:p w:rsidR="001B5495" w:rsidRPr="003A35C1" w:rsidRDefault="001B5495" w:rsidP="001B5495">
      <w:pPr>
        <w:jc w:val="center"/>
        <w:rPr>
          <w:rFonts w:eastAsiaTheme="minorHAnsi"/>
          <w:lang w:eastAsia="en-US"/>
        </w:rPr>
      </w:pPr>
      <w:r w:rsidRPr="003A35C1">
        <w:rPr>
          <w:rFonts w:eastAsiaTheme="minorHAnsi"/>
          <w:lang w:eastAsia="en-US"/>
        </w:rPr>
        <w:t xml:space="preserve">Popieranie mierového usporiadania po druhej svetovej vojne </w:t>
      </w:r>
    </w:p>
    <w:p w:rsidR="001B5495" w:rsidRPr="003A35C1" w:rsidRDefault="001B5495" w:rsidP="001B5495">
      <w:pPr>
        <w:jc w:val="both"/>
        <w:rPr>
          <w:rFonts w:eastAsiaTheme="minorHAnsi"/>
          <w:lang w:eastAsia="en-US"/>
        </w:rPr>
      </w:pPr>
    </w:p>
    <w:p w:rsidR="001B5495" w:rsidRPr="003A35C1" w:rsidRDefault="001B5495" w:rsidP="001B5495">
      <w:pPr>
        <w:ind w:firstLine="708"/>
        <w:jc w:val="both"/>
        <w:rPr>
          <w:rFonts w:eastAsiaTheme="minorHAnsi"/>
          <w:lang w:eastAsia="en-US"/>
        </w:rPr>
      </w:pPr>
      <w:r w:rsidRPr="003A35C1">
        <w:rPr>
          <w:rFonts w:eastAsiaTheme="minorHAnsi"/>
          <w:lang w:eastAsia="en-US"/>
        </w:rPr>
        <w:t>Kto verejne popiera alebo spochybňuje mierové usporiadanie pomerov po druhej svetovej vojne, ktoré vzniklo na základe právnych aktov reprezentatívnych orgánov Československej republiky alebo Slovenskej národnej rady,</w:t>
      </w:r>
      <w:r w:rsidR="00D9697B">
        <w:rPr>
          <w:rFonts w:eastAsiaTheme="minorHAnsi"/>
          <w:lang w:eastAsia="en-US"/>
        </w:rPr>
        <w:t xml:space="preserve"> potrestá sa odňatím slobody až </w:t>
      </w:r>
      <w:r w:rsidRPr="003A35C1">
        <w:rPr>
          <w:rFonts w:eastAsiaTheme="minorHAnsi"/>
          <w:lang w:eastAsia="en-US"/>
        </w:rPr>
        <w:t xml:space="preserve">na </w:t>
      </w:r>
      <w:r w:rsidR="00D9697B">
        <w:rPr>
          <w:rFonts w:eastAsiaTheme="minorHAnsi"/>
          <w:lang w:eastAsia="en-US"/>
        </w:rPr>
        <w:t> </w:t>
      </w:r>
      <w:r w:rsidRPr="003A35C1">
        <w:rPr>
          <w:rFonts w:eastAsiaTheme="minorHAnsi"/>
          <w:lang w:eastAsia="en-US"/>
        </w:rPr>
        <w:t>šesť mesiacov.“.“.</w:t>
      </w:r>
    </w:p>
    <w:p w:rsidR="001B5495" w:rsidRPr="003A35C1" w:rsidRDefault="001B5495" w:rsidP="008C168B">
      <w:pPr>
        <w:rPr>
          <w:rFonts w:eastAsia="Calibri"/>
          <w:lang w:eastAsia="en-US"/>
        </w:rPr>
      </w:pPr>
    </w:p>
    <w:p w:rsidR="001B5495" w:rsidRPr="003A35C1" w:rsidRDefault="001B5495" w:rsidP="001B5495">
      <w:pPr>
        <w:ind w:left="2832" w:hanging="2832"/>
        <w:jc w:val="both"/>
        <w:rPr>
          <w:rFonts w:eastAsia="Calibri"/>
          <w:szCs w:val="22"/>
          <w:lang w:eastAsia="en-US"/>
        </w:rPr>
      </w:pPr>
      <w:r w:rsidRPr="003A35C1">
        <w:rPr>
          <w:rFonts w:eastAsia="Calibri"/>
          <w:szCs w:val="22"/>
          <w:lang w:eastAsia="en-US"/>
        </w:rPr>
        <w:tab/>
        <w:t xml:space="preserve">K bodu </w:t>
      </w:r>
      <w:r w:rsidR="00F67742">
        <w:rPr>
          <w:rFonts w:eastAsia="Calibri"/>
          <w:szCs w:val="22"/>
          <w:lang w:eastAsia="en-US"/>
        </w:rPr>
        <w:t>4</w:t>
      </w:r>
      <w:r w:rsidRPr="003A35C1">
        <w:rPr>
          <w:rFonts w:eastAsia="Calibri"/>
          <w:szCs w:val="22"/>
          <w:lang w:eastAsia="en-US"/>
        </w:rPr>
        <w:t xml:space="preserve"> (§ 351a)</w:t>
      </w:r>
      <w:r w:rsidRPr="003A35C1">
        <w:rPr>
          <w:rFonts w:eastAsia="Calibri"/>
          <w:szCs w:val="22"/>
          <w:lang w:eastAsia="en-US"/>
        </w:rPr>
        <w:tab/>
      </w:r>
    </w:p>
    <w:p w:rsidR="001B5495" w:rsidRPr="003A35C1" w:rsidRDefault="001B5495" w:rsidP="001B5495">
      <w:pPr>
        <w:ind w:left="2832"/>
        <w:jc w:val="both"/>
        <w:rPr>
          <w:rFonts w:eastAsia="Calibri"/>
          <w:szCs w:val="22"/>
          <w:lang w:eastAsia="en-US"/>
        </w:rPr>
      </w:pPr>
      <w:r w:rsidRPr="003A35C1">
        <w:rPr>
          <w:rFonts w:eastAsia="Calibri"/>
          <w:szCs w:val="22"/>
          <w:lang w:eastAsia="en-US"/>
        </w:rPr>
        <w:t>Cieľom pozmeňujúceho návrhu je rozšíriť skutkovú podstatu trestného činu marenia volebnej kampane aj o porušenie zákazu  zverejňovať informácie o kan</w:t>
      </w:r>
      <w:r w:rsidR="009172B7">
        <w:rPr>
          <w:rFonts w:eastAsia="Calibri"/>
          <w:szCs w:val="22"/>
          <w:lang w:eastAsia="en-US"/>
        </w:rPr>
        <w:t xml:space="preserve">didujúcich politických stranách </w:t>
      </w:r>
      <w:r w:rsidRPr="003A35C1">
        <w:rPr>
          <w:rFonts w:eastAsia="Calibri"/>
          <w:szCs w:val="22"/>
          <w:lang w:eastAsia="en-US"/>
        </w:rPr>
        <w:t xml:space="preserve">a </w:t>
      </w:r>
      <w:r w:rsidR="009172B7">
        <w:rPr>
          <w:rFonts w:eastAsia="Calibri"/>
          <w:szCs w:val="22"/>
          <w:lang w:eastAsia="en-US"/>
        </w:rPr>
        <w:t> </w:t>
      </w:r>
      <w:r w:rsidRPr="003A35C1">
        <w:rPr>
          <w:rFonts w:eastAsia="Calibri"/>
          <w:szCs w:val="22"/>
          <w:lang w:eastAsia="en-US"/>
        </w:rPr>
        <w:t xml:space="preserve">hnutiach, kandidujúcich koalíciách politických strán a hnutí alebo kandidátoch 48 hodín predo dňom konania volieb a v deň konania volieb až do skončenia hlasovania, a to nad rámec bodu 2 spoločnej správy výborov (tlač 986a). Na tento účel sa skutková podstata rozširuje o písmeno b) zameraná práve na volebné moratórium. Písmeno a) nového znenia § 351a obsahuje pôvodnú skutkovú podstatu vyplývajúcu z bodu 2 spoločnej správy výborov.  </w:t>
      </w:r>
    </w:p>
    <w:p w:rsidR="001B5495" w:rsidRPr="003A35C1" w:rsidRDefault="001B5495" w:rsidP="001B5495">
      <w:pPr>
        <w:ind w:left="2832"/>
        <w:jc w:val="both"/>
        <w:rPr>
          <w:rFonts w:eastAsia="Calibri"/>
          <w:szCs w:val="22"/>
          <w:lang w:eastAsia="en-US"/>
        </w:rPr>
      </w:pPr>
      <w:r w:rsidRPr="003A35C1">
        <w:rPr>
          <w:rFonts w:eastAsia="Calibri"/>
          <w:szCs w:val="22"/>
          <w:lang w:eastAsia="en-US"/>
        </w:rPr>
        <w:t xml:space="preserve">Cieľom zavedenia novej skutkovej podstaty marenia volebnej kampane je zabezpečiť ochranu politických práva ukotvených najmä v čl. 29 až 31 Ústavy Slovenskej republiky prostredníctvom noriem trestného práva, a to v tých prípadoch, ak slobodná politická súťaž je ovplyvňovaná zo zahraničia ako tomu bolo v </w:t>
      </w:r>
      <w:proofErr w:type="spellStart"/>
      <w:r w:rsidRPr="003A35C1">
        <w:rPr>
          <w:rFonts w:eastAsia="Calibri"/>
          <w:szCs w:val="22"/>
          <w:lang w:eastAsia="en-US"/>
        </w:rPr>
        <w:t>recentnom</w:t>
      </w:r>
      <w:proofErr w:type="spellEnd"/>
      <w:r w:rsidRPr="003A35C1">
        <w:rPr>
          <w:rFonts w:eastAsia="Calibri"/>
          <w:szCs w:val="22"/>
          <w:lang w:eastAsia="en-US"/>
        </w:rPr>
        <w:t xml:space="preserve"> prípade volieb do Národnej rady Slovenskej republiky v roku 2023. </w:t>
      </w:r>
    </w:p>
    <w:p w:rsidR="001B5495" w:rsidRPr="003A35C1" w:rsidRDefault="001B5495" w:rsidP="001B5495">
      <w:pPr>
        <w:ind w:left="2832"/>
        <w:jc w:val="both"/>
        <w:rPr>
          <w:rFonts w:eastAsia="Calibri"/>
          <w:szCs w:val="22"/>
          <w:lang w:eastAsia="en-US"/>
        </w:rPr>
      </w:pPr>
      <w:r w:rsidRPr="003A35C1">
        <w:rPr>
          <w:rFonts w:eastAsia="Calibri"/>
          <w:szCs w:val="22"/>
          <w:lang w:eastAsia="en-US"/>
        </w:rPr>
        <w:t xml:space="preserve">Navrhovaná úprava nadväzuje na úpravu volebnej kampane podľa zákona č. 181/2014 Z. </w:t>
      </w:r>
      <w:r w:rsidR="009172B7">
        <w:rPr>
          <w:rFonts w:eastAsia="Calibri"/>
          <w:szCs w:val="22"/>
          <w:lang w:eastAsia="en-US"/>
        </w:rPr>
        <w:t xml:space="preserve">z. o volebnej kampani a o zmene </w:t>
      </w:r>
      <w:r w:rsidRPr="003A35C1">
        <w:rPr>
          <w:rFonts w:eastAsia="Calibri"/>
          <w:szCs w:val="22"/>
          <w:lang w:eastAsia="en-US"/>
        </w:rPr>
        <w:t xml:space="preserve">a  </w:t>
      </w:r>
      <w:r w:rsidR="009172B7">
        <w:rPr>
          <w:rFonts w:eastAsia="Calibri"/>
          <w:szCs w:val="22"/>
          <w:lang w:eastAsia="en-US"/>
        </w:rPr>
        <w:t> </w:t>
      </w:r>
      <w:r w:rsidRPr="003A35C1">
        <w:rPr>
          <w:rFonts w:eastAsia="Calibri"/>
          <w:szCs w:val="22"/>
          <w:lang w:eastAsia="en-US"/>
        </w:rPr>
        <w:t>doplnení zákona č. 85/20</w:t>
      </w:r>
      <w:r w:rsidR="009172B7">
        <w:rPr>
          <w:rFonts w:eastAsia="Calibri"/>
          <w:szCs w:val="22"/>
          <w:lang w:eastAsia="en-US"/>
        </w:rPr>
        <w:t xml:space="preserve">05 Z. z. o politických stranách </w:t>
      </w:r>
      <w:r w:rsidRPr="003A35C1">
        <w:rPr>
          <w:rFonts w:eastAsia="Calibri"/>
          <w:szCs w:val="22"/>
          <w:lang w:eastAsia="en-US"/>
        </w:rPr>
        <w:t xml:space="preserve">a  </w:t>
      </w:r>
      <w:r w:rsidR="009172B7">
        <w:rPr>
          <w:rFonts w:eastAsia="Calibri"/>
          <w:szCs w:val="22"/>
          <w:lang w:eastAsia="en-US"/>
        </w:rPr>
        <w:t> </w:t>
      </w:r>
      <w:r w:rsidRPr="003A35C1">
        <w:rPr>
          <w:rFonts w:eastAsia="Calibri"/>
          <w:szCs w:val="22"/>
          <w:lang w:eastAsia="en-US"/>
        </w:rPr>
        <w:t>politických hnutiach v znení neskorších predpisov v znení neskorších predpisov (ďalej len „zákon o volebnej kampani“). Podľa § 2 ods. 1 zákona o volebnej kampani vedú volebnú kampaň politické strany, politické hnutia, ich koalície a kandidáti; volebnou kampaňou s</w:t>
      </w:r>
      <w:r w:rsidR="00D9697B">
        <w:rPr>
          <w:rFonts w:eastAsia="Calibri"/>
          <w:szCs w:val="22"/>
          <w:lang w:eastAsia="en-US"/>
        </w:rPr>
        <w:t xml:space="preserve">a rozumie činnosť v prospech aj </w:t>
      </w:r>
      <w:r w:rsidRPr="003A35C1">
        <w:rPr>
          <w:rFonts w:eastAsia="Calibri"/>
          <w:szCs w:val="22"/>
          <w:lang w:eastAsia="en-US"/>
        </w:rPr>
        <w:t xml:space="preserve">v  </w:t>
      </w:r>
      <w:r w:rsidR="00D9697B">
        <w:rPr>
          <w:rFonts w:eastAsia="Calibri"/>
          <w:szCs w:val="22"/>
          <w:lang w:eastAsia="en-US"/>
        </w:rPr>
        <w:t> </w:t>
      </w:r>
      <w:r w:rsidRPr="003A35C1">
        <w:rPr>
          <w:rFonts w:eastAsia="Calibri"/>
          <w:szCs w:val="22"/>
          <w:lang w:eastAsia="en-US"/>
        </w:rPr>
        <w:t xml:space="preserve">neprospech subjektov podľa prvej vety. Podľa § 2 ods. 2 </w:t>
      </w:r>
      <w:r w:rsidRPr="003A35C1">
        <w:rPr>
          <w:rFonts w:eastAsia="Calibri"/>
          <w:szCs w:val="22"/>
          <w:lang w:eastAsia="en-US"/>
        </w:rPr>
        <w:lastRenderedPageBreak/>
        <w:t>zákona o volebnej kampani sa volebná kampaň začína dňom uverejnenia rozhodnutia o vyhlásení volieb v Zbierke zákonov Slovenskej republiky a končí 48 hodín p</w:t>
      </w:r>
      <w:r w:rsidR="009172B7">
        <w:rPr>
          <w:rFonts w:eastAsia="Calibri"/>
          <w:szCs w:val="22"/>
          <w:lang w:eastAsia="en-US"/>
        </w:rPr>
        <w:t xml:space="preserve">redo dňom konania volieb. Podľa </w:t>
      </w:r>
      <w:r w:rsidRPr="003A35C1">
        <w:rPr>
          <w:rFonts w:eastAsia="Calibri"/>
          <w:szCs w:val="22"/>
          <w:lang w:eastAsia="en-US"/>
        </w:rPr>
        <w:t xml:space="preserve">§  </w:t>
      </w:r>
      <w:r w:rsidR="009172B7">
        <w:rPr>
          <w:rFonts w:eastAsia="Calibri"/>
          <w:szCs w:val="22"/>
          <w:lang w:eastAsia="en-US"/>
        </w:rPr>
        <w:t> </w:t>
      </w:r>
      <w:r w:rsidRPr="003A35C1">
        <w:rPr>
          <w:rFonts w:eastAsia="Calibri"/>
          <w:szCs w:val="22"/>
          <w:lang w:eastAsia="en-US"/>
        </w:rPr>
        <w:t>2 ods. 3 zákona č. 181/2014 Z. z. o volebnej kampani „Činnosť iných subjektov ako ustanovených v odseku 1 (t. j. strany, hnutia, koalície, kandidáti) na podporu ale</w:t>
      </w:r>
      <w:r w:rsidR="00D9697B">
        <w:rPr>
          <w:rFonts w:eastAsia="Calibri"/>
          <w:szCs w:val="22"/>
          <w:lang w:eastAsia="en-US"/>
        </w:rPr>
        <w:t xml:space="preserve">bo </w:t>
      </w:r>
      <w:r w:rsidRPr="003A35C1">
        <w:rPr>
          <w:rFonts w:eastAsia="Calibri"/>
          <w:szCs w:val="22"/>
          <w:lang w:eastAsia="en-US"/>
        </w:rPr>
        <w:t xml:space="preserve">v  </w:t>
      </w:r>
      <w:r w:rsidR="00D9697B">
        <w:rPr>
          <w:rFonts w:eastAsia="Calibri"/>
          <w:szCs w:val="22"/>
          <w:lang w:eastAsia="en-US"/>
        </w:rPr>
        <w:t> </w:t>
      </w:r>
      <w:r w:rsidRPr="003A35C1">
        <w:rPr>
          <w:rFonts w:eastAsia="Calibri"/>
          <w:szCs w:val="22"/>
          <w:lang w:eastAsia="en-US"/>
        </w:rPr>
        <w:t>neprospech politických st</w:t>
      </w:r>
      <w:r w:rsidR="00D9697B">
        <w:rPr>
          <w:rFonts w:eastAsia="Calibri"/>
          <w:szCs w:val="22"/>
          <w:lang w:eastAsia="en-US"/>
        </w:rPr>
        <w:t xml:space="preserve">rán, koalícií politických strán </w:t>
      </w:r>
      <w:r w:rsidRPr="003A35C1">
        <w:rPr>
          <w:rFonts w:eastAsia="Calibri"/>
          <w:szCs w:val="22"/>
          <w:lang w:eastAsia="en-US"/>
        </w:rPr>
        <w:t xml:space="preserve">a  </w:t>
      </w:r>
      <w:r w:rsidR="00D9697B">
        <w:rPr>
          <w:rFonts w:eastAsia="Calibri"/>
          <w:szCs w:val="22"/>
          <w:lang w:eastAsia="en-US"/>
        </w:rPr>
        <w:t> </w:t>
      </w:r>
      <w:r w:rsidRPr="003A35C1">
        <w:rPr>
          <w:rFonts w:eastAsia="Calibri"/>
          <w:szCs w:val="22"/>
          <w:lang w:eastAsia="en-US"/>
        </w:rPr>
        <w:t>kandidátov sa v čase ustanovenom na volebnú kampaň zakazuje.“ V § 19 ods. 10 zákona o volebnej kampani je upravený správny delikt, podľa ktorého „Ministerstvo vnútra uloží pokutu od 3 000 eur do 100 000 eur fyzickej osobe – podnikateľovi alebo právnickej osobe, ktorá vedie volebnú kampaň po čase ustanovenom v § 2 ods. 2 alebo poruší zákaz podľa § 2 ods. 3, a pokutu 100 000 eur, ak poruší zákaz podľa § 17 ods. 3 alebo 5.“ Analogicky je v § 20 ods.  1 p</w:t>
      </w:r>
      <w:r w:rsidR="00D9697B">
        <w:rPr>
          <w:rFonts w:eastAsia="Calibri"/>
          <w:szCs w:val="22"/>
          <w:lang w:eastAsia="en-US"/>
        </w:rPr>
        <w:t xml:space="preserve">ísm. b) upravený aj priestupok. </w:t>
      </w:r>
      <w:r w:rsidRPr="003A35C1">
        <w:rPr>
          <w:rFonts w:eastAsia="Calibri"/>
          <w:szCs w:val="22"/>
          <w:lang w:eastAsia="en-US"/>
        </w:rPr>
        <w:t xml:space="preserve">Z </w:t>
      </w:r>
      <w:r w:rsidR="00D9697B">
        <w:rPr>
          <w:rFonts w:eastAsia="Calibri"/>
          <w:szCs w:val="22"/>
          <w:lang w:eastAsia="en-US"/>
        </w:rPr>
        <w:t> </w:t>
      </w:r>
      <w:r w:rsidRPr="003A35C1">
        <w:rPr>
          <w:rFonts w:eastAsia="Calibri"/>
          <w:szCs w:val="22"/>
          <w:lang w:eastAsia="en-US"/>
        </w:rPr>
        <w:t xml:space="preserve">uvedeného vyplýva, že iné subjekty ako politické strany, hnutia, koalície a samotní kandidáti nemôžu viesť volebnú kampaň. Porušenie tohto pravidla je správnym deliktom, resp. priestupkom. Ak je takéto konanie výsledkom zahraničného vplyvu, je miera ohrozenia slobodnej politickej súťaže podstatne vyššia, a preto je legitímne pripustiť potrebu ochrany politickej súťaže aj prostredníctvom noriem trestného práva. </w:t>
      </w:r>
    </w:p>
    <w:p w:rsidR="001B5495" w:rsidRPr="003A35C1" w:rsidRDefault="001B5495" w:rsidP="001B5495">
      <w:pPr>
        <w:ind w:left="2832"/>
        <w:jc w:val="both"/>
        <w:rPr>
          <w:rFonts w:eastAsia="Calibri"/>
          <w:szCs w:val="22"/>
          <w:lang w:eastAsia="en-US"/>
        </w:rPr>
      </w:pPr>
      <w:r w:rsidRPr="003A35C1">
        <w:rPr>
          <w:rFonts w:eastAsia="Calibri"/>
          <w:szCs w:val="22"/>
          <w:lang w:eastAsia="en-US"/>
        </w:rPr>
        <w:t>Navrhovaná skutková podstata nadväzuje na existujúce znenie zákona o volebnej kampani a z</w:t>
      </w:r>
      <w:r w:rsidR="009172B7">
        <w:rPr>
          <w:rFonts w:eastAsia="Calibri"/>
          <w:szCs w:val="22"/>
          <w:lang w:eastAsia="en-US"/>
        </w:rPr>
        <w:t xml:space="preserve">ameriava sa na porušenie zákazu </w:t>
      </w:r>
      <w:r w:rsidRPr="003A35C1">
        <w:rPr>
          <w:rFonts w:eastAsia="Calibri"/>
          <w:szCs w:val="22"/>
          <w:lang w:eastAsia="en-US"/>
        </w:rPr>
        <w:t xml:space="preserve">v  </w:t>
      </w:r>
      <w:r w:rsidR="009172B7">
        <w:rPr>
          <w:rFonts w:eastAsia="Calibri"/>
          <w:szCs w:val="22"/>
          <w:lang w:eastAsia="en-US"/>
        </w:rPr>
        <w:t> </w:t>
      </w:r>
      <w:r w:rsidRPr="003A35C1">
        <w:rPr>
          <w:rFonts w:eastAsia="Calibri"/>
          <w:szCs w:val="22"/>
          <w:lang w:eastAsia="en-US"/>
        </w:rPr>
        <w:t xml:space="preserve">§ 2 ods. 3 zákona o volebnej kampani. Okrem toho je dôležitým momentom úpravy aj dodržiavania tzv. volebného moratória, </w:t>
      </w:r>
      <w:proofErr w:type="spellStart"/>
      <w:r w:rsidRPr="003A35C1">
        <w:rPr>
          <w:rFonts w:eastAsia="Calibri"/>
          <w:szCs w:val="22"/>
          <w:lang w:eastAsia="en-US"/>
        </w:rPr>
        <w:t>t.j</w:t>
      </w:r>
      <w:proofErr w:type="spellEnd"/>
      <w:r w:rsidRPr="003A35C1">
        <w:rPr>
          <w:rFonts w:eastAsia="Calibri"/>
          <w:szCs w:val="22"/>
          <w:lang w:eastAsia="en-US"/>
        </w:rPr>
        <w:t>. zákaz zverejňovať informácie o kandidujúcich politických stranách a hnutiach, kandidujúcich koalíciách politických strán a hnutí alebo kandidátoch 48 hodín predo dňom konania volieb a v deň konania volieb až do skončenia hlasovania. Aj na tento aspekt nadväzuje nové skutková podstata trestného činu. Ako ďalší znak skutkovej podstaty trestného činu sa navrhuje použiť to, že ide o  konanie v spojení s cudzou mocou alebo cudzím činiteľom. Tým sa odlíši nový trestný čin od doterajšieho správneho deliktu, resp. priestupku. Cudzou mocou sa na účely Trestného zákona rozumejú cudzie štáty a ich vojenské alebo iné zoskupenia predstavované ich organizáciami a orgánmi, akými sú najmä osoby vykonávajúce spravodajskú činnosť, vojenskí funkcionári, diplomati a iní štátni úradníc</w:t>
      </w:r>
      <w:r w:rsidR="009172B7">
        <w:rPr>
          <w:rFonts w:eastAsia="Calibri"/>
          <w:szCs w:val="22"/>
          <w:lang w:eastAsia="en-US"/>
        </w:rPr>
        <w:t xml:space="preserve">i </w:t>
      </w:r>
      <w:r w:rsidRPr="003A35C1">
        <w:rPr>
          <w:rFonts w:eastAsia="Calibri"/>
          <w:szCs w:val="22"/>
          <w:lang w:eastAsia="en-US"/>
        </w:rPr>
        <w:t xml:space="preserve">(§ </w:t>
      </w:r>
      <w:r w:rsidR="009172B7">
        <w:rPr>
          <w:rFonts w:eastAsia="Calibri"/>
          <w:szCs w:val="22"/>
          <w:lang w:eastAsia="en-US"/>
        </w:rPr>
        <w:t> </w:t>
      </w:r>
      <w:r w:rsidRPr="003A35C1">
        <w:rPr>
          <w:rFonts w:eastAsia="Calibri"/>
          <w:szCs w:val="22"/>
          <w:lang w:eastAsia="en-US"/>
        </w:rPr>
        <w:t>133 ods. 1). Cudzím činiteľom sa na účely Trestného zákona rozumie fyzická osoba alebo právnická osoba, ktorá síce nie je orgánom alebo zástupcom cudzieho štátu, ale vzhľadom na svoje politické, hospodárske alebo spoločenské postavenie má významný vplyv vo svojom štáte alebo v medzinárodných vzťahoch (§ 133 ods. 2).</w:t>
      </w:r>
    </w:p>
    <w:p w:rsidR="001B5495" w:rsidRPr="003A35C1" w:rsidRDefault="001B5495" w:rsidP="001B5495">
      <w:pPr>
        <w:ind w:left="2832"/>
        <w:jc w:val="both"/>
        <w:rPr>
          <w:rFonts w:eastAsia="Calibri"/>
          <w:szCs w:val="22"/>
          <w:lang w:eastAsia="en-US"/>
        </w:rPr>
      </w:pPr>
      <w:r w:rsidRPr="003A35C1">
        <w:rPr>
          <w:rFonts w:eastAsia="Calibri"/>
          <w:szCs w:val="22"/>
          <w:lang w:eastAsia="en-US"/>
        </w:rPr>
        <w:t xml:space="preserve">Subjekt skutkovej podstaty je všeobecný, t. j. je ním každá fyzická osoba alebo právnická osoba. Subjektívna stránka vyžaduje úmysel. Objektívna stránka je založená na porušení zákazu vykonávať činnosť na podporu alebo v neprospech politických strán, koalícií politických strán a kandidátov v čase </w:t>
      </w:r>
      <w:r w:rsidRPr="003A35C1">
        <w:rPr>
          <w:rFonts w:eastAsia="Calibri"/>
          <w:szCs w:val="22"/>
          <w:lang w:eastAsia="en-US"/>
        </w:rPr>
        <w:lastRenderedPageBreak/>
        <w:t xml:space="preserve">ustanovenom na volebnú kampaň v spojení s cudzou mocou alebo cudzím činiteľom. Objektom chráneným touto skutkovou podstatou je čistota volebnej kampane v kontexte slobodnej politickej súťaže politických síl. </w:t>
      </w:r>
    </w:p>
    <w:p w:rsidR="001B5495" w:rsidRPr="003A35C1" w:rsidRDefault="001B5495" w:rsidP="001B5495">
      <w:pPr>
        <w:ind w:left="2832"/>
        <w:jc w:val="both"/>
        <w:rPr>
          <w:rFonts w:eastAsia="Calibri"/>
          <w:szCs w:val="22"/>
          <w:lang w:eastAsia="en-US"/>
        </w:rPr>
      </w:pPr>
      <w:r w:rsidRPr="003A35C1">
        <w:rPr>
          <w:rFonts w:eastAsia="Calibri"/>
          <w:szCs w:val="22"/>
          <w:lang w:eastAsia="en-US"/>
        </w:rPr>
        <w:t xml:space="preserve">Ako trestná sankcia sa navrhuje trest odňatia slobody až na jeden rok.  </w:t>
      </w:r>
    </w:p>
    <w:p w:rsidR="001B5495" w:rsidRPr="003A35C1" w:rsidRDefault="001B5495" w:rsidP="001B5495">
      <w:pPr>
        <w:ind w:left="2832"/>
        <w:jc w:val="both"/>
        <w:rPr>
          <w:rFonts w:eastAsia="Calibri"/>
          <w:szCs w:val="22"/>
          <w:lang w:eastAsia="en-US"/>
        </w:rPr>
      </w:pPr>
      <w:r w:rsidRPr="003A35C1">
        <w:rPr>
          <w:rFonts w:eastAsia="Calibri"/>
          <w:szCs w:val="22"/>
          <w:lang w:eastAsia="en-US"/>
        </w:rPr>
        <w:t>Ochrana slobodnej politickej súťaže pred zahraničným vplyvom nie je v európskom priestore novinkou, pretože k obdobným úpravám, ktoré chránia slobodnú politickú súťaž pred  zahraničnými vplyvmi prijalo Belgicko, Rakúsko a  Maďarsko.</w:t>
      </w:r>
    </w:p>
    <w:p w:rsidR="001B5495" w:rsidRPr="003A35C1" w:rsidRDefault="001B5495" w:rsidP="001B5495">
      <w:pPr>
        <w:ind w:left="2832"/>
        <w:jc w:val="both"/>
        <w:rPr>
          <w:rFonts w:eastAsia="Calibri"/>
          <w:szCs w:val="22"/>
          <w:lang w:eastAsia="en-US"/>
        </w:rPr>
      </w:pPr>
    </w:p>
    <w:p w:rsidR="001B5495" w:rsidRPr="003A35C1" w:rsidRDefault="00F67742" w:rsidP="001B5495">
      <w:pPr>
        <w:ind w:left="2832"/>
        <w:jc w:val="both"/>
        <w:rPr>
          <w:rFonts w:eastAsia="Calibri"/>
          <w:szCs w:val="22"/>
          <w:lang w:eastAsia="en-US"/>
        </w:rPr>
      </w:pPr>
      <w:r>
        <w:rPr>
          <w:rFonts w:eastAsia="Calibri"/>
          <w:szCs w:val="22"/>
          <w:lang w:eastAsia="en-US"/>
        </w:rPr>
        <w:t xml:space="preserve">K bodu </w:t>
      </w:r>
      <w:r w:rsidR="00C15C71">
        <w:rPr>
          <w:rFonts w:eastAsia="Calibri"/>
          <w:szCs w:val="22"/>
          <w:lang w:eastAsia="en-US"/>
        </w:rPr>
        <w:t>5</w:t>
      </w:r>
      <w:r w:rsidR="001B5495" w:rsidRPr="003A35C1">
        <w:rPr>
          <w:rFonts w:eastAsia="Calibri"/>
          <w:szCs w:val="22"/>
          <w:lang w:eastAsia="en-US"/>
        </w:rPr>
        <w:t xml:space="preserve"> </w:t>
      </w:r>
      <w:r w:rsidR="001B5495" w:rsidRPr="003A35C1">
        <w:rPr>
          <w:rFonts w:eastAsia="Calibri"/>
          <w:szCs w:val="22"/>
          <w:lang w:val="en-US" w:eastAsia="en-US"/>
        </w:rPr>
        <w:t>(</w:t>
      </w:r>
      <w:r w:rsidR="001B5495" w:rsidRPr="003A35C1">
        <w:rPr>
          <w:rFonts w:eastAsia="Calibri"/>
          <w:szCs w:val="22"/>
          <w:lang w:eastAsia="en-US"/>
        </w:rPr>
        <w:t>§ 417f)</w:t>
      </w:r>
    </w:p>
    <w:p w:rsidR="001B5495" w:rsidRDefault="001B5495" w:rsidP="001B5495">
      <w:pPr>
        <w:ind w:left="2832"/>
        <w:jc w:val="both"/>
        <w:rPr>
          <w:rFonts w:eastAsiaTheme="minorHAnsi"/>
          <w:lang w:eastAsia="en-US"/>
        </w:rPr>
      </w:pPr>
      <w:r w:rsidRPr="003A35C1">
        <w:rPr>
          <w:rFonts w:eastAsiaTheme="minorHAnsi"/>
          <w:lang w:eastAsia="en-US"/>
        </w:rPr>
        <w:t xml:space="preserve">Cieľom pozmeňujúceho návrhu je zaviesť trestnú zodpovednosť za popieranie alebo spochybňovanie povojnových dokumentov k usporiadaniu pomerov po druhej svetovej vojne na Slovensku. Pozmeňujúci návrh nadväzuje na uznesenie Národnej rady Slovenskej republiky </w:t>
      </w:r>
      <w:r w:rsidR="00D9697B">
        <w:rPr>
          <w:rFonts w:eastAsiaTheme="minorHAnsi"/>
          <w:lang w:eastAsia="en-US"/>
        </w:rPr>
        <w:t xml:space="preserve">č. 533 z 20. septembra 2007 </w:t>
      </w:r>
      <w:r w:rsidRPr="003A35C1">
        <w:rPr>
          <w:rFonts w:eastAsiaTheme="minorHAnsi"/>
          <w:lang w:eastAsia="en-US"/>
        </w:rPr>
        <w:t xml:space="preserve">o </w:t>
      </w:r>
      <w:r w:rsidR="00D9697B">
        <w:rPr>
          <w:rFonts w:eastAsiaTheme="minorHAnsi"/>
          <w:lang w:eastAsia="en-US"/>
        </w:rPr>
        <w:t> </w:t>
      </w:r>
      <w:r w:rsidRPr="003A35C1">
        <w:rPr>
          <w:rFonts w:eastAsiaTheme="minorHAnsi"/>
          <w:lang w:eastAsia="en-US"/>
        </w:rPr>
        <w:t>nedotknuteľnosti povojnových dokumentov k usporiadaniu pomerov po II. svetovej vojne na Slovensku, ako aj na vyhlásenie vlády Slovenskej republiky o nedotknuteľnosti povojnových dokumentov k usporiadaniu pomerov po II. svetove</w:t>
      </w:r>
      <w:r w:rsidR="00D9697B">
        <w:rPr>
          <w:rFonts w:eastAsiaTheme="minorHAnsi"/>
          <w:lang w:eastAsia="en-US"/>
        </w:rPr>
        <w:t xml:space="preserve">j vojne </w:t>
      </w:r>
      <w:r w:rsidRPr="003A35C1">
        <w:rPr>
          <w:rFonts w:eastAsiaTheme="minorHAnsi"/>
          <w:lang w:eastAsia="en-US"/>
        </w:rPr>
        <w:t xml:space="preserve">na </w:t>
      </w:r>
      <w:r w:rsidR="00D9697B">
        <w:rPr>
          <w:rFonts w:eastAsiaTheme="minorHAnsi"/>
          <w:lang w:eastAsia="en-US"/>
        </w:rPr>
        <w:t> </w:t>
      </w:r>
      <w:r w:rsidRPr="003A35C1">
        <w:rPr>
          <w:rFonts w:eastAsiaTheme="minorHAnsi"/>
          <w:lang w:eastAsia="en-US"/>
        </w:rPr>
        <w:t xml:space="preserve">Slovensku schválené uznesením č. 585 z 26. novembra 2025. Spochybňovanie alebo popieranie týchto právnych aktov predstavuje vážnu hrozbu pre mierovú koexistenciu a platné usporiadanie vzťahov s dotknutými krajinami, ako je napríklad Spolková republika Nemecko, Česká republika alebo iné susedné krajiny. </w:t>
      </w:r>
    </w:p>
    <w:p w:rsidR="001B5495" w:rsidRDefault="001B5495" w:rsidP="001B5495">
      <w:pPr>
        <w:ind w:left="2832"/>
        <w:jc w:val="both"/>
        <w:rPr>
          <w:rFonts w:eastAsiaTheme="minorHAnsi"/>
          <w:lang w:eastAsia="en-US"/>
        </w:rPr>
      </w:pPr>
    </w:p>
    <w:p w:rsidR="001B5495" w:rsidRPr="00A5282A" w:rsidRDefault="001B5495" w:rsidP="001B5495">
      <w:pPr>
        <w:spacing w:after="120"/>
        <w:ind w:left="2124" w:firstLine="708"/>
        <w:rPr>
          <w:b/>
        </w:rPr>
      </w:pPr>
      <w:r w:rsidRPr="00A5282A">
        <w:rPr>
          <w:b/>
        </w:rPr>
        <w:t>Ústavnoprávny výbor NR SR</w:t>
      </w:r>
    </w:p>
    <w:p w:rsidR="001B5495" w:rsidRPr="00B06806" w:rsidRDefault="001B5495" w:rsidP="001B5495">
      <w:pPr>
        <w:spacing w:after="120"/>
        <w:ind w:firstLine="5"/>
        <w:rPr>
          <w:b/>
          <w:i/>
        </w:rPr>
      </w:pPr>
      <w:r>
        <w:rPr>
          <w:b/>
        </w:rPr>
        <w:tab/>
      </w:r>
      <w:r>
        <w:rPr>
          <w:b/>
        </w:rPr>
        <w:tab/>
      </w:r>
      <w:r>
        <w:rPr>
          <w:b/>
        </w:rPr>
        <w:tab/>
      </w:r>
      <w:r>
        <w:rPr>
          <w:b/>
        </w:rPr>
        <w:tab/>
      </w:r>
      <w:r w:rsidRPr="00A5282A">
        <w:rPr>
          <w:b/>
        </w:rPr>
        <w:t xml:space="preserve">Gestorský výbor odporúča </w:t>
      </w:r>
      <w:r w:rsidRPr="00A14547">
        <w:rPr>
          <w:b/>
        </w:rPr>
        <w:t>schváliť</w:t>
      </w:r>
      <w:r w:rsidRPr="0052534A">
        <w:rPr>
          <w:b/>
          <w:i/>
        </w:rPr>
        <w:t>.</w:t>
      </w:r>
    </w:p>
    <w:p w:rsidR="001B5495" w:rsidRPr="003A35C1" w:rsidRDefault="001B5495" w:rsidP="008C168B">
      <w:pPr>
        <w:rPr>
          <w:rFonts w:eastAsiaTheme="minorHAnsi"/>
          <w:lang w:eastAsia="en-US"/>
        </w:rPr>
      </w:pPr>
    </w:p>
    <w:p w:rsidR="001B5495" w:rsidRPr="003A35C1" w:rsidRDefault="001B5495" w:rsidP="001B5495">
      <w:pPr>
        <w:rPr>
          <w:rFonts w:eastAsia="Calibri"/>
          <w:szCs w:val="22"/>
          <w:lang w:eastAsia="en-US"/>
        </w:rPr>
      </w:pPr>
      <w:r w:rsidRPr="003A35C1">
        <w:rPr>
          <w:rFonts w:eastAsia="Calibri"/>
          <w:szCs w:val="22"/>
          <w:lang w:eastAsia="en-US"/>
        </w:rPr>
        <w:t>2. Za čl. II sa vkladajú nové čl. III až V, ktoré znejú:</w:t>
      </w:r>
    </w:p>
    <w:p w:rsidR="001B5495" w:rsidRPr="003A35C1" w:rsidRDefault="001B5495" w:rsidP="001B5495">
      <w:pPr>
        <w:rPr>
          <w:rFonts w:eastAsia="Calibri"/>
          <w:szCs w:val="22"/>
          <w:lang w:eastAsia="en-US"/>
        </w:rPr>
      </w:pPr>
    </w:p>
    <w:p w:rsidR="001B5495" w:rsidRPr="003A35C1" w:rsidRDefault="001B5495" w:rsidP="001B5495">
      <w:pPr>
        <w:jc w:val="center"/>
        <w:rPr>
          <w:rFonts w:eastAsia="Calibri"/>
          <w:lang w:eastAsia="en-US"/>
        </w:rPr>
      </w:pPr>
      <w:r w:rsidRPr="003A35C1">
        <w:rPr>
          <w:rFonts w:eastAsia="Calibri"/>
          <w:szCs w:val="22"/>
          <w:lang w:eastAsia="en-US"/>
        </w:rPr>
        <w:t>„</w:t>
      </w:r>
      <w:r w:rsidRPr="003A35C1">
        <w:rPr>
          <w:rFonts w:eastAsia="Calibri"/>
          <w:lang w:eastAsia="en-US"/>
        </w:rPr>
        <w:t>Čl. III</w:t>
      </w:r>
    </w:p>
    <w:p w:rsidR="001B5495" w:rsidRPr="003A35C1" w:rsidRDefault="001B5495" w:rsidP="001B5495">
      <w:pPr>
        <w:jc w:val="both"/>
        <w:rPr>
          <w:rFonts w:eastAsia="Calibri"/>
          <w:b/>
          <w:lang w:eastAsia="en-US"/>
        </w:rPr>
      </w:pPr>
    </w:p>
    <w:p w:rsidR="001B5495" w:rsidRPr="003A35C1" w:rsidRDefault="001B5495" w:rsidP="001B5495">
      <w:pPr>
        <w:ind w:firstLine="708"/>
        <w:jc w:val="both"/>
        <w:rPr>
          <w:rFonts w:eastAsia="Calibri"/>
          <w:lang w:eastAsia="en-US"/>
        </w:rPr>
      </w:pPr>
      <w:r w:rsidRPr="003A35C1">
        <w:rPr>
          <w:rFonts w:eastAsia="Calibri"/>
          <w:lang w:eastAsia="en-US"/>
        </w:rPr>
        <w:t>Zákon č. 301/2005 Z. z. Trestný poriadok v znení z</w:t>
      </w:r>
      <w:r w:rsidR="00D9697B">
        <w:rPr>
          <w:rFonts w:eastAsia="Calibri"/>
          <w:lang w:eastAsia="en-US"/>
        </w:rPr>
        <w:t xml:space="preserve">ákona č. 650/2005 Z. z., zákona </w:t>
      </w:r>
      <w:r w:rsidRPr="003A35C1">
        <w:rPr>
          <w:rFonts w:eastAsia="Calibri"/>
          <w:lang w:eastAsia="en-US"/>
        </w:rPr>
        <w:t xml:space="preserve">č. </w:t>
      </w:r>
      <w:r w:rsidR="00D9697B">
        <w:rPr>
          <w:rFonts w:eastAsia="Calibri"/>
          <w:lang w:eastAsia="en-US"/>
        </w:rPr>
        <w:t> </w:t>
      </w:r>
      <w:r w:rsidRPr="003A35C1">
        <w:rPr>
          <w:rFonts w:eastAsia="Calibri"/>
          <w:lang w:eastAsia="en-US"/>
        </w:rPr>
        <w:t>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w:t>
      </w:r>
      <w:r w:rsidR="00D9697B">
        <w:rPr>
          <w:rFonts w:eastAsia="Calibri"/>
          <w:lang w:eastAsia="en-US"/>
        </w:rPr>
        <w:t xml:space="preserve">ákona č. 305/2009 Z. z., zákona </w:t>
      </w:r>
      <w:r w:rsidRPr="003A35C1">
        <w:rPr>
          <w:rFonts w:eastAsia="Calibri"/>
          <w:lang w:eastAsia="en-US"/>
        </w:rPr>
        <w:t xml:space="preserve">č. </w:t>
      </w:r>
      <w:r w:rsidR="00D9697B">
        <w:rPr>
          <w:rFonts w:eastAsia="Calibri"/>
          <w:lang w:eastAsia="en-US"/>
        </w:rPr>
        <w:t> </w:t>
      </w:r>
      <w:r w:rsidRPr="003A35C1">
        <w:rPr>
          <w:rFonts w:eastAsia="Calibri"/>
          <w:lang w:eastAsia="en-US"/>
        </w:rPr>
        <w:t>576/2009 Z. z., zákona č. 93/2010 Z. z., zákona č. 224/2010 Z. z., zákona č. 346/2010 Z. z., zákona č. 547/2010 Z. z., zákona č. 220/2011 Z. z., z</w:t>
      </w:r>
      <w:r w:rsidR="00D9697B">
        <w:rPr>
          <w:rFonts w:eastAsia="Calibri"/>
          <w:lang w:eastAsia="en-US"/>
        </w:rPr>
        <w:t xml:space="preserve">ákona č. 262/2011 Z. z., zákona </w:t>
      </w:r>
      <w:r w:rsidRPr="003A35C1">
        <w:rPr>
          <w:rFonts w:eastAsia="Calibri"/>
          <w:lang w:eastAsia="en-US"/>
        </w:rPr>
        <w:t xml:space="preserve">č. </w:t>
      </w:r>
      <w:r w:rsidR="00D9697B">
        <w:rPr>
          <w:rFonts w:eastAsia="Calibri"/>
          <w:lang w:eastAsia="en-US"/>
        </w:rPr>
        <w:t> </w:t>
      </w:r>
      <w:r w:rsidRPr="003A35C1">
        <w:rPr>
          <w:rFonts w:eastAsia="Calibri"/>
          <w:lang w:eastAsia="en-US"/>
        </w:rPr>
        <w:t>331/2011 Z. z., zákona č. 236/2012 Z. z., zákona č. 334/2012 Z. z., zákona č. 345/2012 Z. z., zákona č. 204/2013 Z. z., zákona č. 305/2013 Z. z.,</w:t>
      </w:r>
      <w:r w:rsidR="00D9697B">
        <w:rPr>
          <w:rFonts w:eastAsia="Calibri"/>
          <w:lang w:eastAsia="en-US"/>
        </w:rPr>
        <w:t xml:space="preserve"> zákona č. 1/2014 Z. z., zákona </w:t>
      </w:r>
      <w:r w:rsidRPr="003A35C1">
        <w:rPr>
          <w:rFonts w:eastAsia="Calibri"/>
          <w:lang w:eastAsia="en-US"/>
        </w:rPr>
        <w:t xml:space="preserve">č. </w:t>
      </w:r>
      <w:r w:rsidR="00D9697B">
        <w:rPr>
          <w:rFonts w:eastAsia="Calibri"/>
          <w:lang w:eastAsia="en-US"/>
        </w:rPr>
        <w:t> </w:t>
      </w:r>
      <w:r w:rsidRPr="003A35C1">
        <w:rPr>
          <w:rFonts w:eastAsia="Calibri"/>
          <w:lang w:eastAsia="en-US"/>
        </w:rPr>
        <w:t>195/2014 Z. z., zákon č. 307/2014 Z. z., zákona č. 353/2014 Z. z., zákona č. 78/2015 Z. z., nálezu Ústavného súdu Slovenskej republiky č. 139/2015 Z. z., zákona č. 174/2015 Z. z., zákona č. 397/2015 Z. z., zákona č. 398/2015 Z. z., z</w:t>
      </w:r>
      <w:r w:rsidR="00D9697B">
        <w:rPr>
          <w:rFonts w:eastAsia="Calibri"/>
          <w:lang w:eastAsia="en-US"/>
        </w:rPr>
        <w:t xml:space="preserve">ákona č. 401/2015 Z. z., zákona </w:t>
      </w:r>
      <w:r w:rsidRPr="003A35C1">
        <w:rPr>
          <w:rFonts w:eastAsia="Calibri"/>
          <w:lang w:eastAsia="en-US"/>
        </w:rPr>
        <w:t xml:space="preserve">č. </w:t>
      </w:r>
      <w:r w:rsidR="00D9697B">
        <w:rPr>
          <w:rFonts w:eastAsia="Calibri"/>
          <w:lang w:eastAsia="en-US"/>
        </w:rPr>
        <w:t> </w:t>
      </w:r>
      <w:r w:rsidRPr="003A35C1">
        <w:rPr>
          <w:rFonts w:eastAsia="Calibri"/>
          <w:lang w:eastAsia="en-US"/>
        </w:rPr>
        <w:t>440/2015 Z. z., zákona č. 444/2015 Z. z., zákona č. 91/2016 Z. z., zákona č. 125/2016 Z. z., zákona č. 316/2016 Z. z., zákona č. 152/2017 Z. z., zákona č. 236/2017 Z. z., zákona</w:t>
      </w:r>
      <w:r w:rsidR="00D9697B">
        <w:rPr>
          <w:rFonts w:eastAsia="Calibri"/>
          <w:lang w:eastAsia="en-US"/>
        </w:rPr>
        <w:t xml:space="preserve"> </w:t>
      </w:r>
      <w:r w:rsidRPr="003A35C1">
        <w:rPr>
          <w:rFonts w:eastAsia="Calibri"/>
          <w:lang w:eastAsia="en-US"/>
        </w:rPr>
        <w:lastRenderedPageBreak/>
        <w:t xml:space="preserve">č. </w:t>
      </w:r>
      <w:r w:rsidR="00D9697B">
        <w:rPr>
          <w:rFonts w:eastAsia="Calibri"/>
          <w:lang w:eastAsia="en-US"/>
        </w:rPr>
        <w:t> </w:t>
      </w:r>
      <w:r w:rsidRPr="003A35C1">
        <w:rPr>
          <w:rFonts w:eastAsia="Calibri"/>
          <w:lang w:eastAsia="en-US"/>
        </w:rPr>
        <w:t>274/2017 Z. z., zákona 161/2018 Z. z., zákona č. 314/2018 Z. z., zákona č. 321/2018 Z. z., zákona č. 3/2019 Z. z., zákona č. 6/2019 Z. z., zákona č. 35/2019 Z. z., zákona č. 54/2019 Z. z., zákona č. 214/2019 Z. z., zákona č. 231/2019 Z. z., zákona č. 312/2020 Z. z., zákona</w:t>
      </w:r>
      <w:r w:rsidR="00D9697B">
        <w:rPr>
          <w:rFonts w:eastAsia="Calibri"/>
          <w:lang w:eastAsia="en-US"/>
        </w:rPr>
        <w:t xml:space="preserve"> </w:t>
      </w:r>
      <w:r w:rsidRPr="003A35C1">
        <w:rPr>
          <w:rFonts w:eastAsia="Calibri"/>
          <w:lang w:eastAsia="en-US"/>
        </w:rPr>
        <w:t xml:space="preserve">č. </w:t>
      </w:r>
      <w:r w:rsidR="00D9697B">
        <w:rPr>
          <w:rFonts w:eastAsia="Calibri"/>
          <w:lang w:eastAsia="en-US"/>
        </w:rPr>
        <w:t> </w:t>
      </w:r>
      <w:r w:rsidRPr="003A35C1">
        <w:rPr>
          <w:rFonts w:eastAsia="Calibri"/>
          <w:lang w:eastAsia="en-US"/>
        </w:rPr>
        <w:t>423/2020 Z. z., zákona č. 308/2021 Z. z., zákona č. 432/2021 Z. z., zákona č. 150/2022 Z. z., zákona č. 340/2022 Z. z., zákona č. 398/2022, zákona č. 49/2023 Z. z., zákona č.111/2023 Z. z., zákona č. 192/2023 Z. z., zákona č. 40/2024 Z. z., uznesenia Ústavného súdu Slovenskej republiky č. 41/2024 Z. z., nálezu Ústavného súdu Slovenskej republiky č. 215/2024 Z. z., zákona č. 248/2024 Z. z., zákona č. 353/2024 Z. z., z</w:t>
      </w:r>
      <w:r w:rsidR="00D9697B">
        <w:rPr>
          <w:rFonts w:eastAsia="Calibri"/>
          <w:lang w:eastAsia="en-US"/>
        </w:rPr>
        <w:t xml:space="preserve">ákona č.150/2025 Z. z. a zákona </w:t>
      </w:r>
      <w:r w:rsidRPr="003A35C1">
        <w:rPr>
          <w:rFonts w:eastAsia="Calibri"/>
          <w:lang w:eastAsia="en-US"/>
        </w:rPr>
        <w:t xml:space="preserve">č. </w:t>
      </w:r>
      <w:r w:rsidR="00D9697B">
        <w:rPr>
          <w:rFonts w:eastAsia="Calibri"/>
          <w:lang w:eastAsia="en-US"/>
        </w:rPr>
        <w:t> </w:t>
      </w:r>
      <w:r w:rsidRPr="003A35C1">
        <w:rPr>
          <w:rFonts w:eastAsia="Calibri"/>
          <w:lang w:eastAsia="en-US"/>
        </w:rPr>
        <w:t>327/2025 Z. z. sa dopĺňa takto:</w:t>
      </w:r>
    </w:p>
    <w:p w:rsidR="001B5495" w:rsidRPr="003A35C1" w:rsidRDefault="001B5495" w:rsidP="001B5495">
      <w:pPr>
        <w:jc w:val="both"/>
        <w:rPr>
          <w:rFonts w:eastAsia="Calibri"/>
          <w:lang w:eastAsia="en-US"/>
        </w:rPr>
      </w:pPr>
    </w:p>
    <w:p w:rsidR="001B5495" w:rsidRPr="003A35C1" w:rsidRDefault="001B5495" w:rsidP="001B5495">
      <w:pPr>
        <w:jc w:val="both"/>
        <w:rPr>
          <w:rFonts w:eastAsiaTheme="minorHAnsi"/>
          <w:lang w:eastAsia="en-US"/>
        </w:rPr>
      </w:pPr>
      <w:r w:rsidRPr="003A35C1">
        <w:rPr>
          <w:rFonts w:eastAsiaTheme="minorHAnsi"/>
          <w:lang w:eastAsia="en-US"/>
        </w:rPr>
        <w:t>1. § 119 sa dopĺňa odsekom 6, ktorý znie:</w:t>
      </w:r>
    </w:p>
    <w:p w:rsidR="001B5495" w:rsidRPr="003A35C1" w:rsidRDefault="001B5495" w:rsidP="001B5495">
      <w:pPr>
        <w:jc w:val="both"/>
        <w:rPr>
          <w:rFonts w:eastAsiaTheme="minorHAnsi"/>
          <w:lang w:eastAsia="en-US"/>
        </w:rPr>
      </w:pPr>
      <w:r w:rsidRPr="003A35C1">
        <w:rPr>
          <w:rFonts w:eastAsiaTheme="minorHAnsi"/>
          <w:lang w:eastAsia="en-US"/>
        </w:rPr>
        <w:t>„(6) Za dôkaz získaný prostredníctvom poskytnutia nezáko</w:t>
      </w:r>
      <w:r w:rsidR="00D9697B">
        <w:rPr>
          <w:rFonts w:eastAsiaTheme="minorHAnsi"/>
          <w:lang w:eastAsia="en-US"/>
        </w:rPr>
        <w:t xml:space="preserve">nného benefitu, ktorý sa nesmie </w:t>
      </w:r>
      <w:r w:rsidRPr="003A35C1">
        <w:rPr>
          <w:rFonts w:eastAsiaTheme="minorHAnsi"/>
          <w:lang w:eastAsia="en-US"/>
        </w:rPr>
        <w:t xml:space="preserve">v </w:t>
      </w:r>
      <w:r w:rsidR="00D9697B">
        <w:rPr>
          <w:rFonts w:eastAsiaTheme="minorHAnsi"/>
          <w:lang w:eastAsia="en-US"/>
        </w:rPr>
        <w:t> </w:t>
      </w:r>
      <w:r w:rsidRPr="003A35C1">
        <w:rPr>
          <w:rFonts w:eastAsiaTheme="minorHAnsi"/>
          <w:lang w:eastAsia="en-US"/>
        </w:rPr>
        <w:t>konaní použiť podľa odseku 5, sa považuje aj dôkaz získaný od osoby, ktorej bol poskytnutý benefit a ktorá v akomkoľvek trestnom konaní nevypovedala pravdivo o podstatných skutočnostiach alebo neuviedla vo svojej výpovedi všetky podstatné skutočnosti.“.</w:t>
      </w:r>
    </w:p>
    <w:p w:rsidR="001B5495" w:rsidRPr="003A35C1" w:rsidRDefault="001B5495" w:rsidP="001B5495">
      <w:pPr>
        <w:jc w:val="both"/>
        <w:rPr>
          <w:rFonts w:eastAsiaTheme="minorHAnsi"/>
          <w:lang w:eastAsia="en-US"/>
        </w:rPr>
      </w:pPr>
    </w:p>
    <w:p w:rsidR="001B5495" w:rsidRPr="003A35C1" w:rsidRDefault="001B5495" w:rsidP="001B5495">
      <w:pPr>
        <w:jc w:val="both"/>
        <w:rPr>
          <w:rFonts w:eastAsiaTheme="minorHAnsi"/>
          <w:lang w:eastAsia="en-US"/>
        </w:rPr>
      </w:pPr>
      <w:r w:rsidRPr="003A35C1">
        <w:rPr>
          <w:rFonts w:eastAsiaTheme="minorHAnsi"/>
          <w:lang w:eastAsia="en-US"/>
        </w:rPr>
        <w:t>2. V § 168 ods. 1 sa na konci prvej vety pripájajú tieto slová</w:t>
      </w:r>
      <w:r w:rsidR="00D9697B">
        <w:rPr>
          <w:rFonts w:eastAsiaTheme="minorHAnsi"/>
          <w:lang w:eastAsia="en-US"/>
        </w:rPr>
        <w:t xml:space="preserve">: „alebo ak dôkazy boli získané </w:t>
      </w:r>
      <w:r w:rsidRPr="003A35C1">
        <w:rPr>
          <w:rFonts w:eastAsiaTheme="minorHAnsi"/>
          <w:lang w:eastAsia="en-US"/>
        </w:rPr>
        <w:t xml:space="preserve">od </w:t>
      </w:r>
      <w:r w:rsidR="00D9697B">
        <w:rPr>
          <w:rFonts w:eastAsiaTheme="minorHAnsi"/>
          <w:lang w:eastAsia="en-US"/>
        </w:rPr>
        <w:t> </w:t>
      </w:r>
      <w:r w:rsidRPr="003A35C1">
        <w:rPr>
          <w:rFonts w:eastAsiaTheme="minorHAnsi"/>
          <w:lang w:eastAsia="en-US"/>
        </w:rPr>
        <w:t>osoby, ktorej bol poskytnutý benefit, pričom súd uvedie aj hodnotenie jej dôveryhodnosti.“.</w:t>
      </w:r>
    </w:p>
    <w:p w:rsidR="001B5495" w:rsidRPr="003A35C1" w:rsidRDefault="001B5495" w:rsidP="001B5495">
      <w:pPr>
        <w:jc w:val="center"/>
        <w:rPr>
          <w:rFonts w:eastAsia="Calibri"/>
          <w:szCs w:val="22"/>
          <w:lang w:eastAsia="en-US"/>
        </w:rPr>
      </w:pPr>
    </w:p>
    <w:p w:rsidR="001B5495" w:rsidRPr="003A35C1" w:rsidRDefault="001B5495" w:rsidP="001B5495">
      <w:pPr>
        <w:jc w:val="center"/>
        <w:rPr>
          <w:rFonts w:eastAsia="Calibri"/>
          <w:szCs w:val="22"/>
          <w:lang w:eastAsia="en-US"/>
        </w:rPr>
      </w:pPr>
      <w:r w:rsidRPr="003A35C1">
        <w:rPr>
          <w:rFonts w:eastAsia="Calibri"/>
          <w:szCs w:val="22"/>
          <w:lang w:eastAsia="en-US"/>
        </w:rPr>
        <w:t>Čl. IV</w:t>
      </w:r>
    </w:p>
    <w:p w:rsidR="001B5495" w:rsidRPr="003A35C1" w:rsidRDefault="001B5495" w:rsidP="001B5495">
      <w:pPr>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Zákon č. 91/2016 Z. z. o trestnej zodpovednosti právnických osôb a o zmene a doplnení niektorých zákonov v znení zákona č. 316/2016 Z. z., zákona č. 161/2018 Z. z., zákona č. 214/2019 Z. z., zákona č. 474/2019 Z. z., zákona č. 288/2020 Z. z., zákona č. 312/2020 Z. z., zákona č. 309/2023 Z. z., zákona č. 40/2024 Z. z., zákona č. 353/2024 Z. z. a zákona č. 157/2025 Z. z. sa dopĺňa takto:</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V § 3 sa za slová „marenie výkonu úradného rozhodnutia podľa § 348 a 349,“ vkladajú slová „marenie volebnej kampane podľa § 351a,“.</w:t>
      </w:r>
    </w:p>
    <w:p w:rsidR="001B5495" w:rsidRPr="003A35C1" w:rsidRDefault="001B5495" w:rsidP="001B5495">
      <w:pPr>
        <w:rPr>
          <w:rFonts w:eastAsia="Calibri"/>
          <w:szCs w:val="22"/>
          <w:lang w:eastAsia="en-US"/>
        </w:rPr>
      </w:pPr>
    </w:p>
    <w:p w:rsidR="001B5495" w:rsidRPr="003A35C1" w:rsidRDefault="001B5495" w:rsidP="001B5495">
      <w:pPr>
        <w:jc w:val="center"/>
        <w:rPr>
          <w:rFonts w:eastAsia="Calibri"/>
          <w:szCs w:val="22"/>
          <w:lang w:eastAsia="en-US"/>
        </w:rPr>
      </w:pPr>
      <w:r w:rsidRPr="003A35C1">
        <w:rPr>
          <w:rFonts w:eastAsia="Calibri"/>
          <w:szCs w:val="22"/>
          <w:lang w:eastAsia="en-US"/>
        </w:rPr>
        <w:t>Čl. V</w:t>
      </w:r>
    </w:p>
    <w:p w:rsidR="001B5495" w:rsidRPr="003A35C1" w:rsidRDefault="001B5495" w:rsidP="001B5495">
      <w:pPr>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Zákon č. 192/2023 Z. z. o registri trestov a o zmen</w:t>
      </w:r>
      <w:r w:rsidR="00D9697B">
        <w:rPr>
          <w:rFonts w:eastAsia="Calibri"/>
          <w:szCs w:val="22"/>
          <w:lang w:eastAsia="en-US"/>
        </w:rPr>
        <w:t xml:space="preserve">e a doplnení niektorých zákonov </w:t>
      </w:r>
      <w:r w:rsidRPr="003A35C1">
        <w:rPr>
          <w:rFonts w:eastAsia="Calibri"/>
          <w:szCs w:val="22"/>
          <w:lang w:eastAsia="en-US"/>
        </w:rPr>
        <w:t xml:space="preserve">v </w:t>
      </w:r>
      <w:r w:rsidR="00D9697B">
        <w:rPr>
          <w:rFonts w:eastAsia="Calibri"/>
          <w:szCs w:val="22"/>
          <w:lang w:eastAsia="en-US"/>
        </w:rPr>
        <w:t> </w:t>
      </w:r>
      <w:r w:rsidRPr="003A35C1">
        <w:rPr>
          <w:rFonts w:eastAsia="Calibri"/>
          <w:szCs w:val="22"/>
          <w:lang w:eastAsia="en-US"/>
        </w:rPr>
        <w:t>znení zákona č. 161/2024 Z. z., zákona č. 179/2024 Z. z., zákona č. 299/2024 Z. z. a zákona č. 294/2025 Z. z. sa mení a dopĺňa takto:</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1. V § 11 ods. 1 sa za písmeno c) vkladá nové písmeno d), ktoré znie:</w:t>
      </w:r>
    </w:p>
    <w:p w:rsidR="001B5495" w:rsidRPr="003A35C1" w:rsidRDefault="001B5495" w:rsidP="001B5495">
      <w:pPr>
        <w:jc w:val="both"/>
        <w:rPr>
          <w:rFonts w:eastAsia="Calibri"/>
          <w:szCs w:val="22"/>
          <w:lang w:eastAsia="en-US"/>
        </w:rPr>
      </w:pPr>
      <w:r w:rsidRPr="003A35C1">
        <w:rPr>
          <w:rFonts w:eastAsia="Calibri"/>
          <w:szCs w:val="22"/>
          <w:lang w:eastAsia="en-US"/>
        </w:rPr>
        <w:t>„d) výpis z registra trestov na účely bezpečnostnej kontroly,“.</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Doterajšie písmená d) a e) sa označujú ako písmená e) a f).</w:t>
      </w:r>
    </w:p>
    <w:p w:rsidR="001B5495" w:rsidRPr="003A35C1" w:rsidRDefault="001B5495" w:rsidP="001B5495">
      <w:pPr>
        <w:jc w:val="both"/>
        <w:rPr>
          <w:rFonts w:eastAsia="Calibri"/>
          <w:szCs w:val="22"/>
          <w:lang w:eastAsia="en-US"/>
        </w:rPr>
      </w:pPr>
      <w:r w:rsidRPr="003A35C1">
        <w:rPr>
          <w:rFonts w:eastAsia="Calibri"/>
          <w:szCs w:val="22"/>
          <w:lang w:eastAsia="en-US"/>
        </w:rPr>
        <w:t xml:space="preserve">2. V § 15 ods. 2 sa slová „ustanovené podľa § 29 písm. a)“ nahrádzajú slovami „proti deťom ustanovené podľa § 29 ods. 1“. </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 xml:space="preserve">3. Za § 16 sa vkladá § 16a, ktorý vrátane nadpisu znie: </w:t>
      </w:r>
    </w:p>
    <w:p w:rsidR="001B5495" w:rsidRPr="003A35C1" w:rsidRDefault="001B5495" w:rsidP="001B5495">
      <w:pPr>
        <w:jc w:val="both"/>
        <w:rPr>
          <w:rFonts w:eastAsia="Calibri"/>
          <w:szCs w:val="22"/>
          <w:lang w:eastAsia="en-US"/>
        </w:rPr>
      </w:pPr>
    </w:p>
    <w:p w:rsidR="001B5495" w:rsidRPr="003A35C1" w:rsidRDefault="001B5495" w:rsidP="001B5495">
      <w:pPr>
        <w:jc w:val="center"/>
        <w:rPr>
          <w:rFonts w:eastAsia="Calibri"/>
          <w:szCs w:val="22"/>
          <w:lang w:eastAsia="en-US"/>
        </w:rPr>
      </w:pPr>
      <w:r w:rsidRPr="003A35C1">
        <w:rPr>
          <w:rFonts w:eastAsia="Calibri"/>
          <w:szCs w:val="22"/>
          <w:lang w:eastAsia="en-US"/>
        </w:rPr>
        <w:t>„§ 16a</w:t>
      </w:r>
    </w:p>
    <w:p w:rsidR="001B5495" w:rsidRPr="003A35C1" w:rsidRDefault="001B5495" w:rsidP="001B5495">
      <w:pPr>
        <w:jc w:val="center"/>
        <w:rPr>
          <w:rFonts w:eastAsia="Calibri"/>
          <w:szCs w:val="22"/>
          <w:lang w:eastAsia="en-US"/>
        </w:rPr>
      </w:pPr>
      <w:r w:rsidRPr="003A35C1">
        <w:rPr>
          <w:rFonts w:eastAsia="Calibri"/>
          <w:szCs w:val="22"/>
          <w:lang w:eastAsia="en-US"/>
        </w:rPr>
        <w:t>Výpis z registra trestov na účely bezpečnostnej kontroly</w:t>
      </w:r>
    </w:p>
    <w:p w:rsidR="001B5495" w:rsidRPr="003A35C1" w:rsidRDefault="001B5495" w:rsidP="001B5495">
      <w:pPr>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(1) Vo výpise z registra trestov na účely bezpečnostnej kontroly podľa osobitného predpisu</w:t>
      </w:r>
      <w:r w:rsidRPr="003A35C1">
        <w:rPr>
          <w:rFonts w:eastAsia="Calibri"/>
          <w:szCs w:val="22"/>
          <w:vertAlign w:val="superscript"/>
          <w:lang w:eastAsia="en-US"/>
        </w:rPr>
        <w:t>19a</w:t>
      </w:r>
      <w:r w:rsidRPr="003A35C1">
        <w:rPr>
          <w:rFonts w:eastAsia="Calibri"/>
          <w:szCs w:val="22"/>
          <w:lang w:eastAsia="en-US"/>
        </w:rPr>
        <w:t xml:space="preserve">) sa uvedú informácie o každom právoplatnom odsúdení štátneho príslušníka tretej </w:t>
      </w:r>
      <w:r w:rsidRPr="003A35C1">
        <w:rPr>
          <w:rFonts w:eastAsia="Calibri"/>
          <w:szCs w:val="22"/>
          <w:lang w:eastAsia="en-US"/>
        </w:rPr>
        <w:lastRenderedPageBreak/>
        <w:t>krajiny súdom Slovenskej republiky vrátane údajov o priebehu výkonu uložených trestov, ochranných opatrení a primeraných obmedzení alebo povinností, ak ide o trestné činy podľa osobitného predpisu</w:t>
      </w:r>
      <w:r w:rsidRPr="003A35C1">
        <w:rPr>
          <w:rFonts w:eastAsia="Calibri"/>
          <w:szCs w:val="22"/>
          <w:vertAlign w:val="superscript"/>
          <w:lang w:eastAsia="en-US"/>
        </w:rPr>
        <w:t>11</w:t>
      </w:r>
      <w:r w:rsidRPr="003A35C1">
        <w:rPr>
          <w:rFonts w:eastAsia="Calibri"/>
          <w:szCs w:val="22"/>
          <w:lang w:eastAsia="en-US"/>
        </w:rPr>
        <w:t xml:space="preserve">) ustanovené podľa § 29 ods. 1. </w:t>
      </w:r>
    </w:p>
    <w:p w:rsidR="001B5495" w:rsidRPr="003A35C1" w:rsidRDefault="001B5495" w:rsidP="001B5495">
      <w:pPr>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(2) Žiadosť o výpis z registra trestov na účely bezpečnostnej kontroly môže podať oprávnený orgán podľa osobitného predpisu.</w:t>
      </w:r>
      <w:r w:rsidRPr="003A35C1">
        <w:rPr>
          <w:rFonts w:eastAsia="Calibri"/>
          <w:szCs w:val="22"/>
          <w:vertAlign w:val="superscript"/>
          <w:lang w:eastAsia="en-US"/>
        </w:rPr>
        <w:t>3</w:t>
      </w:r>
      <w:r w:rsidRPr="003A35C1">
        <w:rPr>
          <w:rFonts w:eastAsia="Calibri"/>
          <w:szCs w:val="22"/>
          <w:lang w:eastAsia="en-US"/>
        </w:rPr>
        <w:t>) Na podanie žiad</w:t>
      </w:r>
      <w:r w:rsidR="00D9697B">
        <w:rPr>
          <w:rFonts w:eastAsia="Calibri"/>
          <w:szCs w:val="22"/>
          <w:lang w:eastAsia="en-US"/>
        </w:rPr>
        <w:t xml:space="preserve">osti o výpis z registra trestov </w:t>
      </w:r>
      <w:r w:rsidRPr="003A35C1">
        <w:rPr>
          <w:rFonts w:eastAsia="Calibri"/>
          <w:szCs w:val="22"/>
          <w:lang w:eastAsia="en-US"/>
        </w:rPr>
        <w:t xml:space="preserve">na </w:t>
      </w:r>
      <w:r w:rsidR="00D9697B">
        <w:rPr>
          <w:rFonts w:eastAsia="Calibri"/>
          <w:szCs w:val="22"/>
          <w:lang w:eastAsia="en-US"/>
        </w:rPr>
        <w:t> </w:t>
      </w:r>
      <w:r w:rsidRPr="003A35C1">
        <w:rPr>
          <w:rFonts w:eastAsia="Calibri"/>
          <w:szCs w:val="22"/>
          <w:lang w:eastAsia="en-US"/>
        </w:rPr>
        <w:t>účely bezpečnostnej kontroly sa primerane vzťahujú ustanovenia § 12 a 13.“.</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Poznámka pod čiarou k odkazu 19a znie:</w:t>
      </w:r>
    </w:p>
    <w:p w:rsidR="001B5495" w:rsidRPr="003A35C1" w:rsidRDefault="001B5495" w:rsidP="001B5495">
      <w:pPr>
        <w:jc w:val="both"/>
        <w:rPr>
          <w:rFonts w:eastAsia="Calibri"/>
          <w:szCs w:val="22"/>
          <w:lang w:eastAsia="en-US"/>
        </w:rPr>
      </w:pPr>
      <w:r w:rsidRPr="003A35C1">
        <w:rPr>
          <w:rFonts w:eastAsia="Calibri"/>
          <w:szCs w:val="22"/>
          <w:lang w:eastAsia="en-US"/>
        </w:rPr>
        <w:t>„</w:t>
      </w:r>
      <w:r w:rsidRPr="003A35C1">
        <w:rPr>
          <w:rFonts w:eastAsia="Calibri"/>
          <w:szCs w:val="22"/>
          <w:vertAlign w:val="superscript"/>
          <w:lang w:eastAsia="en-US"/>
        </w:rPr>
        <w:t>19a</w:t>
      </w:r>
      <w:r w:rsidRPr="003A35C1">
        <w:rPr>
          <w:rFonts w:eastAsia="Calibri"/>
          <w:szCs w:val="22"/>
          <w:lang w:eastAsia="en-US"/>
        </w:rPr>
        <w:t xml:space="preserve">) Čl. 15 ods. 4 nariadenia Európskeho parlamentu a Rady (EÚ) 2024/1356 zo 14. mája 2024, ktorým sa zavádza preverovanie štátnych príslušníkov tretích </w:t>
      </w:r>
      <w:r w:rsidR="00D9697B">
        <w:rPr>
          <w:rFonts w:eastAsia="Calibri"/>
          <w:szCs w:val="22"/>
          <w:lang w:eastAsia="en-US"/>
        </w:rPr>
        <w:t xml:space="preserve">krajín na vonkajších hraniciach </w:t>
      </w:r>
      <w:r w:rsidRPr="003A35C1">
        <w:rPr>
          <w:rFonts w:eastAsia="Calibri"/>
          <w:szCs w:val="22"/>
          <w:lang w:eastAsia="en-US"/>
        </w:rPr>
        <w:t xml:space="preserve">a </w:t>
      </w:r>
      <w:r w:rsidR="00D9697B">
        <w:rPr>
          <w:rFonts w:eastAsia="Calibri"/>
          <w:szCs w:val="22"/>
          <w:lang w:eastAsia="en-US"/>
        </w:rPr>
        <w:t> </w:t>
      </w:r>
      <w:r w:rsidRPr="003A35C1">
        <w:rPr>
          <w:rFonts w:eastAsia="Calibri"/>
          <w:szCs w:val="22"/>
          <w:lang w:eastAsia="en-US"/>
        </w:rPr>
        <w:t>ktorým sa menia nariadenia (ES) č. 767/2008, (EÚ) 2017/2226, (EÚ) 2018/1240 a (EÚ) 2019/817.</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4. V § 18 ods. 3 sa za slovo „mládežou“ vkladá čiarka a slová „a špecializovaný výpis z registra trestov“ sa nahrádzajú slovami „špecializovaný výpis z registra trestov a výpis z registra trestov na účely bezpečnostnej kontroly“.</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5. V § 30 ods. 1 a 2 sa slová „Do 31. decembra 2025“ nahrádzajú slovami „Do 11. júna 2026“.</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6. Za § 30a sa vkladá § 30b, ktorý znie:</w:t>
      </w:r>
    </w:p>
    <w:p w:rsidR="001B5495" w:rsidRPr="003A35C1" w:rsidRDefault="001B5495" w:rsidP="001B5495">
      <w:pPr>
        <w:jc w:val="center"/>
        <w:rPr>
          <w:rFonts w:eastAsia="Calibri"/>
          <w:szCs w:val="22"/>
          <w:lang w:eastAsia="en-US"/>
        </w:rPr>
      </w:pPr>
      <w:r w:rsidRPr="003A35C1">
        <w:rPr>
          <w:rFonts w:eastAsia="Calibri"/>
          <w:szCs w:val="22"/>
          <w:lang w:eastAsia="en-US"/>
        </w:rPr>
        <w:t>„§ 30b</w:t>
      </w:r>
    </w:p>
    <w:p w:rsidR="001B5495" w:rsidRPr="003A35C1" w:rsidRDefault="001B5495" w:rsidP="001B5495">
      <w:pPr>
        <w:ind w:firstLine="708"/>
        <w:jc w:val="both"/>
        <w:rPr>
          <w:rFonts w:eastAsia="Calibri"/>
          <w:szCs w:val="22"/>
          <w:lang w:eastAsia="en-US"/>
        </w:rPr>
      </w:pPr>
    </w:p>
    <w:p w:rsidR="001B5495" w:rsidRPr="003A35C1" w:rsidRDefault="001B5495" w:rsidP="001B5495">
      <w:pPr>
        <w:ind w:firstLine="708"/>
        <w:jc w:val="both"/>
        <w:rPr>
          <w:rFonts w:eastAsia="Calibri"/>
          <w:szCs w:val="22"/>
          <w:lang w:eastAsia="en-US"/>
        </w:rPr>
      </w:pPr>
      <w:r w:rsidRPr="003A35C1">
        <w:rPr>
          <w:rFonts w:eastAsia="Calibri"/>
          <w:szCs w:val="22"/>
          <w:lang w:eastAsia="en-US"/>
        </w:rPr>
        <w:t>Ak sa v zákonoch alebo iných všeobecne záväzných právnych predpisoch používajú slová výpis z registra trestov pre prácu s deťmi a mládežou, špecializovaný výpis z registra trestov alebo odpis registra trestov pre vybrané povolania a civilný proces, do 11. júna 2026 sa tým rozumie odpis registra trestov.“.</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7. V čl. VIII sa slová „1. januára 2026“ nahrádzajú slovami „12. júna 2026“.“.</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Nasledujúci článok sa primerane prečísluje. V čl. V body 1 až 4 nadobúdajú účinnosť 12. júna 2026, čo sa premietne do ustanovenia o účinnosti (čl. III).</w:t>
      </w:r>
    </w:p>
    <w:p w:rsidR="001B5495" w:rsidRPr="003A35C1" w:rsidRDefault="001B5495" w:rsidP="001B5495">
      <w:pPr>
        <w:jc w:val="both"/>
        <w:rPr>
          <w:rFonts w:eastAsia="Calibri"/>
          <w:szCs w:val="22"/>
          <w:lang w:eastAsia="en-US"/>
        </w:rPr>
      </w:pPr>
    </w:p>
    <w:p w:rsidR="001B5495" w:rsidRPr="003A35C1" w:rsidRDefault="001B5495" w:rsidP="001B5495">
      <w:pPr>
        <w:jc w:val="both"/>
        <w:rPr>
          <w:rFonts w:eastAsia="Calibri"/>
          <w:szCs w:val="22"/>
          <w:lang w:eastAsia="en-US"/>
        </w:rPr>
      </w:pPr>
      <w:r w:rsidRPr="003A35C1">
        <w:rPr>
          <w:rFonts w:eastAsia="Calibri"/>
          <w:szCs w:val="22"/>
          <w:lang w:eastAsia="en-US"/>
        </w:rPr>
        <w:t xml:space="preserve">V súvislosti s vložením nových článkov III až V sa primerane upraví  názov zákona.  </w:t>
      </w:r>
    </w:p>
    <w:p w:rsidR="001B5495" w:rsidRPr="003A35C1" w:rsidRDefault="001B5495" w:rsidP="001B5495">
      <w:pPr>
        <w:jc w:val="both"/>
        <w:rPr>
          <w:rFonts w:eastAsia="Calibri"/>
          <w:szCs w:val="22"/>
          <w:lang w:eastAsia="en-US"/>
        </w:rPr>
      </w:pPr>
    </w:p>
    <w:p w:rsidR="001B5495" w:rsidRPr="003A35C1" w:rsidRDefault="001B5495" w:rsidP="001B5495">
      <w:pPr>
        <w:ind w:left="2832" w:hanging="2832"/>
        <w:jc w:val="both"/>
        <w:rPr>
          <w:rFonts w:eastAsia="Calibri"/>
          <w:szCs w:val="22"/>
          <w:lang w:eastAsia="en-US"/>
        </w:rPr>
      </w:pPr>
      <w:r w:rsidRPr="003A35C1">
        <w:rPr>
          <w:rFonts w:eastAsia="Calibri"/>
          <w:i/>
          <w:szCs w:val="22"/>
          <w:lang w:eastAsia="en-US"/>
        </w:rPr>
        <w:tab/>
      </w:r>
      <w:r w:rsidRPr="003A35C1">
        <w:rPr>
          <w:rFonts w:eastAsia="Calibri"/>
          <w:bCs/>
          <w:szCs w:val="22"/>
          <w:lang w:eastAsia="en-US"/>
        </w:rPr>
        <w:t>K čl. III</w:t>
      </w:r>
    </w:p>
    <w:p w:rsidR="001B5495" w:rsidRPr="003A35C1" w:rsidRDefault="001B5495" w:rsidP="001B5495">
      <w:pPr>
        <w:ind w:left="2832"/>
        <w:jc w:val="both"/>
        <w:rPr>
          <w:rFonts w:eastAsia="Calibri"/>
          <w:szCs w:val="22"/>
          <w:lang w:eastAsia="en-US"/>
        </w:rPr>
      </w:pPr>
      <w:r w:rsidRPr="003A35C1">
        <w:rPr>
          <w:rFonts w:eastAsia="Calibri"/>
          <w:szCs w:val="22"/>
          <w:lang w:eastAsia="en-US"/>
        </w:rPr>
        <w:t xml:space="preserve">Úprava spolupracujúcich obvinených v zákone č. 40/2024 Z. z. sa v praxi ukázala ako nedostatočná. V praxi sa stále možno stretnúť so zneužívaním inštitútu spolupracujúceho obvineného (tzv. „kajúcnik“) a odsúdení osôb práve na základe výpovedi týchto osôb, ktoré sa ukázali ako nedôveryhodné, tým že vo svojich iných výpovediach vypovedali nepravdivo, pričom súdy sa nedostatočne </w:t>
      </w:r>
      <w:proofErr w:type="spellStart"/>
      <w:r w:rsidRPr="003A35C1">
        <w:rPr>
          <w:rFonts w:eastAsia="Calibri"/>
          <w:szCs w:val="22"/>
          <w:lang w:eastAsia="en-US"/>
        </w:rPr>
        <w:t>vysporadúvajú</w:t>
      </w:r>
      <w:proofErr w:type="spellEnd"/>
      <w:r w:rsidRPr="003A35C1">
        <w:rPr>
          <w:rFonts w:eastAsia="Calibri"/>
          <w:szCs w:val="22"/>
          <w:lang w:eastAsia="en-US"/>
        </w:rPr>
        <w:t xml:space="preserve"> </w:t>
      </w:r>
      <w:r w:rsidR="00D9697B">
        <w:rPr>
          <w:rFonts w:eastAsia="Calibri"/>
          <w:szCs w:val="22"/>
          <w:lang w:eastAsia="en-US"/>
        </w:rPr>
        <w:t xml:space="preserve">s hodnotením ich dôveryhodnosti </w:t>
      </w:r>
      <w:r w:rsidRPr="003A35C1">
        <w:rPr>
          <w:rFonts w:eastAsia="Calibri"/>
          <w:szCs w:val="22"/>
          <w:lang w:eastAsia="en-US"/>
        </w:rPr>
        <w:t xml:space="preserve">a </w:t>
      </w:r>
      <w:r w:rsidR="00D9697B">
        <w:rPr>
          <w:rFonts w:eastAsia="Calibri"/>
          <w:szCs w:val="22"/>
          <w:lang w:eastAsia="en-US"/>
        </w:rPr>
        <w:t> </w:t>
      </w:r>
      <w:r w:rsidRPr="003A35C1">
        <w:rPr>
          <w:rFonts w:eastAsia="Calibri"/>
          <w:szCs w:val="22"/>
          <w:lang w:eastAsia="en-US"/>
        </w:rPr>
        <w:t xml:space="preserve">prípadné odsúdenie takýchto kajúcnikov za trestný čin Krivej výpovede a krivej prísahy </w:t>
      </w:r>
      <w:r w:rsidR="00D9697B">
        <w:rPr>
          <w:rFonts w:eastAsia="Calibri"/>
          <w:szCs w:val="22"/>
          <w:lang w:eastAsia="en-US"/>
        </w:rPr>
        <w:t xml:space="preserve">podľa § 346 Trestného zákona je </w:t>
      </w:r>
      <w:r w:rsidRPr="003A35C1">
        <w:rPr>
          <w:rFonts w:eastAsia="Calibri"/>
          <w:szCs w:val="22"/>
          <w:lang w:eastAsia="en-US"/>
        </w:rPr>
        <w:t xml:space="preserve">z </w:t>
      </w:r>
      <w:r w:rsidR="00D9697B">
        <w:rPr>
          <w:rFonts w:eastAsia="Calibri"/>
          <w:szCs w:val="22"/>
          <w:lang w:eastAsia="en-US"/>
        </w:rPr>
        <w:t> </w:t>
      </w:r>
      <w:r w:rsidRPr="003A35C1">
        <w:rPr>
          <w:rFonts w:eastAsia="Calibri"/>
          <w:szCs w:val="22"/>
          <w:lang w:eastAsia="en-US"/>
        </w:rPr>
        <w:t xml:space="preserve">hľadiska vedenia trestného konania pomerne komplikované a </w:t>
      </w:r>
      <w:r w:rsidR="00D9697B">
        <w:rPr>
          <w:rFonts w:eastAsia="Calibri"/>
          <w:szCs w:val="22"/>
          <w:lang w:eastAsia="en-US"/>
        </w:rPr>
        <w:t> </w:t>
      </w:r>
      <w:r w:rsidRPr="003A35C1">
        <w:rPr>
          <w:rFonts w:eastAsia="Calibri"/>
          <w:szCs w:val="22"/>
          <w:lang w:eastAsia="en-US"/>
        </w:rPr>
        <w:t xml:space="preserve">zdĺhavé. V nadväznosti aj na judikatúru ESĽP (napr. vo veci </w:t>
      </w:r>
      <w:proofErr w:type="spellStart"/>
      <w:r w:rsidRPr="003A35C1">
        <w:rPr>
          <w:rFonts w:eastAsia="Calibri"/>
          <w:szCs w:val="22"/>
          <w:lang w:eastAsia="en-US"/>
        </w:rPr>
        <w:t>Adamčo</w:t>
      </w:r>
      <w:proofErr w:type="spellEnd"/>
      <w:r w:rsidRPr="003A35C1">
        <w:rPr>
          <w:rFonts w:eastAsia="Calibri"/>
          <w:szCs w:val="22"/>
          <w:lang w:eastAsia="en-US"/>
        </w:rPr>
        <w:t xml:space="preserve"> </w:t>
      </w:r>
      <w:proofErr w:type="spellStart"/>
      <w:r w:rsidRPr="003A35C1">
        <w:rPr>
          <w:rFonts w:eastAsia="Calibri"/>
          <w:szCs w:val="22"/>
          <w:lang w:eastAsia="en-US"/>
        </w:rPr>
        <w:t>vs</w:t>
      </w:r>
      <w:proofErr w:type="spellEnd"/>
      <w:r w:rsidRPr="003A35C1">
        <w:rPr>
          <w:rFonts w:eastAsia="Calibri"/>
          <w:szCs w:val="22"/>
          <w:lang w:eastAsia="en-US"/>
        </w:rPr>
        <w:t xml:space="preserve">. Slovenská republika) sa navrhuje bližšie špecifikovať nepoužiteľnosť dôkazov získaných prostredníctvom poskytnutia nezákonného benefitu a vyslovene sa prikazuje súdu </w:t>
      </w:r>
      <w:r w:rsidRPr="003A35C1">
        <w:rPr>
          <w:rFonts w:eastAsia="Calibri"/>
          <w:szCs w:val="22"/>
          <w:lang w:eastAsia="en-US"/>
        </w:rPr>
        <w:lastRenderedPageBreak/>
        <w:t xml:space="preserve">vysporiadať sa v odôvodnení rozsudku s dôveryhodnosťou spolupracujúcej osoby, ktorej bol poskytnutý benefit.   </w:t>
      </w:r>
    </w:p>
    <w:p w:rsidR="001B5495" w:rsidRPr="003A35C1" w:rsidRDefault="001B5495" w:rsidP="001B5495">
      <w:pPr>
        <w:ind w:left="2832"/>
        <w:jc w:val="both"/>
        <w:rPr>
          <w:rFonts w:eastAsia="Calibri"/>
          <w:bCs/>
          <w:szCs w:val="22"/>
          <w:lang w:eastAsia="en-US"/>
        </w:rPr>
      </w:pPr>
    </w:p>
    <w:p w:rsidR="001B5495" w:rsidRPr="003A35C1" w:rsidRDefault="001B5495" w:rsidP="001B5495">
      <w:pPr>
        <w:ind w:left="2832"/>
        <w:jc w:val="both"/>
        <w:rPr>
          <w:rFonts w:eastAsia="Calibri"/>
          <w:szCs w:val="22"/>
          <w:lang w:eastAsia="en-US"/>
        </w:rPr>
      </w:pPr>
      <w:r w:rsidRPr="003A35C1">
        <w:rPr>
          <w:rFonts w:eastAsia="Calibri"/>
          <w:bCs/>
          <w:szCs w:val="22"/>
          <w:lang w:eastAsia="en-US"/>
        </w:rPr>
        <w:t>K čl. IV</w:t>
      </w:r>
    </w:p>
    <w:p w:rsidR="001B5495" w:rsidRPr="003A35C1" w:rsidRDefault="001B5495" w:rsidP="001B5495">
      <w:pPr>
        <w:ind w:left="2832"/>
        <w:jc w:val="both"/>
        <w:rPr>
          <w:rFonts w:eastAsia="Calibri"/>
          <w:szCs w:val="22"/>
          <w:lang w:eastAsia="en-US"/>
        </w:rPr>
      </w:pPr>
      <w:r w:rsidRPr="003A35C1">
        <w:rPr>
          <w:rFonts w:eastAsia="Calibri"/>
          <w:szCs w:val="22"/>
          <w:lang w:eastAsia="en-US"/>
        </w:rPr>
        <w:t>Navrhuje sa novú skutkovú podstatu trestného činu marenia volebnej kampane zahrnúť do katalógu trestných činov, ktorých sa môžu dopustiť aj právnické osoby.</w:t>
      </w:r>
    </w:p>
    <w:p w:rsidR="001B5495" w:rsidRPr="003A35C1" w:rsidRDefault="001B5495" w:rsidP="001B5495">
      <w:pPr>
        <w:ind w:left="2832"/>
        <w:jc w:val="both"/>
        <w:rPr>
          <w:rFonts w:eastAsia="Calibri"/>
          <w:szCs w:val="22"/>
          <w:lang w:eastAsia="en-US"/>
        </w:rPr>
      </w:pPr>
    </w:p>
    <w:p w:rsidR="001B5495" w:rsidRPr="003A35C1" w:rsidRDefault="001B5495" w:rsidP="001B5495">
      <w:pPr>
        <w:ind w:left="2832"/>
        <w:jc w:val="both"/>
        <w:rPr>
          <w:rFonts w:eastAsia="Calibri"/>
          <w:bCs/>
          <w:szCs w:val="22"/>
          <w:lang w:eastAsia="en-US"/>
        </w:rPr>
      </w:pPr>
      <w:r w:rsidRPr="003A35C1">
        <w:rPr>
          <w:rFonts w:eastAsia="Calibri"/>
          <w:bCs/>
          <w:szCs w:val="22"/>
          <w:lang w:eastAsia="en-US"/>
        </w:rPr>
        <w:t>K čl. V</w:t>
      </w:r>
    </w:p>
    <w:p w:rsidR="001B5495" w:rsidRPr="003A35C1" w:rsidRDefault="001B5495" w:rsidP="001B5495">
      <w:pPr>
        <w:ind w:left="2832"/>
        <w:jc w:val="both"/>
        <w:rPr>
          <w:rFonts w:eastAsia="Calibri"/>
          <w:bCs/>
          <w:iCs/>
          <w:lang w:eastAsia="en-US"/>
        </w:rPr>
      </w:pPr>
      <w:r w:rsidRPr="003A35C1">
        <w:rPr>
          <w:rFonts w:eastAsia="Calibri"/>
          <w:bCs/>
          <w:iCs/>
          <w:lang w:eastAsia="en-US"/>
        </w:rPr>
        <w:t>Zavedenie nového typu verejnej listiny – výpis z registra trestov na účely bezpečnostnej kontroly je nevyhnutné, pretože žiadna z doteraz upravených vydávaných verejných listín nespĺňa požiadavky podľa nariadenia Európskeho parlamentu a Rady (EÚ) 2024/1356 zo 14. mája 2024, ktorým sa zavádza preverovanie štátnych príslušníkov tretích krajín na vonkajších hraniciach a ktorým sa menia nariadenia (ES) č. 767/2008, (EÚ) 2017/2226, (EÚ) 2018/1240 a (EÚ) 2019/817. Uvedené je riešené v bodoch 1 až 4.</w:t>
      </w:r>
    </w:p>
    <w:p w:rsidR="001B5495" w:rsidRPr="003A35C1" w:rsidRDefault="001B5495" w:rsidP="001B5495">
      <w:pPr>
        <w:ind w:left="2832"/>
        <w:jc w:val="both"/>
        <w:rPr>
          <w:rFonts w:eastAsia="Calibri"/>
          <w:bCs/>
          <w:iCs/>
          <w:lang w:eastAsia="en-US"/>
        </w:rPr>
      </w:pPr>
      <w:r w:rsidRPr="003A35C1">
        <w:rPr>
          <w:rFonts w:eastAsia="Calibri"/>
          <w:bCs/>
          <w:iCs/>
          <w:lang w:eastAsia="en-US"/>
        </w:rPr>
        <w:t>Navrhované posunutie termínu nadobudnutia účinnosti dotknutých ustanovení v bode 7 a s tým súvisiace zmeny v bodoch 5 a 6 je nevyhnutné z dôvodu zabezpečenia  vydávania nových typov verejných listín v rovnakom termíne. Nezosúladenie termínov vydávania týchto verejných listín by znamenalo nasadenie častí nového Informačného systému evidencie odsúdených osôb do produkčnej prevádzky v rôznych termínoch, čo by si vyžiadalo dodatočné náklady na úpravu, implementáciu, testovanie a nasadenie informačného systému.</w:t>
      </w:r>
    </w:p>
    <w:p w:rsidR="00B30684" w:rsidRPr="00A764CF" w:rsidRDefault="00B30684" w:rsidP="001B5495"/>
    <w:p w:rsidR="0052534A" w:rsidRPr="00A5282A" w:rsidRDefault="0052534A" w:rsidP="00EF3C12">
      <w:pPr>
        <w:spacing w:after="120"/>
        <w:ind w:left="2124" w:firstLine="708"/>
        <w:rPr>
          <w:b/>
        </w:rPr>
      </w:pPr>
      <w:r w:rsidRPr="00A5282A">
        <w:rPr>
          <w:b/>
        </w:rPr>
        <w:t>Ústavnoprávny výbor NR SR</w:t>
      </w:r>
    </w:p>
    <w:p w:rsidR="008D39E4" w:rsidRPr="00B06806" w:rsidRDefault="00EF3C12" w:rsidP="008D39E4">
      <w:pPr>
        <w:spacing w:after="120"/>
        <w:ind w:firstLine="5"/>
        <w:rPr>
          <w:b/>
          <w:i/>
        </w:rPr>
      </w:pPr>
      <w:r>
        <w:rPr>
          <w:b/>
        </w:rPr>
        <w:tab/>
      </w:r>
      <w:r>
        <w:rPr>
          <w:b/>
        </w:rPr>
        <w:tab/>
      </w:r>
      <w:r>
        <w:rPr>
          <w:b/>
        </w:rPr>
        <w:tab/>
      </w:r>
      <w:r>
        <w:rPr>
          <w:b/>
        </w:rPr>
        <w:tab/>
      </w:r>
      <w:r w:rsidR="0052534A" w:rsidRPr="00A5282A">
        <w:rPr>
          <w:b/>
        </w:rPr>
        <w:t xml:space="preserve">Gestorský výbor odporúča </w:t>
      </w:r>
      <w:r w:rsidR="0052534A" w:rsidRPr="00A14547">
        <w:rPr>
          <w:b/>
        </w:rPr>
        <w:t>schváliť</w:t>
      </w:r>
      <w:r w:rsidR="0052534A" w:rsidRPr="0052534A">
        <w:rPr>
          <w:b/>
          <w:i/>
        </w:rPr>
        <w:t>.</w:t>
      </w:r>
    </w:p>
    <w:p w:rsidR="008D39E4" w:rsidRPr="003A264B" w:rsidRDefault="00B06806" w:rsidP="00B06806">
      <w:pPr>
        <w:spacing w:before="240" w:after="120"/>
        <w:jc w:val="both"/>
        <w:rPr>
          <w:rFonts w:asciiTheme="majorBidi" w:hAnsiTheme="majorBidi" w:cstheme="majorBidi"/>
        </w:rPr>
      </w:pPr>
      <w:r>
        <w:rPr>
          <w:rFonts w:asciiTheme="majorBidi" w:hAnsiTheme="majorBidi" w:cstheme="majorBidi"/>
        </w:rPr>
        <w:t xml:space="preserve">3. </w:t>
      </w:r>
      <w:r w:rsidRPr="003A264B">
        <w:rPr>
          <w:rFonts w:asciiTheme="majorBidi" w:hAnsiTheme="majorBidi" w:cstheme="majorBidi"/>
        </w:rPr>
        <w:t>Za čl. I</w:t>
      </w:r>
      <w:r>
        <w:rPr>
          <w:rFonts w:asciiTheme="majorBidi" w:hAnsiTheme="majorBidi" w:cstheme="majorBidi"/>
        </w:rPr>
        <w:t>I</w:t>
      </w:r>
      <w:r w:rsidRPr="003A264B">
        <w:rPr>
          <w:rFonts w:asciiTheme="majorBidi" w:hAnsiTheme="majorBidi" w:cstheme="majorBidi"/>
        </w:rPr>
        <w:t xml:space="preserve"> sa vkladá nový čl. </w:t>
      </w:r>
      <w:r>
        <w:rPr>
          <w:rFonts w:asciiTheme="majorBidi" w:hAnsiTheme="majorBidi" w:cstheme="majorBidi"/>
        </w:rPr>
        <w:t>I</w:t>
      </w:r>
      <w:r w:rsidRPr="003A264B">
        <w:rPr>
          <w:rFonts w:asciiTheme="majorBidi" w:hAnsiTheme="majorBidi" w:cstheme="majorBidi"/>
        </w:rPr>
        <w:t xml:space="preserve">II, ktorý znie: </w:t>
      </w:r>
    </w:p>
    <w:p w:rsidR="00B06806" w:rsidRDefault="00B06806" w:rsidP="00B06806">
      <w:pPr>
        <w:ind w:left="1163" w:hanging="709"/>
        <w:jc w:val="center"/>
        <w:rPr>
          <w:b/>
        </w:rPr>
      </w:pPr>
      <w:r w:rsidRPr="009B6534">
        <w:t>„</w:t>
      </w:r>
      <w:r w:rsidRPr="00DD1C50">
        <w:rPr>
          <w:b/>
        </w:rPr>
        <w:t>Čl. I</w:t>
      </w:r>
      <w:r>
        <w:rPr>
          <w:b/>
        </w:rPr>
        <w:t>II</w:t>
      </w:r>
    </w:p>
    <w:p w:rsidR="008D39E4" w:rsidRDefault="008D39E4" w:rsidP="008C168B">
      <w:pPr>
        <w:pStyle w:val="Bezriadkovania"/>
      </w:pPr>
    </w:p>
    <w:p w:rsidR="00B06806" w:rsidRPr="006061A1" w:rsidRDefault="00B06806" w:rsidP="008D39E4">
      <w:pPr>
        <w:ind w:left="454" w:firstLine="254"/>
        <w:jc w:val="both"/>
      </w:pPr>
      <w:r w:rsidRPr="006061A1">
        <w:t>Zákon č. 81/2025 Z. z., ktorým sa zabezpečuje vykonávanie niektorých opatrení Európskej únie na zmiernenie globálneho odlesňovania a ktorým sa menia a dopĺňajú niektoré zákony sa mení takto:</w:t>
      </w:r>
    </w:p>
    <w:p w:rsidR="00B06806" w:rsidRPr="00744633" w:rsidRDefault="00B06806" w:rsidP="008D39E4">
      <w:pPr>
        <w:pStyle w:val="Default"/>
        <w:numPr>
          <w:ilvl w:val="0"/>
          <w:numId w:val="35"/>
        </w:numPr>
        <w:spacing w:after="240"/>
        <w:ind w:left="1163" w:hanging="709"/>
        <w:jc w:val="both"/>
        <w:rPr>
          <w:color w:val="auto"/>
        </w:rPr>
      </w:pPr>
      <w:r w:rsidRPr="00744633">
        <w:rPr>
          <w:color w:val="auto"/>
        </w:rPr>
        <w:t xml:space="preserve">V § 15 ods. 2 celom texte sa slová „29. decembra 2025“ nahrádzajú slovami </w:t>
      </w:r>
      <w:r>
        <w:rPr>
          <w:color w:val="auto"/>
        </w:rPr>
        <w:t xml:space="preserve">         </w:t>
      </w:r>
      <w:r w:rsidRPr="00744633">
        <w:rPr>
          <w:color w:val="auto"/>
        </w:rPr>
        <w:t>„29. decembra 2026“.</w:t>
      </w:r>
    </w:p>
    <w:p w:rsidR="00B06806" w:rsidRDefault="00B06806" w:rsidP="008D39E4">
      <w:pPr>
        <w:pStyle w:val="Default"/>
        <w:numPr>
          <w:ilvl w:val="0"/>
          <w:numId w:val="35"/>
        </w:numPr>
        <w:spacing w:after="240"/>
        <w:ind w:left="1163" w:hanging="709"/>
        <w:jc w:val="both"/>
        <w:rPr>
          <w:color w:val="auto"/>
        </w:rPr>
      </w:pPr>
      <w:r w:rsidRPr="00744633">
        <w:rPr>
          <w:color w:val="auto"/>
        </w:rPr>
        <w:t xml:space="preserve">V § 15 ods. 3 sa slová „30. decembra 2025 do 30. decembra 2028, sa do </w:t>
      </w:r>
      <w:r>
        <w:rPr>
          <w:color w:val="auto"/>
        </w:rPr>
        <w:t xml:space="preserve">                     </w:t>
      </w:r>
      <w:r w:rsidRPr="00744633">
        <w:rPr>
          <w:color w:val="auto"/>
        </w:rPr>
        <w:t>30. decembra 2028“ nahrádzajú slovami „30. decembra 2026 do 30. decembra 2029, sa do 30. decembra 2029“.</w:t>
      </w:r>
    </w:p>
    <w:p w:rsidR="00B06806" w:rsidRDefault="00B06806" w:rsidP="008D39E4">
      <w:pPr>
        <w:pStyle w:val="Default"/>
        <w:numPr>
          <w:ilvl w:val="0"/>
          <w:numId w:val="35"/>
        </w:numPr>
        <w:spacing w:after="240"/>
        <w:ind w:left="1163" w:hanging="709"/>
        <w:jc w:val="both"/>
        <w:rPr>
          <w:color w:val="auto"/>
        </w:rPr>
      </w:pPr>
      <w:r w:rsidRPr="00744633">
        <w:rPr>
          <w:color w:val="auto"/>
        </w:rPr>
        <w:t>V § 15 ods. 4 sa slová „31. decembra 2028“ nahrádzajú slovami „31. decembra 2029“.</w:t>
      </w:r>
    </w:p>
    <w:p w:rsidR="00B06806" w:rsidRDefault="00B06806" w:rsidP="008D39E4">
      <w:pPr>
        <w:pStyle w:val="Default"/>
        <w:numPr>
          <w:ilvl w:val="0"/>
          <w:numId w:val="35"/>
        </w:numPr>
        <w:spacing w:after="240"/>
        <w:ind w:left="1163" w:hanging="709"/>
        <w:jc w:val="both"/>
        <w:rPr>
          <w:color w:val="auto"/>
        </w:rPr>
      </w:pPr>
      <w:r w:rsidRPr="00744633">
        <w:rPr>
          <w:color w:val="auto"/>
        </w:rPr>
        <w:t>V § 15 ods. 5 sa slová „30. júna 2026“ nahrádzajú slovami „30. júna 2027“.</w:t>
      </w:r>
    </w:p>
    <w:p w:rsidR="00B06806" w:rsidRPr="00744633" w:rsidRDefault="00B06806" w:rsidP="008D39E4">
      <w:pPr>
        <w:pStyle w:val="Default"/>
        <w:numPr>
          <w:ilvl w:val="0"/>
          <w:numId w:val="35"/>
        </w:numPr>
        <w:spacing w:after="240"/>
        <w:ind w:left="1163" w:hanging="709"/>
        <w:jc w:val="both"/>
        <w:rPr>
          <w:color w:val="auto"/>
        </w:rPr>
      </w:pPr>
      <w:r w:rsidRPr="00744633">
        <w:rPr>
          <w:color w:val="auto"/>
        </w:rPr>
        <w:lastRenderedPageBreak/>
        <w:t xml:space="preserve">V čl. VI sa slová „okrem čl. V bodov 1, 2, 4, 6 a 7, ktoré nadobúdajú účinnosť </w:t>
      </w:r>
      <w:r>
        <w:rPr>
          <w:color w:val="auto"/>
        </w:rPr>
        <w:t xml:space="preserve">       </w:t>
      </w:r>
      <w:r w:rsidRPr="00744633">
        <w:rPr>
          <w:color w:val="auto"/>
        </w:rPr>
        <w:t>29. decembra 2025, a čl. I a čl. III bodov 1, 2, 15, 38, 41, 46 a 49, ktoré nadobúdajú účinnosť 30. decembra 2025“ nahrádzajú slovami „okrem čl. III bodov 38 a 49, ktoré nadobúdajú účinnosť 30. decembra 2025, čl. V bodov 1, 2, 4, 6 a 7, ktoré nadobúdajú účinnosť 29. decembra 2026, a čl. I a čl. III bodov 1, 2, 15, 41 a 46, ktoré nadobúdajú účinnosť 30. decembra 2026“.</w:t>
      </w:r>
      <w:r>
        <w:rPr>
          <w:color w:val="auto"/>
        </w:rPr>
        <w:t>“.</w:t>
      </w:r>
      <w:r w:rsidRPr="00744633">
        <w:rPr>
          <w:color w:val="auto"/>
        </w:rPr>
        <w:t xml:space="preserve"> </w:t>
      </w:r>
    </w:p>
    <w:p w:rsidR="00B06806" w:rsidRDefault="00B06806" w:rsidP="00B06806">
      <w:pPr>
        <w:spacing w:before="240" w:after="120"/>
        <w:ind w:left="567"/>
        <w:jc w:val="both"/>
        <w:rPr>
          <w:rFonts w:asciiTheme="majorBidi" w:hAnsiTheme="majorBidi" w:cstheme="majorBidi"/>
        </w:rPr>
      </w:pPr>
      <w:r w:rsidRPr="006C56CE">
        <w:rPr>
          <w:rFonts w:asciiTheme="majorBidi" w:hAnsiTheme="majorBidi" w:cstheme="majorBidi"/>
        </w:rPr>
        <w:t xml:space="preserve">Tieto ustanovenia nadobúdajú účinnosť </w:t>
      </w:r>
      <w:r>
        <w:rPr>
          <w:rFonts w:asciiTheme="majorBidi" w:hAnsiTheme="majorBidi" w:cstheme="majorBidi"/>
        </w:rPr>
        <w:t>28. decembra 2025</w:t>
      </w:r>
      <w:r w:rsidRPr="006C56CE">
        <w:rPr>
          <w:rFonts w:asciiTheme="majorBidi" w:hAnsiTheme="majorBidi" w:cstheme="majorBidi"/>
        </w:rPr>
        <w:t>, čo sa premietne do ustanovenia o účinnosti.</w:t>
      </w:r>
    </w:p>
    <w:p w:rsidR="00B06806" w:rsidRDefault="00B06806" w:rsidP="00B06806">
      <w:pPr>
        <w:spacing w:before="240" w:after="120"/>
        <w:ind w:left="567"/>
        <w:jc w:val="both"/>
        <w:rPr>
          <w:rFonts w:asciiTheme="majorBidi" w:hAnsiTheme="majorBidi" w:cstheme="majorBidi"/>
        </w:rPr>
      </w:pPr>
      <w:r>
        <w:rPr>
          <w:rFonts w:asciiTheme="majorBidi" w:hAnsiTheme="majorBidi" w:cstheme="majorBidi"/>
        </w:rPr>
        <w:t>Doterajší č</w:t>
      </w:r>
      <w:r w:rsidRPr="006C56CE">
        <w:rPr>
          <w:rFonts w:asciiTheme="majorBidi" w:hAnsiTheme="majorBidi" w:cstheme="majorBidi"/>
        </w:rPr>
        <w:t>l. I</w:t>
      </w:r>
      <w:r>
        <w:rPr>
          <w:rFonts w:asciiTheme="majorBidi" w:hAnsiTheme="majorBidi" w:cstheme="majorBidi"/>
        </w:rPr>
        <w:t>I</w:t>
      </w:r>
      <w:r w:rsidRPr="006C56CE">
        <w:rPr>
          <w:rFonts w:asciiTheme="majorBidi" w:hAnsiTheme="majorBidi" w:cstheme="majorBidi"/>
        </w:rPr>
        <w:t xml:space="preserve">I sa </w:t>
      </w:r>
      <w:r w:rsidRPr="00B91B93">
        <w:rPr>
          <w:rFonts w:asciiTheme="majorBidi" w:hAnsiTheme="majorBidi" w:cstheme="majorBidi"/>
        </w:rPr>
        <w:t>primerane prečísluje</w:t>
      </w:r>
      <w:r w:rsidRPr="006C56CE">
        <w:rPr>
          <w:rFonts w:asciiTheme="majorBidi" w:hAnsiTheme="majorBidi" w:cstheme="majorBidi"/>
        </w:rPr>
        <w:t>.</w:t>
      </w:r>
    </w:p>
    <w:p w:rsidR="00B06806" w:rsidRPr="00C61498" w:rsidRDefault="00B06806" w:rsidP="00B06806">
      <w:pPr>
        <w:spacing w:before="240" w:after="120"/>
        <w:ind w:left="567"/>
        <w:jc w:val="both"/>
        <w:rPr>
          <w:rFonts w:asciiTheme="majorBidi" w:hAnsiTheme="majorBidi" w:cstheme="majorBidi"/>
        </w:rPr>
      </w:pPr>
      <w:r w:rsidRPr="006C56CE">
        <w:rPr>
          <w:rFonts w:asciiTheme="majorBidi" w:hAnsiTheme="majorBidi" w:cstheme="majorBidi"/>
        </w:rPr>
        <w:t xml:space="preserve">V </w:t>
      </w:r>
      <w:r w:rsidRPr="00786FA4">
        <w:rPr>
          <w:rFonts w:asciiTheme="majorBidi" w:hAnsiTheme="majorBidi" w:cstheme="majorBidi"/>
        </w:rPr>
        <w:t>súvislosti s</w:t>
      </w:r>
      <w:r>
        <w:rPr>
          <w:rFonts w:asciiTheme="majorBidi" w:hAnsiTheme="majorBidi" w:cstheme="majorBidi"/>
        </w:rPr>
        <w:t xml:space="preserve"> vložením nového článku sa </w:t>
      </w:r>
      <w:r w:rsidRPr="00786FA4">
        <w:rPr>
          <w:rFonts w:asciiTheme="majorBidi" w:hAnsiTheme="majorBidi" w:cstheme="majorBidi"/>
        </w:rPr>
        <w:t xml:space="preserve">primerane upraví názov zákona. </w:t>
      </w:r>
    </w:p>
    <w:p w:rsidR="00B06806" w:rsidRPr="00C61498" w:rsidRDefault="00B06806" w:rsidP="005159D1">
      <w:pPr>
        <w:pStyle w:val="Odsekzoznamu"/>
        <w:spacing w:before="120" w:after="120" w:line="240" w:lineRule="auto"/>
        <w:ind w:left="2832"/>
        <w:jc w:val="both"/>
        <w:rPr>
          <w:rFonts w:asciiTheme="majorBidi" w:hAnsiTheme="majorBidi" w:cstheme="majorBidi"/>
          <w:sz w:val="24"/>
          <w:szCs w:val="24"/>
        </w:rPr>
      </w:pPr>
      <w:r w:rsidRPr="00C61498">
        <w:rPr>
          <w:rFonts w:asciiTheme="majorBidi" w:hAnsiTheme="majorBidi" w:cstheme="majorBidi"/>
          <w:sz w:val="24"/>
          <w:szCs w:val="24"/>
        </w:rPr>
        <w:t>Účelom doplňujúceho a pozmeňujúceho návrhu je predovšetkým posunutie dátumu nadobudnutia účinnosti ustanovení zákona č. 81/2025 Z. z., ktorým sa zabezpečuje vykonávanie niektorých opatrení Európskej únie na zmiernenie globálneho odlesňovania a ktorým sa menia a dopĺňajú niektoré zákony (ďalej len „zákon č. 81/2025 Z. z.“), ktorými sa vykonáva nariadenie Európskeho parlamentu a Rady (EÚ) 2023/ 31. mája 2023 o sprístupnení určitých komodít a výrobkov spojených s odlesňovaním a degradáciou lesov na trhu Únie a o ich vývoze z Únie, ktorým sa zrušuje nariadenie (EÚ) č. 995/2010 (Ú. v. EÚ L 150, 9. 6. 2023) v platnom znení (ďalej len „nariadenie o odlesňovaní“)</w:t>
      </w:r>
      <w:r w:rsidR="00D9697B">
        <w:rPr>
          <w:rFonts w:asciiTheme="majorBidi" w:hAnsiTheme="majorBidi" w:cstheme="majorBidi"/>
          <w:sz w:val="24"/>
          <w:szCs w:val="24"/>
        </w:rPr>
        <w:t xml:space="preserve"> </w:t>
      </w:r>
      <w:r w:rsidRPr="00C61498">
        <w:rPr>
          <w:rFonts w:asciiTheme="majorBidi" w:hAnsiTheme="majorBidi" w:cstheme="majorBidi"/>
          <w:sz w:val="24"/>
          <w:szCs w:val="24"/>
        </w:rPr>
        <w:t xml:space="preserve">a </w:t>
      </w:r>
      <w:r w:rsidR="00D9697B">
        <w:rPr>
          <w:rFonts w:asciiTheme="majorBidi" w:hAnsiTheme="majorBidi" w:cstheme="majorBidi"/>
          <w:sz w:val="24"/>
          <w:szCs w:val="24"/>
        </w:rPr>
        <w:t> </w:t>
      </w:r>
      <w:r w:rsidRPr="00C61498">
        <w:rPr>
          <w:rFonts w:asciiTheme="majorBidi" w:hAnsiTheme="majorBidi" w:cstheme="majorBidi"/>
          <w:sz w:val="24"/>
          <w:szCs w:val="24"/>
        </w:rPr>
        <w:t>aktualizácia súvisiacich prechodných ustanovení.</w:t>
      </w:r>
    </w:p>
    <w:p w:rsidR="00B06806" w:rsidRPr="00C61498" w:rsidRDefault="00B06806" w:rsidP="005159D1">
      <w:pPr>
        <w:pStyle w:val="Odsekzoznamu"/>
        <w:spacing w:before="120" w:after="120" w:line="240" w:lineRule="auto"/>
        <w:ind w:left="2832"/>
        <w:jc w:val="both"/>
        <w:rPr>
          <w:rFonts w:asciiTheme="majorBidi" w:hAnsiTheme="majorBidi" w:cstheme="majorBidi"/>
          <w:sz w:val="24"/>
          <w:szCs w:val="24"/>
        </w:rPr>
      </w:pPr>
      <w:r w:rsidRPr="00C61498">
        <w:rPr>
          <w:rFonts w:asciiTheme="majorBidi" w:hAnsiTheme="majorBidi" w:cstheme="majorBidi"/>
          <w:sz w:val="24"/>
          <w:szCs w:val="24"/>
        </w:rPr>
        <w:t>Posunutie účinnosti sa navrhuje v súvislosti s návrhom Európskej komisie z 21. októbra 2025 na zmenu nariadenia o odlesňovaní, ktorého súčasťou je odklad jeho uplatňovania z dôvodu pretrvávajúcich obá</w:t>
      </w:r>
      <w:r w:rsidR="00D9697B">
        <w:rPr>
          <w:rFonts w:asciiTheme="majorBidi" w:hAnsiTheme="majorBidi" w:cstheme="majorBidi"/>
          <w:sz w:val="24"/>
          <w:szCs w:val="24"/>
        </w:rPr>
        <w:t xml:space="preserve">v z narušenia svetového obchodu </w:t>
      </w:r>
      <w:r w:rsidRPr="00C61498">
        <w:rPr>
          <w:rFonts w:asciiTheme="majorBidi" w:hAnsiTheme="majorBidi" w:cstheme="majorBidi"/>
          <w:sz w:val="24"/>
          <w:szCs w:val="24"/>
        </w:rPr>
        <w:t xml:space="preserve">a </w:t>
      </w:r>
      <w:r w:rsidR="00D9697B">
        <w:rPr>
          <w:rFonts w:asciiTheme="majorBidi" w:hAnsiTheme="majorBidi" w:cstheme="majorBidi"/>
          <w:sz w:val="24"/>
          <w:szCs w:val="24"/>
        </w:rPr>
        <w:t> </w:t>
      </w:r>
      <w:r w:rsidRPr="00C61498">
        <w:rPr>
          <w:rFonts w:asciiTheme="majorBidi" w:hAnsiTheme="majorBidi" w:cstheme="majorBidi"/>
          <w:sz w:val="24"/>
          <w:szCs w:val="24"/>
        </w:rPr>
        <w:t>nepripravenosti technických kapacít informačného systému zriadeného nariadením o odlesňovaní, ktorý je pre jeho správnu aplikáciu nevyhnutný.</w:t>
      </w:r>
    </w:p>
    <w:p w:rsidR="00B06806" w:rsidRPr="00C61498" w:rsidRDefault="00B06806" w:rsidP="005159D1">
      <w:pPr>
        <w:pStyle w:val="Odsekzoznamu"/>
        <w:spacing w:before="120" w:after="120" w:line="240" w:lineRule="auto"/>
        <w:ind w:left="2832"/>
        <w:jc w:val="both"/>
        <w:rPr>
          <w:rFonts w:asciiTheme="majorBidi" w:hAnsiTheme="majorBidi" w:cstheme="majorBidi"/>
          <w:sz w:val="24"/>
          <w:szCs w:val="24"/>
        </w:rPr>
      </w:pPr>
      <w:r w:rsidRPr="00C61498">
        <w:rPr>
          <w:rFonts w:asciiTheme="majorBidi" w:hAnsiTheme="majorBidi" w:cstheme="majorBidi"/>
          <w:sz w:val="24"/>
          <w:szCs w:val="24"/>
        </w:rPr>
        <w:t>Z dôvodu, že zmena nariadenia o odlesňovaní je v súčasnosti len v štádiu návrhu a s ohľadom na dĺžku legislatívneho postupu Európskej únie, ako aj dĺžku následného legislatívneho procesu</w:t>
      </w:r>
      <w:r w:rsidR="00D9697B">
        <w:rPr>
          <w:rFonts w:asciiTheme="majorBidi" w:hAnsiTheme="majorBidi" w:cstheme="majorBidi"/>
          <w:sz w:val="24"/>
          <w:szCs w:val="24"/>
        </w:rPr>
        <w:t xml:space="preserve"> </w:t>
      </w:r>
      <w:r w:rsidRPr="00C61498">
        <w:rPr>
          <w:rFonts w:asciiTheme="majorBidi" w:hAnsiTheme="majorBidi" w:cstheme="majorBidi"/>
          <w:sz w:val="24"/>
          <w:szCs w:val="24"/>
        </w:rPr>
        <w:t xml:space="preserve">v </w:t>
      </w:r>
      <w:r w:rsidR="00D9697B">
        <w:rPr>
          <w:rFonts w:asciiTheme="majorBidi" w:hAnsiTheme="majorBidi" w:cstheme="majorBidi"/>
          <w:sz w:val="24"/>
          <w:szCs w:val="24"/>
        </w:rPr>
        <w:t> </w:t>
      </w:r>
      <w:r w:rsidRPr="00C61498">
        <w:rPr>
          <w:rFonts w:asciiTheme="majorBidi" w:hAnsiTheme="majorBidi" w:cstheme="majorBidi"/>
          <w:sz w:val="24"/>
          <w:szCs w:val="24"/>
        </w:rPr>
        <w:t>Slovenskej republike je potrebné odložiť účinnosť zákona</w:t>
      </w:r>
      <w:r w:rsidR="00D9697B">
        <w:rPr>
          <w:rFonts w:asciiTheme="majorBidi" w:hAnsiTheme="majorBidi" w:cstheme="majorBidi"/>
          <w:sz w:val="24"/>
          <w:szCs w:val="24"/>
        </w:rPr>
        <w:t xml:space="preserve"> </w:t>
      </w:r>
      <w:r>
        <w:rPr>
          <w:rFonts w:asciiTheme="majorBidi" w:hAnsiTheme="majorBidi" w:cstheme="majorBidi"/>
          <w:sz w:val="24"/>
          <w:szCs w:val="24"/>
        </w:rPr>
        <w:t>č</w:t>
      </w:r>
      <w:r w:rsidRPr="00C61498">
        <w:rPr>
          <w:rFonts w:asciiTheme="majorBidi" w:hAnsiTheme="majorBidi" w:cstheme="majorBidi"/>
          <w:sz w:val="24"/>
          <w:szCs w:val="24"/>
        </w:rPr>
        <w:t xml:space="preserve">. </w:t>
      </w:r>
      <w:r w:rsidR="00D9697B">
        <w:rPr>
          <w:rFonts w:asciiTheme="majorBidi" w:hAnsiTheme="majorBidi" w:cstheme="majorBidi"/>
          <w:sz w:val="24"/>
          <w:szCs w:val="24"/>
        </w:rPr>
        <w:t> </w:t>
      </w:r>
      <w:r w:rsidRPr="00C61498">
        <w:rPr>
          <w:rFonts w:asciiTheme="majorBidi" w:hAnsiTheme="majorBidi" w:cstheme="majorBidi"/>
          <w:sz w:val="24"/>
          <w:szCs w:val="24"/>
        </w:rPr>
        <w:t xml:space="preserve">81/2025 Z. z. najneskôr do 28. decembra 2025, čím sa vytvorí časový priestor na jeho novelizáciu v súlade s pripravovanými zmenami nariadenia o odlesňovaní po ich schválení a na zabezpečenie dostatočnej </w:t>
      </w:r>
      <w:proofErr w:type="spellStart"/>
      <w:r w:rsidRPr="00C61498">
        <w:rPr>
          <w:rFonts w:asciiTheme="majorBidi" w:hAnsiTheme="majorBidi" w:cstheme="majorBidi"/>
          <w:sz w:val="24"/>
          <w:szCs w:val="24"/>
        </w:rPr>
        <w:t>legisvakančnej</w:t>
      </w:r>
      <w:proofErr w:type="spellEnd"/>
      <w:r w:rsidRPr="00C61498">
        <w:rPr>
          <w:rFonts w:asciiTheme="majorBidi" w:hAnsiTheme="majorBidi" w:cstheme="majorBidi"/>
          <w:sz w:val="24"/>
          <w:szCs w:val="24"/>
        </w:rPr>
        <w:t xml:space="preserve"> lehoty pre adresátov novej právnej úpravy v oblasti opatrení na zmiernenie globálneho odlesňovania. Oneskorená zmena zákona č. 81/2025 Z. z., tzn. zmena po nadobudnutí účinnosti dotknutých ustanovení</w:t>
      </w:r>
      <w:r>
        <w:rPr>
          <w:rFonts w:asciiTheme="majorBidi" w:hAnsiTheme="majorBidi" w:cstheme="majorBidi"/>
          <w:sz w:val="24"/>
          <w:szCs w:val="24"/>
        </w:rPr>
        <w:t xml:space="preserve"> </w:t>
      </w:r>
      <w:r w:rsidRPr="00C61498">
        <w:rPr>
          <w:rFonts w:asciiTheme="majorBidi" w:hAnsiTheme="majorBidi" w:cstheme="majorBidi"/>
          <w:sz w:val="24"/>
          <w:szCs w:val="24"/>
        </w:rPr>
        <w:t>29.  decembra 2025 a 30. decembra 2025, by mohla ohroziť plnenie záväzkov Slovenskej republiky voči Európskej únii a tiež výkon štátneho dozoru v oblasti uvádzania dreva a výrobkov z dreva na vnútorný trh.</w:t>
      </w:r>
    </w:p>
    <w:p w:rsidR="00B06806" w:rsidRPr="00C61498" w:rsidRDefault="00B06806" w:rsidP="00B06806">
      <w:pPr>
        <w:pStyle w:val="Odsekzoznamu"/>
        <w:spacing w:before="120" w:after="0" w:line="240" w:lineRule="auto"/>
        <w:ind w:left="1985" w:hanging="1418"/>
        <w:contextualSpacing w:val="0"/>
        <w:jc w:val="both"/>
        <w:rPr>
          <w:rFonts w:asciiTheme="majorBidi" w:hAnsiTheme="majorBidi" w:cstheme="majorBidi"/>
          <w:sz w:val="24"/>
          <w:szCs w:val="24"/>
        </w:rPr>
      </w:pPr>
    </w:p>
    <w:p w:rsidR="00B06806" w:rsidRPr="00A5282A" w:rsidRDefault="00B06806" w:rsidP="00B06806">
      <w:pPr>
        <w:spacing w:after="120"/>
        <w:ind w:left="2124" w:firstLine="708"/>
        <w:rPr>
          <w:b/>
        </w:rPr>
      </w:pPr>
      <w:r w:rsidRPr="00A5282A">
        <w:rPr>
          <w:b/>
        </w:rPr>
        <w:t>Ústavnoprávny výbor NR SR</w:t>
      </w:r>
    </w:p>
    <w:p w:rsidR="00B06806" w:rsidRPr="00C614B2" w:rsidRDefault="00B06806" w:rsidP="00C614B2">
      <w:pPr>
        <w:pStyle w:val="Odsekzoznamu"/>
        <w:spacing w:before="120" w:after="0" w:line="240" w:lineRule="auto"/>
        <w:ind w:left="1985" w:hanging="1418"/>
        <w:contextualSpacing w:val="0"/>
        <w:jc w:val="both"/>
        <w:rPr>
          <w:rFonts w:ascii="Times New Roman" w:hAnsi="Times New Roman"/>
          <w:sz w:val="24"/>
          <w:szCs w:val="24"/>
        </w:rPr>
      </w:pPr>
      <w:r>
        <w:rPr>
          <w:b/>
        </w:rPr>
        <w:tab/>
      </w:r>
      <w:r>
        <w:rPr>
          <w:b/>
        </w:rPr>
        <w:tab/>
      </w:r>
      <w:r>
        <w:rPr>
          <w:b/>
        </w:rPr>
        <w:tab/>
      </w:r>
      <w:r w:rsidRPr="00B06806">
        <w:rPr>
          <w:rFonts w:ascii="Times New Roman" w:hAnsi="Times New Roman"/>
          <w:b/>
          <w:sz w:val="24"/>
          <w:szCs w:val="24"/>
        </w:rPr>
        <w:t>Gestorský výbor odporúča schváliť</w:t>
      </w:r>
    </w:p>
    <w:p w:rsidR="00B06806" w:rsidRPr="00A14547" w:rsidRDefault="00B06806" w:rsidP="00963A26">
      <w:pPr>
        <w:jc w:val="both"/>
      </w:pPr>
    </w:p>
    <w:p w:rsidR="0052534A" w:rsidRDefault="00963A26" w:rsidP="008C168B">
      <w:pPr>
        <w:tabs>
          <w:tab w:val="left" w:pos="-1985"/>
          <w:tab w:val="left" w:pos="709"/>
          <w:tab w:val="left" w:pos="1077"/>
        </w:tabs>
        <w:spacing w:line="360" w:lineRule="auto"/>
        <w:jc w:val="both"/>
        <w:rPr>
          <w:b/>
        </w:rPr>
      </w:pPr>
      <w:r w:rsidRPr="00A14547">
        <w:tab/>
        <w:t xml:space="preserve">Gestorský výbor </w:t>
      </w:r>
      <w:r w:rsidRPr="00A14547">
        <w:rPr>
          <w:b/>
          <w:bCs/>
        </w:rPr>
        <w:t xml:space="preserve">odporúča </w:t>
      </w:r>
      <w:r w:rsidRPr="00A14547">
        <w:rPr>
          <w:b/>
        </w:rPr>
        <w:t xml:space="preserve">hlasovať </w:t>
      </w:r>
      <w:r w:rsidRPr="00A14547">
        <w:t xml:space="preserve">o pozmeňujúcich návrhoch </w:t>
      </w:r>
      <w:r w:rsidRPr="00A14547">
        <w:rPr>
          <w:b/>
        </w:rPr>
        <w:t>(</w:t>
      </w:r>
      <w:r w:rsidRPr="00A14547">
        <w:rPr>
          <w:b/>
          <w:bCs/>
        </w:rPr>
        <w:t>body 1 a</w:t>
      </w:r>
      <w:r w:rsidR="00C614B2">
        <w:rPr>
          <w:b/>
          <w:bCs/>
        </w:rPr>
        <w:t>ž</w:t>
      </w:r>
      <w:r w:rsidR="00EF3C12">
        <w:rPr>
          <w:b/>
          <w:bCs/>
        </w:rPr>
        <w:t xml:space="preserve"> </w:t>
      </w:r>
      <w:r w:rsidR="00C614B2">
        <w:rPr>
          <w:b/>
          <w:bCs/>
        </w:rPr>
        <w:t>3</w:t>
      </w:r>
      <w:r w:rsidRPr="00A14547">
        <w:rPr>
          <w:b/>
          <w:bCs/>
        </w:rPr>
        <w:t>)</w:t>
      </w:r>
      <w:r w:rsidRPr="00A14547">
        <w:t xml:space="preserve"> </w:t>
      </w:r>
      <w:r w:rsidRPr="00A14547">
        <w:rPr>
          <w:b/>
        </w:rPr>
        <w:t>spoločne,</w:t>
      </w:r>
      <w:r w:rsidRPr="00A14547">
        <w:t xml:space="preserve"> s odporúčaním </w:t>
      </w:r>
      <w:r w:rsidRPr="00A14547">
        <w:rPr>
          <w:b/>
        </w:rPr>
        <w:t xml:space="preserve">schváliť. </w:t>
      </w:r>
    </w:p>
    <w:p w:rsidR="008C168B" w:rsidRPr="008C168B" w:rsidRDefault="008C168B" w:rsidP="008C168B">
      <w:pPr>
        <w:pStyle w:val="Bezriadkovania"/>
      </w:pPr>
    </w:p>
    <w:p w:rsidR="008C168B" w:rsidRDefault="00AD4506" w:rsidP="008C168B">
      <w:pPr>
        <w:pStyle w:val="Zkladntext3"/>
        <w:tabs>
          <w:tab w:val="left" w:pos="-1985"/>
          <w:tab w:val="left" w:pos="709"/>
          <w:tab w:val="left" w:pos="1077"/>
        </w:tabs>
        <w:spacing w:line="360" w:lineRule="auto"/>
        <w:rPr>
          <w:bCs/>
          <w:szCs w:val="24"/>
        </w:rPr>
      </w:pPr>
      <w:r w:rsidRPr="004B67B0">
        <w:rPr>
          <w:bCs/>
          <w:szCs w:val="24"/>
        </w:rPr>
        <w:t>V.</w:t>
      </w:r>
    </w:p>
    <w:p w:rsidR="008C168B" w:rsidRPr="008C168B" w:rsidRDefault="008C168B" w:rsidP="008C168B"/>
    <w:p w:rsidR="00054F95" w:rsidRPr="00A14547" w:rsidRDefault="00AC7E1D" w:rsidP="00A704EF">
      <w:pPr>
        <w:tabs>
          <w:tab w:val="left" w:pos="567"/>
        </w:tabs>
        <w:spacing w:line="360" w:lineRule="auto"/>
        <w:jc w:val="both"/>
        <w:rPr>
          <w:bCs/>
        </w:rPr>
      </w:pPr>
      <w:r w:rsidRPr="00980854">
        <w:rPr>
          <w:b/>
        </w:rPr>
        <w:tab/>
      </w:r>
      <w:r w:rsidR="00EF3F92" w:rsidRPr="003851F1">
        <w:t>Ústavnoprávn</w:t>
      </w:r>
      <w:r w:rsidR="00750729" w:rsidRPr="003851F1">
        <w:t>y</w:t>
      </w:r>
      <w:r w:rsidR="00EF3F92" w:rsidRPr="003851F1">
        <w:t xml:space="preserve"> výbor</w:t>
      </w:r>
      <w:r w:rsidR="00157D33" w:rsidRPr="003851F1">
        <w:t xml:space="preserve"> </w:t>
      </w:r>
      <w:r w:rsidR="000825A7" w:rsidRPr="003851F1">
        <w:t>N</w:t>
      </w:r>
      <w:r w:rsidR="00750729" w:rsidRPr="003851F1">
        <w:t>árodnej rady Slovenskej republiky</w:t>
      </w:r>
      <w:r w:rsidR="007C1BCC" w:rsidRPr="003851F1">
        <w:t xml:space="preserve"> </w:t>
      </w:r>
      <w:r w:rsidR="00160CAB" w:rsidRPr="003851F1">
        <w:rPr>
          <w:b/>
        </w:rPr>
        <w:t>ako gestorský výbor</w:t>
      </w:r>
      <w:r w:rsidR="00160CAB" w:rsidRPr="003851F1">
        <w:t xml:space="preserve"> </w:t>
      </w:r>
      <w:r w:rsidR="007021AD" w:rsidRPr="003851F1">
        <w:rPr>
          <w:bCs/>
        </w:rPr>
        <w:t>odporúča Národnej rade Slovenskej republiky</w:t>
      </w:r>
      <w:r w:rsidR="007C1BCC" w:rsidRPr="003851F1">
        <w:rPr>
          <w:bCs/>
        </w:rPr>
        <w:t xml:space="preserve"> </w:t>
      </w:r>
      <w:r w:rsidR="00EE4438" w:rsidRPr="003851F1">
        <w:rPr>
          <w:bCs/>
        </w:rPr>
        <w:t>vládny návrh zákona,</w:t>
      </w:r>
      <w:r w:rsidR="00EE4438" w:rsidRPr="00745DC3">
        <w:rPr>
          <w:bCs/>
        </w:rPr>
        <w:t xml:space="preserve"> </w:t>
      </w:r>
      <w:r w:rsidR="009426AB" w:rsidRPr="009426AB">
        <w:rPr>
          <w:shd w:val="clear" w:color="auto" w:fill="FFFFFF"/>
        </w:rPr>
        <w:t xml:space="preserve">ktorým sa mení a dopĺňa </w:t>
      </w:r>
      <w:r w:rsidR="009426AB" w:rsidRPr="009426AB">
        <w:rPr>
          <w:b/>
          <w:shd w:val="clear" w:color="auto" w:fill="FFFFFF"/>
        </w:rPr>
        <w:t>zákon č. 300/2005 Z. z. Trestný zákon</w:t>
      </w:r>
      <w:r w:rsidR="009426AB" w:rsidRPr="009426AB">
        <w:rPr>
          <w:shd w:val="clear" w:color="auto" w:fill="FFFFFF"/>
        </w:rPr>
        <w:t xml:space="preserve"> v  znení neskorších predpisov a ktorým sa dopĺňa </w:t>
      </w:r>
      <w:r w:rsidR="009426AB" w:rsidRPr="009426AB">
        <w:rPr>
          <w:b/>
          <w:shd w:val="clear" w:color="auto" w:fill="FFFFFF"/>
        </w:rPr>
        <w:t>zákon Národnej rady Slovenskej republiky č. 233/1</w:t>
      </w:r>
      <w:r w:rsidR="00D9697B">
        <w:rPr>
          <w:b/>
          <w:shd w:val="clear" w:color="auto" w:fill="FFFFFF"/>
        </w:rPr>
        <w:t xml:space="preserve">995 Z. z. o súdnych exekútoroch </w:t>
      </w:r>
      <w:r w:rsidR="009426AB" w:rsidRPr="009426AB">
        <w:rPr>
          <w:b/>
          <w:shd w:val="clear" w:color="auto" w:fill="FFFFFF"/>
        </w:rPr>
        <w:t xml:space="preserve">a </w:t>
      </w:r>
      <w:r w:rsidR="00D9697B">
        <w:rPr>
          <w:b/>
          <w:shd w:val="clear" w:color="auto" w:fill="FFFFFF"/>
        </w:rPr>
        <w:t> </w:t>
      </w:r>
      <w:r w:rsidR="009426AB" w:rsidRPr="009426AB">
        <w:rPr>
          <w:b/>
          <w:shd w:val="clear" w:color="auto" w:fill="FFFFFF"/>
        </w:rPr>
        <w:t xml:space="preserve">exekučnej činnosti (Exekučný poriadok) </w:t>
      </w:r>
      <w:r w:rsidR="009426AB" w:rsidRPr="009426AB">
        <w:rPr>
          <w:shd w:val="clear" w:color="auto" w:fill="FFFFFF"/>
        </w:rPr>
        <w:t>a o zmene a doplnení ďalších zákonov v znení neskorších predpisov (tlač 1115)</w:t>
      </w:r>
      <w:r w:rsidR="00A73BF6">
        <w:rPr>
          <w:bCs/>
        </w:rPr>
        <w:t xml:space="preserve"> </w:t>
      </w:r>
      <w:hyperlink r:id="rId8" w:history="1"/>
      <w:r w:rsidR="00B50E37" w:rsidRPr="00A14547">
        <w:rPr>
          <w:b/>
        </w:rPr>
        <w:t>schváliť</w:t>
      </w:r>
      <w:r w:rsidR="00FE1C23" w:rsidRPr="00A14547">
        <w:rPr>
          <w:b/>
        </w:rPr>
        <w:t xml:space="preserve"> </w:t>
      </w:r>
      <w:r w:rsidR="00A73BF6" w:rsidRPr="00A14547">
        <w:rPr>
          <w:bCs/>
        </w:rPr>
        <w:t xml:space="preserve">v </w:t>
      </w:r>
      <w:r w:rsidR="00FE1C23" w:rsidRPr="00A14547">
        <w:rPr>
          <w:bCs/>
        </w:rPr>
        <w:t> </w:t>
      </w:r>
      <w:r w:rsidR="00A73BF6" w:rsidRPr="00A14547">
        <w:rPr>
          <w:bCs/>
        </w:rPr>
        <w:t>znení pozmeňujúc</w:t>
      </w:r>
      <w:r w:rsidR="0052534A" w:rsidRPr="00A14547">
        <w:rPr>
          <w:bCs/>
        </w:rPr>
        <w:t>ich</w:t>
      </w:r>
      <w:r w:rsidR="00A73BF6" w:rsidRPr="00A14547">
        <w:rPr>
          <w:bCs/>
        </w:rPr>
        <w:t xml:space="preserve"> návrh</w:t>
      </w:r>
      <w:r w:rsidR="0052534A" w:rsidRPr="00A14547">
        <w:rPr>
          <w:bCs/>
        </w:rPr>
        <w:t>ov</w:t>
      </w:r>
      <w:r w:rsidR="00A73BF6" w:rsidRPr="00A14547">
        <w:rPr>
          <w:bCs/>
        </w:rPr>
        <w:t xml:space="preserve"> uveden</w:t>
      </w:r>
      <w:r w:rsidR="0052534A" w:rsidRPr="00A14547">
        <w:rPr>
          <w:bCs/>
        </w:rPr>
        <w:t>ých</w:t>
      </w:r>
      <w:r w:rsidR="00A73BF6" w:rsidRPr="00A14547">
        <w:rPr>
          <w:bCs/>
        </w:rPr>
        <w:t xml:space="preserve"> v časti IV. tejto správy.</w:t>
      </w:r>
    </w:p>
    <w:p w:rsidR="009D1CD3" w:rsidRPr="003851F1" w:rsidRDefault="009D1CD3" w:rsidP="008C168B">
      <w:pPr>
        <w:pStyle w:val="Bezriadkovania"/>
      </w:pPr>
    </w:p>
    <w:p w:rsidR="008D400B" w:rsidRPr="00E83743" w:rsidRDefault="007021AD" w:rsidP="00033FCD">
      <w:pPr>
        <w:pStyle w:val="TxBrp9"/>
        <w:tabs>
          <w:tab w:val="left" w:pos="567"/>
        </w:tabs>
        <w:spacing w:line="360" w:lineRule="auto"/>
        <w:rPr>
          <w:sz w:val="24"/>
        </w:rPr>
      </w:pPr>
      <w:r w:rsidRPr="009426AB">
        <w:rPr>
          <w:bCs/>
          <w:sz w:val="24"/>
        </w:rPr>
        <w:tab/>
      </w:r>
      <w:r w:rsidR="00AC7E1D" w:rsidRPr="009426AB">
        <w:rPr>
          <w:bCs/>
          <w:sz w:val="24"/>
        </w:rPr>
        <w:tab/>
      </w:r>
      <w:proofErr w:type="spellStart"/>
      <w:proofErr w:type="gramStart"/>
      <w:r w:rsidR="00EF3F92" w:rsidRPr="009426AB">
        <w:rPr>
          <w:b/>
          <w:bCs/>
          <w:sz w:val="24"/>
        </w:rPr>
        <w:t>S</w:t>
      </w:r>
      <w:r w:rsidRPr="009426AB">
        <w:rPr>
          <w:b/>
          <w:bCs/>
          <w:sz w:val="24"/>
        </w:rPr>
        <w:t>práva</w:t>
      </w:r>
      <w:proofErr w:type="spellEnd"/>
      <w:r w:rsidR="007C1BCC" w:rsidRPr="009426AB">
        <w:rPr>
          <w:b/>
          <w:bCs/>
          <w:sz w:val="24"/>
        </w:rPr>
        <w:t xml:space="preserve"> </w:t>
      </w:r>
      <w:proofErr w:type="spellStart"/>
      <w:r w:rsidR="00EF3F92" w:rsidRPr="009426AB">
        <w:rPr>
          <w:b/>
          <w:bCs/>
          <w:sz w:val="24"/>
        </w:rPr>
        <w:t>Ústavnoprávneho</w:t>
      </w:r>
      <w:proofErr w:type="spellEnd"/>
      <w:r w:rsidR="007C1BCC" w:rsidRPr="009426AB">
        <w:rPr>
          <w:b/>
          <w:bCs/>
          <w:sz w:val="24"/>
        </w:rPr>
        <w:t xml:space="preserve"> </w:t>
      </w:r>
      <w:proofErr w:type="spellStart"/>
      <w:r w:rsidRPr="009426AB">
        <w:rPr>
          <w:b/>
          <w:sz w:val="24"/>
        </w:rPr>
        <w:t>výbor</w:t>
      </w:r>
      <w:r w:rsidR="00EF3F92" w:rsidRPr="009426AB">
        <w:rPr>
          <w:b/>
          <w:sz w:val="24"/>
        </w:rPr>
        <w:t>u</w:t>
      </w:r>
      <w:proofErr w:type="spellEnd"/>
      <w:r w:rsidR="007C1BCC" w:rsidRPr="009426AB">
        <w:rPr>
          <w:b/>
          <w:sz w:val="24"/>
        </w:rPr>
        <w:t xml:space="preserve"> </w:t>
      </w:r>
      <w:proofErr w:type="spellStart"/>
      <w:r w:rsidRPr="009426AB">
        <w:rPr>
          <w:sz w:val="24"/>
        </w:rPr>
        <w:t>Národnej</w:t>
      </w:r>
      <w:proofErr w:type="spellEnd"/>
      <w:r w:rsidRPr="009426AB">
        <w:rPr>
          <w:sz w:val="24"/>
        </w:rPr>
        <w:t xml:space="preserve"> </w:t>
      </w:r>
      <w:proofErr w:type="spellStart"/>
      <w:r w:rsidRPr="009426AB">
        <w:rPr>
          <w:sz w:val="24"/>
        </w:rPr>
        <w:t>rady</w:t>
      </w:r>
      <w:proofErr w:type="spellEnd"/>
      <w:r w:rsidRPr="009426AB">
        <w:rPr>
          <w:sz w:val="24"/>
        </w:rPr>
        <w:t xml:space="preserve"> </w:t>
      </w:r>
      <w:proofErr w:type="spellStart"/>
      <w:r w:rsidRPr="009426AB">
        <w:rPr>
          <w:sz w:val="24"/>
        </w:rPr>
        <w:t>Slovenskej</w:t>
      </w:r>
      <w:proofErr w:type="spellEnd"/>
      <w:r w:rsidR="007C1BCC" w:rsidRPr="009426AB">
        <w:rPr>
          <w:sz w:val="24"/>
        </w:rPr>
        <w:t xml:space="preserve"> </w:t>
      </w:r>
      <w:proofErr w:type="spellStart"/>
      <w:r w:rsidRPr="009426AB">
        <w:rPr>
          <w:sz w:val="24"/>
        </w:rPr>
        <w:t>republiky</w:t>
      </w:r>
      <w:proofErr w:type="spellEnd"/>
      <w:r w:rsidRPr="009426AB">
        <w:rPr>
          <w:sz w:val="24"/>
        </w:rPr>
        <w:t xml:space="preserve"> o</w:t>
      </w:r>
      <w:r w:rsidR="007C1BCC" w:rsidRPr="009426AB">
        <w:rPr>
          <w:sz w:val="24"/>
        </w:rPr>
        <w:t xml:space="preserve"> </w:t>
      </w:r>
      <w:proofErr w:type="spellStart"/>
      <w:r w:rsidR="00EF3F92" w:rsidRPr="009426AB">
        <w:rPr>
          <w:sz w:val="24"/>
        </w:rPr>
        <w:t>prerokovan</w:t>
      </w:r>
      <w:r w:rsidR="00DF0C00" w:rsidRPr="009426AB">
        <w:rPr>
          <w:sz w:val="24"/>
        </w:rPr>
        <w:t>í</w:t>
      </w:r>
      <w:proofErr w:type="spellEnd"/>
      <w:r w:rsidR="007C1BCC" w:rsidRPr="009426AB">
        <w:rPr>
          <w:sz w:val="24"/>
        </w:rPr>
        <w:t xml:space="preserve"> </w:t>
      </w:r>
      <w:proofErr w:type="spellStart"/>
      <w:r w:rsidR="00EE4438" w:rsidRPr="009426AB">
        <w:rPr>
          <w:sz w:val="24"/>
        </w:rPr>
        <w:t>vládneho</w:t>
      </w:r>
      <w:proofErr w:type="spellEnd"/>
      <w:r w:rsidR="00EE4438" w:rsidRPr="009426AB">
        <w:rPr>
          <w:sz w:val="24"/>
        </w:rPr>
        <w:t xml:space="preserve"> </w:t>
      </w:r>
      <w:proofErr w:type="spellStart"/>
      <w:r w:rsidR="00EE4438" w:rsidRPr="009426AB">
        <w:rPr>
          <w:sz w:val="24"/>
        </w:rPr>
        <w:t>návrhu</w:t>
      </w:r>
      <w:proofErr w:type="spellEnd"/>
      <w:r w:rsidR="00EE4438" w:rsidRPr="009426AB">
        <w:rPr>
          <w:sz w:val="24"/>
        </w:rPr>
        <w:t xml:space="preserve"> </w:t>
      </w:r>
      <w:proofErr w:type="spellStart"/>
      <w:r w:rsidR="00EE4438" w:rsidRPr="009426AB">
        <w:rPr>
          <w:sz w:val="24"/>
        </w:rPr>
        <w:t>zákona</w:t>
      </w:r>
      <w:proofErr w:type="spellEnd"/>
      <w:r w:rsidR="00745DC3" w:rsidRPr="009426AB">
        <w:rPr>
          <w:sz w:val="24"/>
        </w:rPr>
        <w:t xml:space="preserve">, </w:t>
      </w:r>
      <w:proofErr w:type="spellStart"/>
      <w:r w:rsidR="009426AB" w:rsidRPr="009426AB">
        <w:rPr>
          <w:sz w:val="24"/>
          <w:shd w:val="clear" w:color="auto" w:fill="FFFFFF"/>
        </w:rPr>
        <w:t>ktorým</w:t>
      </w:r>
      <w:proofErr w:type="spellEnd"/>
      <w:r w:rsidR="009426AB" w:rsidRPr="009426AB">
        <w:rPr>
          <w:sz w:val="24"/>
          <w:shd w:val="clear" w:color="auto" w:fill="FFFFFF"/>
        </w:rPr>
        <w:t xml:space="preserve"> </w:t>
      </w:r>
      <w:proofErr w:type="spellStart"/>
      <w:r w:rsidR="009426AB" w:rsidRPr="009426AB">
        <w:rPr>
          <w:sz w:val="24"/>
          <w:shd w:val="clear" w:color="auto" w:fill="FFFFFF"/>
        </w:rPr>
        <w:t>sa</w:t>
      </w:r>
      <w:proofErr w:type="spellEnd"/>
      <w:r w:rsidR="009426AB" w:rsidRPr="009426AB">
        <w:rPr>
          <w:sz w:val="24"/>
          <w:shd w:val="clear" w:color="auto" w:fill="FFFFFF"/>
        </w:rPr>
        <w:t xml:space="preserve"> </w:t>
      </w:r>
      <w:proofErr w:type="spellStart"/>
      <w:r w:rsidR="009426AB" w:rsidRPr="009426AB">
        <w:rPr>
          <w:sz w:val="24"/>
          <w:shd w:val="clear" w:color="auto" w:fill="FFFFFF"/>
        </w:rPr>
        <w:t>mení</w:t>
      </w:r>
      <w:proofErr w:type="spellEnd"/>
      <w:r w:rsidR="009426AB" w:rsidRPr="009426AB">
        <w:rPr>
          <w:sz w:val="24"/>
          <w:shd w:val="clear" w:color="auto" w:fill="FFFFFF"/>
        </w:rPr>
        <w:t xml:space="preserve"> a dopĺňa </w:t>
      </w:r>
      <w:r w:rsidR="009426AB" w:rsidRPr="009426AB">
        <w:rPr>
          <w:b/>
          <w:sz w:val="24"/>
          <w:shd w:val="clear" w:color="auto" w:fill="FFFFFF"/>
        </w:rPr>
        <w:t>zákon č. 300/2005 Z. z. Trestný zákon</w:t>
      </w:r>
      <w:r w:rsidR="009426AB" w:rsidRPr="009426AB">
        <w:rPr>
          <w:sz w:val="24"/>
          <w:shd w:val="clear" w:color="auto" w:fill="FFFFFF"/>
        </w:rPr>
        <w:t xml:space="preserve"> v  znení neskorších predpisov a ktorým sa dopĺňa </w:t>
      </w:r>
      <w:r w:rsidR="009426AB" w:rsidRPr="009426AB">
        <w:rPr>
          <w:b/>
          <w:sz w:val="24"/>
          <w:shd w:val="clear" w:color="auto" w:fill="FFFFFF"/>
        </w:rPr>
        <w:t xml:space="preserve">zákon Národnej rady Slovenskej republiky č. 233/1995 Z. z. o </w:t>
      </w:r>
      <w:proofErr w:type="spellStart"/>
      <w:r w:rsidR="009426AB" w:rsidRPr="009426AB">
        <w:rPr>
          <w:b/>
          <w:sz w:val="24"/>
          <w:shd w:val="clear" w:color="auto" w:fill="FFFFFF"/>
        </w:rPr>
        <w:t>súdnych</w:t>
      </w:r>
      <w:proofErr w:type="spellEnd"/>
      <w:r w:rsidR="009426AB" w:rsidRPr="009426AB">
        <w:rPr>
          <w:b/>
          <w:sz w:val="24"/>
          <w:shd w:val="clear" w:color="auto" w:fill="FFFFFF"/>
        </w:rPr>
        <w:t xml:space="preserve"> </w:t>
      </w:r>
      <w:proofErr w:type="spellStart"/>
      <w:r w:rsidR="009426AB" w:rsidRPr="009426AB">
        <w:rPr>
          <w:b/>
          <w:sz w:val="24"/>
          <w:shd w:val="clear" w:color="auto" w:fill="FFFFFF"/>
        </w:rPr>
        <w:t>exekútoroch</w:t>
      </w:r>
      <w:proofErr w:type="spellEnd"/>
      <w:r w:rsidR="009426AB" w:rsidRPr="009426AB">
        <w:rPr>
          <w:b/>
          <w:sz w:val="24"/>
          <w:shd w:val="clear" w:color="auto" w:fill="FFFFFF"/>
        </w:rPr>
        <w:t xml:space="preserve"> a </w:t>
      </w:r>
      <w:proofErr w:type="spellStart"/>
      <w:r w:rsidR="009426AB" w:rsidRPr="009426AB">
        <w:rPr>
          <w:b/>
          <w:sz w:val="24"/>
          <w:shd w:val="clear" w:color="auto" w:fill="FFFFFF"/>
        </w:rPr>
        <w:t>exekučn</w:t>
      </w:r>
      <w:r w:rsidR="009426AB">
        <w:rPr>
          <w:b/>
          <w:sz w:val="24"/>
          <w:shd w:val="clear" w:color="auto" w:fill="FFFFFF"/>
        </w:rPr>
        <w:t>ej</w:t>
      </w:r>
      <w:proofErr w:type="spellEnd"/>
      <w:r w:rsidR="009426AB">
        <w:rPr>
          <w:b/>
          <w:sz w:val="24"/>
          <w:shd w:val="clear" w:color="auto" w:fill="FFFFFF"/>
        </w:rPr>
        <w:t xml:space="preserve"> </w:t>
      </w:r>
      <w:proofErr w:type="spellStart"/>
      <w:r w:rsidR="009426AB">
        <w:rPr>
          <w:b/>
          <w:sz w:val="24"/>
          <w:shd w:val="clear" w:color="auto" w:fill="FFFFFF"/>
        </w:rPr>
        <w:t>činnosti</w:t>
      </w:r>
      <w:proofErr w:type="spellEnd"/>
      <w:r w:rsidR="009426AB">
        <w:rPr>
          <w:b/>
          <w:sz w:val="24"/>
          <w:shd w:val="clear" w:color="auto" w:fill="FFFFFF"/>
        </w:rPr>
        <w:t xml:space="preserve"> (</w:t>
      </w:r>
      <w:proofErr w:type="spellStart"/>
      <w:r w:rsidR="009426AB">
        <w:rPr>
          <w:b/>
          <w:sz w:val="24"/>
          <w:shd w:val="clear" w:color="auto" w:fill="FFFFFF"/>
        </w:rPr>
        <w:t>Exekučný</w:t>
      </w:r>
      <w:proofErr w:type="spellEnd"/>
      <w:r w:rsidR="009426AB">
        <w:rPr>
          <w:b/>
          <w:sz w:val="24"/>
          <w:shd w:val="clear" w:color="auto" w:fill="FFFFFF"/>
        </w:rPr>
        <w:t xml:space="preserve"> </w:t>
      </w:r>
      <w:proofErr w:type="spellStart"/>
      <w:r w:rsidR="009426AB">
        <w:rPr>
          <w:b/>
          <w:sz w:val="24"/>
          <w:shd w:val="clear" w:color="auto" w:fill="FFFFFF"/>
        </w:rPr>
        <w:t>poriadok</w:t>
      </w:r>
      <w:proofErr w:type="spellEnd"/>
      <w:r w:rsidR="009426AB">
        <w:rPr>
          <w:b/>
          <w:sz w:val="24"/>
          <w:shd w:val="clear" w:color="auto" w:fill="FFFFFF"/>
        </w:rPr>
        <w:t xml:space="preserve">) </w:t>
      </w:r>
      <w:r w:rsidR="009426AB">
        <w:rPr>
          <w:sz w:val="24"/>
          <w:shd w:val="clear" w:color="auto" w:fill="FFFFFF"/>
        </w:rPr>
        <w:t>a  </w:t>
      </w:r>
      <w:r w:rsidR="009426AB" w:rsidRPr="009426AB">
        <w:rPr>
          <w:sz w:val="24"/>
          <w:shd w:val="clear" w:color="auto" w:fill="FFFFFF"/>
        </w:rPr>
        <w:t xml:space="preserve">o </w:t>
      </w:r>
      <w:r w:rsidR="009426AB">
        <w:rPr>
          <w:sz w:val="24"/>
          <w:shd w:val="clear" w:color="auto" w:fill="FFFFFF"/>
        </w:rPr>
        <w:t> </w:t>
      </w:r>
      <w:proofErr w:type="spellStart"/>
      <w:r w:rsidR="009426AB" w:rsidRPr="009426AB">
        <w:rPr>
          <w:sz w:val="24"/>
          <w:shd w:val="clear" w:color="auto" w:fill="FFFFFF"/>
        </w:rPr>
        <w:t>zmene</w:t>
      </w:r>
      <w:proofErr w:type="spellEnd"/>
      <w:r w:rsidR="009426AB" w:rsidRPr="009426AB">
        <w:rPr>
          <w:sz w:val="24"/>
          <w:shd w:val="clear" w:color="auto" w:fill="FFFFFF"/>
        </w:rPr>
        <w:t xml:space="preserve"> a </w:t>
      </w:r>
      <w:proofErr w:type="spellStart"/>
      <w:r w:rsidR="009426AB" w:rsidRPr="009426AB">
        <w:rPr>
          <w:sz w:val="24"/>
          <w:shd w:val="clear" w:color="auto" w:fill="FFFFFF"/>
        </w:rPr>
        <w:t>doplnení</w:t>
      </w:r>
      <w:proofErr w:type="spellEnd"/>
      <w:r w:rsidR="009426AB" w:rsidRPr="009426AB">
        <w:rPr>
          <w:sz w:val="24"/>
          <w:shd w:val="clear" w:color="auto" w:fill="FFFFFF"/>
        </w:rPr>
        <w:t xml:space="preserve"> </w:t>
      </w:r>
      <w:proofErr w:type="spellStart"/>
      <w:r w:rsidR="009426AB" w:rsidRPr="009426AB">
        <w:rPr>
          <w:sz w:val="24"/>
          <w:shd w:val="clear" w:color="auto" w:fill="FFFFFF"/>
        </w:rPr>
        <w:t>ďalších</w:t>
      </w:r>
      <w:proofErr w:type="spellEnd"/>
      <w:r w:rsidR="009426AB" w:rsidRPr="009426AB">
        <w:rPr>
          <w:sz w:val="24"/>
          <w:shd w:val="clear" w:color="auto" w:fill="FFFFFF"/>
        </w:rPr>
        <w:t xml:space="preserve"> </w:t>
      </w:r>
      <w:proofErr w:type="spellStart"/>
      <w:r w:rsidR="009426AB" w:rsidRPr="009426AB">
        <w:rPr>
          <w:sz w:val="24"/>
          <w:shd w:val="clear" w:color="auto" w:fill="FFFFFF"/>
        </w:rPr>
        <w:t>zákonov</w:t>
      </w:r>
      <w:proofErr w:type="spellEnd"/>
      <w:r w:rsidR="009426AB" w:rsidRPr="009426AB">
        <w:rPr>
          <w:sz w:val="24"/>
          <w:shd w:val="clear" w:color="auto" w:fill="FFFFFF"/>
        </w:rPr>
        <w:t xml:space="preserve"> v </w:t>
      </w:r>
      <w:proofErr w:type="spellStart"/>
      <w:r w:rsidR="009426AB" w:rsidRPr="009426AB">
        <w:rPr>
          <w:sz w:val="24"/>
          <w:shd w:val="clear" w:color="auto" w:fill="FFFFFF"/>
        </w:rPr>
        <w:t>znení</w:t>
      </w:r>
      <w:proofErr w:type="spellEnd"/>
      <w:r w:rsidR="009426AB" w:rsidRPr="009426AB">
        <w:rPr>
          <w:sz w:val="24"/>
          <w:shd w:val="clear" w:color="auto" w:fill="FFFFFF"/>
        </w:rPr>
        <w:t xml:space="preserve"> </w:t>
      </w:r>
      <w:proofErr w:type="spellStart"/>
      <w:r w:rsidR="009426AB" w:rsidRPr="009426AB">
        <w:rPr>
          <w:sz w:val="24"/>
          <w:shd w:val="clear" w:color="auto" w:fill="FFFFFF"/>
        </w:rPr>
        <w:t>neskorších</w:t>
      </w:r>
      <w:proofErr w:type="spellEnd"/>
      <w:r w:rsidR="009426AB" w:rsidRPr="009426AB">
        <w:rPr>
          <w:sz w:val="24"/>
          <w:shd w:val="clear" w:color="auto" w:fill="FFFFFF"/>
        </w:rPr>
        <w:t xml:space="preserve"> </w:t>
      </w:r>
      <w:proofErr w:type="spellStart"/>
      <w:r w:rsidR="009426AB" w:rsidRPr="009426AB">
        <w:rPr>
          <w:sz w:val="24"/>
          <w:shd w:val="clear" w:color="auto" w:fill="FFFFFF"/>
        </w:rPr>
        <w:t>predpisov</w:t>
      </w:r>
      <w:proofErr w:type="spellEnd"/>
      <w:r w:rsidR="009426AB" w:rsidRPr="009426AB">
        <w:rPr>
          <w:sz w:val="24"/>
          <w:shd w:val="clear" w:color="auto" w:fill="FFFFFF"/>
        </w:rPr>
        <w:t xml:space="preserve"> </w:t>
      </w:r>
      <w:r w:rsidR="009426AB">
        <w:rPr>
          <w:sz w:val="24"/>
          <w:shd w:val="clear" w:color="auto" w:fill="FFFFFF"/>
        </w:rPr>
        <w:t xml:space="preserve">v </w:t>
      </w:r>
      <w:proofErr w:type="spellStart"/>
      <w:r w:rsidR="009426AB">
        <w:rPr>
          <w:sz w:val="24"/>
          <w:shd w:val="clear" w:color="auto" w:fill="FFFFFF"/>
        </w:rPr>
        <w:t>druhom</w:t>
      </w:r>
      <w:proofErr w:type="spellEnd"/>
      <w:r w:rsidR="009426AB">
        <w:rPr>
          <w:sz w:val="24"/>
          <w:shd w:val="clear" w:color="auto" w:fill="FFFFFF"/>
        </w:rPr>
        <w:t xml:space="preserve"> </w:t>
      </w:r>
      <w:proofErr w:type="spellStart"/>
      <w:r w:rsidR="009426AB">
        <w:rPr>
          <w:sz w:val="24"/>
          <w:shd w:val="clear" w:color="auto" w:fill="FFFFFF"/>
        </w:rPr>
        <w:t>čítaní</w:t>
      </w:r>
      <w:proofErr w:type="spellEnd"/>
      <w:r w:rsidR="009426AB">
        <w:rPr>
          <w:sz w:val="24"/>
          <w:shd w:val="clear" w:color="auto" w:fill="FFFFFF"/>
        </w:rPr>
        <w:t xml:space="preserve"> </w:t>
      </w:r>
      <w:r w:rsidR="009426AB" w:rsidRPr="009426AB">
        <w:rPr>
          <w:sz w:val="24"/>
          <w:shd w:val="clear" w:color="auto" w:fill="FFFFFF"/>
        </w:rPr>
        <w:t>(</w:t>
      </w:r>
      <w:proofErr w:type="spellStart"/>
      <w:r w:rsidR="009426AB" w:rsidRPr="009426AB">
        <w:rPr>
          <w:sz w:val="24"/>
          <w:shd w:val="clear" w:color="auto" w:fill="FFFFFF"/>
        </w:rPr>
        <w:t>tlač</w:t>
      </w:r>
      <w:proofErr w:type="spellEnd"/>
      <w:r w:rsidR="009426AB" w:rsidRPr="009426AB">
        <w:rPr>
          <w:sz w:val="24"/>
          <w:shd w:val="clear" w:color="auto" w:fill="FFFFFF"/>
        </w:rPr>
        <w:t xml:space="preserve"> 1115</w:t>
      </w:r>
      <w:r w:rsidR="009426AB">
        <w:rPr>
          <w:sz w:val="24"/>
          <w:shd w:val="clear" w:color="auto" w:fill="FFFFFF"/>
        </w:rPr>
        <w:t>a</w:t>
      </w:r>
      <w:r w:rsidR="009426AB" w:rsidRPr="009426AB">
        <w:rPr>
          <w:sz w:val="24"/>
          <w:shd w:val="clear" w:color="auto" w:fill="FFFFFF"/>
        </w:rPr>
        <w:t>)</w:t>
      </w:r>
      <w:r w:rsidR="00637C4C">
        <w:rPr>
          <w:sz w:val="24"/>
        </w:rPr>
        <w:t xml:space="preserve"> </w:t>
      </w:r>
      <w:r w:rsidRPr="00976A7B">
        <w:rPr>
          <w:b/>
          <w:bCs/>
          <w:sz w:val="24"/>
        </w:rPr>
        <w:t>bola</w:t>
      </w:r>
      <w:r w:rsidR="007C1BCC">
        <w:rPr>
          <w:b/>
          <w:bCs/>
          <w:sz w:val="24"/>
        </w:rPr>
        <w:t xml:space="preserve"> </w:t>
      </w:r>
      <w:proofErr w:type="spellStart"/>
      <w:r w:rsidRPr="00E83743">
        <w:rPr>
          <w:b/>
          <w:bCs/>
          <w:sz w:val="24"/>
        </w:rPr>
        <w:t>schválená</w:t>
      </w:r>
      <w:proofErr w:type="spellEnd"/>
      <w:r w:rsidR="007C1BCC">
        <w:rPr>
          <w:b/>
          <w:bCs/>
          <w:sz w:val="24"/>
        </w:rPr>
        <w:t xml:space="preserve"> </w:t>
      </w:r>
      <w:proofErr w:type="spellStart"/>
      <w:r w:rsidRPr="00E83743">
        <w:rPr>
          <w:bCs/>
          <w:sz w:val="24"/>
        </w:rPr>
        <w:t>uznesením</w:t>
      </w:r>
      <w:proofErr w:type="spellEnd"/>
      <w:r w:rsidR="007C1BCC">
        <w:rPr>
          <w:bCs/>
          <w:sz w:val="24"/>
        </w:rPr>
        <w:t xml:space="preserve"> </w:t>
      </w:r>
      <w:proofErr w:type="spellStart"/>
      <w:r w:rsidRPr="00E83743">
        <w:rPr>
          <w:bCs/>
          <w:sz w:val="24"/>
        </w:rPr>
        <w:t>Ústavnoprávneho</w:t>
      </w:r>
      <w:proofErr w:type="spellEnd"/>
      <w:r w:rsidR="007C1BCC">
        <w:rPr>
          <w:bCs/>
          <w:sz w:val="24"/>
        </w:rPr>
        <w:t xml:space="preserve"> </w:t>
      </w:r>
      <w:proofErr w:type="spellStart"/>
      <w:r w:rsidRPr="00E83743">
        <w:rPr>
          <w:bCs/>
          <w:sz w:val="24"/>
        </w:rPr>
        <w:t>výboru</w:t>
      </w:r>
      <w:proofErr w:type="spellEnd"/>
      <w:r w:rsidR="007C1BCC">
        <w:rPr>
          <w:bCs/>
          <w:sz w:val="24"/>
        </w:rPr>
        <w:t xml:space="preserve"> </w:t>
      </w:r>
      <w:proofErr w:type="spellStart"/>
      <w:r w:rsidRPr="00E83743">
        <w:rPr>
          <w:bCs/>
          <w:sz w:val="24"/>
        </w:rPr>
        <w:t>Národnej</w:t>
      </w:r>
      <w:proofErr w:type="spellEnd"/>
      <w:r w:rsidRPr="00E83743">
        <w:rPr>
          <w:bCs/>
          <w:sz w:val="24"/>
        </w:rPr>
        <w:t xml:space="preserve"> </w:t>
      </w:r>
      <w:proofErr w:type="spellStart"/>
      <w:r w:rsidRPr="00E83743">
        <w:rPr>
          <w:bCs/>
          <w:sz w:val="24"/>
        </w:rPr>
        <w:t>rady</w:t>
      </w:r>
      <w:proofErr w:type="spellEnd"/>
      <w:r w:rsidRPr="00E83743">
        <w:rPr>
          <w:bCs/>
          <w:sz w:val="24"/>
        </w:rPr>
        <w:t xml:space="preserve"> </w:t>
      </w:r>
      <w:proofErr w:type="spellStart"/>
      <w:r w:rsidRPr="00E83743">
        <w:rPr>
          <w:bCs/>
          <w:sz w:val="24"/>
        </w:rPr>
        <w:t>Slovenskej</w:t>
      </w:r>
      <w:proofErr w:type="spellEnd"/>
      <w:r w:rsidR="007C1BCC">
        <w:rPr>
          <w:bCs/>
          <w:sz w:val="24"/>
        </w:rPr>
        <w:t xml:space="preserve"> </w:t>
      </w:r>
      <w:proofErr w:type="spellStart"/>
      <w:r w:rsidRPr="00E83743">
        <w:rPr>
          <w:bCs/>
          <w:sz w:val="24"/>
        </w:rPr>
        <w:t>republiky</w:t>
      </w:r>
      <w:proofErr w:type="spellEnd"/>
      <w:r w:rsidR="007C1BCC">
        <w:rPr>
          <w:bCs/>
          <w:sz w:val="24"/>
        </w:rPr>
        <w:t xml:space="preserve"> </w:t>
      </w:r>
      <w:r w:rsidR="00632734" w:rsidRPr="00E83743">
        <w:rPr>
          <w:bCs/>
          <w:sz w:val="24"/>
        </w:rPr>
        <w:t>č.</w:t>
      </w:r>
      <w:r w:rsidR="00927A9E">
        <w:rPr>
          <w:bCs/>
          <w:sz w:val="24"/>
        </w:rPr>
        <w:t xml:space="preserve"> </w:t>
      </w:r>
      <w:r w:rsidR="009172B7">
        <w:rPr>
          <w:bCs/>
          <w:sz w:val="24"/>
        </w:rPr>
        <w:t xml:space="preserve">412 </w:t>
      </w:r>
      <w:r w:rsidR="00837C3F" w:rsidRPr="00E83743">
        <w:rPr>
          <w:bCs/>
          <w:sz w:val="24"/>
        </w:rPr>
        <w:t>z</w:t>
      </w:r>
      <w:r w:rsidR="009066F0">
        <w:rPr>
          <w:bCs/>
          <w:sz w:val="24"/>
        </w:rPr>
        <w:t> </w:t>
      </w:r>
      <w:r w:rsidR="00E924B7">
        <w:rPr>
          <w:bCs/>
          <w:sz w:val="24"/>
        </w:rPr>
        <w:t>11.</w:t>
      </w:r>
      <w:proofErr w:type="gramEnd"/>
      <w:r w:rsidR="00E924B7">
        <w:rPr>
          <w:bCs/>
          <w:sz w:val="24"/>
        </w:rPr>
        <w:t xml:space="preserve"> </w:t>
      </w:r>
      <w:proofErr w:type="spellStart"/>
      <w:r w:rsidR="009426AB">
        <w:rPr>
          <w:bCs/>
          <w:sz w:val="24"/>
        </w:rPr>
        <w:t>decembra</w:t>
      </w:r>
      <w:proofErr w:type="spellEnd"/>
      <w:r w:rsidR="007C1BCC">
        <w:rPr>
          <w:bCs/>
          <w:sz w:val="24"/>
        </w:rPr>
        <w:t xml:space="preserve"> 20</w:t>
      </w:r>
      <w:r w:rsidR="003851F1">
        <w:rPr>
          <w:bCs/>
          <w:sz w:val="24"/>
        </w:rPr>
        <w:t>2</w:t>
      </w:r>
      <w:r w:rsidR="009426AB">
        <w:rPr>
          <w:bCs/>
          <w:sz w:val="24"/>
        </w:rPr>
        <w:t>5</w:t>
      </w:r>
      <w:r w:rsidR="00A6356E" w:rsidRPr="00E83743">
        <w:rPr>
          <w:bCs/>
          <w:sz w:val="24"/>
        </w:rPr>
        <w:t>.</w:t>
      </w:r>
    </w:p>
    <w:p w:rsidR="008C168B" w:rsidRDefault="008C168B"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5D0BC1" w:rsidRDefault="005D0BC1" w:rsidP="005D0BC1">
      <w:pPr>
        <w:spacing w:line="360" w:lineRule="auto"/>
        <w:ind w:firstLine="567"/>
        <w:jc w:val="both"/>
        <w:rPr>
          <w:bCs/>
        </w:rPr>
      </w:pPr>
      <w:r w:rsidRPr="00BD66E3">
        <w:rPr>
          <w:bCs/>
        </w:rPr>
        <w:t>Týmto uznesen</w:t>
      </w:r>
      <w:r>
        <w:rPr>
          <w:bCs/>
        </w:rPr>
        <w:t xml:space="preserve">ím výbor zároveň poveril </w:t>
      </w:r>
      <w:r w:rsidRPr="00FB77C5">
        <w:t>spravodajkyňu,</w:t>
      </w:r>
      <w:r>
        <w:rPr>
          <w:b/>
        </w:rPr>
        <w:t xml:space="preserve"> </w:t>
      </w:r>
      <w:r>
        <w:t xml:space="preserve">poslankyňu Národnej rady Slovenskej republiky </w:t>
      </w:r>
      <w:r w:rsidRPr="00FB77C5">
        <w:rPr>
          <w:b/>
        </w:rPr>
        <w:t xml:space="preserve">Zuzanu </w:t>
      </w:r>
      <w:proofErr w:type="spellStart"/>
      <w:r w:rsidRPr="00FB77C5">
        <w:rPr>
          <w:b/>
        </w:rPr>
        <w:t>Plevíkovú</w:t>
      </w:r>
      <w:proofErr w:type="spellEnd"/>
      <w:r>
        <w:t>,</w:t>
      </w:r>
      <w:r>
        <w:rPr>
          <w:bCs/>
        </w:rPr>
        <w:t xml:space="preserve"> </w:t>
      </w:r>
      <w:r>
        <w:t>a</w:t>
      </w:r>
      <w:r>
        <w:rPr>
          <w:bCs/>
        </w:rPr>
        <w:t xml:space="preserve">by </w:t>
      </w:r>
      <w:r>
        <w:t xml:space="preserve">na schôdzi Národnej rady Slovenskej republiky </w:t>
      </w:r>
      <w:r>
        <w:rPr>
          <w:bCs/>
        </w:rPr>
        <w:t>i</w:t>
      </w:r>
      <w:r>
        <w:t xml:space="preserve">nformovala o výsledku rokovania výboru a určuje poslancov </w:t>
      </w:r>
      <w:r>
        <w:rPr>
          <w:bCs/>
        </w:rPr>
        <w:t xml:space="preserve">Richarda </w:t>
      </w:r>
      <w:proofErr w:type="spellStart"/>
      <w:r>
        <w:rPr>
          <w:bCs/>
        </w:rPr>
        <w:t>Glücka</w:t>
      </w:r>
      <w:proofErr w:type="spellEnd"/>
      <w:r>
        <w:rPr>
          <w:bCs/>
        </w:rPr>
        <w:t xml:space="preserve">, Richarda Eliáša, Štefana Gašparoviča, Adama </w:t>
      </w:r>
      <w:proofErr w:type="spellStart"/>
      <w:r>
        <w:rPr>
          <w:bCs/>
        </w:rPr>
        <w:t>Lučanského</w:t>
      </w:r>
      <w:proofErr w:type="spellEnd"/>
      <w:r>
        <w:rPr>
          <w:bCs/>
        </w:rPr>
        <w:t>,  Mir</w:t>
      </w:r>
      <w:r w:rsidR="00D9697B">
        <w:rPr>
          <w:bCs/>
        </w:rPr>
        <w:t xml:space="preserve">oslava </w:t>
      </w:r>
      <w:proofErr w:type="spellStart"/>
      <w:r w:rsidR="00D9697B">
        <w:rPr>
          <w:bCs/>
        </w:rPr>
        <w:t>Čellára</w:t>
      </w:r>
      <w:proofErr w:type="spellEnd"/>
      <w:r w:rsidR="00D9697B">
        <w:rPr>
          <w:bCs/>
        </w:rPr>
        <w:t xml:space="preserve"> a Tibora Gašpara </w:t>
      </w:r>
      <w:r>
        <w:rPr>
          <w:bCs/>
        </w:rPr>
        <w:t xml:space="preserve">za </w:t>
      </w:r>
      <w:r w:rsidR="00D9697B">
        <w:rPr>
          <w:bCs/>
        </w:rPr>
        <w:t> </w:t>
      </w:r>
      <w:r>
        <w:rPr>
          <w:bCs/>
        </w:rPr>
        <w:t>náhradníkov spravodajkyne.</w:t>
      </w:r>
    </w:p>
    <w:p w:rsidR="005D0BC1" w:rsidRDefault="005D0BC1" w:rsidP="005D0BC1">
      <w:pPr>
        <w:ind w:firstLine="567"/>
        <w:jc w:val="both"/>
        <w:rPr>
          <w:bCs/>
        </w:rPr>
      </w:pPr>
    </w:p>
    <w:p w:rsidR="005D0BC1" w:rsidRDefault="005D0BC1" w:rsidP="005D0BC1">
      <w:pPr>
        <w:ind w:firstLine="567"/>
        <w:jc w:val="both"/>
        <w:rPr>
          <w:bCs/>
        </w:rPr>
      </w:pPr>
    </w:p>
    <w:p w:rsidR="008C168B" w:rsidRDefault="008C168B"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rsidR="00DC3632" w:rsidRPr="00CE0522" w:rsidRDefault="00DC3632" w:rsidP="00DC3632">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Miroslav Čellár </w:t>
      </w:r>
      <w:bookmarkStart w:id="0" w:name="_GoBack"/>
      <w:r>
        <w:t xml:space="preserve">v. r. </w:t>
      </w:r>
    </w:p>
    <w:bookmarkEnd w:id="0"/>
    <w:p w:rsidR="00DC3632" w:rsidRPr="00CE0522" w:rsidRDefault="00DC3632" w:rsidP="00DC3632">
      <w:pPr>
        <w:tabs>
          <w:tab w:val="left" w:pos="-1985"/>
          <w:tab w:val="left" w:pos="709"/>
          <w:tab w:val="left" w:pos="1077"/>
        </w:tabs>
        <w:ind w:left="1077"/>
        <w:jc w:val="both"/>
      </w:pPr>
      <w:r w:rsidRPr="00CE0522">
        <w:t xml:space="preserve">                              </w:t>
      </w:r>
      <w:r w:rsidRPr="00CE0522">
        <w:tab/>
      </w:r>
      <w:r w:rsidRPr="00CE0522">
        <w:tab/>
        <w:t xml:space="preserve">           </w:t>
      </w:r>
      <w:r>
        <w:t xml:space="preserve"> </w:t>
      </w:r>
      <w:r w:rsidRPr="00CE0522">
        <w:t xml:space="preserve"> predseda Ústavnoprávneho výboru </w:t>
      </w:r>
    </w:p>
    <w:p w:rsidR="008C168B" w:rsidRPr="008C168B" w:rsidRDefault="008C168B" w:rsidP="008C168B">
      <w:pPr>
        <w:tabs>
          <w:tab w:val="left" w:pos="-1985"/>
          <w:tab w:val="left" w:pos="709"/>
          <w:tab w:val="left" w:pos="1077"/>
        </w:tabs>
        <w:spacing w:line="360" w:lineRule="auto"/>
        <w:jc w:val="both"/>
      </w:pPr>
      <w:r>
        <w:tab/>
      </w:r>
      <w:r>
        <w:tab/>
      </w:r>
      <w:r>
        <w:tab/>
      </w:r>
      <w:r w:rsidR="009172B7">
        <w:tab/>
      </w:r>
      <w:r w:rsidR="009172B7">
        <w:tab/>
      </w:r>
      <w:r w:rsidR="009172B7">
        <w:tab/>
      </w:r>
      <w:r w:rsidR="009172B7">
        <w:tab/>
      </w:r>
      <w:r w:rsidR="009172B7">
        <w:tab/>
      </w:r>
      <w:r w:rsidRPr="00CE0522">
        <w:t>Národnej rady Slovenskej republiky</w:t>
      </w:r>
    </w:p>
    <w:p w:rsidR="007F39BA" w:rsidRPr="003C54A8" w:rsidRDefault="008C168B" w:rsidP="008C168B">
      <w:pPr>
        <w:tabs>
          <w:tab w:val="left" w:pos="-1985"/>
          <w:tab w:val="left" w:pos="709"/>
          <w:tab w:val="left" w:pos="1077"/>
        </w:tabs>
        <w:jc w:val="both"/>
      </w:pPr>
      <w:r>
        <w:tab/>
      </w:r>
      <w:r>
        <w:tab/>
      </w:r>
      <w:r>
        <w:tab/>
      </w:r>
      <w:r>
        <w:tab/>
      </w:r>
      <w:r>
        <w:tab/>
      </w:r>
      <w:r>
        <w:tab/>
      </w:r>
      <w:r>
        <w:tab/>
        <w:t xml:space="preserve">  </w:t>
      </w:r>
      <w:r w:rsidR="00DC3632" w:rsidRPr="00CE0522">
        <w:t xml:space="preserve">       </w:t>
      </w:r>
      <w:r w:rsidR="00DC3632">
        <w:t xml:space="preserve"> </w:t>
      </w:r>
      <w:r w:rsidR="00DC3632" w:rsidRPr="00CE0522">
        <w:t xml:space="preserve"> </w:t>
      </w:r>
    </w:p>
    <w:p w:rsidR="008C168B" w:rsidRPr="008C168B" w:rsidRDefault="009172B7">
      <w:pPr>
        <w:tabs>
          <w:tab w:val="left" w:pos="-1985"/>
          <w:tab w:val="left" w:pos="709"/>
          <w:tab w:val="left" w:pos="1077"/>
        </w:tabs>
        <w:spacing w:line="360" w:lineRule="auto"/>
        <w:jc w:val="both"/>
      </w:pPr>
      <w:r w:rsidRPr="003C54A8">
        <w:t>Bratislava</w:t>
      </w:r>
      <w:r>
        <w:t xml:space="preserve"> 11. decembra 2025</w:t>
      </w:r>
    </w:p>
    <w:sectPr w:rsidR="008C168B" w:rsidRPr="008C168B" w:rsidSect="00615200">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C13" w:rsidRDefault="00631C13" w:rsidP="00615200">
      <w:r>
        <w:separator/>
      </w:r>
    </w:p>
  </w:endnote>
  <w:endnote w:type="continuationSeparator" w:id="0">
    <w:p w:rsidR="00631C13" w:rsidRDefault="00631C13" w:rsidP="006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7E6" w:rsidRDefault="00F446FC">
    <w:pPr>
      <w:pStyle w:val="Pta"/>
      <w:jc w:val="center"/>
    </w:pPr>
    <w:r>
      <w:fldChar w:fldCharType="begin"/>
    </w:r>
    <w:r w:rsidR="006B47E6">
      <w:instrText>PAGE   \* MERGEFORMAT</w:instrText>
    </w:r>
    <w:r>
      <w:fldChar w:fldCharType="separate"/>
    </w:r>
    <w:r w:rsidR="00522515">
      <w:rPr>
        <w:noProof/>
      </w:rPr>
      <w:t>9</w:t>
    </w:r>
    <w:r>
      <w:fldChar w:fldCharType="end"/>
    </w:r>
  </w:p>
  <w:p w:rsidR="006B47E6" w:rsidRDefault="006B4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C13" w:rsidRDefault="00631C13" w:rsidP="00615200">
      <w:r>
        <w:separator/>
      </w:r>
    </w:p>
  </w:footnote>
  <w:footnote w:type="continuationSeparator" w:id="0">
    <w:p w:rsidR="00631C13" w:rsidRDefault="00631C13" w:rsidP="0061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23"/>
    <w:lvl w:ilvl="0">
      <w:start w:val="1"/>
      <w:numFmt w:val="decimal"/>
      <w:lvlText w:val="(%1)"/>
      <w:lvlJc w:val="left"/>
      <w:pPr>
        <w:tabs>
          <w:tab w:val="num" w:pos="660"/>
        </w:tabs>
        <w:ind w:left="660" w:hanging="360"/>
      </w:pPr>
      <w:rPr>
        <w:rFonts w:ascii="Times New Roman" w:eastAsia="Times New Roman" w:hAnsi="Times New Roman" w:cs="Times New Roman"/>
        <w:i w:val="0"/>
      </w:rPr>
    </w:lvl>
    <w:lvl w:ilvl="1">
      <w:start w:val="1"/>
      <w:numFmt w:val="lowerLetter"/>
      <w:lvlText w:val="%2)"/>
      <w:lvlJc w:val="left"/>
      <w:pPr>
        <w:tabs>
          <w:tab w:val="num" w:pos="720"/>
        </w:tabs>
        <w:ind w:left="720"/>
      </w:pPr>
      <w:rPr>
        <w:rFonts w:ascii="Times New Roman" w:eastAsia="Times New Roman" w:hAnsi="Times New Roman"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 w15:restartNumberingAfterBreak="0">
    <w:nsid w:val="00000011"/>
    <w:multiLevelType w:val="multilevel"/>
    <w:tmpl w:val="00000011"/>
    <w:name w:val="WW8Num24"/>
    <w:lvl w:ilvl="0">
      <w:start w:val="1"/>
      <w:numFmt w:val="lowerLetter"/>
      <w:lvlText w:val="%1)"/>
      <w:lvlJc w:val="left"/>
      <w:pPr>
        <w:tabs>
          <w:tab w:val="num" w:pos="1170"/>
        </w:tabs>
        <w:ind w:left="1170" w:hanging="450"/>
      </w:pPr>
      <w:rPr>
        <w:rFonts w:cs="Times New Roman"/>
      </w:rPr>
    </w:lvl>
    <w:lvl w:ilvl="1">
      <w:start w:val="3"/>
      <w:numFmt w:val="decimal"/>
      <w:lvlText w:val="(%2)"/>
      <w:lvlJc w:val="left"/>
      <w:pPr>
        <w:tabs>
          <w:tab w:val="num" w:pos="1800"/>
        </w:tabs>
        <w:ind w:left="1800" w:hanging="360"/>
      </w:pPr>
      <w:rPr>
        <w:rFonts w:cs="Times New Roman"/>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00000012"/>
    <w:multiLevelType w:val="multilevel"/>
    <w:tmpl w:val="00000012"/>
    <w:name w:val="WW8Num25"/>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4"/>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6E3662E"/>
    <w:multiLevelType w:val="hybridMultilevel"/>
    <w:tmpl w:val="5736062A"/>
    <w:lvl w:ilvl="0" w:tplc="B9407492">
      <w:start w:val="1"/>
      <w:numFmt w:val="decimal"/>
      <w:lvlText w:val="%1."/>
      <w:lvlJc w:val="left"/>
      <w:pPr>
        <w:ind w:left="360" w:hanging="360"/>
      </w:pPr>
      <w:rPr>
        <w:rFonts w:cs="Times New Roman"/>
        <w:b w:val="0"/>
        <w:i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7974ADA"/>
    <w:multiLevelType w:val="hybridMultilevel"/>
    <w:tmpl w:val="7F0C9290"/>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0F1837D2"/>
    <w:multiLevelType w:val="hybridMultilevel"/>
    <w:tmpl w:val="A89274DA"/>
    <w:lvl w:ilvl="0" w:tplc="45E83C76">
      <w:start w:val="1"/>
      <w:numFmt w:val="decimal"/>
      <w:lvlText w:val="%1."/>
      <w:lvlJc w:val="left"/>
      <w:pPr>
        <w:ind w:left="1069" w:hanging="360"/>
      </w:pPr>
      <w:rPr>
        <w:rFonts w:ascii="Times New Roman" w:hAnsi="Times New Roman" w:cs="Times New Roman" w:hint="default"/>
        <w:sz w:val="24"/>
        <w:szCs w:val="24"/>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6" w15:restartNumberingAfterBreak="0">
    <w:nsid w:val="100710D8"/>
    <w:multiLevelType w:val="hybridMultilevel"/>
    <w:tmpl w:val="10168754"/>
    <w:lvl w:ilvl="0" w:tplc="041B000F">
      <w:start w:val="1"/>
      <w:numFmt w:val="decimal"/>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5AF1FA7"/>
    <w:multiLevelType w:val="hybridMultilevel"/>
    <w:tmpl w:val="07D85D58"/>
    <w:lvl w:ilvl="0" w:tplc="BD1A3420">
      <w:start w:val="7"/>
      <w:numFmt w:val="decimal"/>
      <w:lvlText w:val="%1."/>
      <w:lvlJc w:val="left"/>
      <w:pPr>
        <w:ind w:left="644" w:hanging="360"/>
      </w:pPr>
      <w:rPr>
        <w:rFonts w:cs="Times New Roman"/>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8" w15:restartNumberingAfterBreak="0">
    <w:nsid w:val="16450DD0"/>
    <w:multiLevelType w:val="hybridMultilevel"/>
    <w:tmpl w:val="C8EA31BE"/>
    <w:lvl w:ilvl="0" w:tplc="041B000F">
      <w:start w:val="1"/>
      <w:numFmt w:val="decimal"/>
      <w:lvlText w:val="%1."/>
      <w:lvlJc w:val="left"/>
      <w:pPr>
        <w:ind w:left="360" w:hanging="360"/>
      </w:pPr>
      <w:rPr>
        <w:rFonts w:ascii="Times New Roman" w:hAnsi="Times New Roman" w:cs="Times New Roman" w:hint="default"/>
        <w:sz w:val="2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AE45D5C"/>
    <w:multiLevelType w:val="hybridMultilevel"/>
    <w:tmpl w:val="FBC2E7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46126A"/>
    <w:multiLevelType w:val="hybridMultilevel"/>
    <w:tmpl w:val="C9CE75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273EF8"/>
    <w:multiLevelType w:val="hybridMultilevel"/>
    <w:tmpl w:val="69684526"/>
    <w:lvl w:ilvl="0" w:tplc="D5F6CAB2">
      <w:start w:val="1"/>
      <w:numFmt w:val="decimal"/>
      <w:lvlText w:val="%1."/>
      <w:lvlJc w:val="left"/>
      <w:pPr>
        <w:ind w:left="36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CB20AB3"/>
    <w:multiLevelType w:val="hybridMultilevel"/>
    <w:tmpl w:val="CFA2FDFE"/>
    <w:lvl w:ilvl="0" w:tplc="3EBE746C">
      <w:start w:val="1"/>
      <w:numFmt w:val="decimal"/>
      <w:lvlText w:val="(%1)"/>
      <w:lvlJc w:val="left"/>
      <w:pPr>
        <w:ind w:left="1070" w:hanging="360"/>
      </w:pPr>
      <w:rPr>
        <w:rFonts w:cs="Times New Roman"/>
      </w:rPr>
    </w:lvl>
    <w:lvl w:ilvl="1" w:tplc="041B0019">
      <w:start w:val="1"/>
      <w:numFmt w:val="lowerLetter"/>
      <w:lvlText w:val="%2."/>
      <w:lvlJc w:val="left"/>
      <w:pPr>
        <w:ind w:left="1790" w:hanging="360"/>
      </w:pPr>
      <w:rPr>
        <w:rFonts w:cs="Times New Roman"/>
      </w:rPr>
    </w:lvl>
    <w:lvl w:ilvl="2" w:tplc="041B001B">
      <w:start w:val="1"/>
      <w:numFmt w:val="lowerRoman"/>
      <w:lvlText w:val="%3."/>
      <w:lvlJc w:val="right"/>
      <w:pPr>
        <w:ind w:left="2510" w:hanging="180"/>
      </w:pPr>
      <w:rPr>
        <w:rFonts w:cs="Times New Roman"/>
      </w:rPr>
    </w:lvl>
    <w:lvl w:ilvl="3" w:tplc="041B000F">
      <w:start w:val="1"/>
      <w:numFmt w:val="decimal"/>
      <w:lvlText w:val="%4."/>
      <w:lvlJc w:val="left"/>
      <w:pPr>
        <w:ind w:left="3230" w:hanging="360"/>
      </w:pPr>
      <w:rPr>
        <w:rFonts w:cs="Times New Roman"/>
      </w:rPr>
    </w:lvl>
    <w:lvl w:ilvl="4" w:tplc="041B0019">
      <w:start w:val="1"/>
      <w:numFmt w:val="lowerLetter"/>
      <w:lvlText w:val="%5."/>
      <w:lvlJc w:val="left"/>
      <w:pPr>
        <w:ind w:left="3950" w:hanging="360"/>
      </w:pPr>
      <w:rPr>
        <w:rFonts w:cs="Times New Roman"/>
      </w:rPr>
    </w:lvl>
    <w:lvl w:ilvl="5" w:tplc="041B001B">
      <w:start w:val="1"/>
      <w:numFmt w:val="lowerRoman"/>
      <w:lvlText w:val="%6."/>
      <w:lvlJc w:val="right"/>
      <w:pPr>
        <w:ind w:left="4670" w:hanging="180"/>
      </w:pPr>
      <w:rPr>
        <w:rFonts w:cs="Times New Roman"/>
      </w:rPr>
    </w:lvl>
    <w:lvl w:ilvl="6" w:tplc="041B000F">
      <w:start w:val="1"/>
      <w:numFmt w:val="decimal"/>
      <w:lvlText w:val="%7."/>
      <w:lvlJc w:val="left"/>
      <w:pPr>
        <w:ind w:left="5390" w:hanging="360"/>
      </w:pPr>
      <w:rPr>
        <w:rFonts w:cs="Times New Roman"/>
      </w:rPr>
    </w:lvl>
    <w:lvl w:ilvl="7" w:tplc="041B0019">
      <w:start w:val="1"/>
      <w:numFmt w:val="lowerLetter"/>
      <w:lvlText w:val="%8."/>
      <w:lvlJc w:val="left"/>
      <w:pPr>
        <w:ind w:left="6110" w:hanging="360"/>
      </w:pPr>
      <w:rPr>
        <w:rFonts w:cs="Times New Roman"/>
      </w:rPr>
    </w:lvl>
    <w:lvl w:ilvl="8" w:tplc="041B001B">
      <w:start w:val="1"/>
      <w:numFmt w:val="lowerRoman"/>
      <w:lvlText w:val="%9."/>
      <w:lvlJc w:val="right"/>
      <w:pPr>
        <w:ind w:left="6830" w:hanging="180"/>
      </w:pPr>
      <w:rPr>
        <w:rFonts w:cs="Times New Roman"/>
      </w:rPr>
    </w:lvl>
  </w:abstractNum>
  <w:abstractNum w:abstractNumId="13" w15:restartNumberingAfterBreak="0">
    <w:nsid w:val="2560029E"/>
    <w:multiLevelType w:val="hybridMultilevel"/>
    <w:tmpl w:val="FD3EFE12"/>
    <w:lvl w:ilvl="0" w:tplc="8206BDDE">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2CF31D83"/>
    <w:multiLevelType w:val="hybridMultilevel"/>
    <w:tmpl w:val="EA00B238"/>
    <w:lvl w:ilvl="0" w:tplc="6DB088B6">
      <w:start w:val="5"/>
      <w:numFmt w:val="decimal"/>
      <w:lvlText w:val="%1."/>
      <w:lvlJc w:val="left"/>
      <w:pPr>
        <w:ind w:left="36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2F8007E2"/>
    <w:multiLevelType w:val="hybridMultilevel"/>
    <w:tmpl w:val="82CE9A5A"/>
    <w:lvl w:ilvl="0" w:tplc="285A70FA">
      <w:start w:val="1"/>
      <w:numFmt w:val="decimal"/>
      <w:lvlText w:val="%1."/>
      <w:lvlJc w:val="left"/>
      <w:pPr>
        <w:ind w:left="360" w:hanging="360"/>
      </w:pPr>
      <w:rPr>
        <w:rFonts w:ascii="Times New Roman" w:hAnsi="Times New Roman" w:cs="Times New Roman" w:hint="default"/>
        <w:b w:val="0"/>
        <w:i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2440A1A"/>
    <w:multiLevelType w:val="hybridMultilevel"/>
    <w:tmpl w:val="5DCCE00E"/>
    <w:lvl w:ilvl="0" w:tplc="041B0017">
      <w:start w:val="1"/>
      <w:numFmt w:val="low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17" w15:restartNumberingAfterBreak="0">
    <w:nsid w:val="37725231"/>
    <w:multiLevelType w:val="hybridMultilevel"/>
    <w:tmpl w:val="6BA6624A"/>
    <w:lvl w:ilvl="0" w:tplc="753E50BC">
      <w:start w:val="1"/>
      <w:numFmt w:val="decimal"/>
      <w:lvlText w:val="%1."/>
      <w:lvlJc w:val="left"/>
      <w:pPr>
        <w:ind w:left="720" w:hanging="360"/>
      </w:pPr>
      <w:rPr>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6A6E58"/>
    <w:multiLevelType w:val="hybridMultilevel"/>
    <w:tmpl w:val="732013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FA4522"/>
    <w:multiLevelType w:val="hybridMultilevel"/>
    <w:tmpl w:val="64BE24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3F0266E4"/>
    <w:multiLevelType w:val="hybridMultilevel"/>
    <w:tmpl w:val="A9746A1E"/>
    <w:lvl w:ilvl="0" w:tplc="8E10831E">
      <w:start w:val="1"/>
      <w:numFmt w:val="decimal"/>
      <w:lvlText w:val="%1."/>
      <w:lvlJc w:val="left"/>
      <w:pPr>
        <w:ind w:left="928"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65D16B5"/>
    <w:multiLevelType w:val="hybridMultilevel"/>
    <w:tmpl w:val="CF26A332"/>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488432EC"/>
    <w:multiLevelType w:val="hybridMultilevel"/>
    <w:tmpl w:val="E60C05FE"/>
    <w:lvl w:ilvl="0" w:tplc="3D568446">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4A043032"/>
    <w:multiLevelType w:val="hybridMultilevel"/>
    <w:tmpl w:val="C988FF6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4D865F54"/>
    <w:multiLevelType w:val="hybridMultilevel"/>
    <w:tmpl w:val="18BE9A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2468B"/>
    <w:multiLevelType w:val="hybridMultilevel"/>
    <w:tmpl w:val="81484C3E"/>
    <w:lvl w:ilvl="0" w:tplc="5170C6B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144605"/>
    <w:multiLevelType w:val="hybridMultilevel"/>
    <w:tmpl w:val="1FFC88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5B4421"/>
    <w:multiLevelType w:val="hybridMultilevel"/>
    <w:tmpl w:val="7BE0E550"/>
    <w:lvl w:ilvl="0" w:tplc="DA2693B2">
      <w:start w:val="2"/>
      <w:numFmt w:val="bullet"/>
      <w:lvlText w:val="-"/>
      <w:lvlJc w:val="left"/>
      <w:pPr>
        <w:ind w:left="644"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hint="default"/>
      </w:rPr>
    </w:lvl>
    <w:lvl w:ilvl="8" w:tplc="041B0005">
      <w:start w:val="1"/>
      <w:numFmt w:val="bullet"/>
      <w:lvlText w:val=""/>
      <w:lvlJc w:val="left"/>
      <w:pPr>
        <w:ind w:left="6404" w:hanging="360"/>
      </w:pPr>
      <w:rPr>
        <w:rFonts w:ascii="Wingdings" w:hAnsi="Wingdings" w:hint="default"/>
      </w:rPr>
    </w:lvl>
  </w:abstractNum>
  <w:abstractNum w:abstractNumId="28" w15:restartNumberingAfterBreak="0">
    <w:nsid w:val="58092677"/>
    <w:multiLevelType w:val="hybridMultilevel"/>
    <w:tmpl w:val="C4186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C6ED7"/>
    <w:multiLevelType w:val="hybridMultilevel"/>
    <w:tmpl w:val="CAB8A0F4"/>
    <w:lvl w:ilvl="0" w:tplc="2098E5F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3A25FF"/>
    <w:multiLevelType w:val="hybridMultilevel"/>
    <w:tmpl w:val="AB323642"/>
    <w:lvl w:ilvl="0" w:tplc="E0B88DCE">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1" w15:restartNumberingAfterBreak="0">
    <w:nsid w:val="74FD5255"/>
    <w:multiLevelType w:val="hybridMultilevel"/>
    <w:tmpl w:val="0566623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75994B0A"/>
    <w:multiLevelType w:val="hybridMultilevel"/>
    <w:tmpl w:val="D734A514"/>
    <w:lvl w:ilvl="0" w:tplc="8848AB0C">
      <w:start w:val="1"/>
      <w:numFmt w:val="decimal"/>
      <w:lvlText w:val="%1."/>
      <w:lvlJc w:val="left"/>
      <w:pPr>
        <w:ind w:left="720" w:hanging="360"/>
      </w:pPr>
      <w:rPr>
        <w:rFonts w:cs="Times New Roman"/>
        <w:strike w:val="0"/>
        <w:dstrike w:val="0"/>
        <w:u w:val="none"/>
        <w:effect w:val="none"/>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2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2"/>
  </w:num>
  <w:num w:numId="7">
    <w:abstractNumId w:val="19"/>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
  </w:num>
  <w:num w:numId="26">
    <w:abstractNumId w:val="32"/>
  </w:num>
  <w:num w:numId="27">
    <w:abstractNumId w:val="25"/>
  </w:num>
  <w:num w:numId="28">
    <w:abstractNumId w:val="18"/>
  </w:num>
  <w:num w:numId="29">
    <w:abstractNumId w:val="17"/>
  </w:num>
  <w:num w:numId="30">
    <w:abstractNumId w:val="28"/>
  </w:num>
  <w:num w:numId="31">
    <w:abstractNumId w:val="9"/>
  </w:num>
  <w:num w:numId="32">
    <w:abstractNumId w:val="24"/>
  </w:num>
  <w:num w:numId="33">
    <w:abstractNumId w:val="26"/>
  </w:num>
  <w:num w:numId="34">
    <w:abstractNumId w:val="29"/>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AD"/>
    <w:rsid w:val="00001D6D"/>
    <w:rsid w:val="000022DA"/>
    <w:rsid w:val="0001023E"/>
    <w:rsid w:val="00013CF6"/>
    <w:rsid w:val="000217F4"/>
    <w:rsid w:val="000339D5"/>
    <w:rsid w:val="00033C09"/>
    <w:rsid w:val="00033FCD"/>
    <w:rsid w:val="00034303"/>
    <w:rsid w:val="000366F1"/>
    <w:rsid w:val="000407FB"/>
    <w:rsid w:val="00040FCA"/>
    <w:rsid w:val="0004123D"/>
    <w:rsid w:val="000418D5"/>
    <w:rsid w:val="00043E82"/>
    <w:rsid w:val="000540B9"/>
    <w:rsid w:val="00054A0E"/>
    <w:rsid w:val="00054F95"/>
    <w:rsid w:val="00056E90"/>
    <w:rsid w:val="00063DB4"/>
    <w:rsid w:val="000704D9"/>
    <w:rsid w:val="000724F8"/>
    <w:rsid w:val="00072708"/>
    <w:rsid w:val="000822A9"/>
    <w:rsid w:val="000825A7"/>
    <w:rsid w:val="00083C36"/>
    <w:rsid w:val="00086577"/>
    <w:rsid w:val="00091944"/>
    <w:rsid w:val="00094B00"/>
    <w:rsid w:val="00096D70"/>
    <w:rsid w:val="000A364C"/>
    <w:rsid w:val="000A5964"/>
    <w:rsid w:val="000A5F2F"/>
    <w:rsid w:val="000B2DA0"/>
    <w:rsid w:val="000B54BF"/>
    <w:rsid w:val="000C1574"/>
    <w:rsid w:val="000C3B82"/>
    <w:rsid w:val="000C4537"/>
    <w:rsid w:val="000C4A5E"/>
    <w:rsid w:val="000C77CA"/>
    <w:rsid w:val="000D08DC"/>
    <w:rsid w:val="000D1719"/>
    <w:rsid w:val="000D321B"/>
    <w:rsid w:val="000D3B9F"/>
    <w:rsid w:val="000F09CC"/>
    <w:rsid w:val="000F32D8"/>
    <w:rsid w:val="000F3B0C"/>
    <w:rsid w:val="000F3BE3"/>
    <w:rsid w:val="000F5564"/>
    <w:rsid w:val="00102D39"/>
    <w:rsid w:val="001051D7"/>
    <w:rsid w:val="00106665"/>
    <w:rsid w:val="00112314"/>
    <w:rsid w:val="0011650D"/>
    <w:rsid w:val="00116B6E"/>
    <w:rsid w:val="00121A05"/>
    <w:rsid w:val="00126F35"/>
    <w:rsid w:val="0013336C"/>
    <w:rsid w:val="0013406D"/>
    <w:rsid w:val="00142331"/>
    <w:rsid w:val="001475DD"/>
    <w:rsid w:val="001552A9"/>
    <w:rsid w:val="00155804"/>
    <w:rsid w:val="00157D33"/>
    <w:rsid w:val="00160973"/>
    <w:rsid w:val="00160CAB"/>
    <w:rsid w:val="00162DA3"/>
    <w:rsid w:val="00165FA7"/>
    <w:rsid w:val="00173E97"/>
    <w:rsid w:val="00177EE3"/>
    <w:rsid w:val="001816A2"/>
    <w:rsid w:val="0018305E"/>
    <w:rsid w:val="00184C91"/>
    <w:rsid w:val="00191EE8"/>
    <w:rsid w:val="00193CF2"/>
    <w:rsid w:val="00196A3C"/>
    <w:rsid w:val="001A1252"/>
    <w:rsid w:val="001A3105"/>
    <w:rsid w:val="001A45F5"/>
    <w:rsid w:val="001B1D40"/>
    <w:rsid w:val="001B356F"/>
    <w:rsid w:val="001B4AF4"/>
    <w:rsid w:val="001B5495"/>
    <w:rsid w:val="001B6109"/>
    <w:rsid w:val="001C59DC"/>
    <w:rsid w:val="001D1A97"/>
    <w:rsid w:val="001D4BA9"/>
    <w:rsid w:val="001E0AAC"/>
    <w:rsid w:val="001E1B68"/>
    <w:rsid w:val="00201B0D"/>
    <w:rsid w:val="002040D1"/>
    <w:rsid w:val="0021320D"/>
    <w:rsid w:val="00217AF4"/>
    <w:rsid w:val="0023394B"/>
    <w:rsid w:val="0023489F"/>
    <w:rsid w:val="00234ADF"/>
    <w:rsid w:val="00241370"/>
    <w:rsid w:val="002421E4"/>
    <w:rsid w:val="002433A1"/>
    <w:rsid w:val="002434EC"/>
    <w:rsid w:val="002448B5"/>
    <w:rsid w:val="00245109"/>
    <w:rsid w:val="00245531"/>
    <w:rsid w:val="00246759"/>
    <w:rsid w:val="0024732A"/>
    <w:rsid w:val="00252182"/>
    <w:rsid w:val="00254180"/>
    <w:rsid w:val="002575F1"/>
    <w:rsid w:val="00261559"/>
    <w:rsid w:val="00266CA3"/>
    <w:rsid w:val="00270389"/>
    <w:rsid w:val="00271D7D"/>
    <w:rsid w:val="00271F24"/>
    <w:rsid w:val="00282828"/>
    <w:rsid w:val="0028601C"/>
    <w:rsid w:val="00294381"/>
    <w:rsid w:val="00294B22"/>
    <w:rsid w:val="0029555F"/>
    <w:rsid w:val="002A1877"/>
    <w:rsid w:val="002A33C3"/>
    <w:rsid w:val="002A779B"/>
    <w:rsid w:val="002B1FB0"/>
    <w:rsid w:val="002B42CF"/>
    <w:rsid w:val="002B7742"/>
    <w:rsid w:val="002C3101"/>
    <w:rsid w:val="002C610C"/>
    <w:rsid w:val="002D40A1"/>
    <w:rsid w:val="002D4AB3"/>
    <w:rsid w:val="002D784E"/>
    <w:rsid w:val="002D78DE"/>
    <w:rsid w:val="002E5976"/>
    <w:rsid w:val="002E6334"/>
    <w:rsid w:val="002F21B1"/>
    <w:rsid w:val="002F59E4"/>
    <w:rsid w:val="002F79A8"/>
    <w:rsid w:val="003005CE"/>
    <w:rsid w:val="00302A32"/>
    <w:rsid w:val="00302D3B"/>
    <w:rsid w:val="00310C71"/>
    <w:rsid w:val="003116EC"/>
    <w:rsid w:val="00312CA4"/>
    <w:rsid w:val="00322090"/>
    <w:rsid w:val="003231E2"/>
    <w:rsid w:val="00323F30"/>
    <w:rsid w:val="003253C0"/>
    <w:rsid w:val="0033364B"/>
    <w:rsid w:val="00334EB4"/>
    <w:rsid w:val="003368C4"/>
    <w:rsid w:val="00337189"/>
    <w:rsid w:val="00340503"/>
    <w:rsid w:val="003405E6"/>
    <w:rsid w:val="00340E23"/>
    <w:rsid w:val="0034669F"/>
    <w:rsid w:val="0034797C"/>
    <w:rsid w:val="003520B3"/>
    <w:rsid w:val="00352DC5"/>
    <w:rsid w:val="00353806"/>
    <w:rsid w:val="00356B35"/>
    <w:rsid w:val="00363878"/>
    <w:rsid w:val="00375046"/>
    <w:rsid w:val="003851F1"/>
    <w:rsid w:val="00385B06"/>
    <w:rsid w:val="00387A2D"/>
    <w:rsid w:val="0039036B"/>
    <w:rsid w:val="00394CD6"/>
    <w:rsid w:val="00397736"/>
    <w:rsid w:val="00397FB5"/>
    <w:rsid w:val="003A3022"/>
    <w:rsid w:val="003B1C61"/>
    <w:rsid w:val="003B3D3E"/>
    <w:rsid w:val="003C2A93"/>
    <w:rsid w:val="003C32C0"/>
    <w:rsid w:val="003C5128"/>
    <w:rsid w:val="003C5A45"/>
    <w:rsid w:val="003C79D2"/>
    <w:rsid w:val="003D26F1"/>
    <w:rsid w:val="003D41CF"/>
    <w:rsid w:val="003E10C1"/>
    <w:rsid w:val="003E28D7"/>
    <w:rsid w:val="003E3F31"/>
    <w:rsid w:val="003E59BE"/>
    <w:rsid w:val="003E638C"/>
    <w:rsid w:val="003E7592"/>
    <w:rsid w:val="003E7BFF"/>
    <w:rsid w:val="003F0F1B"/>
    <w:rsid w:val="003F161C"/>
    <w:rsid w:val="003F3548"/>
    <w:rsid w:val="003F3D71"/>
    <w:rsid w:val="003F4E76"/>
    <w:rsid w:val="00403912"/>
    <w:rsid w:val="0040487E"/>
    <w:rsid w:val="00415D29"/>
    <w:rsid w:val="004169DB"/>
    <w:rsid w:val="00420381"/>
    <w:rsid w:val="004204D7"/>
    <w:rsid w:val="004209A4"/>
    <w:rsid w:val="00422F50"/>
    <w:rsid w:val="0042407C"/>
    <w:rsid w:val="00424330"/>
    <w:rsid w:val="00427D6E"/>
    <w:rsid w:val="00432B75"/>
    <w:rsid w:val="004337BD"/>
    <w:rsid w:val="00450919"/>
    <w:rsid w:val="00451F58"/>
    <w:rsid w:val="00455399"/>
    <w:rsid w:val="00456E3D"/>
    <w:rsid w:val="004602B2"/>
    <w:rsid w:val="004654CE"/>
    <w:rsid w:val="0047272C"/>
    <w:rsid w:val="004737D3"/>
    <w:rsid w:val="00474655"/>
    <w:rsid w:val="00474844"/>
    <w:rsid w:val="0047625D"/>
    <w:rsid w:val="00480BEC"/>
    <w:rsid w:val="0048132B"/>
    <w:rsid w:val="00482605"/>
    <w:rsid w:val="004857D3"/>
    <w:rsid w:val="00486FD6"/>
    <w:rsid w:val="00490C43"/>
    <w:rsid w:val="004A036C"/>
    <w:rsid w:val="004A35D6"/>
    <w:rsid w:val="004A772A"/>
    <w:rsid w:val="004B0D5C"/>
    <w:rsid w:val="004B188D"/>
    <w:rsid w:val="004B491B"/>
    <w:rsid w:val="004B67B0"/>
    <w:rsid w:val="004C0EFE"/>
    <w:rsid w:val="004C1068"/>
    <w:rsid w:val="004C4459"/>
    <w:rsid w:val="004C639A"/>
    <w:rsid w:val="004D0C2D"/>
    <w:rsid w:val="004D1F63"/>
    <w:rsid w:val="004D2C78"/>
    <w:rsid w:val="004D4E79"/>
    <w:rsid w:val="004E2EA1"/>
    <w:rsid w:val="004E7D5E"/>
    <w:rsid w:val="004F0F4B"/>
    <w:rsid w:val="004F1F05"/>
    <w:rsid w:val="004F2B50"/>
    <w:rsid w:val="004F4557"/>
    <w:rsid w:val="004F4D58"/>
    <w:rsid w:val="00500066"/>
    <w:rsid w:val="00500EB4"/>
    <w:rsid w:val="0050202C"/>
    <w:rsid w:val="005026A4"/>
    <w:rsid w:val="005109E4"/>
    <w:rsid w:val="00514F3B"/>
    <w:rsid w:val="00515888"/>
    <w:rsid w:val="005159D1"/>
    <w:rsid w:val="00520699"/>
    <w:rsid w:val="00522515"/>
    <w:rsid w:val="00523419"/>
    <w:rsid w:val="0052534A"/>
    <w:rsid w:val="00525414"/>
    <w:rsid w:val="005319AA"/>
    <w:rsid w:val="00533ED8"/>
    <w:rsid w:val="005356E0"/>
    <w:rsid w:val="005377DC"/>
    <w:rsid w:val="00540238"/>
    <w:rsid w:val="00543FCC"/>
    <w:rsid w:val="00545C94"/>
    <w:rsid w:val="00546B4C"/>
    <w:rsid w:val="0055196A"/>
    <w:rsid w:val="00553252"/>
    <w:rsid w:val="0055414C"/>
    <w:rsid w:val="0056448F"/>
    <w:rsid w:val="005649C8"/>
    <w:rsid w:val="005752AA"/>
    <w:rsid w:val="0057628B"/>
    <w:rsid w:val="00582B35"/>
    <w:rsid w:val="00585B4B"/>
    <w:rsid w:val="0058694B"/>
    <w:rsid w:val="005925BE"/>
    <w:rsid w:val="00592EAE"/>
    <w:rsid w:val="00594260"/>
    <w:rsid w:val="005972DC"/>
    <w:rsid w:val="005A11FE"/>
    <w:rsid w:val="005A685A"/>
    <w:rsid w:val="005B0CAF"/>
    <w:rsid w:val="005B0F4D"/>
    <w:rsid w:val="005B7862"/>
    <w:rsid w:val="005B7F62"/>
    <w:rsid w:val="005C4B05"/>
    <w:rsid w:val="005C5593"/>
    <w:rsid w:val="005D0BC1"/>
    <w:rsid w:val="005D6403"/>
    <w:rsid w:val="005D677A"/>
    <w:rsid w:val="005E23DD"/>
    <w:rsid w:val="005F35A2"/>
    <w:rsid w:val="005F5C38"/>
    <w:rsid w:val="006000CE"/>
    <w:rsid w:val="00605862"/>
    <w:rsid w:val="00612800"/>
    <w:rsid w:val="006133BB"/>
    <w:rsid w:val="00615200"/>
    <w:rsid w:val="006279CB"/>
    <w:rsid w:val="00630FF2"/>
    <w:rsid w:val="00631C13"/>
    <w:rsid w:val="00632734"/>
    <w:rsid w:val="006362BA"/>
    <w:rsid w:val="00637C4C"/>
    <w:rsid w:val="00642026"/>
    <w:rsid w:val="00643265"/>
    <w:rsid w:val="00647D99"/>
    <w:rsid w:val="00653A97"/>
    <w:rsid w:val="00653B3A"/>
    <w:rsid w:val="00653C29"/>
    <w:rsid w:val="00655674"/>
    <w:rsid w:val="00663EFA"/>
    <w:rsid w:val="0066607D"/>
    <w:rsid w:val="00666BFF"/>
    <w:rsid w:val="006709FE"/>
    <w:rsid w:val="006714C3"/>
    <w:rsid w:val="006732B3"/>
    <w:rsid w:val="00673903"/>
    <w:rsid w:val="00674174"/>
    <w:rsid w:val="006764B2"/>
    <w:rsid w:val="006823AF"/>
    <w:rsid w:val="00684640"/>
    <w:rsid w:val="006867E9"/>
    <w:rsid w:val="00690811"/>
    <w:rsid w:val="00690B79"/>
    <w:rsid w:val="006921CC"/>
    <w:rsid w:val="006925C1"/>
    <w:rsid w:val="006A527C"/>
    <w:rsid w:val="006A7947"/>
    <w:rsid w:val="006B47E6"/>
    <w:rsid w:val="006B48C6"/>
    <w:rsid w:val="006B5D6B"/>
    <w:rsid w:val="006C0A88"/>
    <w:rsid w:val="006C3632"/>
    <w:rsid w:val="006D0EC6"/>
    <w:rsid w:val="006D1C16"/>
    <w:rsid w:val="006D5C2C"/>
    <w:rsid w:val="006E03F6"/>
    <w:rsid w:val="006E199D"/>
    <w:rsid w:val="006E44C7"/>
    <w:rsid w:val="006E4CDA"/>
    <w:rsid w:val="006F010E"/>
    <w:rsid w:val="006F1A61"/>
    <w:rsid w:val="006F2054"/>
    <w:rsid w:val="006F285E"/>
    <w:rsid w:val="006F33F9"/>
    <w:rsid w:val="0070162E"/>
    <w:rsid w:val="00701BD5"/>
    <w:rsid w:val="007021AD"/>
    <w:rsid w:val="0070376D"/>
    <w:rsid w:val="00714E50"/>
    <w:rsid w:val="007201FA"/>
    <w:rsid w:val="00722698"/>
    <w:rsid w:val="0072343F"/>
    <w:rsid w:val="00725B84"/>
    <w:rsid w:val="00726B55"/>
    <w:rsid w:val="00727B49"/>
    <w:rsid w:val="00733C8D"/>
    <w:rsid w:val="00737899"/>
    <w:rsid w:val="00743C87"/>
    <w:rsid w:val="00745DC3"/>
    <w:rsid w:val="00747580"/>
    <w:rsid w:val="00750729"/>
    <w:rsid w:val="00754241"/>
    <w:rsid w:val="007608F0"/>
    <w:rsid w:val="00765150"/>
    <w:rsid w:val="00774616"/>
    <w:rsid w:val="00780C09"/>
    <w:rsid w:val="00782D6D"/>
    <w:rsid w:val="0078494E"/>
    <w:rsid w:val="007A1832"/>
    <w:rsid w:val="007A41D4"/>
    <w:rsid w:val="007A4545"/>
    <w:rsid w:val="007A798D"/>
    <w:rsid w:val="007B11F3"/>
    <w:rsid w:val="007B308F"/>
    <w:rsid w:val="007B397B"/>
    <w:rsid w:val="007C1BCC"/>
    <w:rsid w:val="007C7B27"/>
    <w:rsid w:val="007D276F"/>
    <w:rsid w:val="007D53EC"/>
    <w:rsid w:val="007D5B71"/>
    <w:rsid w:val="007E10F9"/>
    <w:rsid w:val="007E3477"/>
    <w:rsid w:val="007E6E92"/>
    <w:rsid w:val="007E7885"/>
    <w:rsid w:val="007F39BA"/>
    <w:rsid w:val="007F4AB9"/>
    <w:rsid w:val="007F6DA7"/>
    <w:rsid w:val="007F7C89"/>
    <w:rsid w:val="008021F5"/>
    <w:rsid w:val="00810904"/>
    <w:rsid w:val="00811E8C"/>
    <w:rsid w:val="00813BB7"/>
    <w:rsid w:val="00814ECF"/>
    <w:rsid w:val="00823C8A"/>
    <w:rsid w:val="0082741E"/>
    <w:rsid w:val="008300B6"/>
    <w:rsid w:val="00836D03"/>
    <w:rsid w:val="00837C3F"/>
    <w:rsid w:val="00841A07"/>
    <w:rsid w:val="00844BEA"/>
    <w:rsid w:val="00851DBF"/>
    <w:rsid w:val="008574E4"/>
    <w:rsid w:val="00860973"/>
    <w:rsid w:val="00861322"/>
    <w:rsid w:val="00861AFC"/>
    <w:rsid w:val="0086483F"/>
    <w:rsid w:val="00865340"/>
    <w:rsid w:val="0087046D"/>
    <w:rsid w:val="0087142B"/>
    <w:rsid w:val="00891B38"/>
    <w:rsid w:val="0089380C"/>
    <w:rsid w:val="00894E82"/>
    <w:rsid w:val="008B17C6"/>
    <w:rsid w:val="008C1096"/>
    <w:rsid w:val="008C168B"/>
    <w:rsid w:val="008D2665"/>
    <w:rsid w:val="008D3206"/>
    <w:rsid w:val="008D39E4"/>
    <w:rsid w:val="008D400B"/>
    <w:rsid w:val="008E1118"/>
    <w:rsid w:val="008E6577"/>
    <w:rsid w:val="008E719A"/>
    <w:rsid w:val="008F484A"/>
    <w:rsid w:val="008F5707"/>
    <w:rsid w:val="008F6616"/>
    <w:rsid w:val="00901A67"/>
    <w:rsid w:val="009066F0"/>
    <w:rsid w:val="00907867"/>
    <w:rsid w:val="0091245C"/>
    <w:rsid w:val="009125CF"/>
    <w:rsid w:val="009139F9"/>
    <w:rsid w:val="009172B7"/>
    <w:rsid w:val="009200D4"/>
    <w:rsid w:val="009201A9"/>
    <w:rsid w:val="00920E72"/>
    <w:rsid w:val="00924991"/>
    <w:rsid w:val="00927A9E"/>
    <w:rsid w:val="009313BF"/>
    <w:rsid w:val="00935C32"/>
    <w:rsid w:val="0094083B"/>
    <w:rsid w:val="009426AB"/>
    <w:rsid w:val="00945A5F"/>
    <w:rsid w:val="00946149"/>
    <w:rsid w:val="00946250"/>
    <w:rsid w:val="00950B25"/>
    <w:rsid w:val="009525AE"/>
    <w:rsid w:val="00956786"/>
    <w:rsid w:val="00963A26"/>
    <w:rsid w:val="0097011C"/>
    <w:rsid w:val="009705C0"/>
    <w:rsid w:val="00971D57"/>
    <w:rsid w:val="00975713"/>
    <w:rsid w:val="00976A7B"/>
    <w:rsid w:val="00980854"/>
    <w:rsid w:val="00984200"/>
    <w:rsid w:val="009861CC"/>
    <w:rsid w:val="00986C67"/>
    <w:rsid w:val="00986EEA"/>
    <w:rsid w:val="00987D1F"/>
    <w:rsid w:val="00996244"/>
    <w:rsid w:val="00997110"/>
    <w:rsid w:val="009A5E35"/>
    <w:rsid w:val="009B14E6"/>
    <w:rsid w:val="009B54CC"/>
    <w:rsid w:val="009B63E6"/>
    <w:rsid w:val="009C3537"/>
    <w:rsid w:val="009C4F0C"/>
    <w:rsid w:val="009D1AAC"/>
    <w:rsid w:val="009D1CD3"/>
    <w:rsid w:val="009D2283"/>
    <w:rsid w:val="009E021F"/>
    <w:rsid w:val="009E2B32"/>
    <w:rsid w:val="009E6D33"/>
    <w:rsid w:val="009F0374"/>
    <w:rsid w:val="009F7B28"/>
    <w:rsid w:val="00A01D95"/>
    <w:rsid w:val="00A1119E"/>
    <w:rsid w:val="00A133D1"/>
    <w:rsid w:val="00A14547"/>
    <w:rsid w:val="00A16CA2"/>
    <w:rsid w:val="00A16E57"/>
    <w:rsid w:val="00A21297"/>
    <w:rsid w:val="00A227D5"/>
    <w:rsid w:val="00A247E2"/>
    <w:rsid w:val="00A30A18"/>
    <w:rsid w:val="00A32E5B"/>
    <w:rsid w:val="00A34BFA"/>
    <w:rsid w:val="00A35022"/>
    <w:rsid w:val="00A37A90"/>
    <w:rsid w:val="00A40999"/>
    <w:rsid w:val="00A4115B"/>
    <w:rsid w:val="00A44B70"/>
    <w:rsid w:val="00A4513A"/>
    <w:rsid w:val="00A46236"/>
    <w:rsid w:val="00A52690"/>
    <w:rsid w:val="00A61955"/>
    <w:rsid w:val="00A6356E"/>
    <w:rsid w:val="00A6633C"/>
    <w:rsid w:val="00A704EF"/>
    <w:rsid w:val="00A70EEA"/>
    <w:rsid w:val="00A73245"/>
    <w:rsid w:val="00A73BF6"/>
    <w:rsid w:val="00A74ADE"/>
    <w:rsid w:val="00A75515"/>
    <w:rsid w:val="00A764CF"/>
    <w:rsid w:val="00A80F94"/>
    <w:rsid w:val="00A82425"/>
    <w:rsid w:val="00A82A8E"/>
    <w:rsid w:val="00A84E35"/>
    <w:rsid w:val="00A870F9"/>
    <w:rsid w:val="00A93627"/>
    <w:rsid w:val="00AA0C87"/>
    <w:rsid w:val="00AA1372"/>
    <w:rsid w:val="00AA3DAB"/>
    <w:rsid w:val="00AA702C"/>
    <w:rsid w:val="00AA77D0"/>
    <w:rsid w:val="00AB1B77"/>
    <w:rsid w:val="00AB1C73"/>
    <w:rsid w:val="00AB2825"/>
    <w:rsid w:val="00AB28EF"/>
    <w:rsid w:val="00AB7CC9"/>
    <w:rsid w:val="00AB7D4E"/>
    <w:rsid w:val="00AC0629"/>
    <w:rsid w:val="00AC2EBE"/>
    <w:rsid w:val="00AC369D"/>
    <w:rsid w:val="00AC4212"/>
    <w:rsid w:val="00AC4D72"/>
    <w:rsid w:val="00AC6675"/>
    <w:rsid w:val="00AC7B46"/>
    <w:rsid w:val="00AC7E1D"/>
    <w:rsid w:val="00AD16B5"/>
    <w:rsid w:val="00AD3455"/>
    <w:rsid w:val="00AD4506"/>
    <w:rsid w:val="00AD4BD1"/>
    <w:rsid w:val="00AD58A0"/>
    <w:rsid w:val="00AE57AB"/>
    <w:rsid w:val="00AE6C86"/>
    <w:rsid w:val="00AE6DE3"/>
    <w:rsid w:val="00AE7AF0"/>
    <w:rsid w:val="00AF0ACD"/>
    <w:rsid w:val="00AF11FB"/>
    <w:rsid w:val="00B04F3A"/>
    <w:rsid w:val="00B06806"/>
    <w:rsid w:val="00B07E37"/>
    <w:rsid w:val="00B13A08"/>
    <w:rsid w:val="00B14BCE"/>
    <w:rsid w:val="00B154F2"/>
    <w:rsid w:val="00B20FDE"/>
    <w:rsid w:val="00B24826"/>
    <w:rsid w:val="00B260BF"/>
    <w:rsid w:val="00B265EC"/>
    <w:rsid w:val="00B276C3"/>
    <w:rsid w:val="00B27EDE"/>
    <w:rsid w:val="00B30684"/>
    <w:rsid w:val="00B30B8B"/>
    <w:rsid w:val="00B312C0"/>
    <w:rsid w:val="00B37C6F"/>
    <w:rsid w:val="00B42BAB"/>
    <w:rsid w:val="00B4346F"/>
    <w:rsid w:val="00B45D1D"/>
    <w:rsid w:val="00B45EFC"/>
    <w:rsid w:val="00B476F5"/>
    <w:rsid w:val="00B5064C"/>
    <w:rsid w:val="00B50E37"/>
    <w:rsid w:val="00B510E0"/>
    <w:rsid w:val="00B5252E"/>
    <w:rsid w:val="00B53E25"/>
    <w:rsid w:val="00B53F8E"/>
    <w:rsid w:val="00B5734F"/>
    <w:rsid w:val="00B576C3"/>
    <w:rsid w:val="00B616CB"/>
    <w:rsid w:val="00B62583"/>
    <w:rsid w:val="00B73EE6"/>
    <w:rsid w:val="00B751FD"/>
    <w:rsid w:val="00B768E0"/>
    <w:rsid w:val="00B7769A"/>
    <w:rsid w:val="00B77B23"/>
    <w:rsid w:val="00B82E85"/>
    <w:rsid w:val="00B840A0"/>
    <w:rsid w:val="00B85D73"/>
    <w:rsid w:val="00B92E2A"/>
    <w:rsid w:val="00B94281"/>
    <w:rsid w:val="00B94E68"/>
    <w:rsid w:val="00B965DC"/>
    <w:rsid w:val="00BA0630"/>
    <w:rsid w:val="00BA1367"/>
    <w:rsid w:val="00BA139F"/>
    <w:rsid w:val="00BA2003"/>
    <w:rsid w:val="00BA2857"/>
    <w:rsid w:val="00BA5963"/>
    <w:rsid w:val="00BA611A"/>
    <w:rsid w:val="00BB032D"/>
    <w:rsid w:val="00BB05E9"/>
    <w:rsid w:val="00BB2008"/>
    <w:rsid w:val="00BB7B31"/>
    <w:rsid w:val="00BC6225"/>
    <w:rsid w:val="00BC6CC2"/>
    <w:rsid w:val="00BD4691"/>
    <w:rsid w:val="00BD624B"/>
    <w:rsid w:val="00BE7F8A"/>
    <w:rsid w:val="00C041E4"/>
    <w:rsid w:val="00C072B2"/>
    <w:rsid w:val="00C10C8A"/>
    <w:rsid w:val="00C15C71"/>
    <w:rsid w:val="00C20E81"/>
    <w:rsid w:val="00C2102F"/>
    <w:rsid w:val="00C22C74"/>
    <w:rsid w:val="00C2684D"/>
    <w:rsid w:val="00C33ACA"/>
    <w:rsid w:val="00C33BE7"/>
    <w:rsid w:val="00C35DF1"/>
    <w:rsid w:val="00C367B7"/>
    <w:rsid w:val="00C37DAA"/>
    <w:rsid w:val="00C41872"/>
    <w:rsid w:val="00C5456F"/>
    <w:rsid w:val="00C614B2"/>
    <w:rsid w:val="00C62446"/>
    <w:rsid w:val="00C62504"/>
    <w:rsid w:val="00C65E63"/>
    <w:rsid w:val="00C668FF"/>
    <w:rsid w:val="00C66CA0"/>
    <w:rsid w:val="00C67933"/>
    <w:rsid w:val="00C719F4"/>
    <w:rsid w:val="00C74B92"/>
    <w:rsid w:val="00C76A17"/>
    <w:rsid w:val="00C81471"/>
    <w:rsid w:val="00C821DA"/>
    <w:rsid w:val="00C85BEB"/>
    <w:rsid w:val="00C85D29"/>
    <w:rsid w:val="00C86784"/>
    <w:rsid w:val="00C91860"/>
    <w:rsid w:val="00C969EA"/>
    <w:rsid w:val="00CA667B"/>
    <w:rsid w:val="00CB249F"/>
    <w:rsid w:val="00CB5981"/>
    <w:rsid w:val="00CD4C3B"/>
    <w:rsid w:val="00CE0C4C"/>
    <w:rsid w:val="00CE34BE"/>
    <w:rsid w:val="00CE6522"/>
    <w:rsid w:val="00CF26E9"/>
    <w:rsid w:val="00CF4544"/>
    <w:rsid w:val="00CF5349"/>
    <w:rsid w:val="00CF730D"/>
    <w:rsid w:val="00D01E9C"/>
    <w:rsid w:val="00D02138"/>
    <w:rsid w:val="00D067C3"/>
    <w:rsid w:val="00D06839"/>
    <w:rsid w:val="00D11607"/>
    <w:rsid w:val="00D14FCB"/>
    <w:rsid w:val="00D15CEC"/>
    <w:rsid w:val="00D208CB"/>
    <w:rsid w:val="00D24D26"/>
    <w:rsid w:val="00D25AF1"/>
    <w:rsid w:val="00D25D7E"/>
    <w:rsid w:val="00D319F0"/>
    <w:rsid w:val="00D34DC9"/>
    <w:rsid w:val="00D36923"/>
    <w:rsid w:val="00D4402B"/>
    <w:rsid w:val="00D47506"/>
    <w:rsid w:val="00D524FA"/>
    <w:rsid w:val="00D54A7A"/>
    <w:rsid w:val="00D5601F"/>
    <w:rsid w:val="00D56B5D"/>
    <w:rsid w:val="00D66D42"/>
    <w:rsid w:val="00D709E5"/>
    <w:rsid w:val="00D732E7"/>
    <w:rsid w:val="00D739D7"/>
    <w:rsid w:val="00D74EDB"/>
    <w:rsid w:val="00D76606"/>
    <w:rsid w:val="00D813AC"/>
    <w:rsid w:val="00D8172F"/>
    <w:rsid w:val="00D8176A"/>
    <w:rsid w:val="00D866ED"/>
    <w:rsid w:val="00D86842"/>
    <w:rsid w:val="00D92FEC"/>
    <w:rsid w:val="00D94E16"/>
    <w:rsid w:val="00D94EB6"/>
    <w:rsid w:val="00D9697B"/>
    <w:rsid w:val="00D9741B"/>
    <w:rsid w:val="00DA4699"/>
    <w:rsid w:val="00DA70F3"/>
    <w:rsid w:val="00DB0915"/>
    <w:rsid w:val="00DB1A6F"/>
    <w:rsid w:val="00DB6470"/>
    <w:rsid w:val="00DB6E74"/>
    <w:rsid w:val="00DC3632"/>
    <w:rsid w:val="00DC632A"/>
    <w:rsid w:val="00DC6C06"/>
    <w:rsid w:val="00DC7B44"/>
    <w:rsid w:val="00DD2155"/>
    <w:rsid w:val="00DF0C00"/>
    <w:rsid w:val="00DF7432"/>
    <w:rsid w:val="00E005D5"/>
    <w:rsid w:val="00E0197C"/>
    <w:rsid w:val="00E01FC4"/>
    <w:rsid w:val="00E021B8"/>
    <w:rsid w:val="00E03F69"/>
    <w:rsid w:val="00E05E3C"/>
    <w:rsid w:val="00E119BC"/>
    <w:rsid w:val="00E1615C"/>
    <w:rsid w:val="00E1736C"/>
    <w:rsid w:val="00E2122E"/>
    <w:rsid w:val="00E21D44"/>
    <w:rsid w:val="00E22535"/>
    <w:rsid w:val="00E369AB"/>
    <w:rsid w:val="00E43110"/>
    <w:rsid w:val="00E437ED"/>
    <w:rsid w:val="00E456D1"/>
    <w:rsid w:val="00E50E36"/>
    <w:rsid w:val="00E56772"/>
    <w:rsid w:val="00E61520"/>
    <w:rsid w:val="00E6679E"/>
    <w:rsid w:val="00E66CEB"/>
    <w:rsid w:val="00E72E5A"/>
    <w:rsid w:val="00E75173"/>
    <w:rsid w:val="00E75490"/>
    <w:rsid w:val="00E83743"/>
    <w:rsid w:val="00E86A67"/>
    <w:rsid w:val="00E906C4"/>
    <w:rsid w:val="00E924B7"/>
    <w:rsid w:val="00E93F9B"/>
    <w:rsid w:val="00E94303"/>
    <w:rsid w:val="00E975E0"/>
    <w:rsid w:val="00EA0472"/>
    <w:rsid w:val="00EA14AF"/>
    <w:rsid w:val="00EB45A5"/>
    <w:rsid w:val="00EB5D5C"/>
    <w:rsid w:val="00EC0291"/>
    <w:rsid w:val="00EC1910"/>
    <w:rsid w:val="00EC599E"/>
    <w:rsid w:val="00EC5DCD"/>
    <w:rsid w:val="00EE0C8D"/>
    <w:rsid w:val="00EE4438"/>
    <w:rsid w:val="00EE505A"/>
    <w:rsid w:val="00EE6904"/>
    <w:rsid w:val="00EF3624"/>
    <w:rsid w:val="00EF3C12"/>
    <w:rsid w:val="00EF3F92"/>
    <w:rsid w:val="00F015A7"/>
    <w:rsid w:val="00F063F0"/>
    <w:rsid w:val="00F11312"/>
    <w:rsid w:val="00F13AA1"/>
    <w:rsid w:val="00F14454"/>
    <w:rsid w:val="00F14CDD"/>
    <w:rsid w:val="00F237BF"/>
    <w:rsid w:val="00F257FE"/>
    <w:rsid w:val="00F25F10"/>
    <w:rsid w:val="00F26056"/>
    <w:rsid w:val="00F3660D"/>
    <w:rsid w:val="00F36DCE"/>
    <w:rsid w:val="00F400D2"/>
    <w:rsid w:val="00F43DE5"/>
    <w:rsid w:val="00F446FC"/>
    <w:rsid w:val="00F4661B"/>
    <w:rsid w:val="00F4720B"/>
    <w:rsid w:val="00F4794A"/>
    <w:rsid w:val="00F51D98"/>
    <w:rsid w:val="00F524A5"/>
    <w:rsid w:val="00F546A9"/>
    <w:rsid w:val="00F550D6"/>
    <w:rsid w:val="00F55A7F"/>
    <w:rsid w:val="00F61196"/>
    <w:rsid w:val="00F67742"/>
    <w:rsid w:val="00F7181D"/>
    <w:rsid w:val="00F7182A"/>
    <w:rsid w:val="00F72C2D"/>
    <w:rsid w:val="00F73E6C"/>
    <w:rsid w:val="00F75595"/>
    <w:rsid w:val="00F80699"/>
    <w:rsid w:val="00F80835"/>
    <w:rsid w:val="00F8484A"/>
    <w:rsid w:val="00F864B2"/>
    <w:rsid w:val="00F90061"/>
    <w:rsid w:val="00F94619"/>
    <w:rsid w:val="00F95609"/>
    <w:rsid w:val="00F957B1"/>
    <w:rsid w:val="00F9791B"/>
    <w:rsid w:val="00FA1051"/>
    <w:rsid w:val="00FA1540"/>
    <w:rsid w:val="00FA4EA3"/>
    <w:rsid w:val="00FA5A16"/>
    <w:rsid w:val="00FA5F9E"/>
    <w:rsid w:val="00FA6887"/>
    <w:rsid w:val="00FB15E4"/>
    <w:rsid w:val="00FB2EDA"/>
    <w:rsid w:val="00FB41BF"/>
    <w:rsid w:val="00FB4CF6"/>
    <w:rsid w:val="00FB5B7E"/>
    <w:rsid w:val="00FB77C5"/>
    <w:rsid w:val="00FC5725"/>
    <w:rsid w:val="00FC5A44"/>
    <w:rsid w:val="00FC7B57"/>
    <w:rsid w:val="00FD26E9"/>
    <w:rsid w:val="00FD4CAB"/>
    <w:rsid w:val="00FD5945"/>
    <w:rsid w:val="00FD63CB"/>
    <w:rsid w:val="00FD67F5"/>
    <w:rsid w:val="00FD71DB"/>
    <w:rsid w:val="00FE1109"/>
    <w:rsid w:val="00FE1890"/>
    <w:rsid w:val="00FE1C23"/>
    <w:rsid w:val="00FF187E"/>
    <w:rsid w:val="00FF47C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720E09-DB53-4D3D-980E-0A0B554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3AC"/>
    <w:pPr>
      <w:spacing w:after="0" w:line="240" w:lineRule="auto"/>
    </w:pPr>
    <w:rPr>
      <w:rFonts w:ascii="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7021A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7021AD"/>
    <w:rPr>
      <w:rFonts w:ascii="AT*Toronto" w:hAnsi="AT*Toronto" w:cs="Times New Roman"/>
      <w:b/>
      <w:sz w:val="20"/>
      <w:szCs w:val="20"/>
      <w:lang w:val="cs-CZ" w:eastAsia="sk-SK"/>
    </w:rPr>
  </w:style>
  <w:style w:type="paragraph" w:styleId="Zkladntext2">
    <w:name w:val="Body Text 2"/>
    <w:basedOn w:val="Normlny"/>
    <w:link w:val="Zkladntext2Char"/>
    <w:uiPriority w:val="99"/>
    <w:rsid w:val="007021AD"/>
    <w:pPr>
      <w:jc w:val="both"/>
    </w:pPr>
    <w:rPr>
      <w:szCs w:val="20"/>
      <w:lang w:eastAsia="cs-CZ"/>
    </w:rPr>
  </w:style>
  <w:style w:type="character" w:customStyle="1" w:styleId="Zkladntext2Char">
    <w:name w:val="Základný text 2 Char"/>
    <w:basedOn w:val="Predvolenpsmoodseku"/>
    <w:link w:val="Zkladntext2"/>
    <w:uiPriority w:val="99"/>
    <w:locked/>
    <w:rsid w:val="007021AD"/>
    <w:rPr>
      <w:rFonts w:ascii="AT*Toronto" w:hAnsi="AT*Toronto" w:cs="Times New Roman"/>
      <w:sz w:val="20"/>
      <w:szCs w:val="20"/>
      <w:lang w:val="cs-CZ" w:eastAsia="sk-SK"/>
    </w:rPr>
  </w:style>
  <w:style w:type="paragraph" w:styleId="Zkladntext3">
    <w:name w:val="Body Text 3"/>
    <w:basedOn w:val="Normlny"/>
    <w:link w:val="Zkladntext3Char"/>
    <w:uiPriority w:val="99"/>
    <w:rsid w:val="007021AD"/>
    <w:pPr>
      <w:jc w:val="center"/>
    </w:pPr>
    <w:rPr>
      <w:b/>
      <w:szCs w:val="20"/>
    </w:rPr>
  </w:style>
  <w:style w:type="character" w:customStyle="1" w:styleId="Zkladntext3Char">
    <w:name w:val="Základný text 3 Char"/>
    <w:basedOn w:val="Predvolenpsmoodseku"/>
    <w:link w:val="Zkladntext3"/>
    <w:uiPriority w:val="99"/>
    <w:locked/>
    <w:rsid w:val="007021AD"/>
    <w:rPr>
      <w:rFonts w:ascii="Times New Roman" w:hAnsi="Times New Roman" w:cs="Times New Roman"/>
      <w:b/>
      <w:sz w:val="24"/>
      <w:szCs w:val="24"/>
      <w:lang w:eastAsia="sk-SK"/>
    </w:rPr>
  </w:style>
  <w:style w:type="paragraph" w:customStyle="1" w:styleId="TxBrp9">
    <w:name w:val="TxBr_p9"/>
    <w:basedOn w:val="Normlny"/>
    <w:rsid w:val="007021AD"/>
    <w:pPr>
      <w:widowControl w:val="0"/>
      <w:tabs>
        <w:tab w:val="left" w:pos="204"/>
      </w:tabs>
      <w:autoSpaceDE w:val="0"/>
      <w:autoSpaceDN w:val="0"/>
      <w:adjustRightInd w:val="0"/>
      <w:spacing w:line="240" w:lineRule="atLeast"/>
      <w:jc w:val="both"/>
    </w:pPr>
    <w:rPr>
      <w:sz w:val="20"/>
      <w:lang w:val="en-US"/>
    </w:rPr>
  </w:style>
  <w:style w:type="paragraph" w:styleId="Textbubliny">
    <w:name w:val="Balloon Text"/>
    <w:basedOn w:val="Normlny"/>
    <w:link w:val="TextbublinyChar"/>
    <w:uiPriority w:val="99"/>
    <w:semiHidden/>
    <w:unhideWhenUsed/>
    <w:rsid w:val="003B1C6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B1C61"/>
    <w:rPr>
      <w:rFonts w:ascii="Tahoma" w:hAnsi="Tahoma" w:cs="Tahoma"/>
      <w:sz w:val="16"/>
      <w:szCs w:val="16"/>
      <w:lang w:eastAsia="sk-SK"/>
    </w:rPr>
  </w:style>
  <w:style w:type="paragraph" w:styleId="Hlavika">
    <w:name w:val="header"/>
    <w:basedOn w:val="Normlny"/>
    <w:link w:val="HlavikaChar"/>
    <w:uiPriority w:val="99"/>
    <w:unhideWhenUsed/>
    <w:rsid w:val="00615200"/>
    <w:pPr>
      <w:tabs>
        <w:tab w:val="center" w:pos="4536"/>
        <w:tab w:val="right" w:pos="9072"/>
      </w:tabs>
    </w:pPr>
  </w:style>
  <w:style w:type="character" w:customStyle="1" w:styleId="HlavikaChar">
    <w:name w:val="Hlavička Char"/>
    <w:basedOn w:val="Predvolenpsmoodseku"/>
    <w:link w:val="Hlavika"/>
    <w:uiPriority w:val="99"/>
    <w:locked/>
    <w:rsid w:val="00615200"/>
    <w:rPr>
      <w:rFonts w:ascii="Times New Roman" w:hAnsi="Times New Roman" w:cs="Times New Roman"/>
      <w:sz w:val="24"/>
      <w:szCs w:val="24"/>
      <w:lang w:eastAsia="sk-SK"/>
    </w:rPr>
  </w:style>
  <w:style w:type="paragraph" w:styleId="Pta">
    <w:name w:val="footer"/>
    <w:basedOn w:val="Normlny"/>
    <w:link w:val="PtaChar"/>
    <w:uiPriority w:val="99"/>
    <w:unhideWhenUsed/>
    <w:rsid w:val="00615200"/>
    <w:pPr>
      <w:tabs>
        <w:tab w:val="center" w:pos="4536"/>
        <w:tab w:val="right" w:pos="9072"/>
      </w:tabs>
    </w:pPr>
  </w:style>
  <w:style w:type="character" w:customStyle="1" w:styleId="PtaChar">
    <w:name w:val="Päta Char"/>
    <w:basedOn w:val="Predvolenpsmoodseku"/>
    <w:link w:val="Pta"/>
    <w:uiPriority w:val="99"/>
    <w:locked/>
    <w:rsid w:val="00615200"/>
    <w:rPr>
      <w:rFonts w:ascii="Times New Roman" w:hAnsi="Times New Roman" w:cs="Times New Roman"/>
      <w:sz w:val="24"/>
      <w:szCs w:val="24"/>
      <w:lang w:eastAsia="sk-SK"/>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3E10C1"/>
    <w:pPr>
      <w:spacing w:after="200" w:line="276" w:lineRule="auto"/>
      <w:ind w:left="720"/>
      <w:contextualSpacing/>
    </w:pPr>
    <w:rPr>
      <w:rFonts w:asciiTheme="minorHAnsi" w:hAnsiTheme="minorHAnsi"/>
      <w:sz w:val="22"/>
      <w:szCs w:val="22"/>
      <w:lang w:eastAsia="en-US"/>
    </w:rPr>
  </w:style>
  <w:style w:type="character" w:styleId="Hypertextovprepojenie">
    <w:name w:val="Hyperlink"/>
    <w:basedOn w:val="Predvolenpsmoodseku"/>
    <w:uiPriority w:val="99"/>
    <w:unhideWhenUsed/>
    <w:rsid w:val="00353806"/>
    <w:rPr>
      <w:rFonts w:cs="Times New Roman"/>
      <w:color w:val="0000FF"/>
      <w:u w:val="single"/>
    </w:rPr>
  </w:style>
  <w:style w:type="character" w:styleId="PouitHypertextovPrepojenie">
    <w:name w:val="FollowedHyperlink"/>
    <w:basedOn w:val="Predvolenpsmoodseku"/>
    <w:uiPriority w:val="99"/>
    <w:semiHidden/>
    <w:unhideWhenUsed/>
    <w:rsid w:val="00E975E0"/>
    <w:rPr>
      <w:rFonts w:cs="Times New Roman"/>
      <w:color w:val="800080" w:themeColor="followedHyperlink"/>
      <w:u w:val="single"/>
    </w:rPr>
  </w:style>
  <w:style w:type="paragraph" w:styleId="Zarkazkladnhotextu2">
    <w:name w:val="Body Text Indent 2"/>
    <w:basedOn w:val="Normlny"/>
    <w:link w:val="Zarkazkladnhotextu2Char"/>
    <w:uiPriority w:val="99"/>
    <w:unhideWhenUsed/>
    <w:rsid w:val="00B840A0"/>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B840A0"/>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451F58"/>
    <w:pPr>
      <w:spacing w:after="120"/>
      <w:ind w:left="283"/>
    </w:pPr>
  </w:style>
  <w:style w:type="character" w:customStyle="1" w:styleId="ZarkazkladnhotextuChar">
    <w:name w:val="Zarážka základného textu Char"/>
    <w:basedOn w:val="Predvolenpsmoodseku"/>
    <w:link w:val="Zarkazkladnhotextu"/>
    <w:uiPriority w:val="99"/>
    <w:locked/>
    <w:rsid w:val="00451F58"/>
    <w:rPr>
      <w:rFonts w:ascii="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basedOn w:val="Predvolenpsmoodseku"/>
    <w:link w:val="Odsekzoznamu"/>
    <w:uiPriority w:val="34"/>
    <w:qFormat/>
    <w:locked/>
    <w:rsid w:val="00CF5349"/>
    <w:rPr>
      <w:rFonts w:cs="Times New Roman"/>
    </w:rPr>
  </w:style>
  <w:style w:type="paragraph" w:customStyle="1" w:styleId="TxBrp8">
    <w:name w:val="TxBr_p8"/>
    <w:basedOn w:val="Normlny"/>
    <w:rsid w:val="003520B3"/>
    <w:pPr>
      <w:widowControl w:val="0"/>
      <w:tabs>
        <w:tab w:val="left" w:pos="368"/>
      </w:tabs>
      <w:autoSpaceDE w:val="0"/>
      <w:autoSpaceDN w:val="0"/>
      <w:adjustRightInd w:val="0"/>
      <w:spacing w:line="277" w:lineRule="atLeast"/>
      <w:jc w:val="both"/>
    </w:pPr>
    <w:rPr>
      <w:sz w:val="20"/>
      <w:lang w:val="en-US"/>
    </w:rPr>
  </w:style>
  <w:style w:type="character" w:customStyle="1" w:styleId="awspan">
    <w:name w:val="awspan"/>
    <w:basedOn w:val="Predvolenpsmoodseku"/>
    <w:rsid w:val="004C4459"/>
  </w:style>
  <w:style w:type="paragraph" w:styleId="Bezriadkovania">
    <w:name w:val="No Spacing"/>
    <w:uiPriority w:val="1"/>
    <w:qFormat/>
    <w:rsid w:val="004C4459"/>
    <w:pPr>
      <w:spacing w:after="0" w:line="240" w:lineRule="auto"/>
    </w:pPr>
    <w:rPr>
      <w:rFonts w:ascii="Times New Roman" w:hAnsi="Times New Roman" w:cs="Times New Roman"/>
      <w:sz w:val="24"/>
      <w:szCs w:val="24"/>
      <w:lang w:eastAsia="sk-SK"/>
    </w:rPr>
  </w:style>
  <w:style w:type="paragraph" w:customStyle="1" w:styleId="51Abs">
    <w:name w:val="51_Abs"/>
    <w:basedOn w:val="Normlny"/>
    <w:qFormat/>
    <w:rsid w:val="00FD26E9"/>
    <w:pPr>
      <w:spacing w:before="80" w:line="220" w:lineRule="exact"/>
      <w:ind w:firstLine="397"/>
      <w:jc w:val="both"/>
    </w:pPr>
    <w:rPr>
      <w:color w:val="000000"/>
      <w:sz w:val="20"/>
      <w:szCs w:val="20"/>
      <w:lang w:val="de-DE" w:eastAsia="de-DE"/>
    </w:rPr>
  </w:style>
  <w:style w:type="paragraph" w:customStyle="1" w:styleId="Default">
    <w:name w:val="Default"/>
    <w:rsid w:val="00B0680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10277">
      <w:bodyDiv w:val="1"/>
      <w:marLeft w:val="0"/>
      <w:marRight w:val="0"/>
      <w:marTop w:val="0"/>
      <w:marBottom w:val="0"/>
      <w:divBdr>
        <w:top w:val="none" w:sz="0" w:space="0" w:color="auto"/>
        <w:left w:val="none" w:sz="0" w:space="0" w:color="auto"/>
        <w:bottom w:val="none" w:sz="0" w:space="0" w:color="auto"/>
        <w:right w:val="none" w:sz="0" w:space="0" w:color="auto"/>
      </w:divBdr>
    </w:div>
    <w:div w:id="853806642">
      <w:bodyDiv w:val="1"/>
      <w:marLeft w:val="0"/>
      <w:marRight w:val="0"/>
      <w:marTop w:val="0"/>
      <w:marBottom w:val="0"/>
      <w:divBdr>
        <w:top w:val="none" w:sz="0" w:space="0" w:color="auto"/>
        <w:left w:val="none" w:sz="0" w:space="0" w:color="auto"/>
        <w:bottom w:val="none" w:sz="0" w:space="0" w:color="auto"/>
        <w:right w:val="none" w:sz="0" w:space="0" w:color="auto"/>
      </w:divBdr>
    </w:div>
    <w:div w:id="955326951">
      <w:marLeft w:val="0"/>
      <w:marRight w:val="0"/>
      <w:marTop w:val="0"/>
      <w:marBottom w:val="0"/>
      <w:divBdr>
        <w:top w:val="none" w:sz="0" w:space="0" w:color="auto"/>
        <w:left w:val="none" w:sz="0" w:space="0" w:color="auto"/>
        <w:bottom w:val="none" w:sz="0" w:space="0" w:color="auto"/>
        <w:right w:val="none" w:sz="0" w:space="0" w:color="auto"/>
      </w:divBdr>
    </w:div>
    <w:div w:id="955326952">
      <w:marLeft w:val="0"/>
      <w:marRight w:val="0"/>
      <w:marTop w:val="0"/>
      <w:marBottom w:val="0"/>
      <w:divBdr>
        <w:top w:val="none" w:sz="0" w:space="0" w:color="auto"/>
        <w:left w:val="none" w:sz="0" w:space="0" w:color="auto"/>
        <w:bottom w:val="none" w:sz="0" w:space="0" w:color="auto"/>
        <w:right w:val="none" w:sz="0" w:space="0" w:color="auto"/>
      </w:divBdr>
    </w:div>
    <w:div w:id="955326953">
      <w:marLeft w:val="0"/>
      <w:marRight w:val="0"/>
      <w:marTop w:val="0"/>
      <w:marBottom w:val="0"/>
      <w:divBdr>
        <w:top w:val="none" w:sz="0" w:space="0" w:color="auto"/>
        <w:left w:val="none" w:sz="0" w:space="0" w:color="auto"/>
        <w:bottom w:val="none" w:sz="0" w:space="0" w:color="auto"/>
        <w:right w:val="none" w:sz="0" w:space="0" w:color="auto"/>
      </w:divBdr>
    </w:div>
    <w:div w:id="955326954">
      <w:marLeft w:val="0"/>
      <w:marRight w:val="0"/>
      <w:marTop w:val="0"/>
      <w:marBottom w:val="0"/>
      <w:divBdr>
        <w:top w:val="none" w:sz="0" w:space="0" w:color="auto"/>
        <w:left w:val="none" w:sz="0" w:space="0" w:color="auto"/>
        <w:bottom w:val="none" w:sz="0" w:space="0" w:color="auto"/>
        <w:right w:val="none" w:sz="0" w:space="0" w:color="auto"/>
      </w:divBdr>
    </w:div>
    <w:div w:id="955326955">
      <w:marLeft w:val="0"/>
      <w:marRight w:val="0"/>
      <w:marTop w:val="0"/>
      <w:marBottom w:val="0"/>
      <w:divBdr>
        <w:top w:val="none" w:sz="0" w:space="0" w:color="auto"/>
        <w:left w:val="none" w:sz="0" w:space="0" w:color="auto"/>
        <w:bottom w:val="none" w:sz="0" w:space="0" w:color="auto"/>
        <w:right w:val="none" w:sz="0" w:space="0" w:color="auto"/>
      </w:divBdr>
    </w:div>
    <w:div w:id="955326956">
      <w:marLeft w:val="0"/>
      <w:marRight w:val="0"/>
      <w:marTop w:val="0"/>
      <w:marBottom w:val="0"/>
      <w:divBdr>
        <w:top w:val="none" w:sz="0" w:space="0" w:color="auto"/>
        <w:left w:val="none" w:sz="0" w:space="0" w:color="auto"/>
        <w:bottom w:val="none" w:sz="0" w:space="0" w:color="auto"/>
        <w:right w:val="none" w:sz="0" w:space="0" w:color="auto"/>
      </w:divBdr>
    </w:div>
    <w:div w:id="955326957">
      <w:marLeft w:val="0"/>
      <w:marRight w:val="0"/>
      <w:marTop w:val="0"/>
      <w:marBottom w:val="0"/>
      <w:divBdr>
        <w:top w:val="none" w:sz="0" w:space="0" w:color="auto"/>
        <w:left w:val="none" w:sz="0" w:space="0" w:color="auto"/>
        <w:bottom w:val="none" w:sz="0" w:space="0" w:color="auto"/>
        <w:right w:val="none" w:sz="0" w:space="0" w:color="auto"/>
      </w:divBdr>
    </w:div>
    <w:div w:id="955326958">
      <w:marLeft w:val="0"/>
      <w:marRight w:val="0"/>
      <w:marTop w:val="0"/>
      <w:marBottom w:val="0"/>
      <w:divBdr>
        <w:top w:val="none" w:sz="0" w:space="0" w:color="auto"/>
        <w:left w:val="none" w:sz="0" w:space="0" w:color="auto"/>
        <w:bottom w:val="none" w:sz="0" w:space="0" w:color="auto"/>
        <w:right w:val="none" w:sz="0" w:space="0" w:color="auto"/>
      </w:divBdr>
    </w:div>
    <w:div w:id="955326959">
      <w:marLeft w:val="0"/>
      <w:marRight w:val="0"/>
      <w:marTop w:val="0"/>
      <w:marBottom w:val="0"/>
      <w:divBdr>
        <w:top w:val="none" w:sz="0" w:space="0" w:color="auto"/>
        <w:left w:val="none" w:sz="0" w:space="0" w:color="auto"/>
        <w:bottom w:val="none" w:sz="0" w:space="0" w:color="auto"/>
        <w:right w:val="none" w:sz="0" w:space="0" w:color="auto"/>
      </w:divBdr>
    </w:div>
    <w:div w:id="955326960">
      <w:marLeft w:val="0"/>
      <w:marRight w:val="0"/>
      <w:marTop w:val="0"/>
      <w:marBottom w:val="0"/>
      <w:divBdr>
        <w:top w:val="none" w:sz="0" w:space="0" w:color="auto"/>
        <w:left w:val="none" w:sz="0" w:space="0" w:color="auto"/>
        <w:bottom w:val="none" w:sz="0" w:space="0" w:color="auto"/>
        <w:right w:val="none" w:sz="0" w:space="0" w:color="auto"/>
      </w:divBdr>
    </w:div>
    <w:div w:id="955326961">
      <w:marLeft w:val="0"/>
      <w:marRight w:val="0"/>
      <w:marTop w:val="0"/>
      <w:marBottom w:val="0"/>
      <w:divBdr>
        <w:top w:val="none" w:sz="0" w:space="0" w:color="auto"/>
        <w:left w:val="none" w:sz="0" w:space="0" w:color="auto"/>
        <w:bottom w:val="none" w:sz="0" w:space="0" w:color="auto"/>
        <w:right w:val="none" w:sz="0" w:space="0" w:color="auto"/>
      </w:divBdr>
    </w:div>
    <w:div w:id="955326962">
      <w:marLeft w:val="0"/>
      <w:marRight w:val="0"/>
      <w:marTop w:val="0"/>
      <w:marBottom w:val="0"/>
      <w:divBdr>
        <w:top w:val="none" w:sz="0" w:space="0" w:color="auto"/>
        <w:left w:val="none" w:sz="0" w:space="0" w:color="auto"/>
        <w:bottom w:val="none" w:sz="0" w:space="0" w:color="auto"/>
        <w:right w:val="none" w:sz="0" w:space="0" w:color="auto"/>
      </w:divBdr>
    </w:div>
    <w:div w:id="955326963">
      <w:marLeft w:val="0"/>
      <w:marRight w:val="0"/>
      <w:marTop w:val="0"/>
      <w:marBottom w:val="0"/>
      <w:divBdr>
        <w:top w:val="none" w:sz="0" w:space="0" w:color="auto"/>
        <w:left w:val="none" w:sz="0" w:space="0" w:color="auto"/>
        <w:bottom w:val="none" w:sz="0" w:space="0" w:color="auto"/>
        <w:right w:val="none" w:sz="0" w:space="0" w:color="auto"/>
      </w:divBdr>
    </w:div>
    <w:div w:id="955326964">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21192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rv.rokovania.sk/290282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C027-148A-42D5-ADA0-C951F913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3482</Words>
  <Characters>19848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Ebringerová, Viera</dc:creator>
  <cp:keywords/>
  <dc:description/>
  <cp:lastModifiedBy>Ebringerová, Viera</cp:lastModifiedBy>
  <cp:revision>168</cp:revision>
  <cp:lastPrinted>2025-12-10T17:23:00Z</cp:lastPrinted>
  <dcterms:created xsi:type="dcterms:W3CDTF">2020-11-25T09:56:00Z</dcterms:created>
  <dcterms:modified xsi:type="dcterms:W3CDTF">2025-12-10T17:29:00Z</dcterms:modified>
</cp:coreProperties>
</file>