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D63D80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D63D80">
        <w:rPr>
          <w:b/>
        </w:rPr>
        <w:t>NÁRODNÁ RADA SLOVENSKEJ REPUBLIKY</w:t>
      </w:r>
    </w:p>
    <w:p w:rsidR="006927DE" w:rsidRPr="00D63D80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D63D80">
        <w:rPr>
          <w:b/>
        </w:rPr>
        <w:t xml:space="preserve">  IX</w:t>
      </w:r>
      <w:r w:rsidR="006927DE" w:rsidRPr="00D63D80">
        <w:rPr>
          <w:b/>
        </w:rPr>
        <w:t>. volebné obdobie</w:t>
      </w:r>
    </w:p>
    <w:p w:rsidR="006927DE" w:rsidRPr="00D63D80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F303F7" w:rsidRPr="00D63D80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D63D80">
        <w:rPr>
          <w:bCs/>
          <w:szCs w:val="24"/>
          <w:lang w:eastAsia="sk-SK"/>
        </w:rPr>
        <w:t xml:space="preserve">Č: </w:t>
      </w:r>
      <w:r w:rsidR="00C17B95" w:rsidRPr="00D63D80">
        <w:t>KNR-VHZ-</w:t>
      </w:r>
      <w:r w:rsidR="00730C60" w:rsidRPr="00D63D80">
        <w:t>6065</w:t>
      </w:r>
      <w:r w:rsidR="00C17B95" w:rsidRPr="00D63D80">
        <w:t>/2025-</w:t>
      </w:r>
      <w:r w:rsidR="00730C60" w:rsidRPr="00D63D80">
        <w:rPr>
          <w:bCs/>
          <w:szCs w:val="24"/>
          <w:lang w:eastAsia="sk-SK"/>
        </w:rPr>
        <w:t>15</w:t>
      </w:r>
    </w:p>
    <w:p w:rsidR="00F303F7" w:rsidRPr="00D63D80" w:rsidRDefault="00F303F7" w:rsidP="00F303F7"/>
    <w:p w:rsidR="00241659" w:rsidRPr="00D63D80" w:rsidRDefault="00241659" w:rsidP="00F303F7"/>
    <w:p w:rsidR="00F303F7" w:rsidRPr="00D63D80" w:rsidRDefault="00730C60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 w:rsidRPr="00D63D80">
        <w:rPr>
          <w:rFonts w:ascii="Times New Roman" w:hAnsi="Times New Roman"/>
          <w:bCs/>
          <w:sz w:val="32"/>
          <w:szCs w:val="32"/>
          <w:lang w:val="sk-SK"/>
        </w:rPr>
        <w:t>1105</w:t>
      </w:r>
      <w:r w:rsidR="00F303F7" w:rsidRPr="00D63D8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303F7" w:rsidRPr="00D63D80" w:rsidRDefault="00F303F7" w:rsidP="00C45299">
      <w:pPr>
        <w:spacing w:after="120"/>
        <w:jc w:val="center"/>
        <w:rPr>
          <w:b/>
          <w:sz w:val="28"/>
          <w:szCs w:val="28"/>
        </w:rPr>
      </w:pPr>
      <w:r w:rsidRPr="00D63D80">
        <w:rPr>
          <w:b/>
          <w:sz w:val="28"/>
          <w:szCs w:val="28"/>
        </w:rPr>
        <w:t>I n f o r m á c i a</w:t>
      </w:r>
    </w:p>
    <w:p w:rsidR="00F303F7" w:rsidRPr="00D63D80" w:rsidRDefault="00F303F7" w:rsidP="00C45299">
      <w:pPr>
        <w:pStyle w:val="Zarkazkladnhotextu"/>
        <w:ind w:left="0" w:firstLine="357"/>
        <w:jc w:val="both"/>
        <w:rPr>
          <w:b/>
        </w:rPr>
      </w:pPr>
      <w:r w:rsidRPr="00D63D80">
        <w:t>o výsledku prerokovania</w:t>
      </w:r>
      <w:r w:rsidRPr="00D63D80">
        <w:rPr>
          <w:b/>
        </w:rPr>
        <w:t xml:space="preserve"> </w:t>
      </w:r>
      <w:r w:rsidRPr="00D63D80">
        <w:t xml:space="preserve">návrhu poslancov </w:t>
      </w:r>
      <w:r w:rsidR="00730C60" w:rsidRPr="00D63D80">
        <w:t xml:space="preserve">Národnej rady Slovenskej republiky Rastislava KRÁTKEHO a Richarda VAŠEČKU na prijatie uznesenia Národnej rady Slovenskej republiky k zriadeniu osobitej komisie pre prípravu stanovísk k výstavbe závodu na výrobu batérií v lokalite Šurany Industrial park </w:t>
      </w:r>
      <w:r w:rsidR="00730C60" w:rsidRPr="00D63D80">
        <w:rPr>
          <w:b/>
        </w:rPr>
        <w:t>(tlač 1105</w:t>
      </w:r>
      <w:r w:rsidRPr="00D63D80">
        <w:rPr>
          <w:b/>
        </w:rPr>
        <w:t xml:space="preserve">) </w:t>
      </w:r>
    </w:p>
    <w:p w:rsidR="00F303F7" w:rsidRPr="00D63D80" w:rsidRDefault="00F303F7" w:rsidP="00C45299">
      <w:pPr>
        <w:pStyle w:val="Zarkazkladnhotextu"/>
        <w:ind w:left="0"/>
        <w:jc w:val="both"/>
      </w:pPr>
      <w:r w:rsidRPr="00D63D80">
        <w:rPr>
          <w:b/>
        </w:rPr>
        <w:t>__________________________________________________________________________</w:t>
      </w:r>
    </w:p>
    <w:p w:rsidR="00F303F7" w:rsidRPr="00D63D80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:rsidR="00F303F7" w:rsidRPr="00D63D80" w:rsidRDefault="00F303F7" w:rsidP="00C45299">
      <w:pPr>
        <w:tabs>
          <w:tab w:val="left" w:pos="-1985"/>
          <w:tab w:val="left" w:pos="-180"/>
        </w:tabs>
        <w:spacing w:after="120"/>
        <w:jc w:val="both"/>
      </w:pPr>
      <w:r w:rsidRPr="00D63D80">
        <w:tab/>
        <w:t xml:space="preserve">Predseda Národnej rady Slovenskej republiky rozhodnutím č. </w:t>
      </w:r>
      <w:r w:rsidR="0007254C" w:rsidRPr="00D63D80">
        <w:t>1145</w:t>
      </w:r>
      <w:r w:rsidRPr="00D63D80">
        <w:t xml:space="preserve"> z</w:t>
      </w:r>
      <w:r w:rsidR="0007254C" w:rsidRPr="00D63D80">
        <w:t xml:space="preserve"> 10. </w:t>
      </w:r>
      <w:r w:rsidR="00730C60" w:rsidRPr="00D63D80">
        <w:t>novembra</w:t>
      </w:r>
      <w:r w:rsidRPr="00D63D80">
        <w:t xml:space="preserve"> 2025 pridelil predmetný </w:t>
      </w:r>
      <w:r w:rsidRPr="00D63D80">
        <w:rPr>
          <w:b/>
        </w:rPr>
        <w:t xml:space="preserve">návrh poslancov </w:t>
      </w:r>
      <w:r w:rsidR="00730C60" w:rsidRPr="00D63D80">
        <w:rPr>
          <w:b/>
        </w:rPr>
        <w:t>Národnej rady Slovenskej republiky Rastislava KRÁTKEHO a Richarda VAŠEČKU na prijatie uznesenia Národnej rady Slovenskej republiky k zriadeniu osobitej komisie pre prípravu stanovísk k výstavbe závodu na výrobu batérií v lokalite Šurany Industrial park (tlač 1105</w:t>
      </w:r>
      <w:r w:rsidRPr="00D63D80">
        <w:rPr>
          <w:b/>
        </w:rPr>
        <w:t>)</w:t>
      </w:r>
      <w:r w:rsidRPr="00D63D80">
        <w:t xml:space="preserve"> na prerokovanie Výboru Národnej rady Slovenskej republiky pre hospodárske záležitosti s tým, že ako gestorský výbor podá Národnej rade Slovenskej republiky informáciu o výsledku prerokovania uvedeného materiálu vo výbore a návrh na uznesenie Národnej rady Slovenskej republiky. </w:t>
      </w:r>
    </w:p>
    <w:p w:rsidR="00C45299" w:rsidRPr="00D63D80" w:rsidRDefault="00C45299" w:rsidP="00C45299">
      <w:pPr>
        <w:pStyle w:val="Zarkazkladnhotextu2"/>
        <w:spacing w:line="240" w:lineRule="auto"/>
        <w:ind w:left="0" w:firstLine="709"/>
        <w:jc w:val="both"/>
      </w:pPr>
    </w:p>
    <w:p w:rsidR="002E3B3D" w:rsidRPr="00D63D80" w:rsidRDefault="00F303F7" w:rsidP="002E3B3D">
      <w:pPr>
        <w:spacing w:after="120"/>
        <w:ind w:firstLine="709"/>
        <w:jc w:val="both"/>
      </w:pPr>
      <w:r w:rsidRPr="00D63D80">
        <w:t xml:space="preserve">Výbor Národnej rady Slovenskej republiky pre hospodárske záležitosti rokoval o návrhu  </w:t>
      </w:r>
      <w:r w:rsidR="00730C60" w:rsidRPr="00D63D80">
        <w:t>24</w:t>
      </w:r>
      <w:r w:rsidRPr="00D63D80">
        <w:t xml:space="preserve">. </w:t>
      </w:r>
      <w:r w:rsidR="00730C60" w:rsidRPr="00D63D80">
        <w:t>novembra</w:t>
      </w:r>
      <w:r w:rsidRPr="00D63D80">
        <w:t xml:space="preserve"> 2025.</w:t>
      </w:r>
      <w:r w:rsidR="00C45299" w:rsidRPr="00D63D80">
        <w:rPr>
          <w:noProof/>
        </w:rPr>
        <w:t xml:space="preserve"> </w:t>
      </w:r>
      <w:r w:rsidR="002E3B3D" w:rsidRPr="00D63D80">
        <w:rPr>
          <w:b/>
        </w:rPr>
        <w:t xml:space="preserve">Výbor neprijal uznesenie, </w:t>
      </w:r>
      <w:r w:rsidR="002E3B3D" w:rsidRPr="00D63D80">
        <w:t xml:space="preserve">keďže navrhnuté uznesenie </w:t>
      </w:r>
      <w:r w:rsidR="002E3B3D" w:rsidRPr="00D63D80">
        <w:rPr>
          <w:b/>
        </w:rPr>
        <w:t>nezískalo potrebný súhlas</w:t>
      </w:r>
      <w:r w:rsidR="002E3B3D" w:rsidRPr="00D63D80">
        <w:t xml:space="preserve"> nadpolovičnej väčšiny prítomných členov výboru podľa § 52 ods. 4 zákona Národnej rady Slovenskej republiky č. 350/1996 Z. z. o rokovacom poriadku Národnej rady Slovenskej republiky v znení neskorších predpisov.</w:t>
      </w:r>
    </w:p>
    <w:p w:rsidR="00C45299" w:rsidRPr="00D63D80" w:rsidRDefault="002E3B3D" w:rsidP="00C45299">
      <w:pPr>
        <w:spacing w:after="120"/>
        <w:ind w:firstLine="709"/>
        <w:jc w:val="both"/>
      </w:pPr>
      <w:r w:rsidRPr="00D63D80">
        <w:t>Predseda v</w:t>
      </w:r>
      <w:r w:rsidR="00C45299" w:rsidRPr="00D63D80">
        <w:t>ýbor</w:t>
      </w:r>
      <w:r w:rsidRPr="00D63D80">
        <w:t>u</w:t>
      </w:r>
      <w:r w:rsidR="00C45299" w:rsidRPr="00D63D80">
        <w:t xml:space="preserve"> zároveň </w:t>
      </w:r>
      <w:r w:rsidRPr="00D63D80">
        <w:t xml:space="preserve">určil </w:t>
      </w:r>
      <w:r w:rsidR="00C45299" w:rsidRPr="00D63D80">
        <w:t xml:space="preserve">poslanca </w:t>
      </w:r>
      <w:r w:rsidR="00730C60" w:rsidRPr="00D63D80">
        <w:rPr>
          <w:b/>
        </w:rPr>
        <w:t xml:space="preserve">Michala </w:t>
      </w:r>
      <w:proofErr w:type="spellStart"/>
      <w:r w:rsidR="00730C60" w:rsidRPr="00D63D80">
        <w:rPr>
          <w:b/>
        </w:rPr>
        <w:t>Trubana</w:t>
      </w:r>
      <w:proofErr w:type="spellEnd"/>
      <w:r w:rsidR="00C45299" w:rsidRPr="00D63D80">
        <w:t xml:space="preserve"> vystúpiť na schôdzi Národnej rady Slovenskej republiky, podať informáciu o prerokovaní návrhu vo výbore a predložiť návrh na uznesenie Národnej rady Slovenskej republiky.</w:t>
      </w:r>
    </w:p>
    <w:p w:rsidR="00C45299" w:rsidRPr="00D63D80" w:rsidRDefault="00C45299" w:rsidP="00C45299">
      <w:pPr>
        <w:spacing w:after="120"/>
        <w:ind w:firstLine="708"/>
        <w:jc w:val="both"/>
        <w:rPr>
          <w:bCs/>
        </w:rPr>
      </w:pPr>
    </w:p>
    <w:p w:rsidR="00F303F7" w:rsidRPr="00D63D80" w:rsidRDefault="00F303F7" w:rsidP="00C45299">
      <w:pPr>
        <w:spacing w:after="120"/>
        <w:ind w:firstLine="708"/>
        <w:jc w:val="both"/>
      </w:pPr>
      <w:r w:rsidRPr="00D63D80">
        <w:rPr>
          <w:bCs/>
        </w:rPr>
        <w:t xml:space="preserve"> </w:t>
      </w:r>
      <w:r w:rsidRPr="00D63D80">
        <w:t>Súčasťou  informácie je návrh uznesenia Národnej rady Slovenskej republiky.</w:t>
      </w:r>
    </w:p>
    <w:p w:rsidR="00F303F7" w:rsidRPr="00D63D80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03F7" w:rsidRPr="00D63D80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D63D80">
        <w:rPr>
          <w:rFonts w:ascii="Times New Roman" w:hAnsi="Times New Roman" w:cs="Times New Roman"/>
          <w:color w:val="auto"/>
          <w:sz w:val="24"/>
          <w:szCs w:val="24"/>
        </w:rPr>
        <w:t>Bratislava</w:t>
      </w:r>
      <w:r w:rsidR="004762E5">
        <w:rPr>
          <w:rFonts w:ascii="Times New Roman" w:hAnsi="Times New Roman" w:cs="Times New Roman"/>
          <w:color w:val="auto"/>
          <w:sz w:val="24"/>
          <w:szCs w:val="24"/>
        </w:rPr>
        <w:t xml:space="preserve"> 24.</w:t>
      </w:r>
      <w:r w:rsidRPr="00D63D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0C60" w:rsidRPr="00D63D80">
        <w:rPr>
          <w:rFonts w:ascii="Times New Roman" w:hAnsi="Times New Roman" w:cs="Times New Roman"/>
          <w:color w:val="auto"/>
          <w:sz w:val="24"/>
          <w:szCs w:val="24"/>
        </w:rPr>
        <w:t>novembra</w:t>
      </w:r>
      <w:r w:rsidR="00FB720A" w:rsidRPr="00D63D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63D80">
        <w:rPr>
          <w:rFonts w:ascii="Times New Roman" w:hAnsi="Times New Roman" w:cs="Times New Roman"/>
          <w:color w:val="auto"/>
          <w:sz w:val="24"/>
          <w:szCs w:val="24"/>
        </w:rPr>
        <w:t>2025</w:t>
      </w:r>
    </w:p>
    <w:p w:rsidR="002E3B3D" w:rsidRPr="00D63D80" w:rsidRDefault="002E3B3D" w:rsidP="002E3B3D"/>
    <w:p w:rsidR="00C45299" w:rsidRPr="00D63D80" w:rsidRDefault="00C45299" w:rsidP="002605DF">
      <w:pPr>
        <w:jc w:val="center"/>
        <w:rPr>
          <w:snapToGrid w:val="0"/>
          <w:lang w:eastAsia="cs-CZ"/>
        </w:rPr>
      </w:pPr>
    </w:p>
    <w:p w:rsidR="00682FBF" w:rsidRPr="00D63D80" w:rsidRDefault="00070970" w:rsidP="002605DF">
      <w:pPr>
        <w:jc w:val="center"/>
        <w:rPr>
          <w:bCs/>
          <w:snapToGrid w:val="0"/>
          <w:lang w:eastAsia="cs-CZ"/>
        </w:rPr>
      </w:pPr>
      <w:r w:rsidRPr="00D63D80">
        <w:rPr>
          <w:snapToGrid w:val="0"/>
          <w:lang w:eastAsia="cs-CZ"/>
        </w:rPr>
        <w:t>Róbert</w:t>
      </w:r>
      <w:r w:rsidR="00682FBF" w:rsidRPr="00D63D80">
        <w:rPr>
          <w:snapToGrid w:val="0"/>
          <w:lang w:eastAsia="cs-CZ"/>
        </w:rPr>
        <w:t xml:space="preserve"> </w:t>
      </w:r>
      <w:r w:rsidRPr="00D63D80">
        <w:rPr>
          <w:b/>
          <w:bCs/>
          <w:snapToGrid w:val="0"/>
          <w:lang w:eastAsia="cs-CZ"/>
        </w:rPr>
        <w:t>P u c i</w:t>
      </w:r>
      <w:r w:rsidR="00682FBF" w:rsidRPr="00D63D80">
        <w:rPr>
          <w:bCs/>
          <w:snapToGrid w:val="0"/>
          <w:lang w:eastAsia="cs-CZ"/>
        </w:rPr>
        <w:t xml:space="preserve">, </w:t>
      </w:r>
      <w:proofErr w:type="spellStart"/>
      <w:r w:rsidR="00682FBF" w:rsidRPr="00D63D80">
        <w:rPr>
          <w:bCs/>
          <w:snapToGrid w:val="0"/>
          <w:lang w:eastAsia="cs-CZ"/>
        </w:rPr>
        <w:t>v.r</w:t>
      </w:r>
      <w:proofErr w:type="spellEnd"/>
      <w:r w:rsidR="00682FBF" w:rsidRPr="00D63D80">
        <w:rPr>
          <w:bCs/>
          <w:snapToGrid w:val="0"/>
          <w:lang w:eastAsia="cs-CZ"/>
        </w:rPr>
        <w:t>.</w:t>
      </w:r>
      <w:r w:rsidR="00682FBF" w:rsidRPr="00D63D80">
        <w:rPr>
          <w:b/>
          <w:snapToGrid w:val="0"/>
          <w:lang w:eastAsia="cs-CZ"/>
        </w:rPr>
        <w:t xml:space="preserve">  </w:t>
      </w:r>
    </w:p>
    <w:p w:rsidR="00682FBF" w:rsidRPr="00D63D80" w:rsidRDefault="00682FBF" w:rsidP="002605DF">
      <w:pPr>
        <w:jc w:val="center"/>
        <w:rPr>
          <w:snapToGrid w:val="0"/>
          <w:lang w:eastAsia="cs-CZ"/>
        </w:rPr>
      </w:pPr>
      <w:r w:rsidRPr="00D63D80">
        <w:rPr>
          <w:snapToGrid w:val="0"/>
          <w:lang w:eastAsia="cs-CZ"/>
        </w:rPr>
        <w:t xml:space="preserve">predseda Výboru NR SR </w:t>
      </w:r>
    </w:p>
    <w:p w:rsidR="00682FBF" w:rsidRPr="00D63D80" w:rsidRDefault="00682FBF" w:rsidP="002605DF">
      <w:pPr>
        <w:jc w:val="center"/>
        <w:rPr>
          <w:snapToGrid w:val="0"/>
          <w:lang w:eastAsia="cs-CZ"/>
        </w:rPr>
      </w:pPr>
      <w:r w:rsidRPr="00D63D80">
        <w:rPr>
          <w:snapToGrid w:val="0"/>
          <w:lang w:eastAsia="cs-CZ"/>
        </w:rPr>
        <w:t xml:space="preserve">pre hospodárske záležitosti </w:t>
      </w:r>
    </w:p>
    <w:p w:rsidR="00730C60" w:rsidRPr="00D63D80" w:rsidRDefault="00730C60" w:rsidP="002605DF">
      <w:pPr>
        <w:jc w:val="center"/>
        <w:rPr>
          <w:snapToGrid w:val="0"/>
          <w:lang w:eastAsia="cs-CZ"/>
        </w:rPr>
      </w:pP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  <w:r w:rsidRPr="00D63D80">
        <w:rPr>
          <w:b/>
          <w:bCs/>
          <w:color w:val="000000"/>
          <w:sz w:val="32"/>
          <w:szCs w:val="32"/>
        </w:rPr>
        <w:lastRenderedPageBreak/>
        <w:t>NÁRODNÁ RADA SLOVENSKEJ REPUBLIKY</w:t>
      </w: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  <w:r w:rsidRPr="00D63D80">
        <w:rPr>
          <w:b/>
          <w:bCs/>
          <w:color w:val="000000"/>
        </w:rPr>
        <w:t>IX.  VOLEBNÉ OBDOBIE</w:t>
      </w: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  <w:r w:rsidRPr="00D63D80">
        <w:rPr>
          <w:color w:val="000000"/>
        </w:rPr>
        <w:t>___________________________________________________________________________</w:t>
      </w: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D63D80" w:rsidRDefault="00B25FB9" w:rsidP="00B25FB9">
      <w:pPr>
        <w:jc w:val="center"/>
        <w:rPr>
          <w:color w:val="000000"/>
          <w:sz w:val="28"/>
          <w:szCs w:val="28"/>
        </w:rPr>
      </w:pPr>
      <w:r w:rsidRPr="00D63D80">
        <w:rPr>
          <w:color w:val="000000"/>
          <w:sz w:val="28"/>
          <w:szCs w:val="28"/>
        </w:rPr>
        <w:t>NÁVRH</w:t>
      </w: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  <w:r w:rsidRPr="00D63D80">
        <w:rPr>
          <w:b/>
          <w:bCs/>
          <w:color w:val="000000"/>
          <w:sz w:val="28"/>
          <w:szCs w:val="28"/>
        </w:rPr>
        <w:t>UZNESENIE</w:t>
      </w: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  <w:r w:rsidRPr="00D63D80">
        <w:rPr>
          <w:b/>
          <w:bCs/>
          <w:color w:val="000000"/>
          <w:sz w:val="28"/>
          <w:szCs w:val="28"/>
        </w:rPr>
        <w:t>NÁRODNEJ RADY SLOVENSKEJ REPUBLIKY</w:t>
      </w:r>
    </w:p>
    <w:p w:rsidR="00B25FB9" w:rsidRPr="00D63D80" w:rsidRDefault="00B25FB9" w:rsidP="00B25FB9">
      <w:pPr>
        <w:jc w:val="center"/>
        <w:rPr>
          <w:color w:val="000000"/>
        </w:rPr>
      </w:pPr>
      <w:r w:rsidRPr="00D63D80">
        <w:rPr>
          <w:color w:val="000000"/>
        </w:rPr>
        <w:t xml:space="preserve">z  ........ </w:t>
      </w:r>
      <w:r w:rsidR="00D90293" w:rsidRPr="00D63D80">
        <w:rPr>
          <w:color w:val="000000"/>
        </w:rPr>
        <w:t>novembra</w:t>
      </w:r>
      <w:r w:rsidRPr="00D63D80">
        <w:rPr>
          <w:color w:val="000000"/>
        </w:rPr>
        <w:t xml:space="preserve"> 2025</w:t>
      </w:r>
    </w:p>
    <w:p w:rsidR="00B25FB9" w:rsidRPr="00D63D80" w:rsidRDefault="00B25FB9" w:rsidP="00B25FB9">
      <w:pPr>
        <w:jc w:val="center"/>
        <w:rPr>
          <w:color w:val="000000"/>
          <w:sz w:val="27"/>
          <w:szCs w:val="27"/>
        </w:rPr>
      </w:pPr>
    </w:p>
    <w:p w:rsidR="006F488D" w:rsidRPr="00D63D80" w:rsidRDefault="006F488D" w:rsidP="006F488D">
      <w:pPr>
        <w:jc w:val="center"/>
        <w:rPr>
          <w:rFonts w:eastAsiaTheme="majorEastAsia"/>
          <w:b/>
          <w:bCs/>
          <w:color w:val="000000"/>
        </w:rPr>
      </w:pPr>
      <w:r w:rsidRPr="00D63D80">
        <w:rPr>
          <w:rFonts w:eastAsiaTheme="majorEastAsia"/>
          <w:b/>
          <w:bCs/>
          <w:color w:val="000000"/>
        </w:rPr>
        <w:t>k zriadeniu osobitej komisie pre prípravu stanovísk k výstavbe závodu na výrobu batérií</w:t>
      </w:r>
    </w:p>
    <w:p w:rsidR="006F488D" w:rsidRPr="00D63D80" w:rsidRDefault="006F488D" w:rsidP="006F488D">
      <w:pPr>
        <w:jc w:val="center"/>
        <w:rPr>
          <w:rFonts w:eastAsiaTheme="majorEastAsia"/>
          <w:b/>
          <w:bCs/>
          <w:color w:val="000000"/>
        </w:rPr>
      </w:pPr>
      <w:r w:rsidRPr="00D63D80">
        <w:rPr>
          <w:rFonts w:eastAsiaTheme="majorEastAsia"/>
          <w:b/>
          <w:bCs/>
          <w:color w:val="000000"/>
        </w:rPr>
        <w:t>v lokalite Šurany Industrial park</w:t>
      </w:r>
    </w:p>
    <w:p w:rsidR="006F488D" w:rsidRPr="00D63D80" w:rsidRDefault="006F488D" w:rsidP="006F488D">
      <w:pPr>
        <w:rPr>
          <w:rFonts w:eastAsiaTheme="majorEastAsia"/>
          <w:b/>
          <w:bCs/>
          <w:color w:val="000000"/>
        </w:rPr>
      </w:pPr>
    </w:p>
    <w:p w:rsidR="00B25FB9" w:rsidRPr="00D63D80" w:rsidRDefault="00B25FB9" w:rsidP="00B25FB9">
      <w:pPr>
        <w:rPr>
          <w:b/>
          <w:bCs/>
          <w:color w:val="000000"/>
        </w:rPr>
      </w:pPr>
    </w:p>
    <w:p w:rsidR="006F488D" w:rsidRPr="00D63D80" w:rsidRDefault="006F488D" w:rsidP="006F488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95"/>
        </w:tabs>
        <w:spacing w:before="120" w:line="276" w:lineRule="auto"/>
        <w:jc w:val="both"/>
        <w:rPr>
          <w:rFonts w:eastAsia="Book Antiqua"/>
          <w:b/>
          <w:bCs/>
          <w:color w:val="000000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 w:rsidRPr="00D63D80">
        <w:rPr>
          <w:rFonts w:eastAsia="Calibri"/>
          <w:b/>
          <w:bCs/>
          <w:color w:val="000000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Národná</w:t>
      </w:r>
      <w:r w:rsidRPr="00D63D80">
        <w:rPr>
          <w:rFonts w:eastAsia="Calibri"/>
          <w:b/>
          <w:bCs/>
          <w:color w:val="000000"/>
          <w:sz w:val="22"/>
          <w:szCs w:val="22"/>
          <w:u w:color="000000"/>
          <w:bdr w:val="nil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63D80">
        <w:rPr>
          <w:rFonts w:eastAsia="Calibri"/>
          <w:b/>
          <w:bCs/>
          <w:color w:val="000000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rada Slovenskej republiky: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br/>
      </w:r>
      <w:r w:rsidRPr="00D63D80"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  <w:t>A) berie na vedomie,</w:t>
      </w: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že projekt výstavby závodu na výrobu batérií v lokalite Šurany Industrial park predstavuje významnú investíciu s dlhodobými ekonomickými, environmentálnymi a sociálnymi dôsledkami, ktorá presahuje funkčné obdobie viacerých vlád a bude mať trvalý dopad na zdravie a kvalitu života obyvateľov regiónu, na využívanie pôdy a na bezpečnostnú situáciu v dotknutom území.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  <w:t>B) uznáva význam</w:t>
      </w: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takejto investície, no zároveň zdôrazňuje povinnosť štátu zabezpečiť plnú transparentnosť, primeranosť štátnej pomoci, ochranu verejného zdravia, pôdy a životného prostredia, ako aj verejnú kontrolu všetkých rozhodnutí spojených s jej prípravou a realizáciou.</w:t>
      </w:r>
    </w:p>
    <w:p w:rsidR="006F488D" w:rsidRPr="00D63D80" w:rsidRDefault="006F488D" w:rsidP="006F488D">
      <w:pPr>
        <w:spacing w:after="160" w:line="259" w:lineRule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kern w:val="2"/>
          <w:sz w:val="22"/>
          <w:szCs w:val="22"/>
          <w:lang w:eastAsia="en-US"/>
          <w14:ligatures w14:val="standardContextual"/>
        </w:rPr>
        <w:t>Národná rada Slovenskej republiky: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I. zriaďuje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na základe § 61 Rokovacieho poriadku NR SR, </w:t>
      </w: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osobitnú parlamentnú komisiu pre preverenie dopadov a postupov súvisiacich s výstavbou závodu na výrobu batérií v lokalite Šurany Industrial park</w:t>
      </w: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 (ďalej len „Komisia“), ktorá bude spoločnou komisiou nasledujúcich výborov:</w:t>
      </w:r>
    </w:p>
    <w:p w:rsidR="006F488D" w:rsidRPr="00D63D80" w:rsidRDefault="006F488D" w:rsidP="006F488D">
      <w:pPr>
        <w:numPr>
          <w:ilvl w:val="0"/>
          <w:numId w:val="20"/>
        </w:numPr>
        <w:spacing w:after="160" w:line="259" w:lineRule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Výboru Národnej rady SR pre </w:t>
      </w:r>
      <w:bookmarkStart w:id="1" w:name="_Hlk213402882"/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hospodárske záležitosti</w:t>
      </w:r>
      <w:bookmarkEnd w:id="1"/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,</w:t>
      </w:r>
    </w:p>
    <w:p w:rsidR="006F488D" w:rsidRPr="00D63D80" w:rsidRDefault="006F488D" w:rsidP="006F488D">
      <w:pPr>
        <w:numPr>
          <w:ilvl w:val="0"/>
          <w:numId w:val="20"/>
        </w:numPr>
        <w:spacing w:after="160" w:line="259" w:lineRule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Výboru Národnej rady SR pre pôdohospodárstvo a životné prostredie,</w:t>
      </w:r>
    </w:p>
    <w:p w:rsidR="006F488D" w:rsidRPr="00D63D80" w:rsidRDefault="006F488D" w:rsidP="006F488D">
      <w:pPr>
        <w:numPr>
          <w:ilvl w:val="0"/>
          <w:numId w:val="20"/>
        </w:numPr>
        <w:spacing w:after="160" w:line="259" w:lineRule="auto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Výboru Národnej rady SR pre zdravotníctvo.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Komisia bude mať mandát na zhromažďovanie, overovanie a vyhodnocovanie informácií, ktoré sa týkajú všetkých aspektov projektu, a na vypracovanie odborných analýz a odporúčaní podľa bodu II.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Komisia bude zložená zo:</w:t>
      </w:r>
    </w:p>
    <w:p w:rsidR="006F488D" w:rsidRPr="00D63D80" w:rsidRDefault="006F488D" w:rsidP="006F488D">
      <w:pPr>
        <w:numPr>
          <w:ilvl w:val="0"/>
          <w:numId w:val="21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zástupcov koalície a opozície v pomere zodpovedajúcom zastúpeniu vo výboroch,</w:t>
      </w:r>
    </w:p>
    <w:p w:rsidR="006F488D" w:rsidRPr="00D63D80" w:rsidRDefault="006F488D" w:rsidP="006F488D">
      <w:pPr>
        <w:numPr>
          <w:ilvl w:val="0"/>
          <w:numId w:val="21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zástupcov občianskej iniciatívy a združení</w:t>
      </w:r>
    </w:p>
    <w:p w:rsidR="006F488D" w:rsidRPr="00D63D80" w:rsidRDefault="006F488D" w:rsidP="006F488D">
      <w:pPr>
        <w:numPr>
          <w:ilvl w:val="0"/>
          <w:numId w:val="21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 xml:space="preserve">a prizvaných nezávislých odborníkov z oblastí </w:t>
      </w:r>
      <w:proofErr w:type="spellStart"/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toxikológie</w:t>
      </w:r>
      <w:proofErr w:type="spellEnd"/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, verejného zdravia, environmentálnej vedy, priemyselných parkov a infraštruktúry, práva a bezpečnosti.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lastRenderedPageBreak/>
        <w:t>Komisia má právo prizvať akýchkoľvek nezávislých expertov, zástupcov štátnej správy, samospráv, akademickej obce či mimovládnych organizácií, a vyžadovať od príslušných orgánov poskytnutie všetkých potrebných podkladov.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II. ukladá 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Komisii, aby v spolupráci s príslušnými rezortmi a inštitúciami vypracovala a predložila Národnej rade SR a vláde SR nasledovné analýzy:</w:t>
      </w:r>
    </w:p>
    <w:p w:rsidR="006F488D" w:rsidRPr="00D63D80" w:rsidRDefault="006F488D" w:rsidP="006F488D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Nezávislá analýza dopadov na zdravie obyvateľov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Zhodnotenie vplyvu výrobných procesov, emisií a chemických látok používaných pri výrobe batérií (napr. NMP, elektrolytické rozpúšťadlá, fluórové zlúčeniny) na zdravie obyvateľov, so zameraním na rizikové skupiny (deti, seniori, tehotné ženy).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Vypracovanie návrhov preventívnych opatrení a monitorovacích mechanizmov.</w:t>
      </w:r>
    </w:p>
    <w:p w:rsidR="006F488D" w:rsidRPr="00D63D80" w:rsidRDefault="006F488D" w:rsidP="006F488D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Preverenie procesov EIA a stavebného povolenia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Audit dodržania zákona č. 24/2006 Z. z. o posudzovaní vplyvov na životné prostredie a všetkých postupov stavebného konania.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Posúdenie, či nedošlo k pochybeniam v zisťovacom konaní, k porušeniu informačných povinností voči verejnosti alebo k vydaniu povolení bez kompletných podkladov.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color w:val="000000"/>
          <w:kern w:val="2"/>
          <w:sz w:val="22"/>
          <w:szCs w:val="22"/>
          <w:lang w:eastAsia="en-US"/>
          <w14:ligatures w14:val="standardContextual"/>
        </w:rPr>
        <w:t>Preverenie posúdenia zaradenia a určenia kategorizácie podniku podľa zákona 128/2015 o prevencii závažných priemyselných havárií.</w:t>
      </w:r>
    </w:p>
    <w:p w:rsidR="006F488D" w:rsidRPr="00D63D80" w:rsidRDefault="006F488D" w:rsidP="006F488D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Analýza rozhodnutí o pracovných vízach pre zahraničných pracovníkov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Preskúmanie rozhodnutí o udeľovaní pracovných víz občanom tretích krajín (najmä ČĽR), počtu udelených víz, typu pracovných pozícií, spôsobu kontroly zamestnávateľov, ochrany práv pracovníkov a bezpečnostných rizík.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Posúdenie, či bolo rozhodovanie v súlade s potrebami domáceho trhu práce a so zásadami transparentnosti.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:rsidR="006F488D" w:rsidRPr="00D63D80" w:rsidRDefault="006F488D" w:rsidP="006F488D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Analýza dopadov na poľnohospodársku pôdu a krajinu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Hodnotenie rozsahu a bonity pôdy určenej na záber pre výstavbu, výpočet environmentálnych a hospodárskych strát a dopadov na lokálnu potravinovú sebestačnosť.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 Preverenie procesu výkupu pozemkov a odplaty za odpredaj v súvislosti s prípravu pozemku pre priemyselný park a investorov</w:t>
      </w:r>
    </w:p>
    <w:p w:rsidR="006F488D" w:rsidRPr="00D63D80" w:rsidRDefault="006F488D" w:rsidP="006F488D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Analýza rozhodnutí o pridelení štatútu významnej a strategickej investícii v súvislosti s prípravou výstavby priemyselného parku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 Hodnotenie výšky štátnej investície a použitia verejných zdrojov v súvislosti s podporou investora (hodnota za peniaze)</w:t>
      </w:r>
    </w:p>
    <w:p w:rsidR="006F488D" w:rsidRPr="00D63D80" w:rsidRDefault="006F488D" w:rsidP="006F488D">
      <w:pPr>
        <w:numPr>
          <w:ilvl w:val="1"/>
          <w:numId w:val="22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Zhodnotenie významu a  právneho rámca pri dosahovaní čo najvyššej hodnoty pre SR v  európskom priestore, automobilový trh a priemysel SR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III. ukladá</w:t>
      </w:r>
    </w:p>
    <w:p w:rsidR="006F488D" w:rsidRPr="00D63D80" w:rsidRDefault="006F488D" w:rsidP="006F488D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Komisii predložiť priebežnú správu o priebehu prác do 90 dní od jej zriadenia.</w:t>
      </w:r>
    </w:p>
    <w:p w:rsidR="006F488D" w:rsidRPr="00D63D80" w:rsidRDefault="006F488D" w:rsidP="006F488D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Po dokončení analýz predložiť záverečnú správu s odporúčaniami vláde SR a Národnej rade SR najneskôr do 6 mesiacov od dňa schválenia tohto uznesenia.</w:t>
      </w:r>
    </w:p>
    <w:p w:rsidR="006F488D" w:rsidRPr="00D63D80" w:rsidRDefault="006F488D" w:rsidP="006F488D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Predložené závery budú musieť byť prerokované na zasadnutí vlády SR a na schôdzi Národnej rady SR bezodkladne po jej doručení.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 xml:space="preserve">IV. žiada 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b/>
          <w:bCs/>
          <w:kern w:val="2"/>
          <w:sz w:val="22"/>
          <w:szCs w:val="22"/>
          <w:lang w:eastAsia="en-US"/>
          <w14:ligatures w14:val="standardContextual"/>
        </w:rPr>
        <w:t>vládu Slovenskej republiky</w:t>
      </w:r>
    </w:p>
    <w:p w:rsidR="006F488D" w:rsidRPr="00D63D80" w:rsidRDefault="006F488D" w:rsidP="006F488D">
      <w:p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aby do času prerokovania záverečnej správy Komisie:</w:t>
      </w:r>
    </w:p>
    <w:p w:rsidR="006F488D" w:rsidRPr="00D63D80" w:rsidRDefault="006F488D" w:rsidP="006F488D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pozastavila ďalšie povoľovacie procesy,</w:t>
      </w:r>
    </w:p>
    <w:p w:rsidR="006F488D" w:rsidRPr="00D63D80" w:rsidRDefault="006F488D" w:rsidP="006F488D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nezahájila žiadne stavebné práce na území dotknutom plánovanou výstavbou,</w:t>
      </w:r>
    </w:p>
    <w:p w:rsidR="006F488D" w:rsidRPr="00D63D80" w:rsidRDefault="006F488D" w:rsidP="006F488D">
      <w:pPr>
        <w:numPr>
          <w:ilvl w:val="0"/>
          <w:numId w:val="24"/>
        </w:numPr>
        <w:spacing w:after="160" w:line="259" w:lineRule="auto"/>
        <w:jc w:val="both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D63D80">
        <w:rPr>
          <w:rFonts w:eastAsia="Calibri"/>
          <w:kern w:val="2"/>
          <w:sz w:val="22"/>
          <w:szCs w:val="22"/>
          <w:lang w:eastAsia="en-US"/>
          <w14:ligatures w14:val="standardContextual"/>
        </w:rPr>
        <w:t>a zabezpečila súčinnosť všetkých štátnych orgánov s Komisiou.</w:t>
      </w:r>
    </w:p>
    <w:p w:rsidR="00B25FB9" w:rsidRPr="00D63D80" w:rsidRDefault="00B25FB9" w:rsidP="006F488D">
      <w:pPr>
        <w:rPr>
          <w:b/>
          <w:bCs/>
        </w:rPr>
      </w:pPr>
    </w:p>
    <w:sectPr w:rsidR="00B25FB9" w:rsidRPr="00D63D80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13">
          <w:rPr>
            <w:noProof/>
          </w:rPr>
          <w:t>4</w:t>
        </w:r>
        <w:r>
          <w:fldChar w:fldCharType="end"/>
        </w:r>
      </w:p>
    </w:sdtContent>
  </w:sdt>
  <w:p w:rsidR="00B75FCC" w:rsidRDefault="00746313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0FCA5BB5"/>
    <w:multiLevelType w:val="multilevel"/>
    <w:tmpl w:val="01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6" w15:restartNumberingAfterBreak="0">
    <w:nsid w:val="181F12C3"/>
    <w:multiLevelType w:val="hybridMultilevel"/>
    <w:tmpl w:val="FFC253F4"/>
    <w:lvl w:ilvl="0" w:tplc="820699F0">
      <w:start w:val="2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9C01F16"/>
    <w:multiLevelType w:val="multilevel"/>
    <w:tmpl w:val="80A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9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10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11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3" w15:restartNumberingAfterBreak="0">
    <w:nsid w:val="45453938"/>
    <w:multiLevelType w:val="multilevel"/>
    <w:tmpl w:val="A4C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867D0"/>
    <w:multiLevelType w:val="multilevel"/>
    <w:tmpl w:val="DF5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6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7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9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20" w15:restartNumberingAfterBreak="0">
    <w:nsid w:val="709849F0"/>
    <w:multiLevelType w:val="hybridMultilevel"/>
    <w:tmpl w:val="0A108910"/>
    <w:lvl w:ilvl="0" w:tplc="CE44A99A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abstractNum w:abstractNumId="23" w15:restartNumberingAfterBreak="0">
    <w:nsid w:val="76904699"/>
    <w:multiLevelType w:val="multilevel"/>
    <w:tmpl w:val="5A96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0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10"/>
  </w:num>
  <w:num w:numId="13">
    <w:abstractNumId w:val="9"/>
  </w:num>
  <w:num w:numId="14">
    <w:abstractNumId w:val="3"/>
  </w:num>
  <w:num w:numId="15">
    <w:abstractNumId w:val="21"/>
  </w:num>
  <w:num w:numId="16">
    <w:abstractNumId w:val="11"/>
  </w:num>
  <w:num w:numId="17">
    <w:abstractNumId w:val="17"/>
  </w:num>
  <w:num w:numId="18">
    <w:abstractNumId w:val="20"/>
  </w:num>
  <w:num w:numId="19">
    <w:abstractNumId w:val="6"/>
  </w:num>
  <w:num w:numId="20">
    <w:abstractNumId w:val="4"/>
  </w:num>
  <w:num w:numId="21">
    <w:abstractNumId w:val="7"/>
  </w:num>
  <w:num w:numId="22">
    <w:abstractNumId w:val="23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33557"/>
    <w:rsid w:val="00045042"/>
    <w:rsid w:val="00063C9E"/>
    <w:rsid w:val="00070970"/>
    <w:rsid w:val="0007254C"/>
    <w:rsid w:val="000C214C"/>
    <w:rsid w:val="000D3EE2"/>
    <w:rsid w:val="000F4501"/>
    <w:rsid w:val="001442E0"/>
    <w:rsid w:val="001467C4"/>
    <w:rsid w:val="00150C78"/>
    <w:rsid w:val="00153036"/>
    <w:rsid w:val="001B6718"/>
    <w:rsid w:val="00206516"/>
    <w:rsid w:val="00210433"/>
    <w:rsid w:val="0023113F"/>
    <w:rsid w:val="00241659"/>
    <w:rsid w:val="002605DF"/>
    <w:rsid w:val="00281633"/>
    <w:rsid w:val="0028764F"/>
    <w:rsid w:val="00293277"/>
    <w:rsid w:val="00295DD1"/>
    <w:rsid w:val="002E3B3D"/>
    <w:rsid w:val="003172F8"/>
    <w:rsid w:val="0032000A"/>
    <w:rsid w:val="00360F5A"/>
    <w:rsid w:val="00362261"/>
    <w:rsid w:val="00373BC7"/>
    <w:rsid w:val="003A2449"/>
    <w:rsid w:val="003B3C64"/>
    <w:rsid w:val="003D5BD8"/>
    <w:rsid w:val="00436147"/>
    <w:rsid w:val="004762E5"/>
    <w:rsid w:val="00480DCD"/>
    <w:rsid w:val="004C4F15"/>
    <w:rsid w:val="004E75E4"/>
    <w:rsid w:val="005E5A89"/>
    <w:rsid w:val="00610B30"/>
    <w:rsid w:val="00682FBF"/>
    <w:rsid w:val="006927DE"/>
    <w:rsid w:val="006B08F3"/>
    <w:rsid w:val="006C6B3D"/>
    <w:rsid w:val="006F381A"/>
    <w:rsid w:val="006F488D"/>
    <w:rsid w:val="00730C60"/>
    <w:rsid w:val="00746313"/>
    <w:rsid w:val="007644B6"/>
    <w:rsid w:val="00795F0B"/>
    <w:rsid w:val="007A122A"/>
    <w:rsid w:val="007D38AC"/>
    <w:rsid w:val="00800854"/>
    <w:rsid w:val="00842B35"/>
    <w:rsid w:val="008949F1"/>
    <w:rsid w:val="008C1360"/>
    <w:rsid w:val="008F3186"/>
    <w:rsid w:val="009C36AD"/>
    <w:rsid w:val="009D3385"/>
    <w:rsid w:val="009F1FE3"/>
    <w:rsid w:val="00A85AD9"/>
    <w:rsid w:val="00A860E4"/>
    <w:rsid w:val="00B25FB9"/>
    <w:rsid w:val="00B765EB"/>
    <w:rsid w:val="00BD185D"/>
    <w:rsid w:val="00C1536E"/>
    <w:rsid w:val="00C17B95"/>
    <w:rsid w:val="00C45299"/>
    <w:rsid w:val="00C57F3A"/>
    <w:rsid w:val="00C71B02"/>
    <w:rsid w:val="00CB3C4F"/>
    <w:rsid w:val="00CB6AB9"/>
    <w:rsid w:val="00CD70E7"/>
    <w:rsid w:val="00D06EB2"/>
    <w:rsid w:val="00D16DDB"/>
    <w:rsid w:val="00D30DFE"/>
    <w:rsid w:val="00D35CDE"/>
    <w:rsid w:val="00D42ED7"/>
    <w:rsid w:val="00D56080"/>
    <w:rsid w:val="00D63D80"/>
    <w:rsid w:val="00D90293"/>
    <w:rsid w:val="00DA2280"/>
    <w:rsid w:val="00DC4D05"/>
    <w:rsid w:val="00DF5AF9"/>
    <w:rsid w:val="00E57344"/>
    <w:rsid w:val="00EC0801"/>
    <w:rsid w:val="00EF6359"/>
    <w:rsid w:val="00F07F1B"/>
    <w:rsid w:val="00F142D4"/>
    <w:rsid w:val="00F17220"/>
    <w:rsid w:val="00F303F7"/>
    <w:rsid w:val="00F522C4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88C1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2E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71</cp:revision>
  <cp:lastPrinted>2021-04-21T11:37:00Z</cp:lastPrinted>
  <dcterms:created xsi:type="dcterms:W3CDTF">2021-08-25T09:24:00Z</dcterms:created>
  <dcterms:modified xsi:type="dcterms:W3CDTF">2025-11-25T09:17:00Z</dcterms:modified>
</cp:coreProperties>
</file>