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CD16A1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CD16A1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CD16A1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CD16A1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CD16A1" w:rsidR="007B199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IX</w:t>
      </w:r>
      <w:r w:rsidRPr="00CD16A1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.</w:t>
      </w:r>
      <w:r w:rsidRPr="00CD16A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CD16A1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CD16A1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D16A1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D16A1" w:rsidR="001059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Č: </w:t>
      </w:r>
      <w:r w:rsidRPr="00CD16A1" w:rsidR="00260E3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KNR-VHZ-6065/2025-12</w:t>
      </w:r>
    </w:p>
    <w:p w:rsidR="00F025DE" w:rsidRPr="00CD16A1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644EC" w:rsidRPr="00CD16A1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7479C" w:rsidRPr="00CD16A1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1029E" w:rsidRPr="00CD16A1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CD16A1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CD16A1" w:rsidR="00260E33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1026</w:t>
      </w:r>
      <w:r w:rsidRPr="00CD16A1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CD16A1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CD16A1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CD16A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CD16A1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CD16A1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D16A1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CD16A1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CD16A1" w:rsidR="00260E3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vládneho návrhu zákona, o označeniach pôvodu výrobkov a zemepisných označeniach výrobkov a o zmene a doplnení zákona Národnej rady Slovenskej republiky č. 145/1995 Z. z. o správnych poplatkoch v znení neskorších predpisov</w:t>
      </w:r>
      <w:r w:rsidRPr="00CD16A1" w:rsidR="00260E3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1026</w:t>
      </w:r>
      <w:r w:rsidRPr="00CD16A1" w:rsidR="001059D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CD16A1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D1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CD16A1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CD16A1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CD16A1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D16A1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CD1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CD16A1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CD1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CD16A1" w:rsidR="00A40F3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vládnemu návrhu zákona</w:t>
      </w:r>
      <w:r w:rsidRPr="00CD16A1" w:rsidR="00260E3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 o označeniach pôvodu výrobkov a zemepisných označeniach výrobkov a o zmene a doplnení zákona Národnej rady Slovenskej republiky č. 145/1995 Z. z. o správnych poplatkoch v znení neskorších predpisov</w:t>
      </w:r>
      <w:r w:rsidRPr="00CD16A1" w:rsidR="00260E3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1026</w:t>
      </w:r>
      <w:r w:rsidRPr="00CD16A1" w:rsidR="001059D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CD16A1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D16A1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CD1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CD16A1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CD1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CD16A1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CD1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č. 350/1996 Z. z. o rokovacom poriadku Národnej rady Slovenskej republiky </w:t>
      </w:r>
      <w:r w:rsidRPr="00CD16A1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CD1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CD16A1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D78ED" w:rsidRPr="00CD16A1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CD16A1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CD16A1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CD16A1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CD16A1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D16A1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AA7E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1227</w:t>
      </w:r>
      <w:r w:rsidRPr="00CD16A1" w:rsidR="003054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D16A1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AA7E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21. októbra</w:t>
      </w:r>
      <w:r w:rsidRPr="00CD16A1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D16A1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CD16A1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CD16A1" w:rsidR="00B53D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CD1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CD16A1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CD1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CD16A1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D16A1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CD1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CD16A1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CD1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CD16A1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B53D54" w:rsidRPr="00CD16A1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D16A1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CD16A1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CD16A1" w:rsidR="00B4025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D16A1" w:rsidR="00AB3A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9B36E7" w:rsidRPr="00CD16A1" w:rsidP="00E62D34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D16A1" w:rsidR="00774E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CD16A1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</w:t>
      </w:r>
      <w:r w:rsidRPr="00CD16A1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Pr="00CD16A1" w:rsidR="00FF12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3B1512" w:rsidRPr="00CD16A1" w:rsidP="00FF124B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D16A1" w:rsidR="00FF3E4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BB7035" w:rsidRPr="006F4CE4" w:rsidP="00BB7035">
      <w:pPr>
        <w:framePr w:wrap="auto"/>
        <w:widowControl w:val="0"/>
        <w:tabs>
          <w:tab w:val="left" w:pos="-1985"/>
          <w:tab w:val="left" w:pos="709"/>
        </w:tabs>
        <w:autoSpaceDE w:val="0"/>
        <w:autoSpaceDN w:val="0"/>
        <w:bidi w:val="0"/>
        <w:adjustRightInd w:val="0"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6F4CE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Určila zároveň Výbor Národnej rady Slovenskej republiky pre hospodárske záležitosti ako gestorský výbor a lehoty na prerokovanie návrhu zákona v druhom čítaní vo výboroch.  </w:t>
      </w:r>
    </w:p>
    <w:p w:rsidR="00A644EC" w:rsidRPr="00CD16A1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391C08" w:rsidRPr="00CD16A1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CD16A1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CD16A1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E5DAA" w:rsidRPr="00CD16A1" w:rsidP="0066416E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D16A1" w:rsidR="005D4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0C3652" w:rsidRPr="00CD16A1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CD16A1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FC5EE6" w:rsidP="00FC5EE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 zákona</w:t>
      </w:r>
      <w:r w:rsidRPr="006223A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6223A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FC5EE6" w:rsidRPr="006223A7" w:rsidP="00FC5EE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749E0" w:rsidRPr="00FC5EE6" w:rsidP="00DC162C">
      <w:pPr>
        <w:framePr w:wrap="auto"/>
        <w:widowControl w:val="0"/>
        <w:numPr>
          <w:numId w:val="22"/>
        </w:numPr>
        <w:autoSpaceDE w:val="0"/>
        <w:autoSpaceDN w:val="0"/>
        <w:bidi w:val="0"/>
        <w:adjustRightInd w:val="0"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C5EE6" w:rsidR="004C1F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</w:t>
      </w:r>
      <w:r w:rsidRPr="00FC5EE6" w:rsidR="009723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pre hospodárske záležitosti </w:t>
      </w:r>
      <w:r w:rsidRPr="00FC5EE6" w:rsidR="008023F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FC5EE6" w:rsidR="00E94D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č.</w:t>
      </w:r>
      <w:r w:rsidRPr="00FC5EE6" w:rsidR="004C1F4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404</w:t>
      </w:r>
      <w:r w:rsidRPr="00FC5EE6" w:rsidR="00BD095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 </w:t>
      </w:r>
      <w:r w:rsidRPr="00FC5EE6" w:rsidR="004C1F4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</w:t>
      </w:r>
      <w:r w:rsidRPr="00FC5EE6" w:rsidR="00BD095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C5EE6" w:rsidR="00260E3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novembra</w:t>
      </w:r>
      <w:r w:rsidRPr="00FC5EE6" w:rsidR="00BD095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2025</w:t>
      </w:r>
      <w:r w:rsidRPr="00FC5EE6" w:rsidR="00F66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FC5EE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</w:t>
      </w:r>
    </w:p>
    <w:p w:rsidR="00FC5EE6" w:rsidRPr="00FC5EE6" w:rsidP="00FC5EE6">
      <w:pPr>
        <w:framePr w:wrap="auto"/>
        <w:widowControl w:val="0"/>
        <w:autoSpaceDE w:val="0"/>
        <w:autoSpaceDN w:val="0"/>
        <w:bidi w:val="0"/>
        <w:adjustRightInd w:val="0"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4C1F4B" w:rsidRPr="00FC5EE6" w:rsidP="00715877">
      <w:pPr>
        <w:framePr w:wrap="auto"/>
        <w:widowControl w:val="0"/>
        <w:numPr>
          <w:numId w:val="22"/>
        </w:numPr>
        <w:autoSpaceDE w:val="0"/>
        <w:autoSpaceDN w:val="0"/>
        <w:bidi w:val="0"/>
        <w:adjustRightInd w:val="0"/>
        <w:ind w:left="360" w:right="0" w:hanging="426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C5EE6" w:rsidR="00FC5EE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FC5EE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pre hospodárske záležitosti </w:t>
      </w:r>
      <w:r w:rsidRPr="00FC5EE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uznesením č</w:t>
      </w:r>
      <w:r w:rsidRPr="00FC5EE6" w:rsidR="006261F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 232</w:t>
      </w:r>
      <w:r w:rsidRPr="00FC5EE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</w:t>
      </w:r>
      <w:r w:rsidRPr="00FC5EE6" w:rsidR="006261F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 24. </w:t>
      </w:r>
      <w:r w:rsidRPr="00FC5EE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novembra 2025</w:t>
      </w:r>
      <w:r w:rsidRPr="00FC5EE6" w:rsidR="00FC5EE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C5EE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5B86" w:rsidRPr="00CD16A1" w:rsidP="008023FB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CD16A1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CD16A1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60E33" w:rsidRPr="00CD16A1" w:rsidP="00260E33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D16A1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CD16A1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CD16A1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CD16A1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vyplývajú</w:t>
      </w:r>
      <w:r w:rsidRPr="00CD16A1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D16A1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nasledujúce </w:t>
      </w:r>
      <w:r w:rsidRPr="00CD16A1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Pr="00CD16A1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CD16A1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CD16A1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CD16A1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CD16A1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CD16A1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260E33" w:rsidRPr="00CD16A1" w:rsidP="00CD16A1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 w:val="0"/>
        <w:autoSpaceDE w:val="0"/>
        <w:autoSpaceDN w:val="0"/>
        <w:bidi w:val="0"/>
        <w:adjustRightInd w:val="0"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numPr>
          <w:numId w:val="21"/>
        </w:numPr>
        <w:autoSpaceDE/>
        <w:autoSpaceDN/>
        <w:bidi w:val="0"/>
        <w:adjustRightInd/>
        <w:spacing w:line="276" w:lineRule="auto"/>
        <w:ind w:left="36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V čl. I § 1 úvodná veta znie: „Tento zákon v rozsahu osobitných predpisov</w:t>
      </w:r>
      <w:r w:rsidRPr="00CD16A1">
        <w:rPr>
          <w:rFonts w:ascii="Times New Roman" w:eastAsia="Times New Roman" w:hAnsi="Times New Roman" w:cs="Times New Roman" w:hint="cs"/>
          <w:bCs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1</w:t>
      </w:r>
      <w:r w:rsidRPr="00CD16A1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) upravuje“.</w:t>
      </w:r>
    </w:p>
    <w:p w:rsidR="00CD16A1" w:rsidP="00CD16A1">
      <w:pPr>
        <w:framePr w:wrap="auto"/>
        <w:widowControl/>
        <w:autoSpaceDE/>
        <w:autoSpaceDN/>
        <w:bidi w:val="0"/>
        <w:adjustRightInd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V rámci zabezpečenia jednoznačnosti a zrozumiteľnosti pre adresáta právnej normy sa spresňuje ustanovenie upravujúce predmet úpravy právneho predpisu tak, aby bola zrejmá nadväznosť právneho predpisu na právne predpisy Európskej únie.</w:t>
      </w:r>
    </w:p>
    <w:p w:rsidR="00CD16A1" w:rsidP="00CD16A1">
      <w:pPr>
        <w:framePr w:wrap="auto"/>
        <w:widowControl/>
        <w:autoSpaceDE/>
        <w:autoSpaceDN/>
        <w:bidi w:val="0"/>
        <w:adjustRightInd/>
        <w:ind w:left="348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</w:p>
    <w:p w:rsidR="00CD16A1" w:rsidP="00CD16A1">
      <w:pPr>
        <w:framePr w:wrap="auto"/>
        <w:widowControl/>
        <w:autoSpaceDE/>
        <w:autoSpaceDN/>
        <w:bidi w:val="0"/>
        <w:adjustRightInd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</w:t>
      </w:r>
      <w:r w:rsidRPr="00CD16A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bor NR SR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039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039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348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numPr>
          <w:numId w:val="21"/>
        </w:numPr>
        <w:autoSpaceDE/>
        <w:autoSpaceDN/>
        <w:bidi w:val="0"/>
        <w:adjustRightInd/>
        <w:spacing w:line="276" w:lineRule="auto"/>
        <w:ind w:left="36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V čl. I § 1 písmeno a) znie: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348" w:right="0"/>
        <w:jc w:val="left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349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„a) vnútroštátny postup pri podaní žiadosti o zápis označenia pôvodu alebo zápis zemepisného označenia (ďalej len „žiadosť o zápis“),“.</w:t>
      </w:r>
    </w:p>
    <w:p w:rsidR="00CD16A1" w:rsidRPr="00CD16A1" w:rsidP="00CD16A1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 w:val="0"/>
        <w:autoSpaceDE w:val="0"/>
        <w:autoSpaceDN w:val="0"/>
        <w:bidi w:val="0"/>
        <w:adjustRightInd w:val="0"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Ustanovenie sa spresňuje v záujme zabezpečenia jednoznačného vymedzenia predmetu úpravy právneho predpisu.</w:t>
      </w:r>
    </w:p>
    <w:p w:rsidR="00CD16A1" w:rsidRPr="00CD16A1" w:rsidP="00CD16A1">
      <w:pPr>
        <w:framePr w:wrap="auto"/>
        <w:widowControl w:val="0"/>
        <w:autoSpaceDE w:val="0"/>
        <w:autoSpaceDN w:val="0"/>
        <w:bidi w:val="0"/>
        <w:adjustRightInd w:val="0"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D16A1" w:rsidP="00CD16A1">
      <w:pPr>
        <w:framePr w:wrap="auto"/>
        <w:widowControl/>
        <w:autoSpaceDE/>
        <w:autoSpaceDN/>
        <w:bidi w:val="0"/>
        <w:adjustRightInd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</w:t>
      </w:r>
      <w:r w:rsidRPr="00CD16A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bor NR SR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039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039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D16A1" w:rsidRPr="00CD16A1" w:rsidP="00CD16A1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numPr>
          <w:numId w:val="21"/>
        </w:numPr>
        <w:autoSpaceDE/>
        <w:autoSpaceDN/>
        <w:bidi w:val="0"/>
        <w:adjustRightInd/>
        <w:spacing w:line="276" w:lineRule="auto"/>
        <w:ind w:left="36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V čl. I sa § 2 dopĺňa nadpisom, ktorý znie: „Vymedzenie základných pojmov“.</w:t>
      </w:r>
    </w:p>
    <w:p w:rsidR="00CD16A1" w:rsidRPr="00CD16A1" w:rsidP="00CD16A1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 w:val="0"/>
        <w:autoSpaceDE w:val="0"/>
        <w:autoSpaceDN w:val="0"/>
        <w:bidi w:val="0"/>
        <w:adjustRightInd w:val="0"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Navrhuje sa doplnenie stručného a výstižného nadpisu zodpovedajúceho obsahu ustanovenia § 2.</w:t>
      </w:r>
    </w:p>
    <w:p w:rsidR="00CD16A1" w:rsidP="00CD16A1">
      <w:pPr>
        <w:framePr w:wrap="auto"/>
        <w:widowControl/>
        <w:autoSpaceDE/>
        <w:autoSpaceDN/>
        <w:bidi w:val="0"/>
        <w:adjustRightInd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D16A1" w:rsidP="00CD16A1">
      <w:pPr>
        <w:framePr w:wrap="auto"/>
        <w:widowControl/>
        <w:autoSpaceDE/>
        <w:autoSpaceDN/>
        <w:bidi w:val="0"/>
        <w:adjustRightInd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</w:t>
      </w:r>
      <w:r w:rsidRPr="00CD16A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bor NR SR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039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039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D16A1" w:rsidRPr="00CD16A1" w:rsidP="00CD16A1">
      <w:pPr>
        <w:framePr w:wrap="auto"/>
        <w:widowControl/>
        <w:numPr>
          <w:numId w:val="21"/>
        </w:numPr>
        <w:autoSpaceDE/>
        <w:autoSpaceDN/>
        <w:bidi w:val="0"/>
        <w:adjustRightInd/>
        <w:spacing w:line="276" w:lineRule="auto"/>
        <w:ind w:left="36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V čl. I § 2 sa vkladá nové písmeno a), ktoré znie: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348" w:right="0"/>
        <w:jc w:val="left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autoSpaceDE/>
        <w:autoSpaceDN/>
        <w:bidi w:val="0"/>
        <w:adjustRightInd/>
        <w:spacing w:before="120" w:after="120" w:line="288" w:lineRule="auto"/>
        <w:ind w:left="349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„a) </w:t>
      </w:r>
      <w:bookmarkStart w:id="0" w:name="_Hlk214007633"/>
      <w:r w:rsidRPr="00CD16A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výrobkom poľnohospodársky výrobok alebo nepoľnohospodársky výrobok</w:t>
      </w:r>
      <w:bookmarkEnd w:id="0"/>
      <w:r w:rsidRPr="00CD16A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,“.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spacing w:before="120" w:after="120" w:line="288" w:lineRule="auto"/>
        <w:ind w:left="349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Doterajšie písmená sa primerane preznačia. 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spacing w:before="120" w:after="120" w:line="288" w:lineRule="auto"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Z dôvodu zabezpečenia terminologickej jednotnosti návrhu sa dopĺňa vymedzenie pojmu výrobok.</w:t>
      </w:r>
    </w:p>
    <w:p w:rsidR="00CD16A1" w:rsidP="00CD16A1">
      <w:pPr>
        <w:framePr w:wrap="auto"/>
        <w:widowControl/>
        <w:autoSpaceDE/>
        <w:autoSpaceDN/>
        <w:bidi w:val="0"/>
        <w:adjustRightInd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</w:t>
      </w:r>
      <w:r w:rsidRPr="00CD16A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bor NR SR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039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039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spacing w:before="120" w:after="120" w:line="288" w:lineRule="auto"/>
        <w:ind w:left="349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numPr>
          <w:numId w:val="21"/>
        </w:numPr>
        <w:autoSpaceDE/>
        <w:autoSpaceDN/>
        <w:bidi w:val="0"/>
        <w:adjustRightInd/>
        <w:spacing w:before="120" w:after="120" w:line="288" w:lineRule="auto"/>
        <w:ind w:left="36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 poznámky pod čiarou k odkazom 4 a 5 znejú: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spacing w:before="40"/>
        <w:ind w:left="34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</w:t>
      </w:r>
      <w:r w:rsidRPr="00CD16A1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4</w:t>
      </w:r>
      <w:r w:rsidRPr="00CD1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) Čl. 92 ods. 1 nariadenia (EÚ) č. 1308/2013. 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spacing w:before="40"/>
        <w:ind w:left="34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Čl. 2 ods. 1 písm. a) nariadenia (EÚ) 2024/1143 v platnom znení. 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spacing w:before="40"/>
        <w:ind w:left="34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5</w:t>
      </w:r>
      <w:r w:rsidRPr="00CD1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 Čl. 2 nariadenia (EÚ) 2019/787.</w:t>
      </w:r>
    </w:p>
    <w:p w:rsidR="00CD16A1" w:rsidP="00CD16A1">
      <w:pPr>
        <w:framePr w:wrap="auto"/>
        <w:widowControl/>
        <w:autoSpaceDE/>
        <w:autoSpaceDN/>
        <w:bidi w:val="0"/>
        <w:adjustRightInd/>
        <w:spacing w:before="40"/>
        <w:ind w:left="34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Čl. 2 ods. 1 písm. b) nariadenia (EÚ) 2024/1143 v platnom znení.“. 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spacing w:before="40"/>
        <w:ind w:left="34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D16A1" w:rsidP="00CD16A1">
      <w:pPr>
        <w:framePr w:wrap="auto"/>
        <w:widowControl/>
        <w:autoSpaceDE/>
        <w:autoSpaceDN/>
        <w:bidi w:val="0"/>
        <w:adjustRightInd/>
        <w:spacing w:before="120" w:after="120" w:line="288" w:lineRule="auto"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Poznámky pod čiarou k odkazom 4 a 5 sa spresňujú tak, aby obsahovali všetky relevantné právne predpisy.</w:t>
      </w:r>
    </w:p>
    <w:p w:rsidR="00CD16A1" w:rsidP="00CD16A1">
      <w:pPr>
        <w:framePr w:wrap="auto"/>
        <w:widowControl/>
        <w:autoSpaceDE/>
        <w:autoSpaceDN/>
        <w:bidi w:val="0"/>
        <w:adjustRightInd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</w:t>
      </w:r>
      <w:r w:rsidRPr="00CD16A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bor NR SR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039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039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spacing w:before="120" w:after="120" w:line="288" w:lineRule="auto"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numPr>
          <w:numId w:val="21"/>
        </w:numPr>
        <w:autoSpaceDE/>
        <w:autoSpaceDN/>
        <w:bidi w:val="0"/>
        <w:adjustRightInd/>
        <w:spacing w:before="120" w:after="120" w:line="288" w:lineRule="auto"/>
        <w:ind w:left="36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 § 4 ods. 1 prvá veta znie: „Žiadosť o zápis pre výrobok, ktorý pochádza zo zemepisnej oblasti, ktorá sa nachádza alebo sčasti nachádza na území Slovenskej republiky, podáva žiadateľ</w:t>
      </w:r>
      <w:r w:rsidRPr="00CD16A1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7</w:t>
      </w:r>
      <w:r w:rsidRPr="00CD16A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) úradu.“.</w:t>
      </w:r>
    </w:p>
    <w:p w:rsidR="00CD16A1" w:rsidRPr="00CD16A1" w:rsidP="00CD16A1">
      <w:pPr>
        <w:framePr w:wrap="auto"/>
        <w:widowControl w:val="0"/>
        <w:autoSpaceDE w:val="0"/>
        <w:autoSpaceDN w:val="0"/>
        <w:bidi w:val="0"/>
        <w:adjustRightInd w:val="0"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Ustanovenie sa spresňuje v záujme zabezpečenia jednoznačného vymedzenia žiadostí, ktoré môžu vstúpiť do vnútroštátnej fázy konania o žiadosti o zápis označenia pôvodu alebo žiadosti o zápis zemepisného označenia, ktorá sa v prípade výrobku, ktorý pochádza zo zemepisnej oblasti, ktorá sa nachádza na území Slovenskej republiky, odohráva pred Úradom priemyselného vlastníctva SR. </w:t>
      </w:r>
    </w:p>
    <w:p w:rsidR="00CD16A1" w:rsidP="00CD16A1">
      <w:pPr>
        <w:framePr w:wrap="auto"/>
        <w:widowControl/>
        <w:autoSpaceDE/>
        <w:autoSpaceDN/>
        <w:bidi w:val="0"/>
        <w:adjustRightInd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D16A1" w:rsidP="00CD16A1">
      <w:pPr>
        <w:framePr w:wrap="auto"/>
        <w:widowControl/>
        <w:autoSpaceDE/>
        <w:autoSpaceDN/>
        <w:bidi w:val="0"/>
        <w:adjustRightInd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</w:t>
      </w:r>
      <w:r w:rsidRPr="00CD16A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bor NR SR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039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CD16A1" w:rsidP="00CD16A1">
      <w:pPr>
        <w:framePr w:wrap="auto"/>
        <w:widowControl/>
        <w:autoSpaceDE/>
        <w:autoSpaceDN/>
        <w:bidi w:val="0"/>
        <w:adjustRightInd/>
        <w:ind w:left="2039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4C1F4B" w:rsidP="00CD16A1">
      <w:pPr>
        <w:framePr w:wrap="auto"/>
        <w:widowControl/>
        <w:autoSpaceDE/>
        <w:autoSpaceDN/>
        <w:bidi w:val="0"/>
        <w:adjustRightInd/>
        <w:ind w:left="2039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4C1F4B" w:rsidRPr="00CD16A1" w:rsidP="00CD16A1">
      <w:pPr>
        <w:framePr w:wrap="auto"/>
        <w:widowControl/>
        <w:autoSpaceDE/>
        <w:autoSpaceDN/>
        <w:bidi w:val="0"/>
        <w:adjustRightInd/>
        <w:ind w:left="2039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numPr>
          <w:numId w:val="21"/>
        </w:numPr>
        <w:autoSpaceDE/>
        <w:autoSpaceDN/>
        <w:bidi w:val="0"/>
        <w:adjustRightInd/>
        <w:spacing w:before="120" w:after="120" w:line="288" w:lineRule="auto"/>
        <w:ind w:left="36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 § 4 odseky 2 a 3 znejú: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spacing w:before="120" w:after="120" w:line="288" w:lineRule="auto"/>
        <w:ind w:left="34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„(2) Ak žiadosť o zápis neobsahuje náležitosti podľa osobitných predpisov,</w:t>
      </w:r>
      <w:r w:rsidRPr="00CD16A1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9</w:t>
      </w:r>
      <w:r w:rsidRPr="00CD16A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) úrad žiadateľa vyzve na odstránenie nedostatkov a na tento účel mu určí lehotu. Ak žiadateľ v stanovenej lehote nedostatky neodstráni, úrad konanie o žiadosti o zápis zastaví.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spacing w:before="120" w:after="120" w:line="288" w:lineRule="auto"/>
        <w:ind w:left="349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(3) Ak je označenie pôvodu alebo zemepisné označenie podľa osobitných predpisov</w:t>
      </w:r>
      <w:r w:rsidRPr="00CD16A1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1</w:t>
      </w:r>
      <w:r w:rsidRPr="00CD16A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)</w:t>
      </w:r>
      <w:r w:rsidRPr="00CD16A1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 xml:space="preserve"> </w:t>
      </w:r>
      <w:r w:rsidRPr="00CD16A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vylúčené zo zápisu alebo ak nespĺňa podmienky na zápis podľa osobitných predpisov,</w:t>
      </w:r>
      <w:r w:rsidRPr="00CD16A1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1</w:t>
      </w:r>
      <w:r w:rsidRPr="00CD16A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) alebo ak špecifikácia poľnohospodárskeho výrobku nebola odborne posúdená a odsúhlasená ministerstvom pôdohospodárstva,</w:t>
      </w:r>
      <w:r w:rsidRPr="00CD16A1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10</w:t>
      </w:r>
      <w:r w:rsidRPr="00CD16A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) úrad žiadosť o zápis zamietne; pred rozhodnutím o zamietnutí žiadosti o zápis úrad umožní žiadateľovi vyjadriť sa k dôvodom, na ktorých základe sa má žiadosť o zápis zamietnuť.“.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Ustanovenie ods. 2 sa spresňuje v záujme zabezpečenia jednoznačnosti právnej úpravy tak, aby bol jasne stanovený postup Úradu priemyselného vlastníctva SR v prípade formálnych nedostatkov žiadosti o zápis a taktiež následok neodstránenia formálnych nedostatkov žiadosti o zápis žiadateľom.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Ustanovenie ods. 3 vymedzujúce dôvody pre zamietnutie žiadosti o zápis sa spresňuje v záujme jenoznačnosti tak, aby bolo zrejmé, že nedostatok odborného posúdenia a odsúhlasenia špecifikácie poľnohospodárskeho výrobku Ministerstvom pôdohospodárstva a rozvoja vidieka SR má za následok zamietnutie žiadosti o zápis.</w:t>
      </w:r>
    </w:p>
    <w:p w:rsidR="00CD16A1" w:rsidP="00CD16A1">
      <w:pPr>
        <w:framePr w:wrap="auto"/>
        <w:widowControl/>
        <w:autoSpaceDE/>
        <w:autoSpaceDN/>
        <w:bidi w:val="0"/>
        <w:adjustRightInd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</w:p>
    <w:p w:rsidR="00CD16A1" w:rsidP="00CD16A1">
      <w:pPr>
        <w:framePr w:wrap="auto"/>
        <w:widowControl/>
        <w:autoSpaceDE/>
        <w:autoSpaceDN/>
        <w:bidi w:val="0"/>
        <w:adjustRightInd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</w:t>
      </w:r>
      <w:r w:rsidRPr="00CD16A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bor NR SR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039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039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numPr>
          <w:numId w:val="21"/>
        </w:numPr>
        <w:autoSpaceDE/>
        <w:autoSpaceDN/>
        <w:bidi w:val="0"/>
        <w:adjustRightInd/>
        <w:spacing w:line="276" w:lineRule="auto"/>
        <w:ind w:left="36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V čl. I § 5 ods. 7 sa slová „1 až 3, 5, 6“ nahrádzajú slovami „1 až 6“.  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348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 w:val="0"/>
        <w:autoSpaceDE w:val="0"/>
        <w:autoSpaceDN w:val="0"/>
        <w:bidi w:val="0"/>
        <w:adjustRightInd w:val="0"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Upravuje v rozsah vnútorného odkazu tak, aby bolo zrejmé, že v prípade zmeny špecifikácie na základe dohody žiadateľa a namietateľa prebehne opätovne vnútroštátna fáza konania, pričom v rámci prípadného námietkové konania a prípadnej dohody o námietkach je súčasťou postupu aj informovanie úradu o predmete tejto dohody.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348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color w:val="4F81BD"/>
          <w:rtl w:val="0"/>
          <w:cs w:val="0"/>
          <w:lang w:val="sk-SK" w:eastAsia="sk-SK" w:bidi="ar-SA"/>
        </w:rPr>
      </w:pPr>
    </w:p>
    <w:p w:rsidR="00CD16A1" w:rsidP="00CD16A1">
      <w:pPr>
        <w:framePr w:wrap="auto"/>
        <w:widowControl/>
        <w:autoSpaceDE/>
        <w:autoSpaceDN/>
        <w:bidi w:val="0"/>
        <w:adjustRightInd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</w:t>
      </w:r>
      <w:r w:rsidRPr="00CD16A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bor NR SR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039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039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D16A1" w:rsidRPr="00CD16A1" w:rsidP="00CD16A1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numPr>
          <w:numId w:val="21"/>
        </w:numPr>
        <w:autoSpaceDE/>
        <w:autoSpaceDN/>
        <w:bidi w:val="0"/>
        <w:adjustRightInd/>
        <w:spacing w:after="160" w:line="276" w:lineRule="auto"/>
        <w:ind w:left="36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color w:val="000000"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noProof/>
          <w:color w:val="000000"/>
          <w:sz w:val="24"/>
          <w:szCs w:val="24"/>
          <w:rtl w:val="0"/>
          <w:cs w:val="0"/>
          <w:lang w:val="sk-SK" w:eastAsia="sk-SK" w:bidi="ar-SA"/>
        </w:rPr>
        <w:t xml:space="preserve">V čl. I, § 5 ods. 9 a 10 sa slová „podľa § 4 ods. 5“ nahrádzajú slovami „podľa § 4 ods. 4“. </w:t>
      </w:r>
    </w:p>
    <w:p w:rsidR="004C1F4B" w:rsidP="00CD16A1">
      <w:pPr>
        <w:framePr w:wrap="auto"/>
        <w:widowControl/>
        <w:autoSpaceDE/>
        <w:autoSpaceDN/>
        <w:bidi w:val="0"/>
        <w:adjustRightInd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noProof/>
          <w:color w:val="000000"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noProof/>
          <w:color w:val="000000"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noProof/>
          <w:color w:val="000000"/>
          <w:sz w:val="24"/>
          <w:szCs w:val="24"/>
          <w:rtl w:val="0"/>
          <w:cs w:val="0"/>
          <w:lang w:val="sk-SK" w:eastAsia="sk-SK" w:bidi="ar-SA"/>
        </w:rPr>
        <w:t xml:space="preserve">Legislatívno-technická úprava; preznačenie nesprávneho vnútorného odkazu v návrhu zákona. </w:t>
      </w:r>
    </w:p>
    <w:p w:rsidR="00CD16A1" w:rsidP="00CD16A1">
      <w:pPr>
        <w:framePr w:wrap="auto"/>
        <w:widowControl/>
        <w:autoSpaceDE/>
        <w:autoSpaceDN/>
        <w:bidi w:val="0"/>
        <w:adjustRightInd/>
        <w:ind w:left="2472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color w:val="4F81BD"/>
          <w:rtl w:val="0"/>
          <w:cs w:val="0"/>
          <w:lang w:val="sk-SK" w:eastAsia="sk-SK" w:bidi="ar-SA"/>
        </w:rPr>
      </w:pPr>
    </w:p>
    <w:p w:rsidR="00CD16A1" w:rsidP="00CD16A1">
      <w:pPr>
        <w:framePr w:wrap="auto"/>
        <w:widowControl/>
        <w:autoSpaceDE/>
        <w:autoSpaceDN/>
        <w:bidi w:val="0"/>
        <w:adjustRightInd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</w:t>
      </w:r>
      <w:r w:rsidRPr="00CD16A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bor NR SR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039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039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472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color w:val="4F81BD"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numPr>
          <w:numId w:val="21"/>
        </w:numPr>
        <w:autoSpaceDE/>
        <w:autoSpaceDN/>
        <w:bidi w:val="0"/>
        <w:adjustRightInd/>
        <w:spacing w:line="276" w:lineRule="auto"/>
        <w:ind w:left="36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V čl. I § 8 odsek 1 znie:</w:t>
      </w:r>
    </w:p>
    <w:p w:rsidR="00CD16A1" w:rsidRPr="00CD16A1" w:rsidP="00CD16A1">
      <w:pPr>
        <w:framePr w:wrap="auto"/>
        <w:widowControl w:val="0"/>
        <w:autoSpaceDE w:val="0"/>
        <w:autoSpaceDN w:val="0"/>
        <w:bidi w:val="0"/>
        <w:adjustRightInd w:val="0"/>
        <w:spacing w:before="120" w:after="120" w:line="288" w:lineRule="auto"/>
        <w:ind w:left="34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„(1) </w:t>
      </w:r>
      <w:bookmarkStart w:id="1" w:name="paragraf-36c.odsek-1.text"/>
      <w:bookmarkEnd w:id="1"/>
      <w:r w:rsidRPr="00CD1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Žiadosť o zmenu špecifikácie výrobku, ktorý pochádza zo zemepisnej oblasti, ktorá sa nachádza alebo sčasti nachádza na území Slovenskej republiky, sa podáva úradu.“. </w:t>
      </w:r>
    </w:p>
    <w:p w:rsidR="00CD16A1" w:rsidRPr="00CD16A1" w:rsidP="00CD16A1">
      <w:pPr>
        <w:framePr w:wrap="auto"/>
        <w:widowControl w:val="0"/>
        <w:autoSpaceDE w:val="0"/>
        <w:autoSpaceDN w:val="0"/>
        <w:bidi w:val="0"/>
        <w:adjustRightInd w:val="0"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Ustanovenie sa spresňuje v záujme zabezpečenia jednoznačného vymedzenia žiadostí, ktoré môžu vstúpiť do vnútroštátnej fázy konania o žiadosti o zmenu špecifikácie výrobku. </w:t>
      </w:r>
    </w:p>
    <w:p w:rsidR="00CD16A1" w:rsidP="00CD16A1">
      <w:pPr>
        <w:framePr w:wrap="auto"/>
        <w:widowControl/>
        <w:autoSpaceDE/>
        <w:autoSpaceDN/>
        <w:bidi w:val="0"/>
        <w:adjustRightInd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D16A1" w:rsidP="00CD16A1">
      <w:pPr>
        <w:framePr w:wrap="auto"/>
        <w:widowControl/>
        <w:autoSpaceDE/>
        <w:autoSpaceDN/>
        <w:bidi w:val="0"/>
        <w:adjustRightInd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</w:t>
      </w:r>
      <w:r w:rsidRPr="00CD16A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bor NR SR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039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039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D16A1" w:rsidRPr="00CD16A1" w:rsidP="00CD16A1">
      <w:pPr>
        <w:framePr w:wrap="auto"/>
        <w:widowControl w:val="0"/>
        <w:autoSpaceDE w:val="0"/>
        <w:autoSpaceDN w:val="0"/>
        <w:bidi w:val="0"/>
        <w:adjustRightInd w:val="0"/>
        <w:spacing w:before="120" w:after="120" w:line="288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numPr>
          <w:numId w:val="21"/>
        </w:numPr>
        <w:autoSpaceDE/>
        <w:autoSpaceDN/>
        <w:bidi w:val="0"/>
        <w:adjustRightInd/>
        <w:spacing w:line="276" w:lineRule="auto"/>
        <w:ind w:left="36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V čl. I § 9 odsek 1 znie:</w:t>
      </w:r>
    </w:p>
    <w:p w:rsidR="00CD16A1" w:rsidRPr="00CD16A1" w:rsidP="00CD16A1">
      <w:pPr>
        <w:framePr w:wrap="auto"/>
        <w:widowControl w:val="0"/>
        <w:autoSpaceDE w:val="0"/>
        <w:autoSpaceDN w:val="0"/>
        <w:bidi w:val="0"/>
        <w:adjustRightInd w:val="0"/>
        <w:spacing w:before="120" w:after="120" w:line="288" w:lineRule="auto"/>
        <w:ind w:left="34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„(</w:t>
      </w:r>
      <w:bookmarkStart w:id="2" w:name="_Hlk214350404"/>
      <w:r w:rsidRPr="00CD16A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1) </w:t>
      </w:r>
      <w:r w:rsidRPr="00CD1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Žiadosť o zrušenie zápisu pre výrobok, ktorý pochádza zo zemepisnej oblasti, ktorá sa nachádza alebo sčasti nachádza na území Slovenskej republiky, sa podáva úradu</w:t>
      </w:r>
      <w:bookmarkStart w:id="3" w:name="paragraf-36d.odsek-1.text"/>
      <w:bookmarkEnd w:id="2"/>
      <w:bookmarkEnd w:id="3"/>
      <w:r w:rsidRPr="00CD1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CD16A1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22</w:t>
      </w:r>
      <w:r w:rsidRPr="00CD1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)“.</w:t>
      </w:r>
    </w:p>
    <w:p w:rsidR="00CD16A1" w:rsidRPr="00CD16A1" w:rsidP="00CD16A1">
      <w:pPr>
        <w:framePr w:wrap="auto"/>
        <w:widowControl w:val="0"/>
        <w:autoSpaceDE w:val="0"/>
        <w:autoSpaceDN w:val="0"/>
        <w:bidi w:val="0"/>
        <w:adjustRightInd w:val="0"/>
        <w:spacing w:before="120" w:after="120" w:line="288" w:lineRule="auto"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Ustanovenie sa spresňuje v záujme zabezpečenia jednoznačného vymedzenia žiadostí, ktoré môžu vstúpiť do vnútroštátnej fázy konania o zrušenie zápisu.</w:t>
      </w:r>
    </w:p>
    <w:p w:rsidR="00CD16A1" w:rsidP="00CD16A1">
      <w:pPr>
        <w:framePr w:wrap="auto"/>
        <w:widowControl/>
        <w:autoSpaceDE/>
        <w:autoSpaceDN/>
        <w:bidi w:val="0"/>
        <w:adjustRightInd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</w:t>
      </w:r>
      <w:r w:rsidRPr="00CD16A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bor NR SR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039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039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D16A1" w:rsidRPr="00CD16A1" w:rsidP="00CD16A1">
      <w:pPr>
        <w:framePr w:wrap="auto"/>
        <w:widowControl w:val="0"/>
        <w:autoSpaceDE w:val="0"/>
        <w:autoSpaceDN w:val="0"/>
        <w:bidi w:val="0"/>
        <w:adjustRightInd w:val="0"/>
        <w:spacing w:before="120" w:after="120" w:line="288" w:lineRule="auto"/>
        <w:ind w:left="349" w:right="0"/>
        <w:jc w:val="both"/>
        <w:textAlignment w:val="auto"/>
        <w:rPr>
          <w:rFonts w:ascii="Times New Roman" w:eastAsia="Times New Roman" w:hAnsi="Times New Roman" w:cs="Times New Roman" w:hint="cs"/>
          <w:vertAlign w:val="superscript"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numPr>
          <w:numId w:val="21"/>
        </w:numPr>
        <w:autoSpaceDE/>
        <w:autoSpaceDN/>
        <w:bidi w:val="0"/>
        <w:adjustRightInd/>
        <w:spacing w:line="276" w:lineRule="auto"/>
        <w:ind w:left="36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V čl. I sa pred nadpis nad § 19 vkladá nový § 19, ktorý znie: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spacing w:before="360"/>
        <w:ind w:left="348" w:right="0"/>
        <w:jc w:val="center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„§ 19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autoSpaceDE/>
        <w:autoSpaceDN/>
        <w:bidi w:val="0"/>
        <w:adjustRightInd/>
        <w:spacing w:before="225" w:after="225"/>
        <w:ind w:left="348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color w:val="000000"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Cs/>
          <w:noProof/>
          <w:color w:val="000000"/>
          <w:sz w:val="24"/>
          <w:szCs w:val="24"/>
          <w:rtl w:val="0"/>
          <w:cs w:val="0"/>
          <w:lang w:val="sk-SK" w:eastAsia="sk-SK" w:bidi="ar-SA"/>
        </w:rPr>
        <w:t>Ak ide o nepoľnohospodársky výrobok, vlastné vyhlásenie o súlade so špecifikáciou výrobku sa predkladá úradu.</w:t>
      </w:r>
      <w:r w:rsidRPr="00CD16A1">
        <w:rPr>
          <w:rFonts w:ascii="Times New Roman" w:eastAsia="Times New Roman" w:hAnsi="Times New Roman" w:cs="Times New Roman" w:hint="cs"/>
          <w:bCs/>
          <w:noProof/>
          <w:color w:val="000000"/>
          <w:sz w:val="24"/>
          <w:szCs w:val="24"/>
          <w:vertAlign w:val="superscript"/>
          <w:rtl w:val="0"/>
          <w:cs w:val="0"/>
          <w:lang w:val="sk-SK" w:eastAsia="sk-SK" w:bidi="ar-SA"/>
        </w:rPr>
        <w:t>29</w:t>
      </w:r>
      <w:r w:rsidRPr="00CD16A1">
        <w:rPr>
          <w:rFonts w:ascii="Times New Roman" w:eastAsia="Times New Roman" w:hAnsi="Times New Roman" w:cs="Times New Roman" w:hint="cs"/>
          <w:bCs/>
          <w:noProof/>
          <w:color w:val="000000"/>
          <w:sz w:val="24"/>
          <w:szCs w:val="24"/>
          <w:rtl w:val="0"/>
          <w:cs w:val="0"/>
          <w:lang w:val="sk-SK" w:eastAsia="sk-SK" w:bidi="ar-SA"/>
        </w:rPr>
        <w:t>) Osvedčenie o oprávnení používať zemepisné označenie pre nepoľnohospodársky výrobok</w:t>
      </w:r>
      <w:r w:rsidRPr="00CD16A1">
        <w:rPr>
          <w:rFonts w:ascii="Times New Roman" w:eastAsia="Times New Roman" w:hAnsi="Times New Roman" w:cs="Times New Roman" w:hint="cs"/>
          <w:bCs/>
          <w:noProof/>
          <w:color w:val="000000"/>
          <w:sz w:val="24"/>
          <w:szCs w:val="24"/>
          <w:vertAlign w:val="superscript"/>
          <w:rtl w:val="0"/>
          <w:cs w:val="0"/>
          <w:lang w:val="sk-SK" w:eastAsia="sk-SK" w:bidi="ar-SA"/>
        </w:rPr>
        <w:t>30</w:t>
      </w:r>
      <w:r w:rsidRPr="00CD16A1">
        <w:rPr>
          <w:rFonts w:ascii="Times New Roman" w:eastAsia="Times New Roman" w:hAnsi="Times New Roman" w:cs="Times New Roman" w:hint="cs"/>
          <w:bCs/>
          <w:noProof/>
          <w:color w:val="000000"/>
          <w:sz w:val="24"/>
          <w:szCs w:val="24"/>
          <w:rtl w:val="0"/>
          <w:cs w:val="0"/>
          <w:lang w:val="sk-SK" w:eastAsia="sk-SK" w:bidi="ar-SA"/>
        </w:rPr>
        <w:t>)</w:t>
      </w:r>
      <w:r w:rsidRPr="00CD16A1">
        <w:rPr>
          <w:rFonts w:ascii="Times New Roman" w:eastAsia="Times New Roman" w:hAnsi="Times New Roman" w:cs="Times New Roman" w:hint="cs"/>
          <w:bCs/>
          <w:noProof/>
          <w:color w:val="000000"/>
          <w:sz w:val="24"/>
          <w:szCs w:val="24"/>
          <w:vertAlign w:val="superscript"/>
          <w:rtl w:val="0"/>
          <w:cs w:val="0"/>
          <w:lang w:val="sk-SK" w:eastAsia="sk-SK" w:bidi="ar-SA"/>
        </w:rPr>
        <w:t xml:space="preserve"> </w:t>
      </w:r>
      <w:r w:rsidRPr="00CD16A1">
        <w:rPr>
          <w:rFonts w:ascii="Times New Roman" w:eastAsia="Times New Roman" w:hAnsi="Times New Roman" w:cs="Times New Roman" w:hint="cs"/>
          <w:bCs/>
          <w:noProof/>
          <w:color w:val="000000"/>
          <w:sz w:val="24"/>
          <w:szCs w:val="24"/>
          <w:rtl w:val="0"/>
          <w:cs w:val="0"/>
          <w:lang w:val="sk-SK" w:eastAsia="sk-SK" w:bidi="ar-SA"/>
        </w:rPr>
        <w:t>vydáva a jeho platnosť obnovuje úrad.“.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66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66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Poznámky pod čiarou k odkazom 29 a 30 znejú: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66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 w:val="0"/>
        <w:autoSpaceDE w:val="0"/>
        <w:autoSpaceDN w:val="0"/>
        <w:bidi w:val="0"/>
        <w:adjustRightInd w:val="0"/>
        <w:ind w:left="66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„</w:t>
      </w:r>
      <w:r w:rsidRPr="00CD16A1">
        <w:rPr>
          <w:rFonts w:ascii="Times New Roman" w:eastAsia="Times New Roman" w:hAnsi="Times New Roman" w:cs="Times New Roman" w:hint="cs"/>
          <w:bCs/>
          <w:sz w:val="24"/>
          <w:szCs w:val="24"/>
          <w:vertAlign w:val="superscript"/>
          <w:rtl w:val="0"/>
          <w:cs w:val="0"/>
          <w:lang w:val="sk-SK" w:eastAsia="sk-SK" w:bidi="ar-SA"/>
        </w:rPr>
        <w:t>29</w:t>
      </w:r>
      <w:r w:rsidRPr="00CD16A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) Čl. 51 ods. 1 a 2 nariadenia (EÚ) 2023/2411.</w:t>
      </w:r>
      <w:r w:rsidRPr="00CD1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66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30</w:t>
      </w:r>
      <w:r w:rsidRPr="00CD16A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) </w:t>
      </w:r>
      <w:r w:rsidRPr="00CD16A1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Čl. 51 ods. 3 nariadenia (EÚ) 2023/2411.“.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66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66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Nasledujúce odkazy na poznámky pod čiarou a poznámky pod čiarou sa primerane prečíslujú.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66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66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Nasledujúce paragrafy sa primerane prečíslujú. </w:t>
      </w:r>
    </w:p>
    <w:p w:rsidR="00CD16A1" w:rsidRPr="00CD16A1" w:rsidP="00CD16A1">
      <w:pPr>
        <w:framePr w:wrap="auto"/>
        <w:widowControl w:val="0"/>
        <w:autoSpaceDE w:val="0"/>
        <w:autoSpaceDN w:val="0"/>
        <w:bidi w:val="0"/>
        <w:adjustRightInd w:val="0"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 w:val="0"/>
        <w:autoSpaceDE w:val="0"/>
        <w:autoSpaceDN w:val="0"/>
        <w:bidi w:val="0"/>
        <w:adjustRightInd w:val="0"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Navrhuje sa kompetencia Úradu priemyselného vlastníctva SR na prijímanie a preskúmanie vlastného vyhlásenia výrobcu a na súvisiace vydávanie a obnovovanie úradného osvedčenia o oprávnení používať zemepisné označenia pre nepoľnohospodársky výrobok na základe vlastného vyhlásenia výrobcu. </w:t>
      </w:r>
    </w:p>
    <w:p w:rsidR="00CD16A1" w:rsidRPr="00CD16A1" w:rsidP="00CD16A1">
      <w:pPr>
        <w:framePr w:wrap="auto"/>
        <w:widowControl w:val="0"/>
        <w:autoSpaceDE w:val="0"/>
        <w:autoSpaceDN w:val="0"/>
        <w:bidi w:val="0"/>
        <w:adjustRightInd w:val="0"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FF0000"/>
          <w:rtl w:val="0"/>
          <w:cs w:val="0"/>
          <w:lang w:val="sk-SK" w:eastAsia="sk-SK" w:bidi="ar-SA"/>
        </w:rPr>
      </w:pPr>
    </w:p>
    <w:p w:rsidR="00CD16A1" w:rsidP="00CD16A1">
      <w:pPr>
        <w:framePr w:wrap="auto"/>
        <w:widowControl/>
        <w:autoSpaceDE/>
        <w:autoSpaceDN/>
        <w:bidi w:val="0"/>
        <w:adjustRightInd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</w:t>
      </w:r>
      <w:r w:rsidRPr="00CD16A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bor NR SR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039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039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D16A1" w:rsidRPr="00CD16A1" w:rsidP="00CD16A1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numPr>
          <w:numId w:val="21"/>
        </w:numPr>
        <w:autoSpaceDE/>
        <w:autoSpaceDN/>
        <w:bidi w:val="0"/>
        <w:adjustRightInd/>
        <w:spacing w:line="276" w:lineRule="auto"/>
        <w:ind w:left="36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color w:val="000000"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noProof/>
          <w:color w:val="000000"/>
          <w:sz w:val="24"/>
          <w:szCs w:val="24"/>
          <w:rtl w:val="0"/>
          <w:cs w:val="0"/>
          <w:lang w:val="sk-SK" w:eastAsia="sk-SK" w:bidi="ar-SA"/>
        </w:rPr>
        <w:t xml:space="preserve">V čl. II, 1. bode sa slová „§ 19wa“ nahrádzajú slovami „§19wb“ a slová „19wb“ sa nahrádzajú slovami „§ 19wba“ a zároveň sa primerane upraví označenie prechodného ustanovenia. </w:t>
      </w:r>
    </w:p>
    <w:p w:rsidR="00CD16A1" w:rsidRPr="00CD16A1" w:rsidP="00CD16A1">
      <w:pPr>
        <w:framePr w:wrap="auto"/>
        <w:widowControl w:val="0"/>
        <w:tabs>
          <w:tab w:val="left" w:pos="3119"/>
        </w:tabs>
        <w:autoSpaceDE w:val="0"/>
        <w:autoSpaceDN w:val="0"/>
        <w:bidi w:val="0"/>
        <w:adjustRightInd w:val="0"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Legislatívno-technická úprava; preznačenie označenia uvedeného ustanovenia vzhľadom na schválenú novelu zákona č. 145/1995 Z. z. o správnych poplatkoch v znení neskorších predpisov (zákona č. 292/2025 Z. z.), ktorým sa v čl. III bodoch 28 a 29 vložili §19wb s účinnosťou od 1.12.2025 a §19wc s účinnosťou od 1.12.2026.</w:t>
      </w:r>
    </w:p>
    <w:p w:rsidR="00CD16A1" w:rsidP="00CD16A1">
      <w:pPr>
        <w:framePr w:wrap="auto"/>
        <w:widowControl w:val="0"/>
        <w:tabs>
          <w:tab w:val="left" w:pos="3119"/>
        </w:tabs>
        <w:autoSpaceDE w:val="0"/>
        <w:autoSpaceDN w:val="0"/>
        <w:bidi w:val="0"/>
        <w:adjustRightInd w:val="0"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CD16A1" w:rsidP="00CD16A1">
      <w:pPr>
        <w:framePr w:wrap="auto"/>
        <w:widowControl/>
        <w:autoSpaceDE/>
        <w:autoSpaceDN/>
        <w:bidi w:val="0"/>
        <w:adjustRightInd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</w:t>
      </w:r>
      <w:r w:rsidRPr="00CD16A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bor NR SR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039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039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D16A1" w:rsidRPr="00CD16A1" w:rsidP="00CD16A1">
      <w:pPr>
        <w:framePr w:wrap="auto"/>
        <w:widowControl w:val="0"/>
        <w:tabs>
          <w:tab w:val="left" w:pos="3119"/>
        </w:tabs>
        <w:autoSpaceDE w:val="0"/>
        <w:autoSpaceDN w:val="0"/>
        <w:bidi w:val="0"/>
        <w:adjustRightInd w:val="0"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numPr>
          <w:numId w:val="21"/>
        </w:numPr>
        <w:autoSpaceDE/>
        <w:autoSpaceDN/>
        <w:bidi w:val="0"/>
        <w:adjustRightInd/>
        <w:spacing w:after="200" w:line="276" w:lineRule="auto"/>
        <w:ind w:left="36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color w:val="000000"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noProof/>
          <w:color w:val="000000"/>
          <w:sz w:val="24"/>
          <w:szCs w:val="24"/>
          <w:rtl w:val="0"/>
          <w:cs w:val="0"/>
          <w:lang w:val="sk-SK" w:eastAsia="sk-SK" w:bidi="ar-SA"/>
        </w:rPr>
        <w:t xml:space="preserve">V čl. III sa slová „1. decembra 2025“ nahrádzajú slovami „1. januára 2026“.  V tejto súvislosti sa v čl. II, 1. bode v nadpise pod § 19wb slová „1. decembra 2025“ nahrádzajú slovami „1. januára 2026“ a v § 19wb sa slová „30. novembra 2025“ nahrádzajú slovami „31. decembra 2025“. 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noProof/>
          <w:color w:val="000000"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759" w:right="0"/>
        <w:jc w:val="both"/>
        <w:textAlignment w:val="auto"/>
        <w:rPr>
          <w:rStyle w:val="DefaultParagraphFont"/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noProof/>
          <w:color w:val="000000"/>
          <w:sz w:val="24"/>
          <w:szCs w:val="24"/>
          <w:rtl w:val="0"/>
          <w:cs w:val="0"/>
          <w:lang w:val="sk-SK" w:eastAsia="sk-SK" w:bidi="ar-SA"/>
        </w:rPr>
        <w:t xml:space="preserve">Posunutie účinnosti a s tým súvisiaca úprava prechodných ustanovení zohľadňuje dĺžku legislatívneho procesu, ako aj požiadavky a lehoty ustanovené Ústavou Slovenskej republiky </w:t>
      </w:r>
      <w:r w:rsidRPr="00CD16A1">
        <w:rPr>
          <w:rStyle w:val="DefaultParagraphFont"/>
          <w:rFonts w:ascii="Times New Roman" w:eastAsia="Times New Roman" w:hAnsi="Times New Roman" w:cs="Times New Roman" w:hint="cs"/>
          <w:noProof/>
          <w:color w:val="000000"/>
          <w:sz w:val="24"/>
          <w:szCs w:val="24"/>
          <w:rtl w:val="0"/>
          <w:cs w:val="0"/>
          <w:lang w:val="sk-SK" w:eastAsia="sk-SK" w:bidi="ar-SA"/>
        </w:rPr>
        <w:t>[čl.</w:t>
      </w:r>
      <w:r w:rsidRPr="00CD16A1">
        <w:rPr>
          <w:rStyle w:val="DefaultParagraphFont"/>
          <w:rFonts w:ascii="Times New Roman" w:eastAsia="Times New Roman" w:hAnsi="Times New Roman" w:cs="Times New Roman" w:hint="cs"/>
          <w:noProof/>
          <w:color w:val="000000"/>
          <w:spacing w:val="-4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D16A1">
        <w:rPr>
          <w:rStyle w:val="DefaultParagraphFont"/>
          <w:rFonts w:ascii="Times New Roman" w:eastAsia="Times New Roman" w:hAnsi="Times New Roman" w:cs="Times New Roman" w:hint="cs"/>
          <w:noProof/>
          <w:color w:val="000000"/>
          <w:sz w:val="24"/>
          <w:szCs w:val="24"/>
          <w:rtl w:val="0"/>
          <w:cs w:val="0"/>
          <w:lang w:val="sk-SK" w:eastAsia="sk-SK" w:bidi="ar-SA"/>
        </w:rPr>
        <w:t xml:space="preserve">87 ods. 2 až 4 a čl. 102 ods. 1 písm. o)] a súčasne bude zabezpečená potrebná legisvakancia. </w:t>
      </w:r>
    </w:p>
    <w:p w:rsidR="00CD16A1" w:rsidRPr="00CD16A1" w:rsidP="00CD16A1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D16A1" w:rsidP="00CD16A1">
      <w:pPr>
        <w:framePr w:wrap="auto"/>
        <w:widowControl/>
        <w:autoSpaceDE/>
        <w:autoSpaceDN/>
        <w:bidi w:val="0"/>
        <w:adjustRightInd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</w:t>
      </w:r>
      <w:r w:rsidRPr="00CD16A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bor NR SR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759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039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/>
        <w:autoSpaceDE/>
        <w:autoSpaceDN/>
        <w:bidi w:val="0"/>
        <w:adjustRightInd/>
        <w:ind w:left="2039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D16A1" w:rsidRPr="00CD16A1" w:rsidP="00CD16A1">
      <w:pPr>
        <w:framePr w:wrap="auto"/>
        <w:widowControl w:val="0"/>
        <w:tabs>
          <w:tab w:val="left" w:pos="284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D16A1" w:rsidRPr="00CD16A1" w:rsidP="00CD16A1">
      <w:pPr>
        <w:framePr w:wrap="auto"/>
        <w:widowControl w:val="0"/>
        <w:autoSpaceDE w:val="0"/>
        <w:autoSpaceDN w:val="0"/>
        <w:bidi w:val="0"/>
        <w:adjustRightInd w:val="0"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E799F" w:rsidRPr="00CD16A1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D16A1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hlasovať o bodoch </w:t>
      </w:r>
      <w:r w:rsidRPr="00CD16A1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 až </w:t>
      </w:r>
      <w:r w:rsidR="00CD16A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14</w:t>
      </w:r>
      <w:r w:rsidRPr="00CD16A1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spoločne</w:t>
      </w:r>
      <w:r w:rsidRPr="00CD16A1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odporúčaním </w:t>
      </w:r>
      <w:r w:rsidRPr="00CD16A1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5B0C34" w:rsidRPr="00CD16A1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C2BC0" w:rsidRPr="00CD16A1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CD16A1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3F53C5" w:rsidRPr="00CD16A1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16"/>
          <w:rtl w:val="0"/>
          <w:cs w:val="0"/>
          <w:lang w:val="sk-SK" w:eastAsia="sk-SK" w:bidi="ar-SA"/>
        </w:rPr>
      </w:pPr>
    </w:p>
    <w:p w:rsidR="00E269DC" w:rsidRPr="00CD16A1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CD16A1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CD16A1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5B0C34" w:rsidRPr="00CD16A1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u w:val="single"/>
          <w:rtl w:val="0"/>
          <w:cs w:val="0"/>
          <w:lang w:val="sk-SK" w:eastAsia="sk-SK" w:bidi="ar-SA"/>
        </w:rPr>
      </w:pPr>
    </w:p>
    <w:p w:rsidR="00C60DB6" w:rsidRPr="00CD16A1" w:rsidP="00C60DB6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CD16A1" w:rsidR="00776E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vládny návrh zákona</w:t>
      </w:r>
      <w:r w:rsidRPr="00CD16A1" w:rsidR="00260E3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 o označeniach pôvodu výrobkov a zemepisných označeniach výrobkov a o zmene a doplnení zákona Národnej rady Slovenskej republiky č. 145/1995 Z. z. o správnych poplatkoch v znení neskorších predpisov</w:t>
      </w:r>
      <w:r w:rsidRPr="00CD16A1" w:rsidR="00260E3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1026</w:t>
      </w:r>
      <w:r w:rsidRPr="00CD16A1" w:rsidR="0035321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CD16A1" w:rsidR="00DE13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D16A1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 c h v á l i</w:t>
      </w:r>
      <w:r w:rsidRPr="00CD16A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CD16A1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ť</w:t>
      </w:r>
      <w:r w:rsidRPr="00CD16A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</w:t>
      </w:r>
      <w:r w:rsidRPr="00CD16A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D16A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pozmeňujúcich a doplňujúcich návrhov uvedených v tejto spoločnej správe, ktoré gestorský výbor odporúčal schváliť.</w:t>
      </w:r>
    </w:p>
    <w:p w:rsidR="00C0177F" w:rsidRPr="00CD16A1" w:rsidP="00C60DB6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269DC" w:rsidRPr="00CD16A1" w:rsidP="00AE1B05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D1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Spoločná správa výborov Národnej rady Slovenskej republiky o výsledku prerokovania návrhu zákona v druhom čítaní bola schválená uznesením Výboru Národnej rady Slovenskej republiky pre hospodárske záležitosti č</w:t>
      </w:r>
      <w:r w:rsidRPr="00CD16A1" w:rsidR="00BE2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6261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238</w:t>
      </w:r>
      <w:r w:rsidRPr="00CD16A1" w:rsidR="00D64D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</w:t>
      </w:r>
      <w:r w:rsidR="006261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 24. </w:t>
      </w:r>
      <w:r w:rsidRPr="00CD16A1" w:rsidR="00260E3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novembra</w:t>
      </w:r>
      <w:r w:rsidRPr="00CD16A1" w:rsidR="00C017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2025</w:t>
      </w:r>
      <w:r w:rsidRPr="00CD16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3F53C5" w:rsidRPr="00CD16A1" w:rsidP="001E4E7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CD16A1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CD16A1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CD16A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CD16A1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Pr="00CD16A1" w:rsidR="0035321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Igora Šimka </w:t>
      </w:r>
      <w:r w:rsidRPr="00CD16A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CD16A1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CD16A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CD16A1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E7C0F" w:rsidRPr="00CD16A1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D16A1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="004C1F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24. </w:t>
      </w:r>
      <w:r w:rsidRPr="00CD16A1" w:rsidR="00EB173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novembra</w:t>
      </w:r>
      <w:r w:rsidRPr="00CD16A1" w:rsidR="008F6B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2025</w:t>
      </w:r>
    </w:p>
    <w:p w:rsidR="00DB1796" w:rsidRPr="00CD16A1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308F6" w:rsidRPr="00CD16A1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C2BC0" w:rsidRPr="00CD16A1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64B90" w:rsidRPr="00CD16A1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cs-CZ" w:bidi="ar-SA"/>
        </w:rPr>
      </w:pPr>
      <w:r w:rsidRPr="00CD16A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Róbert P u c i, v.r.</w:t>
      </w:r>
    </w:p>
    <w:p w:rsidR="00B62E81" w:rsidRPr="00CD16A1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CD16A1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CD16A1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CD16A1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CD16A1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D16A1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CD16A1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CD16A1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0000000000000000000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Cambria">
    <w:panose1 w:val="00000000000000000000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FC5EE6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7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AB73146"/>
    <w:multiLevelType w:val="hybridMultilevel"/>
    <w:tmpl w:val="24D21958"/>
    <w:lvl w:ilvl="0">
      <w:start w:val="1"/>
      <w:numFmt w:val="lowerLetter"/>
      <w:lvlText w:val="%1)"/>
      <w:lvlJc w:val="left"/>
      <w:pPr>
        <w:ind w:left="2226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366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438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82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654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726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986" w:hanging="180"/>
      </w:pPr>
      <w:rPr>
        <w:rFonts w:cs="Times New Roman" w:hint="cs"/>
        <w:rtl w:val="0"/>
        <w:cs w:val="0"/>
      </w:rPr>
    </w:lvl>
  </w:abstractNum>
  <w:abstractNum w:abstractNumId="2">
    <w:nsid w:val="10A37B9F"/>
    <w:multiLevelType w:val="hybridMultilevel"/>
    <w:tmpl w:val="3464462C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25B4132B"/>
    <w:multiLevelType w:val="hybridMultilevel"/>
    <w:tmpl w:val="ADE241D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>
    <w:nsid w:val="27411070"/>
    <w:multiLevelType w:val="hybridMultilevel"/>
    <w:tmpl w:val="E968CC6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2FDF289A"/>
    <w:multiLevelType w:val="hybridMultilevel"/>
    <w:tmpl w:val="1A1E76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6">
    <w:nsid w:val="341711CF"/>
    <w:multiLevelType w:val="multilevel"/>
    <w:tmpl w:val="C73608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cs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355966FB"/>
    <w:multiLevelType w:val="hybridMultilevel"/>
    <w:tmpl w:val="88FA846E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8">
    <w:nsid w:val="376E46A2"/>
    <w:multiLevelType w:val="hybridMultilevel"/>
    <w:tmpl w:val="F9968C06"/>
    <w:lvl w:ilvl="0">
      <w:start w:val="1"/>
      <w:numFmt w:val="bullet"/>
      <w:lvlText w:val=""/>
      <w:lvlJc w:val="left"/>
      <w:pPr>
        <w:ind w:left="497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569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641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713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785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857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929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1001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10733" w:hanging="360"/>
      </w:pPr>
      <w:rPr>
        <w:rFonts w:ascii="Wingdings" w:hAnsi="Wingdings"/>
      </w:rPr>
    </w:lvl>
  </w:abstractNum>
  <w:abstractNum w:abstractNumId="9">
    <w:nsid w:val="41DA000B"/>
    <w:multiLevelType w:val="hybridMultilevel"/>
    <w:tmpl w:val="7AF23C9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10">
    <w:nsid w:val="49713164"/>
    <w:multiLevelType w:val="hybridMultilevel"/>
    <w:tmpl w:val="7F4040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51736755"/>
    <w:multiLevelType w:val="hybridMultilevel"/>
    <w:tmpl w:val="8C72834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2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13">
    <w:nsid w:val="5CB0285B"/>
    <w:multiLevelType w:val="hybridMultilevel"/>
    <w:tmpl w:val="DCA8D534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4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5">
    <w:nsid w:val="63CC4893"/>
    <w:multiLevelType w:val="hybridMultilevel"/>
    <w:tmpl w:val="E03C144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68100E2A"/>
    <w:multiLevelType w:val="hybridMultilevel"/>
    <w:tmpl w:val="DE0CFE9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6B0D213A"/>
    <w:multiLevelType w:val="hybridMultilevel"/>
    <w:tmpl w:val="D034D79C"/>
    <w:lvl w:ilvl="0">
      <w:start w:val="0"/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eastAsia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70787D44"/>
    <w:multiLevelType w:val="hybridMultilevel"/>
    <w:tmpl w:val="3080FF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7B553582"/>
    <w:multiLevelType w:val="hybridMultilevel"/>
    <w:tmpl w:val="F01A97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7B7C27EE"/>
    <w:multiLevelType w:val="hybridMultilevel"/>
    <w:tmpl w:val="3D983E54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num w:numId="1">
    <w:abstractNumId w:val="14"/>
  </w:num>
  <w:num w:numId="2">
    <w:abstractNumId w:val="19"/>
  </w:num>
  <w:num w:numId="3">
    <w:abstractNumId w:val="12"/>
  </w:num>
  <w:num w:numId="4">
    <w:abstractNumId w:val="0"/>
  </w:num>
  <w:num w:numId="5">
    <w:abstractNumId w:val="17"/>
  </w:num>
  <w:num w:numId="6">
    <w:abstractNumId w:val="20"/>
  </w:num>
  <w:num w:numId="7">
    <w:abstractNumId w:val="11"/>
  </w:num>
  <w:num w:numId="8">
    <w:abstractNumId w:val="1"/>
  </w:num>
  <w:num w:numId="9">
    <w:abstractNumId w:val="7"/>
  </w:num>
  <w:num w:numId="10">
    <w:abstractNumId w:val="15"/>
  </w:num>
  <w:num w:numId="11">
    <w:abstractNumId w:val="4"/>
  </w:num>
  <w:num w:numId="12">
    <w:abstractNumId w:val="10"/>
  </w:num>
  <w:num w:numId="13">
    <w:abstractNumId w:val="5"/>
  </w:num>
  <w:num w:numId="14">
    <w:abstractNumId w:val="16"/>
  </w:num>
  <w:num w:numId="15">
    <w:abstractNumId w:val="6"/>
  </w:num>
  <w:num w:numId="16">
    <w:abstractNumId w:val="13"/>
  </w:num>
  <w:num w:numId="17">
    <w:abstractNumId w:val="21"/>
  </w:num>
  <w:num w:numId="18">
    <w:abstractNumId w:val="2"/>
  </w:num>
  <w:num w:numId="19">
    <w:abstractNumId w:val="9"/>
  </w:num>
  <w:num w:numId="20">
    <w:abstractNumId w:val="8"/>
  </w:num>
  <w:num w:numId="21">
    <w:abstractNumId w:val="18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572</TotalTime>
  <Pages>7</Pages>
  <Words>1657</Words>
  <Characters>9448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137</cp:revision>
  <cp:lastPrinted>2020-05-20T15:53:00Z</cp:lastPrinted>
  <dcterms:created xsi:type="dcterms:W3CDTF">2021-10-19T14:12:00Z</dcterms:created>
  <dcterms:modified xsi:type="dcterms:W3CDTF">2025-11-25T09:58:00Z</dcterms:modified>
</cp:coreProperties>
</file>