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A5645E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C50B7C">
        <w:t>56</w:t>
      </w:r>
      <w:r w:rsidRPr="00A5645E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A5645E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A5645E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A5645E">
        <w:rPr>
          <w:rFonts w:ascii="Times New Roman" w:hAnsi="Times New Roman"/>
          <w:color w:val="auto"/>
          <w:lang w:val="sk-SK"/>
        </w:rPr>
        <w:tab/>
      </w:r>
      <w:r w:rsidR="00D16878" w:rsidRPr="00A5645E">
        <w:rPr>
          <w:rFonts w:ascii="Times New Roman" w:hAnsi="Times New Roman"/>
          <w:color w:val="auto"/>
          <w:lang w:val="sk-SK"/>
        </w:rPr>
        <w:t xml:space="preserve">Č: </w:t>
      </w:r>
      <w:r w:rsidR="00C50B7C" w:rsidRPr="00C50B7C">
        <w:rPr>
          <w:rFonts w:ascii="Times New Roman" w:hAnsi="Times New Roman"/>
          <w:color w:val="auto"/>
          <w:lang w:val="sk-SK"/>
        </w:rPr>
        <w:t>KNR-VHZ-6065/2025-</w:t>
      </w:r>
      <w:r w:rsidR="0030560E">
        <w:rPr>
          <w:rFonts w:ascii="Times New Roman" w:hAnsi="Times New Roman"/>
          <w:color w:val="auto"/>
          <w:lang w:val="sk-SK"/>
        </w:rPr>
        <w:t>3</w:t>
      </w: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375315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231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A5645E" w:rsidRDefault="00720E42" w:rsidP="00720E42">
      <w:pPr>
        <w:jc w:val="center"/>
        <w:rPr>
          <w:b/>
        </w:rPr>
      </w:pPr>
      <w:r w:rsidRPr="00A5645E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A5645E">
        <w:t>z</w:t>
      </w:r>
      <w:r w:rsidR="00CF206C" w:rsidRPr="00A5645E">
        <w:t xml:space="preserve"> </w:t>
      </w:r>
      <w:r w:rsidR="00375315">
        <w:t>24</w:t>
      </w:r>
      <w:r w:rsidR="00720E42" w:rsidRPr="00A5645E">
        <w:t xml:space="preserve">. </w:t>
      </w:r>
      <w:r w:rsidR="00375315">
        <w:t>novembra</w:t>
      </w:r>
      <w:r w:rsidR="00116CD0" w:rsidRPr="00A5645E">
        <w:t xml:space="preserve"> </w:t>
      </w:r>
      <w:r w:rsidR="002F4226" w:rsidRPr="00A5645E">
        <w:t>202</w:t>
      </w:r>
      <w:r w:rsidR="0073290A" w:rsidRPr="00A5645E">
        <w:t>5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3259F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43259F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1620F1">
        <w:rPr>
          <w:rFonts w:ascii="Times New Roman" w:hAnsi="Times New Roman"/>
          <w:color w:val="auto"/>
          <w:szCs w:val="24"/>
        </w:rPr>
        <w:t xml:space="preserve">, </w:t>
      </w:r>
      <w:r w:rsidR="001620F1" w:rsidRPr="001620F1">
        <w:rPr>
          <w:rFonts w:ascii="Times New Roman" w:hAnsi="Times New Roman"/>
          <w:color w:val="auto"/>
          <w:szCs w:val="24"/>
          <w:lang w:val="sk-SK"/>
        </w:rPr>
        <w:t>ktorým sa mení a dopĺňa zákon č. 331/2005 Z. z. o orgánoch štátnej správy vo veciach drogových prekurzorov a o zmene a doplnení niektorých zákonov v znení neskorších predpisov</w:t>
      </w:r>
      <w:r w:rsidR="001620F1" w:rsidRPr="001620F1">
        <w:rPr>
          <w:rFonts w:ascii="Times New Roman" w:hAnsi="Times New Roman"/>
          <w:b/>
          <w:color w:val="auto"/>
          <w:szCs w:val="24"/>
          <w:lang w:val="sk-SK"/>
        </w:rPr>
        <w:t xml:space="preserve"> (tlač 1025)</w:t>
      </w:r>
    </w:p>
    <w:p w:rsidR="00901424" w:rsidRPr="0043259F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43259F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43259F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43259F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720E42" w:rsidRPr="0043259F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color w:val="auto"/>
          <w:szCs w:val="24"/>
          <w:lang w:val="sk-SK"/>
        </w:rPr>
        <w:t xml:space="preserve">s ú h l a s í </w:t>
      </w:r>
    </w:p>
    <w:p w:rsidR="00720E42" w:rsidRPr="0043259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43259F">
        <w:rPr>
          <w:rFonts w:ascii="Times New Roman" w:hAnsi="Times New Roman"/>
          <w:color w:val="auto"/>
          <w:szCs w:val="24"/>
          <w:lang w:val="sk-SK"/>
        </w:rPr>
        <w:t xml:space="preserve">vládnym návrhom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1620F1">
        <w:rPr>
          <w:rFonts w:ascii="Times New Roman" w:hAnsi="Times New Roman"/>
          <w:color w:val="auto"/>
          <w:szCs w:val="24"/>
        </w:rPr>
        <w:t xml:space="preserve">, </w:t>
      </w:r>
      <w:r w:rsidR="001620F1" w:rsidRPr="001620F1">
        <w:rPr>
          <w:rFonts w:ascii="Times New Roman" w:hAnsi="Times New Roman"/>
          <w:color w:val="auto"/>
          <w:szCs w:val="24"/>
          <w:lang w:val="sk-SK"/>
        </w:rPr>
        <w:t>ktorým sa mení a dopĺňa zákon č. 331/2005 Z. z. o orgánoch štátnej správy vo veciach drogových prekurzorov a o zmene a doplnení niektorých zákonov v znení neskorších predpisov</w:t>
      </w:r>
      <w:r w:rsidR="001620F1" w:rsidRPr="001620F1">
        <w:rPr>
          <w:rFonts w:ascii="Times New Roman" w:hAnsi="Times New Roman"/>
          <w:b/>
          <w:color w:val="auto"/>
          <w:szCs w:val="24"/>
          <w:lang w:val="sk-SK"/>
        </w:rPr>
        <w:t xml:space="preserve"> (tlač 1025)</w:t>
      </w:r>
      <w:r w:rsidR="00901424" w:rsidRPr="0043259F">
        <w:rPr>
          <w:rFonts w:ascii="Times New Roman" w:hAnsi="Times New Roman"/>
          <w:b/>
          <w:color w:val="auto"/>
          <w:szCs w:val="24"/>
        </w:rPr>
        <w:t>;</w:t>
      </w:r>
    </w:p>
    <w:p w:rsidR="0057126D" w:rsidRPr="0043259F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43259F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720E42" w:rsidRPr="0043259F" w:rsidRDefault="00720E42" w:rsidP="005535FB">
      <w:pPr>
        <w:pStyle w:val="Nadpis1"/>
        <w:spacing w:line="240" w:lineRule="auto"/>
        <w:ind w:firstLine="360"/>
      </w:pPr>
      <w:r w:rsidRPr="0043259F">
        <w:t xml:space="preserve">     Národnej rade Slovenskej republiky</w:t>
      </w:r>
    </w:p>
    <w:p w:rsidR="00720E42" w:rsidRPr="0043259F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D469E5" w:rsidRPr="00A750AE" w:rsidRDefault="00215D21" w:rsidP="00D469E5">
      <w:pPr>
        <w:pStyle w:val="Zarkazkladnhotextu2"/>
        <w:spacing w:after="120"/>
        <w:ind w:firstLine="709"/>
        <w:rPr>
          <w:rFonts w:ascii="Times New Roman" w:hAnsi="Times New Roman"/>
          <w:bCs/>
          <w:color w:val="auto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vládny návrh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1620F1">
        <w:rPr>
          <w:rFonts w:ascii="Times New Roman" w:hAnsi="Times New Roman"/>
          <w:color w:val="auto"/>
          <w:szCs w:val="24"/>
        </w:rPr>
        <w:t xml:space="preserve">, </w:t>
      </w:r>
      <w:r w:rsidR="001620F1" w:rsidRPr="001620F1">
        <w:rPr>
          <w:rFonts w:ascii="Times New Roman" w:hAnsi="Times New Roman"/>
          <w:color w:val="auto"/>
          <w:szCs w:val="24"/>
          <w:lang w:val="sk-SK"/>
        </w:rPr>
        <w:t>ktorým sa mení a dopĺňa zákon č. 331/2005 Z. z. o orgánoch štátnej správy vo veciach drogových prekurzorov a o zmene a doplnení niektorých zákonov v znení neskorších predpisov</w:t>
      </w:r>
      <w:r w:rsidR="001620F1" w:rsidRPr="001620F1">
        <w:rPr>
          <w:rFonts w:ascii="Times New Roman" w:hAnsi="Times New Roman"/>
          <w:b/>
          <w:color w:val="auto"/>
          <w:szCs w:val="24"/>
          <w:lang w:val="sk-SK"/>
        </w:rPr>
        <w:t xml:space="preserve"> (tlač 1025)</w:t>
      </w:r>
      <w:r w:rsidR="00720E42" w:rsidRPr="00C36908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20E42" w:rsidRPr="00027F97">
        <w:rPr>
          <w:rFonts w:ascii="Times New Roman" w:hAnsi="Times New Roman"/>
          <w:color w:val="auto"/>
          <w:szCs w:val="24"/>
        </w:rPr>
        <w:t>s</w:t>
      </w:r>
      <w:r w:rsidR="00720E42" w:rsidRPr="00027F97">
        <w:rPr>
          <w:rFonts w:ascii="Times New Roman" w:hAnsi="Times New Roman"/>
          <w:bCs/>
          <w:color w:val="auto"/>
          <w:szCs w:val="24"/>
        </w:rPr>
        <w:t>chváliť</w:t>
      </w:r>
      <w:proofErr w:type="spellEnd"/>
      <w:r w:rsidR="00D469E5" w:rsidRPr="00027F97">
        <w:rPr>
          <w:rFonts w:ascii="Times New Roman" w:hAnsi="Times New Roman"/>
          <w:bCs/>
          <w:color w:val="auto"/>
          <w:szCs w:val="24"/>
        </w:rPr>
        <w:t xml:space="preserve"> </w:t>
      </w:r>
      <w:r w:rsidR="00D469E5" w:rsidRPr="00027F97">
        <w:rPr>
          <w:rFonts w:ascii="Times New Roman" w:hAnsi="Times New Roman"/>
          <w:bCs/>
          <w:color w:val="000000"/>
        </w:rPr>
        <w:t>s </w:t>
      </w:r>
      <w:proofErr w:type="spellStart"/>
      <w:r w:rsidR="00D469E5" w:rsidRPr="00027F97">
        <w:rPr>
          <w:rFonts w:ascii="Times New Roman" w:hAnsi="Times New Roman"/>
          <w:bCs/>
          <w:color w:val="000000"/>
        </w:rPr>
        <w:t>pozmeňujúcimi</w:t>
      </w:r>
      <w:proofErr w:type="spellEnd"/>
      <w:r w:rsidR="00D469E5" w:rsidRPr="00027F97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D469E5" w:rsidRPr="00027F97">
        <w:rPr>
          <w:rFonts w:ascii="Times New Roman" w:hAnsi="Times New Roman"/>
          <w:bCs/>
          <w:color w:val="000000"/>
        </w:rPr>
        <w:t>doplňujúcimi</w:t>
      </w:r>
      <w:proofErr w:type="spellEnd"/>
      <w:r w:rsidR="00D469E5" w:rsidRPr="00027F97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69E5" w:rsidRPr="00027F97">
        <w:rPr>
          <w:rFonts w:ascii="Times New Roman" w:hAnsi="Times New Roman"/>
          <w:bCs/>
          <w:color w:val="000000"/>
        </w:rPr>
        <w:t>návrhmi</w:t>
      </w:r>
      <w:proofErr w:type="spellEnd"/>
      <w:r w:rsidR="00D469E5" w:rsidRPr="00027F97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D469E5" w:rsidRPr="00027F97">
        <w:rPr>
          <w:rFonts w:ascii="Times New Roman" w:hAnsi="Times New Roman"/>
          <w:bCs/>
          <w:color w:val="000000"/>
        </w:rPr>
        <w:t>prílohe</w:t>
      </w:r>
      <w:proofErr w:type="spellEnd"/>
      <w:r w:rsidR="00D469E5" w:rsidRPr="00027F97">
        <w:rPr>
          <w:rFonts w:ascii="Times New Roman" w:hAnsi="Times New Roman"/>
          <w:bCs/>
          <w:color w:val="000000"/>
        </w:rPr>
        <w:t>;</w:t>
      </w:r>
    </w:p>
    <w:p w:rsidR="00720E42" w:rsidRPr="0043259F" w:rsidRDefault="00720E42" w:rsidP="00720E42">
      <w:pPr>
        <w:ind w:firstLine="360"/>
        <w:jc w:val="both"/>
      </w:pPr>
    </w:p>
    <w:p w:rsidR="00A24FB1" w:rsidRPr="00532ECF" w:rsidRDefault="00A24FB1" w:rsidP="00A24FB1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532ECF">
        <w:rPr>
          <w:b/>
        </w:rPr>
        <w:t xml:space="preserve">C.  </w:t>
      </w:r>
      <w:r w:rsidRPr="00A055D2">
        <w:rPr>
          <w:b/>
        </w:rPr>
        <w:t>p o v e r u j e</w:t>
      </w:r>
    </w:p>
    <w:p w:rsidR="00A24FB1" w:rsidRDefault="00A24FB1" w:rsidP="00A24FB1">
      <w:pPr>
        <w:numPr>
          <w:ilvl w:val="0"/>
          <w:numId w:val="32"/>
        </w:numPr>
        <w:spacing w:after="120"/>
        <w:ind w:left="714" w:hanging="357"/>
        <w:jc w:val="both"/>
      </w:pPr>
      <w:r w:rsidRPr="00526119">
        <w:t>predsedu výboru, aby výsledky rokovania výboru v druhom č</w:t>
      </w:r>
      <w:r>
        <w:t>ítaní zo dňa</w:t>
      </w:r>
      <w:r w:rsidR="00C37441">
        <w:t xml:space="preserve"> 24</w:t>
      </w:r>
      <w:r w:rsidRPr="00526119">
        <w:t xml:space="preserve">. </w:t>
      </w:r>
      <w:r w:rsidR="00C37441">
        <w:t>novembra</w:t>
      </w:r>
      <w:r w:rsidRPr="00526119">
        <w:t xml:space="preserve"> </w:t>
      </w:r>
      <w:r>
        <w:t>2025</w:t>
      </w:r>
      <w:r w:rsidRPr="00526119">
        <w:t xml:space="preserve">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A24FB1" w:rsidRPr="00A055D2" w:rsidRDefault="00A24FB1" w:rsidP="00A24FB1">
      <w:pPr>
        <w:numPr>
          <w:ilvl w:val="0"/>
          <w:numId w:val="32"/>
        </w:numPr>
        <w:spacing w:after="120"/>
        <w:ind w:left="714" w:hanging="357"/>
        <w:jc w:val="both"/>
      </w:pPr>
      <w:r w:rsidRPr="00A055D2">
        <w:rPr>
          <w:bCs/>
        </w:rPr>
        <w:t xml:space="preserve">spoločného spravodajcu výborov </w:t>
      </w:r>
      <w:r w:rsidRPr="00A055D2">
        <w:rPr>
          <w:b/>
          <w:bCs/>
        </w:rPr>
        <w:t xml:space="preserve">I. Šimka, </w:t>
      </w:r>
      <w:r w:rsidRPr="00A055D2">
        <w:rPr>
          <w:bCs/>
        </w:rPr>
        <w:t>aby v súlade s § 80 ods. 2 rokovacieho poriadku Národnej rady Slovenskej republiky informoval o výsledku rokovania výborov a aby odôvodnil návrh a stanovisko</w:t>
      </w:r>
      <w:r w:rsidRPr="00526119">
        <w:t xml:space="preserve"> </w:t>
      </w:r>
      <w:r w:rsidRPr="00A055D2">
        <w:rPr>
          <w:bCs/>
        </w:rPr>
        <w:t>gestorského výboru k návrhu zákona uvedené v spoločnej správe výborov na schôdzi Národnej rady Slovenskej republiky</w:t>
      </w:r>
    </w:p>
    <w:p w:rsidR="00FB0F8C" w:rsidRPr="00A5111D" w:rsidRDefault="00FB0F8C" w:rsidP="00FB0F8C">
      <w:pPr>
        <w:ind w:firstLine="709"/>
        <w:jc w:val="both"/>
      </w:pPr>
    </w:p>
    <w:p w:rsidR="00FB0F8C" w:rsidRPr="00B5287E" w:rsidRDefault="00FB0F8C" w:rsidP="00FB0F8C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</w:p>
    <w:p w:rsidR="0073290A" w:rsidRDefault="00FB0F8C" w:rsidP="00FB0F8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</w:p>
    <w:p w:rsidR="00FB0F8C" w:rsidRPr="00BC127D" w:rsidRDefault="00FB0F8C" w:rsidP="00FB0F8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  <w:r w:rsidR="007A6B8D" w:rsidRPr="007A6B8D">
        <w:t xml:space="preserve"> </w:t>
      </w:r>
      <w:r w:rsidR="007A6B8D">
        <w:tab/>
      </w:r>
      <w:r w:rsidR="007A6B8D">
        <w:tab/>
      </w:r>
      <w:r w:rsidR="007A6B8D">
        <w:tab/>
      </w:r>
      <w:r w:rsidR="007A6B8D">
        <w:tab/>
      </w:r>
      <w:r w:rsidR="007A6B8D">
        <w:tab/>
      </w:r>
      <w:r w:rsidR="007A6B8D">
        <w:tab/>
      </w:r>
      <w:r w:rsidR="007A6B8D" w:rsidRPr="002220F6">
        <w:t>Róbert</w:t>
      </w:r>
      <w:r w:rsidR="007A6B8D" w:rsidRPr="00B5287E">
        <w:rPr>
          <w:b/>
        </w:rPr>
        <w:t xml:space="preserve"> P u c i, </w:t>
      </w:r>
      <w:proofErr w:type="spellStart"/>
      <w:r w:rsidR="007A6B8D" w:rsidRPr="00B5287E">
        <w:rPr>
          <w:b/>
        </w:rPr>
        <w:t>v.r</w:t>
      </w:r>
      <w:proofErr w:type="spellEnd"/>
      <w:r w:rsidR="007A6B8D" w:rsidRPr="00B5287E">
        <w:rPr>
          <w:b/>
        </w:rPr>
        <w:t xml:space="preserve">.     </w:t>
      </w:r>
    </w:p>
    <w:p w:rsidR="00FB0F8C" w:rsidRDefault="00FB0F8C" w:rsidP="00FB0F8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  <w:r w:rsidR="007A6B8D" w:rsidRPr="007A6B8D">
        <w:t xml:space="preserve"> </w:t>
      </w:r>
      <w:r w:rsidR="007A6B8D">
        <w:tab/>
      </w:r>
      <w:r w:rsidR="007A6B8D">
        <w:tab/>
      </w:r>
      <w:r w:rsidR="007A6B8D">
        <w:tab/>
      </w:r>
      <w:r w:rsidR="007A6B8D">
        <w:tab/>
      </w:r>
      <w:r w:rsidR="007A6B8D">
        <w:tab/>
      </w:r>
      <w:r w:rsidR="007A6B8D">
        <w:tab/>
        <w:t xml:space="preserve">  </w:t>
      </w:r>
      <w:r w:rsidR="007A6B8D" w:rsidRPr="00A00DCE">
        <w:t>predsed</w:t>
      </w:r>
      <w:r w:rsidR="007A6B8D">
        <w:t xml:space="preserve">a </w:t>
      </w:r>
      <w:r w:rsidR="007A6B8D" w:rsidRPr="00A00DCE">
        <w:t>výboru</w:t>
      </w:r>
    </w:p>
    <w:p w:rsidR="00B74E77" w:rsidRDefault="00FB0F8C" w:rsidP="00FB0F8C">
      <w:pPr>
        <w:spacing w:line="240" w:lineRule="atLeast"/>
        <w:jc w:val="both"/>
      </w:pPr>
      <w:r w:rsidRPr="007F3CEC">
        <w:t>overovatelia výboru</w:t>
      </w:r>
    </w:p>
    <w:p w:rsidR="00B74E77" w:rsidRPr="00526119" w:rsidRDefault="00B74E77" w:rsidP="00B74E77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526119">
        <w:rPr>
          <w:bCs/>
          <w:i/>
          <w:iCs/>
        </w:rPr>
        <w:lastRenderedPageBreak/>
        <w:tab/>
      </w:r>
      <w:r w:rsidR="00923103">
        <w:rPr>
          <w:bCs/>
          <w:i/>
          <w:iCs/>
        </w:rPr>
        <w:t xml:space="preserve">         </w:t>
      </w:r>
      <w:r w:rsidRPr="00526119">
        <w:rPr>
          <w:bCs/>
          <w:i/>
          <w:iCs/>
        </w:rPr>
        <w:t>Výbor</w:t>
      </w:r>
    </w:p>
    <w:p w:rsidR="00B74E77" w:rsidRPr="00526119" w:rsidRDefault="00B74E77" w:rsidP="00B74E77">
      <w:pPr>
        <w:jc w:val="both"/>
        <w:rPr>
          <w:i/>
        </w:rPr>
      </w:pPr>
      <w:r w:rsidRPr="00526119">
        <w:rPr>
          <w:i/>
        </w:rPr>
        <w:t xml:space="preserve"> Národnej rady Slovenskej republiky</w:t>
      </w:r>
    </w:p>
    <w:p w:rsidR="00B74E77" w:rsidRPr="00526119" w:rsidRDefault="00B74E77" w:rsidP="00B74E77">
      <w:pPr>
        <w:jc w:val="both"/>
      </w:pPr>
      <w:r w:rsidRPr="00526119">
        <w:rPr>
          <w:i/>
        </w:rPr>
        <w:t xml:space="preserve">      pre hospodárske záležitosti </w:t>
      </w:r>
      <w:r w:rsidRPr="00526119">
        <w:t xml:space="preserve">            </w:t>
      </w:r>
      <w:r w:rsidRPr="00526119">
        <w:tab/>
      </w:r>
      <w:r w:rsidRPr="00526119">
        <w:tab/>
      </w:r>
    </w:p>
    <w:p w:rsidR="00B74E77" w:rsidRPr="00526119" w:rsidRDefault="00B74E77" w:rsidP="00B74E77">
      <w:pPr>
        <w:jc w:val="both"/>
      </w:pPr>
      <w:r w:rsidRPr="00526119">
        <w:tab/>
      </w:r>
      <w:r w:rsidRPr="00526119">
        <w:tab/>
      </w:r>
    </w:p>
    <w:p w:rsidR="00B74E77" w:rsidRPr="00526119" w:rsidRDefault="00B74E77" w:rsidP="00B74E77">
      <w:pPr>
        <w:ind w:left="5672" w:firstLine="709"/>
        <w:jc w:val="both"/>
      </w:pPr>
      <w:r w:rsidRPr="00526119">
        <w:t xml:space="preserve"> </w:t>
      </w:r>
      <w:r w:rsidR="00375315">
        <w:t>56</w:t>
      </w:r>
      <w:r w:rsidRPr="00526119">
        <w:t>. schôdza výboru</w:t>
      </w:r>
    </w:p>
    <w:p w:rsidR="00B74E77" w:rsidRPr="00526119" w:rsidRDefault="00B74E77" w:rsidP="00B74E77">
      <w:pPr>
        <w:jc w:val="both"/>
        <w:rPr>
          <w:bCs/>
        </w:rPr>
      </w:pPr>
      <w:r w:rsidRPr="00526119">
        <w:t xml:space="preserve">                                                                                             </w:t>
      </w:r>
      <w:r w:rsidRPr="00526119">
        <w:tab/>
      </w:r>
      <w:r w:rsidRPr="00526119">
        <w:tab/>
        <w:t xml:space="preserve"> </w:t>
      </w:r>
      <w:r w:rsidRPr="00526119">
        <w:rPr>
          <w:bCs/>
        </w:rPr>
        <w:t xml:space="preserve">Príloha k uzneseniu č. </w:t>
      </w:r>
      <w:r w:rsidR="00375315">
        <w:rPr>
          <w:bCs/>
        </w:rPr>
        <w:t>231</w:t>
      </w:r>
    </w:p>
    <w:p w:rsidR="00B74E77" w:rsidRPr="00526119" w:rsidRDefault="00B74E77" w:rsidP="00B74E77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526119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B74E77" w:rsidRPr="00526119" w:rsidRDefault="00B74E77" w:rsidP="00B74E77">
      <w:pPr>
        <w:pStyle w:val="Nadpis5"/>
        <w:spacing w:line="240" w:lineRule="auto"/>
      </w:pPr>
    </w:p>
    <w:p w:rsidR="00B74E77" w:rsidRPr="00526119" w:rsidRDefault="00B74E77" w:rsidP="00B74E77">
      <w:pPr>
        <w:pStyle w:val="Nadpis5"/>
        <w:spacing w:line="240" w:lineRule="auto"/>
      </w:pPr>
      <w:r w:rsidRPr="00526119">
        <w:t>Z m e n y  a  d o p l n k y</w:t>
      </w:r>
    </w:p>
    <w:p w:rsidR="00B74E77" w:rsidRPr="00526119" w:rsidRDefault="00B74E77" w:rsidP="00B74E77"/>
    <w:p w:rsidR="00B74E77" w:rsidRDefault="00375315" w:rsidP="00B74E77">
      <w:pPr>
        <w:pStyle w:val="Zarkazkladnhotextu"/>
        <w:pBdr>
          <w:bottom w:val="single" w:sz="12" w:space="1" w:color="auto"/>
        </w:pBdr>
        <w:ind w:firstLine="0"/>
        <w:rPr>
          <w:rFonts w:ascii="Times New Roman" w:hAnsi="Times New Roman"/>
          <w:b/>
          <w:color w:val="auto"/>
          <w:szCs w:val="24"/>
          <w:lang w:val="sk-SK"/>
        </w:rPr>
      </w:pPr>
      <w:r>
        <w:rPr>
          <w:color w:val="auto"/>
        </w:rPr>
        <w:tab/>
      </w:r>
      <w:r w:rsidR="00A24FB1">
        <w:rPr>
          <w:color w:val="auto"/>
        </w:rPr>
        <w:t>k </w:t>
      </w:r>
      <w:proofErr w:type="spellStart"/>
      <w:r w:rsidRPr="00375315">
        <w:rPr>
          <w:color w:val="auto"/>
        </w:rPr>
        <w:t>vládnemu</w:t>
      </w:r>
      <w:proofErr w:type="spellEnd"/>
      <w:r w:rsidRPr="00375315">
        <w:rPr>
          <w:color w:val="auto"/>
        </w:rPr>
        <w:t xml:space="preserve"> návrhu zákona, </w:t>
      </w:r>
      <w:proofErr w:type="spellStart"/>
      <w:r w:rsidRPr="00375315">
        <w:rPr>
          <w:color w:val="auto"/>
        </w:rPr>
        <w:t>ktorým</w:t>
      </w:r>
      <w:proofErr w:type="spellEnd"/>
      <w:r w:rsidRPr="00375315">
        <w:rPr>
          <w:color w:val="auto"/>
        </w:rPr>
        <w:t xml:space="preserve"> </w:t>
      </w:r>
      <w:proofErr w:type="spellStart"/>
      <w:r w:rsidRPr="00375315">
        <w:rPr>
          <w:color w:val="auto"/>
        </w:rPr>
        <w:t>sa</w:t>
      </w:r>
      <w:proofErr w:type="spellEnd"/>
      <w:r w:rsidRPr="00375315">
        <w:rPr>
          <w:color w:val="auto"/>
        </w:rPr>
        <w:t xml:space="preserve"> </w:t>
      </w:r>
      <w:proofErr w:type="spellStart"/>
      <w:r w:rsidRPr="00375315">
        <w:rPr>
          <w:color w:val="auto"/>
        </w:rPr>
        <w:t>mení</w:t>
      </w:r>
      <w:proofErr w:type="spellEnd"/>
      <w:r w:rsidRPr="00375315">
        <w:rPr>
          <w:color w:val="auto"/>
        </w:rPr>
        <w:t xml:space="preserve"> a </w:t>
      </w:r>
      <w:proofErr w:type="spellStart"/>
      <w:r w:rsidRPr="00375315">
        <w:rPr>
          <w:color w:val="auto"/>
        </w:rPr>
        <w:t>dopĺňa</w:t>
      </w:r>
      <w:proofErr w:type="spellEnd"/>
      <w:r w:rsidRPr="00375315">
        <w:rPr>
          <w:color w:val="auto"/>
        </w:rPr>
        <w:t xml:space="preserve"> zákon č. </w:t>
      </w:r>
      <w:proofErr w:type="gramStart"/>
      <w:r w:rsidRPr="00375315">
        <w:rPr>
          <w:color w:val="auto"/>
        </w:rPr>
        <w:t xml:space="preserve">331/2005 Z. z. o </w:t>
      </w:r>
      <w:proofErr w:type="spellStart"/>
      <w:r w:rsidRPr="00375315">
        <w:rPr>
          <w:color w:val="auto"/>
        </w:rPr>
        <w:t>orgánoch</w:t>
      </w:r>
      <w:proofErr w:type="spellEnd"/>
      <w:proofErr w:type="gramEnd"/>
      <w:r w:rsidRPr="00375315">
        <w:rPr>
          <w:color w:val="auto"/>
        </w:rPr>
        <w:t xml:space="preserve"> </w:t>
      </w:r>
      <w:proofErr w:type="spellStart"/>
      <w:r w:rsidRPr="00375315">
        <w:rPr>
          <w:color w:val="auto"/>
        </w:rPr>
        <w:t>štátnej</w:t>
      </w:r>
      <w:proofErr w:type="spellEnd"/>
      <w:r w:rsidRPr="00375315">
        <w:rPr>
          <w:color w:val="auto"/>
        </w:rPr>
        <w:t xml:space="preserve"> správy </w:t>
      </w:r>
      <w:proofErr w:type="spellStart"/>
      <w:r w:rsidRPr="00375315">
        <w:rPr>
          <w:color w:val="auto"/>
        </w:rPr>
        <w:t>vo</w:t>
      </w:r>
      <w:proofErr w:type="spellEnd"/>
      <w:r w:rsidRPr="00375315">
        <w:rPr>
          <w:color w:val="auto"/>
        </w:rPr>
        <w:t xml:space="preserve"> </w:t>
      </w:r>
      <w:proofErr w:type="spellStart"/>
      <w:r w:rsidRPr="00375315">
        <w:rPr>
          <w:color w:val="auto"/>
        </w:rPr>
        <w:t>veciach</w:t>
      </w:r>
      <w:proofErr w:type="spellEnd"/>
      <w:r w:rsidRPr="00375315">
        <w:rPr>
          <w:color w:val="auto"/>
        </w:rPr>
        <w:t xml:space="preserve"> drogových </w:t>
      </w:r>
      <w:proofErr w:type="spellStart"/>
      <w:r w:rsidRPr="00375315">
        <w:rPr>
          <w:color w:val="auto"/>
        </w:rPr>
        <w:t>prekurzorov</w:t>
      </w:r>
      <w:proofErr w:type="spellEnd"/>
      <w:r w:rsidRPr="00375315">
        <w:rPr>
          <w:color w:val="auto"/>
        </w:rPr>
        <w:t xml:space="preserve"> a o </w:t>
      </w:r>
      <w:proofErr w:type="spellStart"/>
      <w:r w:rsidRPr="00375315">
        <w:rPr>
          <w:color w:val="auto"/>
        </w:rPr>
        <w:t>zmene</w:t>
      </w:r>
      <w:proofErr w:type="spellEnd"/>
      <w:r w:rsidRPr="00375315">
        <w:rPr>
          <w:color w:val="auto"/>
        </w:rPr>
        <w:t xml:space="preserve"> a </w:t>
      </w:r>
      <w:proofErr w:type="spellStart"/>
      <w:r w:rsidRPr="00375315">
        <w:rPr>
          <w:color w:val="auto"/>
        </w:rPr>
        <w:t>doplnení</w:t>
      </w:r>
      <w:proofErr w:type="spellEnd"/>
      <w:r w:rsidRPr="00375315">
        <w:rPr>
          <w:color w:val="auto"/>
        </w:rPr>
        <w:t xml:space="preserve"> </w:t>
      </w:r>
      <w:proofErr w:type="spellStart"/>
      <w:r w:rsidRPr="00375315">
        <w:rPr>
          <w:color w:val="auto"/>
        </w:rPr>
        <w:t>niektorých</w:t>
      </w:r>
      <w:proofErr w:type="spellEnd"/>
      <w:r w:rsidRPr="00375315">
        <w:rPr>
          <w:color w:val="auto"/>
        </w:rPr>
        <w:t xml:space="preserve"> </w:t>
      </w:r>
      <w:proofErr w:type="spellStart"/>
      <w:r w:rsidRPr="00375315">
        <w:rPr>
          <w:color w:val="auto"/>
        </w:rPr>
        <w:t>zákonov</w:t>
      </w:r>
      <w:proofErr w:type="spellEnd"/>
      <w:r w:rsidRPr="00375315">
        <w:rPr>
          <w:color w:val="auto"/>
        </w:rPr>
        <w:t xml:space="preserve"> v </w:t>
      </w:r>
      <w:proofErr w:type="spellStart"/>
      <w:r w:rsidRPr="00375315">
        <w:rPr>
          <w:color w:val="auto"/>
        </w:rPr>
        <w:t>znení</w:t>
      </w:r>
      <w:proofErr w:type="spellEnd"/>
      <w:r w:rsidRPr="00375315">
        <w:rPr>
          <w:color w:val="auto"/>
        </w:rPr>
        <w:t xml:space="preserve"> </w:t>
      </w:r>
      <w:proofErr w:type="spellStart"/>
      <w:r w:rsidRPr="00375315">
        <w:rPr>
          <w:color w:val="auto"/>
        </w:rPr>
        <w:t>neskorších</w:t>
      </w:r>
      <w:proofErr w:type="spellEnd"/>
      <w:r w:rsidRPr="00375315">
        <w:rPr>
          <w:color w:val="auto"/>
        </w:rPr>
        <w:t xml:space="preserve"> </w:t>
      </w:r>
      <w:proofErr w:type="spellStart"/>
      <w:r w:rsidRPr="00375315">
        <w:rPr>
          <w:color w:val="auto"/>
        </w:rPr>
        <w:t>predpisov</w:t>
      </w:r>
      <w:proofErr w:type="spellEnd"/>
      <w:r w:rsidRPr="00375315">
        <w:rPr>
          <w:color w:val="auto"/>
        </w:rPr>
        <w:t xml:space="preserve"> </w:t>
      </w:r>
      <w:r w:rsidRPr="00375315">
        <w:rPr>
          <w:b/>
          <w:color w:val="auto"/>
        </w:rPr>
        <w:t>(tlač 1025)</w:t>
      </w:r>
    </w:p>
    <w:p w:rsidR="00834934" w:rsidRDefault="00834934" w:rsidP="00834934">
      <w:pPr>
        <w:spacing w:line="276" w:lineRule="auto"/>
        <w:jc w:val="both"/>
      </w:pPr>
    </w:p>
    <w:p w:rsidR="000E41CE" w:rsidRPr="000C14DD" w:rsidRDefault="000E41CE" w:rsidP="000E41CE">
      <w:pPr>
        <w:widowControl w:val="0"/>
      </w:pPr>
    </w:p>
    <w:p w:rsidR="000E41CE" w:rsidRDefault="000E41CE" w:rsidP="000E41CE">
      <w:pPr>
        <w:pStyle w:val="Odsekzoznamu"/>
        <w:widowControl w:val="0"/>
        <w:numPr>
          <w:ilvl w:val="0"/>
          <w:numId w:val="36"/>
        </w:numPr>
        <w:spacing w:after="160" w:line="259" w:lineRule="auto"/>
        <w:ind w:left="705"/>
        <w:contextualSpacing/>
      </w:pPr>
      <w:r>
        <w:t xml:space="preserve">V čl. I bode 1 sa na konci pripájajú tieto slová: „okrem § 12 druhého bodu“.      </w:t>
      </w:r>
    </w:p>
    <w:p w:rsidR="000E41CE" w:rsidRPr="000C14DD" w:rsidRDefault="000E41CE" w:rsidP="000E41CE">
      <w:pPr>
        <w:pStyle w:val="Odsekzoznamu"/>
        <w:widowControl w:val="0"/>
        <w:ind w:left="705"/>
      </w:pPr>
      <w:r>
        <w:br/>
        <w:t xml:space="preserve">                                                          </w:t>
      </w:r>
    </w:p>
    <w:p w:rsidR="000E41CE" w:rsidRDefault="000E41CE" w:rsidP="000E41CE">
      <w:pPr>
        <w:widowControl w:val="0"/>
        <w:ind w:left="2836"/>
        <w:jc w:val="both"/>
      </w:pPr>
      <w:r>
        <w:t xml:space="preserve">Legislatívno-technická úprava, cieľom ktorej je precizovať, že  novelizačná inštrukcia sa vzťahuje len na zmenu gestora v oblasti drogových prekurzorov, a nie na názov vyhlášky </w:t>
      </w:r>
      <w:r w:rsidRPr="00525CF2">
        <w:t>Ministerstva hospodárstva Slovenskej republiky č. 349/2003 Z. z., ktorou sa vykonávajú niektoré ustanovenia zákona č. 219/2003 Z. z. o zaobchádzaní s chemickými látkami, ktoré možno zneužiť na nezákonnú výrobu omamných látok a psychotropných látok a o zmene zákona č. 455/1991 Zb. o živnostenskom podnikaní (živnostenský zákon) v znení neskorších predpisov v znení vyhlášky Ministerstva hospodárstva Slovenskej republiky č. 101/2004 Z. z.</w:t>
      </w:r>
      <w:r>
        <w:t xml:space="preserve"> v zrušovacom ustanovení.  </w:t>
      </w:r>
    </w:p>
    <w:p w:rsidR="000E41CE" w:rsidRDefault="000E41CE" w:rsidP="000E41CE">
      <w:pPr>
        <w:widowControl w:val="0"/>
        <w:ind w:left="4176"/>
        <w:jc w:val="both"/>
      </w:pPr>
    </w:p>
    <w:p w:rsidR="000E41CE" w:rsidRDefault="000E41CE" w:rsidP="000E41CE">
      <w:pPr>
        <w:pStyle w:val="Odsekzoznamu"/>
        <w:numPr>
          <w:ilvl w:val="0"/>
          <w:numId w:val="36"/>
        </w:numPr>
        <w:spacing w:after="160" w:line="259" w:lineRule="auto"/>
        <w:ind w:left="705"/>
        <w:contextualSpacing/>
      </w:pPr>
      <w:r>
        <w:t>V čl. I bod 6 znie:</w:t>
      </w:r>
    </w:p>
    <w:p w:rsidR="000E41CE" w:rsidRDefault="000E41CE" w:rsidP="000E41CE">
      <w:pPr>
        <w:pStyle w:val="Odsekzoznamu"/>
        <w:ind w:left="705"/>
      </w:pPr>
      <w:r>
        <w:t>„6. Poznámka pod čiarou k odkazu 11 znie:</w:t>
      </w:r>
    </w:p>
    <w:p w:rsidR="000E41CE" w:rsidRDefault="000E41CE" w:rsidP="000E41CE">
      <w:pPr>
        <w:pStyle w:val="Odsekzoznamu"/>
        <w:ind w:left="705"/>
        <w:jc w:val="both"/>
      </w:pPr>
      <w:r>
        <w:t>„</w:t>
      </w:r>
      <w:r w:rsidRPr="00A91ED5">
        <w:rPr>
          <w:vertAlign w:val="superscript"/>
        </w:rPr>
        <w:t>1</w:t>
      </w:r>
      <w:r>
        <w:rPr>
          <w:vertAlign w:val="superscript"/>
        </w:rPr>
        <w:t>1</w:t>
      </w:r>
      <w:r w:rsidRPr="00A91ED5">
        <w:t xml:space="preserve">) </w:t>
      </w:r>
      <w:r w:rsidRPr="00765BBD">
        <w:t xml:space="preserve">Čl. 3 a čl. 14 písm. </w:t>
      </w:r>
      <w:r>
        <w:t>c</w:t>
      </w:r>
      <w:r w:rsidRPr="00765BBD">
        <w:t>) nariadenia (ES)</w:t>
      </w:r>
      <w:r>
        <w:t xml:space="preserve"> </w:t>
      </w:r>
      <w:r w:rsidRPr="00765BBD">
        <w:t>č. 273/2004</w:t>
      </w:r>
      <w:r>
        <w:t xml:space="preserve"> v platnom znení, čl. 6 až 8</w:t>
      </w:r>
      <w:r w:rsidRPr="007A25E0">
        <w:t xml:space="preserve"> </w:t>
      </w:r>
      <w:r>
        <w:rPr>
          <w:bCs/>
          <w:shd w:val="clear" w:color="auto" w:fill="FFFFFF"/>
        </w:rPr>
        <w:t>nariadenia</w:t>
      </w:r>
      <w:r w:rsidRPr="007A25E0">
        <w:rPr>
          <w:bCs/>
          <w:shd w:val="clear" w:color="auto" w:fill="FFFFFF"/>
        </w:rPr>
        <w:t xml:space="preserve"> (ES) č. 111/2005</w:t>
      </w:r>
      <w:r>
        <w:rPr>
          <w:bCs/>
          <w:shd w:val="clear" w:color="auto" w:fill="FFFFFF"/>
        </w:rPr>
        <w:t xml:space="preserve"> v platnom znení a </w:t>
      </w:r>
      <w:r w:rsidRPr="00862C7A">
        <w:rPr>
          <w:bCs/>
          <w:shd w:val="clear" w:color="auto" w:fill="FFFFFF"/>
        </w:rPr>
        <w:t>čl. 3 až 6 delegovaného nariadenia Komisie (EÚ) 2015/1011 z 24. apríla 2015, ktorým sa dopĺňa nariadenie Európskeho parlamentu a Rady (ES) č. 273/2004 o prekurzoroch drog a nariadenie Rady (ES) č. 111/2005, ktorým sa stanovujú pravidlá sledovania obchodu s drogovými prekurzormi medzi Spoločenstvom a tretími krajinami, a ktorým sa zrušuje nariadenie Komisie (ES) č. 1277/2005</w:t>
      </w:r>
      <w:r>
        <w:rPr>
          <w:bCs/>
          <w:shd w:val="clear" w:color="auto" w:fill="FFFFFF"/>
        </w:rPr>
        <w:t xml:space="preserve"> (Ú. v. EÚ L 162, 27.6.2015)</w:t>
      </w:r>
      <w:r>
        <w:t xml:space="preserve">“.“. </w:t>
      </w:r>
    </w:p>
    <w:p w:rsidR="000E41CE" w:rsidRDefault="000E41CE" w:rsidP="000E41CE">
      <w:pPr>
        <w:pStyle w:val="Odsekzoznamu"/>
        <w:ind w:left="705"/>
      </w:pPr>
    </w:p>
    <w:p w:rsidR="000E41CE" w:rsidRDefault="000E41CE" w:rsidP="000E41CE">
      <w:pPr>
        <w:pStyle w:val="Odsekzoznamu"/>
        <w:ind w:left="705"/>
      </w:pPr>
    </w:p>
    <w:p w:rsidR="000E41CE" w:rsidRPr="000C14DD" w:rsidRDefault="000E41CE" w:rsidP="000E41CE">
      <w:pPr>
        <w:widowControl w:val="0"/>
        <w:ind w:left="2836"/>
        <w:jc w:val="both"/>
      </w:pPr>
      <w:r>
        <w:t xml:space="preserve">V poznámke pod čiarou k odkazu 11 je doplnená citácia </w:t>
      </w:r>
      <w:r w:rsidRPr="007A25E0">
        <w:t>čl. 6 až 8 nariadenia 111/2005</w:t>
      </w:r>
      <w:r>
        <w:t xml:space="preserve"> a </w:t>
      </w:r>
      <w:r w:rsidRPr="007A25E0">
        <w:t xml:space="preserve">čl. 3 až 6 </w:t>
      </w:r>
      <w:r>
        <w:rPr>
          <w:bCs/>
          <w:shd w:val="clear" w:color="auto" w:fill="FFFFFF"/>
        </w:rPr>
        <w:t>delegovaného nariadenia</w:t>
      </w:r>
      <w:r w:rsidRPr="007A25E0">
        <w:rPr>
          <w:bCs/>
          <w:shd w:val="clear" w:color="auto" w:fill="FFFFFF"/>
        </w:rPr>
        <w:t xml:space="preserve"> (EÚ) 2015/1011</w:t>
      </w:r>
      <w:r>
        <w:rPr>
          <w:bCs/>
          <w:shd w:val="clear" w:color="auto" w:fill="FFFFFF"/>
        </w:rPr>
        <w:t xml:space="preserve">, </w:t>
      </w:r>
      <w:r w:rsidRPr="007A25E0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ktoré tiež upravujú </w:t>
      </w:r>
      <w:r w:rsidRPr="00D53925">
        <w:rPr>
          <w:bCs/>
          <w:shd w:val="clear" w:color="auto" w:fill="FFFFFF"/>
        </w:rPr>
        <w:t>vydáva</w:t>
      </w:r>
      <w:r>
        <w:rPr>
          <w:bCs/>
          <w:shd w:val="clear" w:color="auto" w:fill="FFFFFF"/>
        </w:rPr>
        <w:t>nie</w:t>
      </w:r>
      <w:r w:rsidRPr="00D53925">
        <w:rPr>
          <w:bCs/>
          <w:shd w:val="clear" w:color="auto" w:fill="FFFFFF"/>
        </w:rPr>
        <w:t xml:space="preserve"> povolenia, osobitné</w:t>
      </w:r>
      <w:r>
        <w:rPr>
          <w:bCs/>
          <w:shd w:val="clear" w:color="auto" w:fill="FFFFFF"/>
        </w:rPr>
        <w:t>ho</w:t>
      </w:r>
      <w:r w:rsidRPr="00D53925">
        <w:rPr>
          <w:bCs/>
          <w:shd w:val="clear" w:color="auto" w:fill="FFFFFF"/>
        </w:rPr>
        <w:t xml:space="preserve"> povol</w:t>
      </w:r>
      <w:r>
        <w:rPr>
          <w:bCs/>
          <w:shd w:val="clear" w:color="auto" w:fill="FFFFFF"/>
        </w:rPr>
        <w:t>enia, registrácie alebo osobitnej</w:t>
      </w:r>
      <w:r w:rsidRPr="00D53925">
        <w:rPr>
          <w:bCs/>
          <w:shd w:val="clear" w:color="auto" w:fill="FFFFFF"/>
        </w:rPr>
        <w:t xml:space="preserve"> registrácie</w:t>
      </w:r>
      <w:r>
        <w:t>.</w:t>
      </w:r>
    </w:p>
    <w:p w:rsidR="000E41CE" w:rsidRDefault="000E41CE" w:rsidP="000E41CE">
      <w:pPr>
        <w:pStyle w:val="Odsekzoznamu"/>
        <w:ind w:left="705"/>
      </w:pPr>
    </w:p>
    <w:p w:rsidR="000E41CE" w:rsidRDefault="000E41CE" w:rsidP="000E41CE">
      <w:pPr>
        <w:pStyle w:val="Odsekzoznamu"/>
        <w:ind w:left="705"/>
      </w:pPr>
    </w:p>
    <w:p w:rsidR="000E41CE" w:rsidRPr="00044276" w:rsidRDefault="000E41CE" w:rsidP="000E41CE">
      <w:pPr>
        <w:pStyle w:val="Odsekzoznamu"/>
        <w:numPr>
          <w:ilvl w:val="0"/>
          <w:numId w:val="36"/>
        </w:numPr>
        <w:spacing w:after="160" w:line="259" w:lineRule="auto"/>
        <w:ind w:left="705"/>
        <w:contextualSpacing/>
      </w:pPr>
      <w:r w:rsidRPr="00044276">
        <w:t>V čl. I</w:t>
      </w:r>
      <w:r>
        <w:t xml:space="preserve"> bode 7 poznámke pod čiarou k odkazu 13 sa na konci dopĺňajú slová: „a </w:t>
      </w:r>
      <w:r w:rsidRPr="00351A32">
        <w:t xml:space="preserve">čl. 11 a 12 delegovaného nariadenia </w:t>
      </w:r>
      <w:r>
        <w:t>(EÚ)</w:t>
      </w:r>
      <w:r w:rsidRPr="00351A32">
        <w:t xml:space="preserve"> </w:t>
      </w:r>
      <w:r>
        <w:t xml:space="preserve">č. </w:t>
      </w:r>
      <w:r w:rsidRPr="00351A32">
        <w:t>2015/1011</w:t>
      </w:r>
      <w:r>
        <w:t xml:space="preserve">.“. </w:t>
      </w:r>
    </w:p>
    <w:p w:rsidR="000E41CE" w:rsidRPr="00E40545" w:rsidRDefault="000E41CE" w:rsidP="000E41CE">
      <w:pPr>
        <w:pStyle w:val="Odsekzoznamu"/>
        <w:widowControl w:val="0"/>
        <w:ind w:left="705"/>
      </w:pPr>
    </w:p>
    <w:p w:rsidR="000E41CE" w:rsidRDefault="000E41CE" w:rsidP="000E41CE">
      <w:pPr>
        <w:widowControl w:val="0"/>
        <w:ind w:left="2836"/>
        <w:jc w:val="both"/>
      </w:pPr>
      <w:r w:rsidRPr="0058783E">
        <w:lastRenderedPageBreak/>
        <w:t>V</w:t>
      </w:r>
      <w:r>
        <w:t xml:space="preserve"> poznámke pod čiarou k odkazu 13</w:t>
      </w:r>
      <w:r w:rsidRPr="0058783E">
        <w:t xml:space="preserve"> je doplnená citácia čl. 11 a 12 delegovaného nariadenia  č. 2015/1011</w:t>
      </w:r>
      <w:r>
        <w:t xml:space="preserve">, ktoré </w:t>
      </w:r>
      <w:r w:rsidRPr="0058783E">
        <w:t xml:space="preserve">bližšie </w:t>
      </w:r>
      <w:r>
        <w:t xml:space="preserve">upravujú </w:t>
      </w:r>
      <w:r w:rsidRPr="0058783E">
        <w:t xml:space="preserve">procesné pravidlá k </w:t>
      </w:r>
      <w:proofErr w:type="spellStart"/>
      <w:r w:rsidRPr="0058783E">
        <w:t>predvývozným</w:t>
      </w:r>
      <w:proofErr w:type="spellEnd"/>
      <w:r w:rsidRPr="0058783E">
        <w:t xml:space="preserve"> opatreniam</w:t>
      </w:r>
      <w:r>
        <w:t>.</w:t>
      </w:r>
    </w:p>
    <w:p w:rsidR="000E41CE" w:rsidRDefault="000E41CE" w:rsidP="000E41CE">
      <w:pPr>
        <w:widowControl w:val="0"/>
        <w:ind w:left="4176"/>
        <w:jc w:val="both"/>
      </w:pPr>
      <w:r>
        <w:t> </w:t>
      </w:r>
    </w:p>
    <w:p w:rsidR="000E41CE" w:rsidRPr="00BE2039" w:rsidRDefault="000E41CE" w:rsidP="000E41CE">
      <w:pPr>
        <w:widowControl w:val="0"/>
        <w:ind w:left="4176"/>
        <w:jc w:val="both"/>
      </w:pPr>
      <w:bookmarkStart w:id="0" w:name="_GoBack"/>
      <w:bookmarkEnd w:id="0"/>
    </w:p>
    <w:p w:rsidR="000E41CE" w:rsidRPr="00391376" w:rsidRDefault="000E41CE" w:rsidP="000E41CE">
      <w:pPr>
        <w:pStyle w:val="Odsekzoznamu"/>
        <w:widowControl w:val="0"/>
        <w:numPr>
          <w:ilvl w:val="0"/>
          <w:numId w:val="36"/>
        </w:numPr>
        <w:spacing w:after="160" w:line="259" w:lineRule="auto"/>
        <w:ind w:left="705"/>
        <w:contextualSpacing/>
      </w:pPr>
      <w:r w:rsidRPr="00391376">
        <w:t>V čl. I bode 27 sa doterajší text § 10b označuje ako odsek 1 a dopĺňa sa odsekom 2, ktorý znie:</w:t>
      </w:r>
    </w:p>
    <w:p w:rsidR="000E41CE" w:rsidRPr="00E40545" w:rsidRDefault="000E41CE" w:rsidP="000E41CE">
      <w:pPr>
        <w:pStyle w:val="Odsekzoznamu"/>
        <w:widowControl w:val="0"/>
        <w:ind w:left="705"/>
        <w:jc w:val="both"/>
      </w:pPr>
      <w:r>
        <w:t xml:space="preserve"> </w:t>
      </w:r>
      <w:r w:rsidRPr="00391376">
        <w:t xml:space="preserve">„(2) Všeobecne záväzný právny predpis vydaný Ministerstvom hospodárstva Slovenskej republiky podľa § 4 ods. 5 </w:t>
      </w:r>
      <w:r>
        <w:t xml:space="preserve">zákona účinného do 31. decembra 2025 </w:t>
      </w:r>
      <w:r w:rsidRPr="00391376">
        <w:t xml:space="preserve">ostáva </w:t>
      </w:r>
      <w:r>
        <w:t> platný a účinný</w:t>
      </w:r>
      <w:r w:rsidRPr="00391376">
        <w:t xml:space="preserve"> do vydania nového všeobecne záväzného právneho predpisu Ministerstvom zdravotníctva Slovenskej republiky.“.</w:t>
      </w:r>
    </w:p>
    <w:p w:rsidR="000E41CE" w:rsidRPr="000C14DD" w:rsidRDefault="000E41CE" w:rsidP="000E41CE">
      <w:pPr>
        <w:widowControl w:val="0"/>
        <w:ind w:left="4176"/>
      </w:pPr>
    </w:p>
    <w:p w:rsidR="000E41CE" w:rsidRPr="000C14DD" w:rsidRDefault="000E41CE" w:rsidP="000E41CE">
      <w:pPr>
        <w:widowControl w:val="0"/>
        <w:ind w:left="2836"/>
        <w:jc w:val="both"/>
      </w:pPr>
      <w:r>
        <w:t>Dopĺňa </w:t>
      </w:r>
      <w:r w:rsidRPr="00391376">
        <w:t>sa prechodné ustanovenie, aby bolo jednoznačné, že vyhláška Ministerstva hospodárstva Slovenskej republiky č. 380/2005 Z. z., ktorou sa ustanovuje rozsah, forma a termín podávania hlásení prevádzkovateľov o medzinárodnom obchode s určenými látkami a o uvádzaní určených látok na trh v znení vyhlášky č. 12/2011 Z. z. zostáva aj naďalej v platnosti, pokiaľ nebude zrušená novým vykonávacím predpisom Ministerstvom zdravotníctva Slovenskej republiky.</w:t>
      </w:r>
      <w:r>
        <w:t xml:space="preserve"> </w:t>
      </w:r>
    </w:p>
    <w:p w:rsidR="000E41CE" w:rsidRPr="005E1081" w:rsidRDefault="000E41CE" w:rsidP="000E41CE">
      <w:pPr>
        <w:tabs>
          <w:tab w:val="left" w:pos="993"/>
        </w:tabs>
      </w:pPr>
    </w:p>
    <w:p w:rsidR="000E41CE" w:rsidRDefault="000E41CE" w:rsidP="00834934">
      <w:pPr>
        <w:spacing w:line="276" w:lineRule="auto"/>
        <w:jc w:val="both"/>
      </w:pPr>
    </w:p>
    <w:sectPr w:rsidR="000E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08B6094"/>
    <w:multiLevelType w:val="multilevel"/>
    <w:tmpl w:val="A0E632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B9F"/>
    <w:multiLevelType w:val="hybridMultilevel"/>
    <w:tmpl w:val="3464462C"/>
    <w:lvl w:ilvl="0" w:tplc="911C48DA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6E46A2"/>
    <w:multiLevelType w:val="hybridMultilevel"/>
    <w:tmpl w:val="F9968C06"/>
    <w:lvl w:ilvl="0" w:tplc="041B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6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DA000B"/>
    <w:multiLevelType w:val="hybridMultilevel"/>
    <w:tmpl w:val="7AF23C9C"/>
    <w:lvl w:ilvl="0" w:tplc="3FB0C38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4A5870"/>
    <w:multiLevelType w:val="multilevel"/>
    <w:tmpl w:val="2EC6D7B2"/>
    <w:lvl w:ilvl="0">
      <w:start w:val="1"/>
      <w:numFmt w:val="decimal"/>
      <w:lvlText w:val="(%1)"/>
      <w:lvlJc w:val="left"/>
      <w:pPr>
        <w:ind w:left="1356" w:hanging="360"/>
      </w:pPr>
    </w:lvl>
    <w:lvl w:ilvl="1">
      <w:start w:val="1"/>
      <w:numFmt w:val="lowerLetter"/>
      <w:lvlText w:val="%2."/>
      <w:lvlJc w:val="left"/>
      <w:pPr>
        <w:ind w:left="2076" w:hanging="360"/>
      </w:pPr>
    </w:lvl>
    <w:lvl w:ilvl="2">
      <w:start w:val="1"/>
      <w:numFmt w:val="lowerRoman"/>
      <w:lvlText w:val="%3."/>
      <w:lvlJc w:val="right"/>
      <w:pPr>
        <w:ind w:left="2796" w:hanging="180"/>
      </w:pPr>
    </w:lvl>
    <w:lvl w:ilvl="3">
      <w:start w:val="1"/>
      <w:numFmt w:val="decimal"/>
      <w:lvlText w:val="%4."/>
      <w:lvlJc w:val="left"/>
      <w:pPr>
        <w:ind w:left="3516" w:hanging="360"/>
      </w:pPr>
    </w:lvl>
    <w:lvl w:ilvl="4">
      <w:start w:val="1"/>
      <w:numFmt w:val="lowerLetter"/>
      <w:lvlText w:val="%5."/>
      <w:lvlJc w:val="left"/>
      <w:pPr>
        <w:ind w:left="4236" w:hanging="360"/>
      </w:pPr>
    </w:lvl>
    <w:lvl w:ilvl="5">
      <w:start w:val="1"/>
      <w:numFmt w:val="lowerRoman"/>
      <w:lvlText w:val="%6."/>
      <w:lvlJc w:val="right"/>
      <w:pPr>
        <w:ind w:left="4956" w:hanging="180"/>
      </w:pPr>
    </w:lvl>
    <w:lvl w:ilvl="6">
      <w:start w:val="1"/>
      <w:numFmt w:val="decimal"/>
      <w:lvlText w:val="%7."/>
      <w:lvlJc w:val="left"/>
      <w:pPr>
        <w:ind w:left="5676" w:hanging="360"/>
      </w:pPr>
    </w:lvl>
    <w:lvl w:ilvl="7">
      <w:start w:val="1"/>
      <w:numFmt w:val="lowerLetter"/>
      <w:lvlText w:val="%8."/>
      <w:lvlJc w:val="left"/>
      <w:pPr>
        <w:ind w:left="6396" w:hanging="360"/>
      </w:pPr>
    </w:lvl>
    <w:lvl w:ilvl="8">
      <w:start w:val="1"/>
      <w:numFmt w:val="lowerRoman"/>
      <w:lvlText w:val="%9."/>
      <w:lvlJc w:val="right"/>
      <w:pPr>
        <w:ind w:left="7116" w:hanging="180"/>
      </w:pPr>
    </w:lvl>
  </w:abstractNum>
  <w:abstractNum w:abstractNumId="2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B63C2"/>
    <w:multiLevelType w:val="hybridMultilevel"/>
    <w:tmpl w:val="68A265A2"/>
    <w:lvl w:ilvl="0" w:tplc="58820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7"/>
  </w:num>
  <w:num w:numId="5">
    <w:abstractNumId w:val="7"/>
  </w:num>
  <w:num w:numId="6">
    <w:abstractNumId w:val="4"/>
  </w:num>
  <w:num w:numId="7">
    <w:abstractNumId w:val="26"/>
  </w:num>
  <w:num w:numId="8">
    <w:abstractNumId w:val="34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</w:num>
  <w:num w:numId="12">
    <w:abstractNumId w:val="19"/>
  </w:num>
  <w:num w:numId="13">
    <w:abstractNumId w:val="6"/>
  </w:num>
  <w:num w:numId="14">
    <w:abstractNumId w:val="11"/>
  </w:num>
  <w:num w:numId="15">
    <w:abstractNumId w:val="29"/>
  </w:num>
  <w:num w:numId="16">
    <w:abstractNumId w:val="13"/>
  </w:num>
  <w:num w:numId="17">
    <w:abstractNumId w:val="24"/>
  </w:num>
  <w:num w:numId="18">
    <w:abstractNumId w:val="3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"/>
  </w:num>
  <w:num w:numId="30">
    <w:abstractNumId w:val="22"/>
  </w:num>
  <w:num w:numId="31">
    <w:abstractNumId w:val="33"/>
  </w:num>
  <w:num w:numId="32">
    <w:abstractNumId w:val="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27F97"/>
    <w:rsid w:val="0003368B"/>
    <w:rsid w:val="00051D30"/>
    <w:rsid w:val="00051E06"/>
    <w:rsid w:val="00057C90"/>
    <w:rsid w:val="000678E9"/>
    <w:rsid w:val="000A08EA"/>
    <w:rsid w:val="000B7B4B"/>
    <w:rsid w:val="000C7B41"/>
    <w:rsid w:val="000D6ACE"/>
    <w:rsid w:val="000E41CE"/>
    <w:rsid w:val="00110DFC"/>
    <w:rsid w:val="001129EA"/>
    <w:rsid w:val="00113CAC"/>
    <w:rsid w:val="00116CD0"/>
    <w:rsid w:val="00134327"/>
    <w:rsid w:val="00135F48"/>
    <w:rsid w:val="001620F1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560E"/>
    <w:rsid w:val="00306C1C"/>
    <w:rsid w:val="00344BCE"/>
    <w:rsid w:val="0035162D"/>
    <w:rsid w:val="00353C60"/>
    <w:rsid w:val="00357D74"/>
    <w:rsid w:val="00375315"/>
    <w:rsid w:val="003847E8"/>
    <w:rsid w:val="00395AC3"/>
    <w:rsid w:val="00396086"/>
    <w:rsid w:val="003B14DF"/>
    <w:rsid w:val="003C78C9"/>
    <w:rsid w:val="00403133"/>
    <w:rsid w:val="00406D6E"/>
    <w:rsid w:val="0043259F"/>
    <w:rsid w:val="00452EDB"/>
    <w:rsid w:val="00496636"/>
    <w:rsid w:val="004E7EF1"/>
    <w:rsid w:val="0050084E"/>
    <w:rsid w:val="00511508"/>
    <w:rsid w:val="00533D0E"/>
    <w:rsid w:val="00534559"/>
    <w:rsid w:val="005535FB"/>
    <w:rsid w:val="005549F1"/>
    <w:rsid w:val="0057126D"/>
    <w:rsid w:val="0058601C"/>
    <w:rsid w:val="005931E3"/>
    <w:rsid w:val="005A7D28"/>
    <w:rsid w:val="005D0EBD"/>
    <w:rsid w:val="0060685F"/>
    <w:rsid w:val="00613C95"/>
    <w:rsid w:val="0062474B"/>
    <w:rsid w:val="0065558F"/>
    <w:rsid w:val="00674FC7"/>
    <w:rsid w:val="006757C1"/>
    <w:rsid w:val="006B6D45"/>
    <w:rsid w:val="006E1DB4"/>
    <w:rsid w:val="00720E42"/>
    <w:rsid w:val="0073290A"/>
    <w:rsid w:val="00740F25"/>
    <w:rsid w:val="007739C1"/>
    <w:rsid w:val="007A42AF"/>
    <w:rsid w:val="007A5662"/>
    <w:rsid w:val="007A6B8D"/>
    <w:rsid w:val="007B0CFB"/>
    <w:rsid w:val="007B2469"/>
    <w:rsid w:val="007D289B"/>
    <w:rsid w:val="007E029F"/>
    <w:rsid w:val="007E0475"/>
    <w:rsid w:val="008018F6"/>
    <w:rsid w:val="00826B85"/>
    <w:rsid w:val="00834934"/>
    <w:rsid w:val="00844F66"/>
    <w:rsid w:val="00856F62"/>
    <w:rsid w:val="0087694C"/>
    <w:rsid w:val="00891BB1"/>
    <w:rsid w:val="00894CD4"/>
    <w:rsid w:val="008F1359"/>
    <w:rsid w:val="00900583"/>
    <w:rsid w:val="00901424"/>
    <w:rsid w:val="00923103"/>
    <w:rsid w:val="00946264"/>
    <w:rsid w:val="00977D3D"/>
    <w:rsid w:val="00992331"/>
    <w:rsid w:val="00993E91"/>
    <w:rsid w:val="009A3F75"/>
    <w:rsid w:val="009C2138"/>
    <w:rsid w:val="009E3B1B"/>
    <w:rsid w:val="009E683A"/>
    <w:rsid w:val="00A070FA"/>
    <w:rsid w:val="00A17570"/>
    <w:rsid w:val="00A20FB1"/>
    <w:rsid w:val="00A23279"/>
    <w:rsid w:val="00A24FB1"/>
    <w:rsid w:val="00A309AF"/>
    <w:rsid w:val="00A5645E"/>
    <w:rsid w:val="00A750AE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74E77"/>
    <w:rsid w:val="00B90479"/>
    <w:rsid w:val="00B932BD"/>
    <w:rsid w:val="00BA4FC8"/>
    <w:rsid w:val="00BA601B"/>
    <w:rsid w:val="00BC2B04"/>
    <w:rsid w:val="00BF09B1"/>
    <w:rsid w:val="00BF51B3"/>
    <w:rsid w:val="00BF7858"/>
    <w:rsid w:val="00C36908"/>
    <w:rsid w:val="00C37441"/>
    <w:rsid w:val="00C46E57"/>
    <w:rsid w:val="00C50B7C"/>
    <w:rsid w:val="00C9009D"/>
    <w:rsid w:val="00CB677A"/>
    <w:rsid w:val="00CF206C"/>
    <w:rsid w:val="00D16878"/>
    <w:rsid w:val="00D25960"/>
    <w:rsid w:val="00D27EF9"/>
    <w:rsid w:val="00D469E5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303E"/>
    <w:rsid w:val="00FB0F8C"/>
    <w:rsid w:val="00FB33A5"/>
    <w:rsid w:val="00FC5461"/>
    <w:rsid w:val="00FD4940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D8B2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Bullet 1,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0084E"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0084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AB19-CC43-437E-AED3-BB79831C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55</cp:revision>
  <cp:lastPrinted>2025-09-22T07:01:00Z</cp:lastPrinted>
  <dcterms:created xsi:type="dcterms:W3CDTF">2019-01-14T09:00:00Z</dcterms:created>
  <dcterms:modified xsi:type="dcterms:W3CDTF">2025-11-24T10:12:00Z</dcterms:modified>
</cp:coreProperties>
</file>