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Odôvodnenie návrhu na prijatie uznesenia Národnej rady Slovenskej republiky 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  <w:rtl w:val="0"/>
        </w:rPr>
        <w:t xml:space="preserve">dotáciám poskytnutým Úradom podpredsedu vlády Slovenskej republiky pre plán obnovy a znalostnú ekonomiku a k návrhu na vykonanie poslaneckého prieskumu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na prijatie uznesenia Národnej rady Slovenskej republiky k dotáciám poskytnutým Úradom podpredsedu vlády Slovenskej republiky pre plán obnovy a znalostnú ekonomiku a k návrhu na vykonanie poslaneckého prieskumu sa týka výziev PK 1/2025 (biotechnológie) a PK 2/2025 (robotika a automatizácia), vyhlásených dňa 16. 6. 2025, a je predkladaný z dôvodu závažných podozrení týkajúcich sa transparentnosti, odborného posúdenia a možného politického ovplyvňovania procesu rozhodovania o pridelení verejných prostriedkov.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medializovaných informácií vyplýva, že dotáciu dostali spoločnosti personálne alebo finančne blízke zástupcom strany Hlas - sociálna demokracia, ktorej nominant viedol v čase prideľovania dotácií Úrad podpredsedu vlády Slovenskej republiky pre plán obnovy a znalostnú ekonomiku. Objavujú sa aj závažné pochybnosti o tom, či všetky podporené subjekty spĺňali odborné a vecné predpoklady stanovené vo výzvach, najmä pokiaľ ide o preukázateľnú činnosť v oblasti priemyselného výskumu a experimentálneho vývoja v biotechnológiách alebo v oblasti priemyselného výskumu a experimentálneho vývoja v robotike a automatizácii.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uvedené skutočnosti je nevyhnutné preveriť, či nedošlo ku konfliktu záujmov, k preferenčnému prístupu pre vybraných žiadateľov alebo k politicky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motivované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poskytovaniu dotácií vybraným žiadate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Národná rada Slovenskej republiky má povinnosť zabezpečiť nezávislú kontrolu, vyžiadanie relevantných dokumentov a prijatie opatrení, ktoré garantujú transparentnosť a zákonnosť pri nakladaní s verejnými prostriedkami. Vzhľadom na uvedené žiadame podpredsedu vlády Slovenskej republiky pre plán obnovy a znalostnú ekonomiku o zverejnenie kompletnej dokumentácie k obom výzvam a schválenie poslaneckého prieskumu, aby bolo zabezpečené transparentné preverenie všetkých skutočností.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