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 á v r h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z ...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 dopĺňa zákon č. 300/2005 Z. z. Trestný zákon v znení neskorších predpisov a ktorým sa dopĺňa zákon č. 301/2005 Z. z. Trestný poriadok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spacing w:after="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nálezu Ústavného súdu Slovenskej republiky č. 38/2019 Z. z., zákona č. 214/2019 Z. z., zákona č. 420/2019 Z. z., zákona č. 474/2019 Z. z., zákona č.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z., zákona č. 214/2024 Z. z., nálezu Ústavného súdu Slovenskej republiky č. 215/2024 Z. z., zákona č. 248/2024 Z. z., nálezu Ústavného súdu Slovenskej republiky č. 341/2024 Z. z., zákona č. 353/2024 Z. z., zákona č. 363/2024 Z. z., zákona č. 23/2025 Z. z., zákona č. 150/2025 a zákona č. 157/2025 Z. z. sa mení a dopĺňa takto: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32 sa za písmeno k) vkladá nové písmeno l), ktoré znie: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„l) trest účasti na výchovnom programe v ústave na výkon trestu odňatia slobody,“.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písmeno l) sa označuje ako písmeno m). 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34 ods. 7 sa za písmeno b) vkladá nové písmeno c), ktoré znie: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„c) odňatia slobody a účasti na výchovnom programe v ústave na výkon trestu odňatia slobody,“.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písmena c) až e) sa označujú ako písmena d) až f).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§ 64 sa vkladá nový § 64a, ktorý vrátane nadpisu znie: 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„§ 64a</w:t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Trest účasti na výchovnom programe v ústave na výkon trestu odňatia slobody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Trest účasti na výchovnom programe spočíva v tom, že sa odsúdenému počas doby výkonu tohto trestu nariadi účasť na výchovnom programe v ústave na výkon trestu v rozsahu a v lehote určenom v rozhodnutí súdu.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Súd môže uložiť trest účasti na výchovnom programe v rozsahu od 100 do 250 hodín, ak sa páchateľ dopustí trestného činu krádeže podľa § 212 ods. 1 písm. g) alebo ak to vyžaduje so zreteľom na doterajší spôsob života páchateľa a okolnosti spáchania činu, ochrana verejného poriadku, zdravia, mravnosti alebo majetku.“.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212 ods. 1 písm. e) sa na konci vypúšťa slovo „alebo“. 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212 ods. 1 písm. f) sa na konci vkladá slovo „alebo“. 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212 ods. 1 sa vkladá nové písmeno g), ktoré znie: 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„g) bol za obdobný čin v predchádzajúcich dvanástich mesiacoch odsúdený alebo postihnutý,“.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342 ods. 1 sa za písmeno j) vkladá nové písmeno k) ktoré znie: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„k) bez vážneho dôvodu nenastúpi na výkon trestu účasti na výchovnom programe v ústave na výkon trestu odňatia slobody v lehote stanovenej súdom, alebo sa dopustí závažného konania, ktorým marí výkon uloženého trestu účasti na výchovnom programe v ústave na výkon trestu.“. 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písmena k) a l) sa označujú ako l) a m). 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zákona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zákona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č. 161/2018 Z. z., 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č. 308/2021 Z. z., zákona č. 432/2021 Z. z., zákona č. 150/2022, zákona č. 340/2022 Z. z., zákona č. 398/2022 Z. z. zákona č. 49/2023 Z. z.,  zákona č. 113/2023 Z. z., zákona č. 192/2023 Z. z. zákona č. 40/2024 Z. z., zákona č. 248/2024 Z. z., zákona č. 353/2024 Z. z. a zákona č. 150/2025 Z. z. sa mení a dopĺňa takto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§ 444a sa vkladá nový § 444b, ktorý vrátane nadpisu znie: 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„§ 444b</w:t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Výkon trestu účasti na výchovnom programe v ústave na výkon trestu odňatia slobody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právoplatnom uložení trestu účasti na výchovnom programe v ústave na výkon trestu odňatia slobody upovedomí predseda senátu ústav na výkon trestu odňatia slobody, v ktorého obvode má odsúdený bydlisko.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Ústav na výkon trestu odňatia slobody bezodkladne informuje súd, ak odsúdený nenastúpil na výkon trestu účasti na výchovnom programe v ústave na výkon trestu odňatia slobody alebo ak odsúdený marí výkon uloženého trestu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súd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tieto skutočnosti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bez meškania oznámi okresnému prokurátorovi.“.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dňom vyhlásenia v Zbierke zákonov, okrem čl. I bodov 1 až 3, a bodu 7 a čl. II, ktoré nadobúdajú účinnosť 1. júla 2026.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Verdan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sk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Verdana" w:cs="Verdana" w:eastAsia="Verdana" w:hAnsi="Verdana"/>
      <w:color w:val="0067a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120" w:lineRule="auto"/>
    </w:pPr>
    <w:rPr>
      <w:rFonts w:ascii="Verdana" w:cs="Verdana" w:eastAsia="Verdana" w:hAnsi="Verdana"/>
      <w:color w:val="0067ac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</w:pPr>
    <w:rPr>
      <w:rFonts w:ascii="Verdana" w:cs="Verdana" w:eastAsia="Verdana" w:hAnsi="Verdana"/>
      <w:color w:val="0067a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color w:val="004d8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004d8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VwRX7r7RjiaUqL9liw2pVboTpw==">CgMxLjA4AHIhMUNYNURwbmtxWFh3Znhjd2xKMjhETW0tVFRySnd0RnhB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