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C0EB1" w14:textId="77777777" w:rsidR="002C65AB" w:rsidRDefault="002C65AB" w:rsidP="002C65AB">
      <w:pPr>
        <w:pStyle w:val="Nzov"/>
        <w:pBdr>
          <w:bottom w:val="single" w:sz="12" w:space="0" w:color="00000A"/>
        </w:pBdr>
        <w:jc w:val="center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N Á </w:t>
      </w:r>
      <w:r>
        <w:rPr>
          <w:rFonts w:ascii="Book Antiqua" w:hAnsi="Book Antiqua"/>
          <w:sz w:val="22"/>
          <w:szCs w:val="22"/>
          <w:lang w:val="de-DE"/>
        </w:rPr>
        <w:t>R O</w:t>
      </w:r>
      <w:r>
        <w:rPr>
          <w:rFonts w:ascii="Book Antiqua" w:hAnsi="Book Antiqua"/>
          <w:sz w:val="22"/>
          <w:szCs w:val="22"/>
        </w:rPr>
        <w:t xml:space="preserve"> D N Á   </w:t>
      </w:r>
      <w:r>
        <w:rPr>
          <w:rFonts w:ascii="Book Antiqua" w:hAnsi="Book Antiqua"/>
          <w:sz w:val="22"/>
          <w:szCs w:val="22"/>
          <w:lang w:val="de-DE"/>
        </w:rPr>
        <w:t>R A</w:t>
      </w:r>
      <w:r>
        <w:rPr>
          <w:rFonts w:ascii="Book Antiqua" w:hAnsi="Book Antiqua"/>
          <w:sz w:val="22"/>
          <w:szCs w:val="22"/>
        </w:rPr>
        <w:t> D A</w:t>
      </w:r>
      <w:r>
        <w:rPr>
          <w:rFonts w:ascii="Book Antiqua" w:hAnsi="Book Antiqua"/>
          <w:sz w:val="22"/>
          <w:szCs w:val="22"/>
          <w:lang w:val="de-DE"/>
        </w:rPr>
        <w:t xml:space="preserve">   </w:t>
      </w:r>
      <w:r>
        <w:rPr>
          <w:rFonts w:ascii="Book Antiqua" w:hAnsi="Book Antiqua"/>
          <w:sz w:val="22"/>
          <w:szCs w:val="22"/>
        </w:rPr>
        <w:t>S L O V E N S K E J   R E P U B L I K Y</w:t>
      </w:r>
    </w:p>
    <w:p w14:paraId="3ABC770A" w14:textId="77777777" w:rsidR="002C65AB" w:rsidRDefault="002C65AB" w:rsidP="002C65AB">
      <w:pPr>
        <w:pStyle w:val="Podtitul"/>
        <w:rPr>
          <w:rFonts w:ascii="Book Antiqua" w:eastAsia="Book Antiqua" w:hAnsi="Book Antiqua" w:cs="Book Antiqua"/>
          <w:sz w:val="22"/>
          <w:szCs w:val="22"/>
        </w:rPr>
      </w:pPr>
    </w:p>
    <w:p w14:paraId="6B2F9332" w14:textId="77777777" w:rsidR="002C65AB" w:rsidRDefault="002C65AB" w:rsidP="002C65AB">
      <w:pPr>
        <w:pStyle w:val="Podtitul"/>
        <w:jc w:val="center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IX. volebn</w:t>
      </w:r>
      <w:r>
        <w:rPr>
          <w:rFonts w:ascii="Book Antiqua" w:hAnsi="Book Antiqua"/>
          <w:sz w:val="22"/>
          <w:szCs w:val="22"/>
          <w:lang w:val="fr-FR"/>
        </w:rPr>
        <w:t xml:space="preserve">é </w:t>
      </w:r>
      <w:r>
        <w:rPr>
          <w:rFonts w:ascii="Book Antiqua" w:hAnsi="Book Antiqua"/>
          <w:sz w:val="22"/>
          <w:szCs w:val="22"/>
        </w:rPr>
        <w:t>obdobie</w:t>
      </w:r>
    </w:p>
    <w:p w14:paraId="1B2ED9D4" w14:textId="77777777" w:rsidR="002C65AB" w:rsidRDefault="002C65AB" w:rsidP="002C65AB">
      <w:pPr>
        <w:pStyle w:val="Podtitul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ab/>
      </w:r>
      <w:r>
        <w:rPr>
          <w:rFonts w:ascii="Book Antiqua" w:eastAsia="Book Antiqua" w:hAnsi="Book Antiqua" w:cs="Book Antiqua"/>
          <w:sz w:val="22"/>
          <w:szCs w:val="22"/>
        </w:rPr>
        <w:tab/>
      </w:r>
      <w:r>
        <w:rPr>
          <w:rFonts w:ascii="Book Antiqua" w:eastAsia="Book Antiqua" w:hAnsi="Book Antiqua" w:cs="Book Antiqua"/>
          <w:sz w:val="22"/>
          <w:szCs w:val="22"/>
        </w:rPr>
        <w:tab/>
      </w:r>
    </w:p>
    <w:p w14:paraId="6F676CCF" w14:textId="77777777" w:rsidR="002C65AB" w:rsidRDefault="002C65AB" w:rsidP="002C65AB">
      <w:pPr>
        <w:pStyle w:val="Podtitul"/>
        <w:rPr>
          <w:rFonts w:ascii="Book Antiqua" w:eastAsia="Book Antiqua" w:hAnsi="Book Antiqua" w:cs="Book Antiqua"/>
          <w:sz w:val="22"/>
          <w:szCs w:val="22"/>
        </w:rPr>
      </w:pPr>
    </w:p>
    <w:p w14:paraId="6DC63662" w14:textId="77777777" w:rsidR="002C65AB" w:rsidRDefault="002C65AB" w:rsidP="002C65AB">
      <w:pPr>
        <w:pStyle w:val="Podtitul"/>
        <w:rPr>
          <w:rFonts w:ascii="Book Antiqua" w:eastAsia="Book Antiqua" w:hAnsi="Book Antiqua" w:cs="Book Antiqua"/>
          <w:sz w:val="22"/>
          <w:szCs w:val="22"/>
        </w:rPr>
      </w:pPr>
    </w:p>
    <w:p w14:paraId="68215119" w14:textId="77777777" w:rsidR="002C65AB" w:rsidRDefault="002C65AB" w:rsidP="002C65AB">
      <w:pPr>
        <w:pStyle w:val="Podtitul"/>
        <w:jc w:val="center"/>
        <w:rPr>
          <w:rFonts w:ascii="Book Antiqua" w:eastAsia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 xml:space="preserve">N </w:t>
      </w:r>
      <w:r>
        <w:rPr>
          <w:rFonts w:ascii="Book Antiqua" w:hAnsi="Book Antiqua"/>
          <w:b/>
          <w:bCs/>
          <w:sz w:val="22"/>
          <w:szCs w:val="22"/>
          <w:lang w:val="pt-PT"/>
        </w:rPr>
        <w:t xml:space="preserve">á </w:t>
      </w:r>
      <w:r>
        <w:rPr>
          <w:rFonts w:ascii="Book Antiqua" w:hAnsi="Book Antiqua"/>
          <w:b/>
          <w:bCs/>
          <w:sz w:val="22"/>
          <w:szCs w:val="22"/>
        </w:rPr>
        <w:t>v r h</w:t>
      </w:r>
    </w:p>
    <w:p w14:paraId="613123E4" w14:textId="77777777" w:rsidR="002C65AB" w:rsidRDefault="002C65AB" w:rsidP="002C65AB">
      <w:pPr>
        <w:pStyle w:val="Podtitul"/>
        <w:jc w:val="center"/>
        <w:rPr>
          <w:rFonts w:ascii="Book Antiqua" w:eastAsia="Book Antiqua" w:hAnsi="Book Antiqua" w:cs="Book Antiqua"/>
          <w:b/>
          <w:bCs/>
          <w:sz w:val="22"/>
          <w:szCs w:val="22"/>
        </w:rPr>
      </w:pPr>
    </w:p>
    <w:p w14:paraId="353ACCAD" w14:textId="0A3DDB49" w:rsidR="002C65AB" w:rsidRDefault="002C65AB" w:rsidP="002C65AB">
      <w:pPr>
        <w:pStyle w:val="Podtitul"/>
        <w:spacing w:before="120" w:after="120"/>
        <w:jc w:val="center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poslancov Národnej rady Slovenskej republiky</w:t>
      </w:r>
    </w:p>
    <w:p w14:paraId="2BCAE370" w14:textId="3A2EEF45" w:rsidR="002C65AB" w:rsidRDefault="002C65AB" w:rsidP="002C65AB">
      <w:pPr>
        <w:pStyle w:val="Podtitul"/>
        <w:spacing w:before="120" w:after="120"/>
        <w:jc w:val="center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Rastislava KRÁ</w:t>
      </w:r>
      <w:r>
        <w:rPr>
          <w:rFonts w:ascii="Book Antiqua" w:hAnsi="Book Antiqua"/>
          <w:sz w:val="22"/>
          <w:szCs w:val="22"/>
          <w:lang w:val="de-DE"/>
        </w:rPr>
        <w:t>TKEHO</w:t>
      </w:r>
      <w:r w:rsidR="00801237">
        <w:rPr>
          <w:rFonts w:ascii="Book Antiqua" w:hAnsi="Book Antiqua"/>
          <w:sz w:val="22"/>
          <w:szCs w:val="22"/>
          <w:lang w:val="de-DE"/>
        </w:rPr>
        <w:t>, Petra STACHURU, Mareka KRAJČÍHO</w:t>
      </w:r>
      <w:r>
        <w:rPr>
          <w:rFonts w:ascii="Book Antiqua" w:hAnsi="Book Antiqua"/>
          <w:sz w:val="22"/>
          <w:szCs w:val="22"/>
          <w:lang w:val="de-DE"/>
        </w:rPr>
        <w:t xml:space="preserve"> a Richarda VAŠEČKU</w:t>
      </w:r>
    </w:p>
    <w:p w14:paraId="21840A51" w14:textId="77777777" w:rsidR="002C65AB" w:rsidRDefault="002C65AB" w:rsidP="002C65AB">
      <w:pPr>
        <w:pStyle w:val="TeloA"/>
        <w:rPr>
          <w:rFonts w:ascii="Book Antiqua" w:eastAsia="Book Antiqua" w:hAnsi="Book Antiqua" w:cs="Book Antiqua"/>
        </w:rPr>
      </w:pPr>
      <w:bookmarkStart w:id="0" w:name="_GoBack"/>
      <w:bookmarkEnd w:id="0"/>
    </w:p>
    <w:p w14:paraId="618C9BF7" w14:textId="77777777" w:rsidR="002C65AB" w:rsidRDefault="002C65AB" w:rsidP="002C65AB">
      <w:pPr>
        <w:pStyle w:val="TeloA"/>
        <w:jc w:val="center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n a  p r i j a t i e</w:t>
      </w:r>
    </w:p>
    <w:p w14:paraId="6A484B10" w14:textId="77777777" w:rsidR="002C65AB" w:rsidRPr="002C65AB" w:rsidRDefault="002C65AB" w:rsidP="002C65AB">
      <w:pPr>
        <w:pStyle w:val="TeloA"/>
        <w:jc w:val="center"/>
        <w:rPr>
          <w:rFonts w:ascii="Book Antiqua" w:eastAsia="Book Antiqua" w:hAnsi="Book Antiqua" w:cs="Book Antiqua"/>
        </w:rPr>
      </w:pPr>
    </w:p>
    <w:p w14:paraId="1F11ACFB" w14:textId="09A0A985" w:rsidR="002C65AB" w:rsidRDefault="00900DF0" w:rsidP="002C65AB">
      <w:pPr>
        <w:pStyle w:val="TeloA"/>
        <w:tabs>
          <w:tab w:val="left" w:pos="1095"/>
        </w:tabs>
        <w:spacing w:before="120" w:after="0" w:line="276" w:lineRule="auto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  <w:sz w:val="24"/>
          <w:szCs w:val="24"/>
        </w:rPr>
        <w:t xml:space="preserve">uznesenia </w:t>
      </w:r>
      <w:r w:rsidRPr="00900DF0">
        <w:rPr>
          <w:rFonts w:ascii="Book Antiqua" w:hAnsi="Book Antiqua"/>
          <w:b/>
          <w:bCs/>
          <w:sz w:val="24"/>
          <w:szCs w:val="24"/>
        </w:rPr>
        <w:t>k aktuálnej situácii vo výskyte vírusovej hepatitídy typu A na území Slovenskej republiky</w:t>
      </w:r>
      <w:r w:rsidR="002C65AB">
        <w:rPr>
          <w:rFonts w:ascii="Book Antiqua" w:hAnsi="Book Antiqua"/>
          <w:b/>
          <w:bCs/>
        </w:rPr>
        <w:t xml:space="preserve"> </w:t>
      </w:r>
    </w:p>
    <w:p w14:paraId="11FD7E1A" w14:textId="77777777" w:rsidR="00900DF0" w:rsidRDefault="00900DF0" w:rsidP="002C65AB">
      <w:pPr>
        <w:pStyle w:val="TeloA"/>
        <w:tabs>
          <w:tab w:val="left" w:pos="1095"/>
        </w:tabs>
        <w:spacing w:before="120" w:after="0" w:line="276" w:lineRule="auto"/>
        <w:jc w:val="center"/>
        <w:rPr>
          <w:rFonts w:ascii="Book Antiqua" w:eastAsia="Book Antiqua" w:hAnsi="Book Antiqua" w:cs="Book Antiqua"/>
        </w:rPr>
      </w:pPr>
    </w:p>
    <w:p w14:paraId="0425D727" w14:textId="77777777" w:rsidR="002C65AB" w:rsidRDefault="002C65AB" w:rsidP="002C65AB">
      <w:pPr>
        <w:pStyle w:val="TeloA"/>
        <w:jc w:val="both"/>
        <w:rPr>
          <w:rFonts w:ascii="Book Antiqua" w:eastAsia="Book Antiqua" w:hAnsi="Book Antiqua" w:cs="Book Antiqua"/>
          <w:u w:val="single"/>
        </w:rPr>
      </w:pPr>
    </w:p>
    <w:tbl>
      <w:tblPr>
        <w:tblStyle w:val="TableNormal1"/>
        <w:tblW w:w="906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245"/>
        <w:gridCol w:w="427"/>
        <w:gridCol w:w="4394"/>
      </w:tblGrid>
      <w:tr w:rsidR="002C65AB" w14:paraId="1A1E2B55" w14:textId="77777777" w:rsidTr="004F5096">
        <w:trPr>
          <w:trHeight w:val="310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BAEF6" w14:textId="3F970B85" w:rsidR="002C65AB" w:rsidRDefault="002C65AB" w:rsidP="004F5096">
            <w:pPr>
              <w:pStyle w:val="TeloA"/>
              <w:spacing w:line="360" w:lineRule="auto"/>
            </w:pPr>
            <w:r>
              <w:rPr>
                <w:rFonts w:ascii="Book Antiqua" w:hAnsi="Book Antiqua"/>
                <w:u w:val="single"/>
                <w:lang w:val="pt-PT"/>
              </w:rPr>
              <w:t>P r e d k</w:t>
            </w:r>
            <w:r>
              <w:rPr>
                <w:rFonts w:ascii="Book Antiqua" w:hAnsi="Book Antiqua"/>
                <w:u w:val="single"/>
              </w:rPr>
              <w:t> l a</w:t>
            </w:r>
            <w:r w:rsidR="002D4180">
              <w:rPr>
                <w:rFonts w:ascii="Book Antiqua" w:hAnsi="Book Antiqua"/>
                <w:u w:val="single"/>
              </w:rPr>
              <w:t> </w:t>
            </w:r>
            <w:r>
              <w:rPr>
                <w:rFonts w:ascii="Book Antiqua" w:hAnsi="Book Antiqua"/>
                <w:u w:val="single"/>
              </w:rPr>
              <w:t>d</w:t>
            </w:r>
            <w:r w:rsidR="002D4180">
              <w:rPr>
                <w:rFonts w:ascii="Book Antiqua" w:hAnsi="Book Antiqua"/>
                <w:u w:val="single"/>
              </w:rPr>
              <w:t xml:space="preserve"> a </w:t>
            </w:r>
            <w:r w:rsidR="002D4180">
              <w:rPr>
                <w:rFonts w:ascii="Book Antiqua" w:hAnsi="Book Antiqua"/>
                <w:u w:val="single"/>
                <w:lang w:val="pt-PT"/>
              </w:rPr>
              <w:t xml:space="preserve">j ú </w:t>
            </w:r>
            <w:r>
              <w:rPr>
                <w:rFonts w:ascii="Book Antiqua" w:hAnsi="Book Antiqua"/>
                <w:u w:val="single"/>
                <w:lang w:val="pt-PT"/>
              </w:rPr>
              <w:t xml:space="preserve"> </w:t>
            </w:r>
            <w:r>
              <w:rPr>
                <w:rFonts w:ascii="Book Antiqua" w:hAnsi="Book Antiqua"/>
              </w:rPr>
              <w:t>: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3EB42" w14:textId="77777777" w:rsidR="002C65AB" w:rsidRDefault="002C65AB" w:rsidP="004F5096"/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51F49" w14:textId="77777777" w:rsidR="002C65AB" w:rsidRDefault="002C65AB" w:rsidP="004F5096">
            <w:pPr>
              <w:pStyle w:val="TeloA"/>
              <w:spacing w:line="360" w:lineRule="auto"/>
            </w:pPr>
            <w:r>
              <w:rPr>
                <w:rFonts w:ascii="Book Antiqua" w:hAnsi="Book Antiqua"/>
                <w:u w:val="single"/>
              </w:rPr>
              <w:t>Návrh na uznesenie</w:t>
            </w:r>
            <w:r>
              <w:rPr>
                <w:rFonts w:ascii="Book Antiqua" w:hAnsi="Book Antiqua"/>
              </w:rPr>
              <w:t>:</w:t>
            </w:r>
          </w:p>
        </w:tc>
      </w:tr>
      <w:tr w:rsidR="002C65AB" w14:paraId="480A47BA" w14:textId="77777777" w:rsidTr="004F5096">
        <w:trPr>
          <w:trHeight w:val="3735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1205E" w14:textId="0B013796" w:rsidR="002C65AB" w:rsidRDefault="002C65AB" w:rsidP="004F5096">
            <w:pPr>
              <w:pStyle w:val="TeloA"/>
              <w:spacing w:after="12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Rastislav KRÁTKY </w:t>
            </w:r>
            <w:r w:rsidR="00374C38">
              <w:rPr>
                <w:rFonts w:ascii="Book Antiqua" w:hAnsi="Book Antiqua"/>
              </w:rPr>
              <w:t xml:space="preserve">   v. r. </w:t>
            </w:r>
          </w:p>
          <w:p w14:paraId="487BD4CB" w14:textId="7B969A4D" w:rsidR="00A24AD7" w:rsidRDefault="00A24AD7" w:rsidP="004F5096">
            <w:pPr>
              <w:pStyle w:val="TeloA"/>
              <w:spacing w:after="12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Peter STACHURA</w:t>
            </w:r>
            <w:r w:rsidR="00374C38">
              <w:rPr>
                <w:rFonts w:ascii="Book Antiqua" w:hAnsi="Book Antiqua"/>
              </w:rPr>
              <w:t xml:space="preserve">     v. r.</w:t>
            </w:r>
          </w:p>
          <w:p w14:paraId="64AC5732" w14:textId="17795A61" w:rsidR="00A24AD7" w:rsidRDefault="00A24AD7" w:rsidP="004F5096">
            <w:pPr>
              <w:pStyle w:val="TeloA"/>
              <w:spacing w:after="120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hAnsi="Book Antiqua"/>
              </w:rPr>
              <w:t>Marek KRAJČÍ</w:t>
            </w:r>
            <w:r w:rsidR="00374C38">
              <w:rPr>
                <w:rFonts w:ascii="Book Antiqua" w:hAnsi="Book Antiqua"/>
              </w:rPr>
              <w:t xml:space="preserve">           v. r.</w:t>
            </w:r>
          </w:p>
          <w:p w14:paraId="4D44AF81" w14:textId="218FD715" w:rsidR="002C65AB" w:rsidRDefault="002C65AB" w:rsidP="004F5096">
            <w:pPr>
              <w:pStyle w:val="TeloA"/>
              <w:spacing w:after="120"/>
            </w:pPr>
            <w:r>
              <w:rPr>
                <w:rFonts w:ascii="Book Antiqua" w:hAnsi="Book Antiqua"/>
              </w:rPr>
              <w:t>R</w:t>
            </w:r>
            <w:r w:rsidR="002D4180">
              <w:rPr>
                <w:rFonts w:ascii="Book Antiqua" w:hAnsi="Book Antiqua"/>
              </w:rPr>
              <w:t xml:space="preserve">ichard VAŠEČKA </w:t>
            </w:r>
            <w:r w:rsidR="00374C38">
              <w:rPr>
                <w:rFonts w:ascii="Book Antiqua" w:hAnsi="Book Antiqua"/>
              </w:rPr>
              <w:t xml:space="preserve">  v. r.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DBE67" w14:textId="77777777" w:rsidR="002C65AB" w:rsidRDefault="002C65AB" w:rsidP="004F5096"/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E6DC1" w14:textId="378ED0F3" w:rsidR="002C65AB" w:rsidRDefault="002D4180" w:rsidP="002C65AB">
            <w:pPr>
              <w:pStyle w:val="Odsekzoznamu"/>
              <w:numPr>
                <w:ilvl w:val="0"/>
                <w:numId w:val="15"/>
              </w:numPr>
              <w:spacing w:before="120" w:line="276" w:lineRule="auto"/>
              <w:contextualSpacing w:val="0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</w:t>
            </w:r>
            <w:r w:rsidR="002C65AB">
              <w:rPr>
                <w:rFonts w:ascii="Book Antiqua" w:hAnsi="Book Antiqua"/>
              </w:rPr>
              <w:t>Návrh uznesenia Národnej rady Slovenskej republiky</w:t>
            </w:r>
          </w:p>
          <w:p w14:paraId="34D55404" w14:textId="4F382275" w:rsidR="002C65AB" w:rsidRDefault="002D4180" w:rsidP="002C65AB">
            <w:pPr>
              <w:pStyle w:val="Odsekzoznamu"/>
              <w:numPr>
                <w:ilvl w:val="0"/>
                <w:numId w:val="15"/>
              </w:numPr>
              <w:spacing w:before="120" w:line="276" w:lineRule="auto"/>
              <w:contextualSpacing w:val="0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</w:t>
            </w:r>
            <w:r w:rsidR="002C65AB">
              <w:rPr>
                <w:rFonts w:ascii="Book Antiqua" w:hAnsi="Book Antiqua"/>
              </w:rPr>
              <w:t>Odôvodnenie</w:t>
            </w:r>
          </w:p>
          <w:p w14:paraId="7704DB31" w14:textId="77777777" w:rsidR="002C65AB" w:rsidRDefault="002C65AB" w:rsidP="004F5096">
            <w:pPr>
              <w:pStyle w:val="TeloA"/>
              <w:spacing w:before="120" w:line="276" w:lineRule="auto"/>
              <w:jc w:val="both"/>
              <w:rPr>
                <w:rFonts w:ascii="Book Antiqua" w:eastAsia="Book Antiqua" w:hAnsi="Book Antiqua" w:cs="Book Antiqua"/>
              </w:rPr>
            </w:pPr>
          </w:p>
          <w:p w14:paraId="1059DA6B" w14:textId="77777777" w:rsidR="002C65AB" w:rsidRDefault="002C65AB" w:rsidP="004F5096">
            <w:pPr>
              <w:pStyle w:val="TeloA"/>
              <w:spacing w:before="120" w:line="276" w:lineRule="auto"/>
              <w:jc w:val="both"/>
              <w:rPr>
                <w:rFonts w:ascii="Book Antiqua" w:eastAsia="Book Antiqua" w:hAnsi="Book Antiqua" w:cs="Book Antiqua"/>
              </w:rPr>
            </w:pPr>
          </w:p>
          <w:p w14:paraId="621CF8D6" w14:textId="77777777" w:rsidR="002C65AB" w:rsidRDefault="002C65AB" w:rsidP="004F5096">
            <w:pPr>
              <w:pStyle w:val="TeloA"/>
              <w:jc w:val="both"/>
              <w:rPr>
                <w:rFonts w:ascii="Book Antiqua" w:eastAsia="Book Antiqua" w:hAnsi="Book Antiqua" w:cs="Book Antiqua"/>
              </w:rPr>
            </w:pPr>
          </w:p>
          <w:p w14:paraId="0C830BE7" w14:textId="77777777" w:rsidR="002C65AB" w:rsidRDefault="002C65AB" w:rsidP="004F5096">
            <w:pPr>
              <w:pStyle w:val="TeloA"/>
              <w:spacing w:before="120" w:line="360" w:lineRule="auto"/>
              <w:jc w:val="both"/>
              <w:rPr>
                <w:rFonts w:ascii="Book Antiqua" w:eastAsia="Book Antiqua" w:hAnsi="Book Antiqua" w:cs="Book Antiqua"/>
              </w:rPr>
            </w:pPr>
          </w:p>
          <w:p w14:paraId="1A6C4E73" w14:textId="77777777" w:rsidR="002C65AB" w:rsidRDefault="002C65AB" w:rsidP="004F5096">
            <w:pPr>
              <w:pStyle w:val="TeloA"/>
              <w:spacing w:line="360" w:lineRule="auto"/>
              <w:jc w:val="both"/>
            </w:pPr>
            <w:r>
              <w:rPr>
                <w:rFonts w:ascii="Book Antiqua" w:hAnsi="Book Antiqua"/>
              </w:rPr>
              <w:t xml:space="preserve"> </w:t>
            </w:r>
          </w:p>
        </w:tc>
      </w:tr>
    </w:tbl>
    <w:p w14:paraId="4D6E7C04" w14:textId="77777777" w:rsidR="002C65AB" w:rsidRDefault="002C65AB" w:rsidP="002C65AB">
      <w:pPr>
        <w:pStyle w:val="TeloA"/>
        <w:widowControl w:val="0"/>
        <w:spacing w:line="240" w:lineRule="auto"/>
        <w:ind w:left="108" w:hanging="108"/>
        <w:rPr>
          <w:rFonts w:ascii="Book Antiqua" w:eastAsia="Book Antiqua" w:hAnsi="Book Antiqua" w:cs="Book Antiqua"/>
          <w:u w:val="single"/>
        </w:rPr>
      </w:pPr>
    </w:p>
    <w:p w14:paraId="2298904E" w14:textId="77777777" w:rsidR="002C65AB" w:rsidRDefault="002C65AB" w:rsidP="002C65AB">
      <w:pPr>
        <w:pStyle w:val="TeloA"/>
        <w:spacing w:line="240" w:lineRule="auto"/>
        <w:rPr>
          <w:rFonts w:ascii="Book Antiqua" w:eastAsia="Book Antiqua" w:hAnsi="Book Antiqua" w:cs="Book Antiqua"/>
        </w:rPr>
      </w:pPr>
    </w:p>
    <w:p w14:paraId="4DEFC2F1" w14:textId="042995F5" w:rsidR="002C65AB" w:rsidRDefault="002C65AB" w:rsidP="002C65AB">
      <w:pPr>
        <w:pStyle w:val="TeloA"/>
        <w:rPr>
          <w:rFonts w:ascii="Book Antiqua" w:eastAsia="Book Antiqua" w:hAnsi="Book Antiqua" w:cs="Book Antiqua"/>
        </w:rPr>
      </w:pPr>
    </w:p>
    <w:p w14:paraId="070D564C" w14:textId="093F25E7" w:rsidR="002C65AB" w:rsidRDefault="002C65AB" w:rsidP="002C65AB">
      <w:pPr>
        <w:jc w:val="center"/>
        <w:rPr>
          <w:b/>
          <w:bCs/>
        </w:rPr>
      </w:pPr>
      <w:r>
        <w:rPr>
          <w:rFonts w:ascii="Book Antiqua" w:hAnsi="Book Antiqua"/>
        </w:rPr>
        <w:t>Bratislava november 2025</w:t>
      </w:r>
    </w:p>
    <w:p w14:paraId="7680E7D1" w14:textId="77777777" w:rsidR="002C65AB" w:rsidRDefault="002C65AB" w:rsidP="002C65AB">
      <w:pPr>
        <w:pStyle w:val="TeloA"/>
        <w:widowControl w:val="0"/>
        <w:pBdr>
          <w:bottom w:val="single" w:sz="12" w:space="0" w:color="000000"/>
        </w:pBdr>
        <w:spacing w:before="120" w:after="0" w:line="276" w:lineRule="auto"/>
        <w:jc w:val="center"/>
        <w:rPr>
          <w:rFonts w:ascii="Book Antiqua" w:eastAsia="Book Antiqua" w:hAnsi="Book Antiqua" w:cs="Book Antiqua"/>
        </w:rPr>
      </w:pPr>
      <w:r>
        <w:rPr>
          <w:rFonts w:ascii="Book Antiqua" w:hAnsi="Book Antiqua"/>
          <w:b/>
          <w:bCs/>
        </w:rPr>
        <w:lastRenderedPageBreak/>
        <w:t>NÁRODNÁ RADA SLOVENSKEJ REPUBLIKY</w:t>
      </w:r>
      <w:bookmarkStart w:id="1" w:name="_Hlk89090507"/>
      <w:bookmarkEnd w:id="1"/>
    </w:p>
    <w:p w14:paraId="4A4A278C" w14:textId="77777777" w:rsidR="002C65AB" w:rsidRDefault="002C65AB" w:rsidP="002C65AB">
      <w:pPr>
        <w:pStyle w:val="TeloA"/>
        <w:widowControl w:val="0"/>
        <w:spacing w:before="120" w:after="0" w:line="276" w:lineRule="auto"/>
        <w:jc w:val="center"/>
        <w:rPr>
          <w:rFonts w:ascii="Book Antiqua" w:eastAsia="Book Antiqua" w:hAnsi="Book Antiqua" w:cs="Book Antiqua"/>
        </w:rPr>
      </w:pPr>
    </w:p>
    <w:p w14:paraId="19DC11FC" w14:textId="77777777" w:rsidR="002C65AB" w:rsidRDefault="002C65AB" w:rsidP="002C65AB">
      <w:pPr>
        <w:pStyle w:val="TeloA"/>
        <w:widowControl w:val="0"/>
        <w:spacing w:before="120" w:after="0" w:line="276" w:lineRule="auto"/>
        <w:jc w:val="center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IX.  volebn</w:t>
      </w:r>
      <w:r>
        <w:rPr>
          <w:rFonts w:ascii="Book Antiqua" w:hAnsi="Book Antiqua"/>
          <w:lang w:val="fr-FR"/>
        </w:rPr>
        <w:t xml:space="preserve">é </w:t>
      </w:r>
      <w:r>
        <w:rPr>
          <w:rFonts w:ascii="Book Antiqua" w:hAnsi="Book Antiqua"/>
        </w:rPr>
        <w:t>obdobie</w:t>
      </w:r>
    </w:p>
    <w:p w14:paraId="2AAAA825" w14:textId="77777777" w:rsidR="002C65AB" w:rsidRDefault="002C65AB" w:rsidP="002C65AB">
      <w:pPr>
        <w:pStyle w:val="Zkladntext"/>
        <w:spacing w:before="120" w:line="276" w:lineRule="auto"/>
        <w:jc w:val="center"/>
        <w:rPr>
          <w:rFonts w:ascii="Book Antiqua" w:eastAsia="Book Antiqua" w:hAnsi="Book Antiqua" w:cs="Book Antiqua"/>
          <w:sz w:val="22"/>
          <w:szCs w:val="22"/>
        </w:rPr>
      </w:pPr>
    </w:p>
    <w:p w14:paraId="700164BC" w14:textId="77777777" w:rsidR="002C65AB" w:rsidRDefault="002C65AB" w:rsidP="002C65AB">
      <w:pPr>
        <w:pStyle w:val="Zkladntext"/>
        <w:spacing w:before="120" w:line="276" w:lineRule="auto"/>
        <w:jc w:val="center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Návrh</w:t>
      </w:r>
    </w:p>
    <w:p w14:paraId="00828393" w14:textId="77777777" w:rsidR="002C65AB" w:rsidRPr="002C65AB" w:rsidRDefault="002C65AB" w:rsidP="002C65AB">
      <w:pPr>
        <w:pStyle w:val="Zkladntext"/>
        <w:spacing w:before="120" w:line="276" w:lineRule="auto"/>
        <w:jc w:val="center"/>
        <w:rPr>
          <w:rFonts w:ascii="Book Antiqua" w:eastAsia="Book Antiqua" w:hAnsi="Book Antiqua" w:cs="Book Antiqua"/>
          <w:b/>
          <w:bCs/>
          <w:sz w:val="22"/>
          <w:szCs w:val="22"/>
        </w:rPr>
      </w:pPr>
    </w:p>
    <w:p w14:paraId="29FE5ADF" w14:textId="77777777" w:rsidR="002C65AB" w:rsidRPr="002C65AB" w:rsidRDefault="002C65AB" w:rsidP="002C65AB">
      <w:pPr>
        <w:pStyle w:val="Zkladntext"/>
        <w:spacing w:before="120" w:line="276" w:lineRule="auto"/>
        <w:jc w:val="center"/>
        <w:rPr>
          <w:rFonts w:ascii="Book Antiqua" w:eastAsia="Book Antiqua" w:hAnsi="Book Antiqua" w:cs="Book Antiqua"/>
          <w:b/>
          <w:bCs/>
          <w:sz w:val="22"/>
          <w:szCs w:val="22"/>
        </w:rPr>
      </w:pPr>
      <w:r w:rsidRPr="002C65AB">
        <w:rPr>
          <w:rFonts w:ascii="Book Antiqua" w:hAnsi="Book Antiqua"/>
          <w:b/>
          <w:bCs/>
          <w:sz w:val="22"/>
          <w:szCs w:val="22"/>
          <w:lang w:val="de-DE"/>
        </w:rPr>
        <w:t xml:space="preserve">UZNESENIE </w:t>
      </w:r>
    </w:p>
    <w:p w14:paraId="1DF0E6E5" w14:textId="77777777" w:rsidR="002C65AB" w:rsidRPr="002C65AB" w:rsidRDefault="002C65AB" w:rsidP="002C65AB">
      <w:pPr>
        <w:pStyle w:val="Zkladntext"/>
        <w:spacing w:before="120" w:line="276" w:lineRule="auto"/>
        <w:jc w:val="center"/>
        <w:rPr>
          <w:rFonts w:ascii="Book Antiqua" w:eastAsia="Book Antiqua" w:hAnsi="Book Antiqua" w:cs="Book Antiqua"/>
          <w:sz w:val="22"/>
          <w:szCs w:val="22"/>
        </w:rPr>
      </w:pPr>
      <w:r w:rsidRPr="002C65AB">
        <w:rPr>
          <w:rFonts w:ascii="Book Antiqua" w:hAnsi="Book Antiqua"/>
          <w:b/>
          <w:bCs/>
          <w:sz w:val="22"/>
          <w:szCs w:val="22"/>
        </w:rPr>
        <w:t>NÁ</w:t>
      </w:r>
      <w:r w:rsidRPr="002C65AB">
        <w:rPr>
          <w:rFonts w:ascii="Book Antiqua" w:hAnsi="Book Antiqua"/>
          <w:b/>
          <w:bCs/>
          <w:sz w:val="22"/>
          <w:szCs w:val="22"/>
          <w:lang w:val="es-ES_tradnl"/>
        </w:rPr>
        <w:t>RODNEJ RADY SLOVENSKEJ REPUBLIKY</w:t>
      </w:r>
    </w:p>
    <w:p w14:paraId="3DD6A1EA" w14:textId="77777777" w:rsidR="002C65AB" w:rsidRPr="002C65AB" w:rsidRDefault="002C65AB" w:rsidP="002C65AB">
      <w:pPr>
        <w:pStyle w:val="Zkladntext"/>
        <w:spacing w:before="120" w:line="276" w:lineRule="auto"/>
        <w:jc w:val="center"/>
        <w:rPr>
          <w:rFonts w:ascii="Book Antiqua" w:eastAsia="Book Antiqua" w:hAnsi="Book Antiqua" w:cs="Book Antiqua"/>
          <w:b/>
          <w:bCs/>
          <w:sz w:val="22"/>
          <w:szCs w:val="22"/>
        </w:rPr>
      </w:pPr>
    </w:p>
    <w:p w14:paraId="6E0E7179" w14:textId="66765E5A" w:rsidR="002C65AB" w:rsidRPr="002C65AB" w:rsidRDefault="002C65AB" w:rsidP="002C65AB">
      <w:pPr>
        <w:pStyle w:val="Zkladntext"/>
        <w:spacing w:before="120" w:line="276" w:lineRule="auto"/>
        <w:jc w:val="center"/>
        <w:rPr>
          <w:rFonts w:ascii="Book Antiqua" w:eastAsia="Book Antiqua" w:hAnsi="Book Antiqua" w:cs="Book Antiqua"/>
          <w:sz w:val="22"/>
          <w:szCs w:val="22"/>
        </w:rPr>
      </w:pPr>
      <w:r w:rsidRPr="002C65AB">
        <w:rPr>
          <w:rFonts w:ascii="Book Antiqua" w:hAnsi="Book Antiqua"/>
          <w:sz w:val="22"/>
          <w:szCs w:val="22"/>
        </w:rPr>
        <w:t>z ... 2025,</w:t>
      </w:r>
    </w:p>
    <w:p w14:paraId="3B2420D9" w14:textId="77777777" w:rsidR="002C65AB" w:rsidRPr="002C65AB" w:rsidRDefault="002C65AB" w:rsidP="002C65AB">
      <w:pPr>
        <w:pStyle w:val="TeloA"/>
        <w:spacing w:before="120" w:after="0" w:line="276" w:lineRule="auto"/>
        <w:rPr>
          <w:rFonts w:ascii="Book Antiqua" w:eastAsia="Book Antiqua" w:hAnsi="Book Antiqua" w:cs="Book Antiqua"/>
        </w:rPr>
      </w:pPr>
    </w:p>
    <w:p w14:paraId="179558D3" w14:textId="3A5D332E" w:rsidR="002C65AB" w:rsidRDefault="00900DF0" w:rsidP="002C65AB">
      <w:pPr>
        <w:pStyle w:val="TeloA"/>
        <w:tabs>
          <w:tab w:val="left" w:pos="1095"/>
        </w:tabs>
        <w:spacing w:before="120" w:after="0" w:line="276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900DF0">
        <w:rPr>
          <w:rFonts w:ascii="Book Antiqua" w:hAnsi="Book Antiqua"/>
          <w:b/>
          <w:bCs/>
          <w:sz w:val="24"/>
          <w:szCs w:val="24"/>
        </w:rPr>
        <w:t>k aktuálnej situácii vo výskyte vírusovej hepatitídy typu A na území Slovenskej republiky</w:t>
      </w:r>
    </w:p>
    <w:p w14:paraId="0D3C5092" w14:textId="77777777" w:rsidR="00900DF0" w:rsidRDefault="00900DF0" w:rsidP="002C65AB">
      <w:pPr>
        <w:pStyle w:val="TeloA"/>
        <w:tabs>
          <w:tab w:val="left" w:pos="1095"/>
        </w:tabs>
        <w:spacing w:before="120" w:after="0" w:line="276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p w14:paraId="235EF43E" w14:textId="77777777" w:rsidR="00EF7392" w:rsidRDefault="00EF7392" w:rsidP="002C65AB">
      <w:pPr>
        <w:pStyle w:val="TeloA"/>
        <w:tabs>
          <w:tab w:val="left" w:pos="1095"/>
        </w:tabs>
        <w:spacing w:before="120" w:after="0" w:line="276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p w14:paraId="79B1B981" w14:textId="77777777" w:rsidR="00EF7906" w:rsidRDefault="00DC5DB1" w:rsidP="0084096D">
      <w:pPr>
        <w:pStyle w:val="TeloA"/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  <w:b/>
          <w:bCs/>
        </w:rPr>
      </w:pPr>
      <w:r w:rsidRPr="00DC5DB1">
        <w:rPr>
          <w:rFonts w:ascii="Book Antiqua" w:hAnsi="Book Antiqua"/>
          <w:b/>
          <w:bCs/>
        </w:rPr>
        <w:t>Národná rada Slovenskej republiky</w:t>
      </w:r>
      <w:r w:rsidR="0084096D">
        <w:rPr>
          <w:rFonts w:ascii="Book Antiqua" w:hAnsi="Book Antiqua"/>
          <w:b/>
          <w:bCs/>
        </w:rPr>
        <w:t xml:space="preserve">, </w:t>
      </w:r>
    </w:p>
    <w:p w14:paraId="7B43CEFB" w14:textId="2794273B" w:rsidR="0084096D" w:rsidRPr="0084096D" w:rsidRDefault="0084096D" w:rsidP="0084096D">
      <w:pPr>
        <w:pStyle w:val="TeloA"/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</w:rPr>
      </w:pPr>
      <w:r w:rsidRPr="0084096D">
        <w:rPr>
          <w:rFonts w:ascii="Book Antiqua" w:hAnsi="Book Antiqua"/>
        </w:rPr>
        <w:t>vzhľadom na</w:t>
      </w:r>
    </w:p>
    <w:p w14:paraId="7368769B" w14:textId="77777777" w:rsidR="0084096D" w:rsidRPr="0084096D" w:rsidRDefault="0084096D" w:rsidP="0084096D">
      <w:pPr>
        <w:pStyle w:val="TeloA"/>
        <w:numPr>
          <w:ilvl w:val="0"/>
          <w:numId w:val="17"/>
        </w:numPr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</w:rPr>
      </w:pPr>
      <w:r w:rsidRPr="0084096D">
        <w:rPr>
          <w:rFonts w:ascii="Book Antiqua" w:hAnsi="Book Antiqua"/>
        </w:rPr>
        <w:t xml:space="preserve">výrazný </w:t>
      </w:r>
      <w:r w:rsidRPr="0084096D">
        <w:rPr>
          <w:rFonts w:ascii="Book Antiqua" w:hAnsi="Book Antiqua"/>
          <w:b/>
          <w:bCs/>
        </w:rPr>
        <w:t>nárast výskytu vírusovej hepatitídy typu A</w:t>
      </w:r>
      <w:r w:rsidRPr="0084096D">
        <w:rPr>
          <w:rFonts w:ascii="Book Antiqua" w:hAnsi="Book Antiqua"/>
        </w:rPr>
        <w:t xml:space="preserve"> na území Slovenskej republiky v rokoch </w:t>
      </w:r>
      <w:r w:rsidRPr="0084096D">
        <w:rPr>
          <w:rFonts w:ascii="Book Antiqua" w:hAnsi="Book Antiqua"/>
          <w:b/>
          <w:bCs/>
        </w:rPr>
        <w:t>2023 až 2025</w:t>
      </w:r>
      <w:r w:rsidRPr="0084096D">
        <w:rPr>
          <w:rFonts w:ascii="Book Antiqua" w:hAnsi="Book Antiqua"/>
        </w:rPr>
        <w:t>,</w:t>
      </w:r>
    </w:p>
    <w:p w14:paraId="099B093B" w14:textId="77777777" w:rsidR="0084096D" w:rsidRPr="0084096D" w:rsidRDefault="0084096D" w:rsidP="0084096D">
      <w:pPr>
        <w:pStyle w:val="TeloA"/>
        <w:numPr>
          <w:ilvl w:val="0"/>
          <w:numId w:val="17"/>
        </w:numPr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</w:rPr>
      </w:pPr>
      <w:r w:rsidRPr="0084096D">
        <w:rPr>
          <w:rFonts w:ascii="Book Antiqua" w:hAnsi="Book Antiqua"/>
        </w:rPr>
        <w:t xml:space="preserve">skutočnosť, že podľa údajov </w:t>
      </w:r>
      <w:r w:rsidRPr="0084096D">
        <w:rPr>
          <w:rFonts w:ascii="Book Antiqua" w:hAnsi="Book Antiqua"/>
          <w:b/>
          <w:bCs/>
        </w:rPr>
        <w:t>Úradu verejného zdravotníctva SR</w:t>
      </w:r>
      <w:r w:rsidRPr="0084096D">
        <w:rPr>
          <w:rFonts w:ascii="Book Antiqua" w:hAnsi="Book Antiqua"/>
        </w:rPr>
        <w:t xml:space="preserve"> bolo od decembra 2022 do septembra 2024 hlásených </w:t>
      </w:r>
      <w:r w:rsidRPr="0084096D">
        <w:rPr>
          <w:rFonts w:ascii="Book Antiqua" w:hAnsi="Book Antiqua"/>
          <w:b/>
          <w:bCs/>
        </w:rPr>
        <w:t>viac ako 5 000 potvrdených prípadov</w:t>
      </w:r>
      <w:r w:rsidRPr="0084096D">
        <w:rPr>
          <w:rFonts w:ascii="Book Antiqua" w:hAnsi="Book Antiqua"/>
        </w:rPr>
        <w:t xml:space="preserve"> hepatitídy A, pričom v prvých mesiacoch roka 2025 pribudlo </w:t>
      </w:r>
      <w:r w:rsidRPr="0084096D">
        <w:rPr>
          <w:rFonts w:ascii="Book Antiqua" w:hAnsi="Book Antiqua"/>
          <w:b/>
          <w:bCs/>
        </w:rPr>
        <w:t>ďalších približne 880 nových prípadov</w:t>
      </w:r>
      <w:r w:rsidRPr="0084096D">
        <w:rPr>
          <w:rFonts w:ascii="Book Antiqua" w:hAnsi="Book Antiqua"/>
        </w:rPr>
        <w:t>,</w:t>
      </w:r>
    </w:p>
    <w:p w14:paraId="1BBDC5B9" w14:textId="77777777" w:rsidR="0084096D" w:rsidRPr="0084096D" w:rsidRDefault="0084096D" w:rsidP="0084096D">
      <w:pPr>
        <w:pStyle w:val="TeloA"/>
        <w:numPr>
          <w:ilvl w:val="0"/>
          <w:numId w:val="17"/>
        </w:numPr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</w:rPr>
      </w:pPr>
      <w:r w:rsidRPr="0084096D">
        <w:rPr>
          <w:rFonts w:ascii="Book Antiqua" w:hAnsi="Book Antiqua"/>
        </w:rPr>
        <w:t xml:space="preserve">upozornenia </w:t>
      </w:r>
      <w:r w:rsidRPr="0084096D">
        <w:rPr>
          <w:rFonts w:ascii="Book Antiqua" w:hAnsi="Book Antiqua"/>
          <w:b/>
          <w:bCs/>
        </w:rPr>
        <w:t>Európskeho centra pre prevenciu a kontrolu chorôb (ECDC)</w:t>
      </w:r>
      <w:r w:rsidRPr="0084096D">
        <w:rPr>
          <w:rFonts w:ascii="Book Antiqua" w:hAnsi="Book Antiqua"/>
        </w:rPr>
        <w:t xml:space="preserve">, podľa ktorých sa Slovenská republika radí medzi štáty </w:t>
      </w:r>
      <w:r w:rsidRPr="0084096D">
        <w:rPr>
          <w:rFonts w:ascii="Book Antiqua" w:hAnsi="Book Antiqua"/>
          <w:b/>
          <w:bCs/>
        </w:rPr>
        <w:t>s najvyšším výskytom hepatitídy A v rámci Európskej únie</w:t>
      </w:r>
      <w:r w:rsidRPr="0084096D">
        <w:rPr>
          <w:rFonts w:ascii="Book Antiqua" w:hAnsi="Book Antiqua"/>
        </w:rPr>
        <w:t>,</w:t>
      </w:r>
    </w:p>
    <w:p w14:paraId="5A5700E7" w14:textId="77777777" w:rsidR="0084096D" w:rsidRPr="0084096D" w:rsidRDefault="0084096D" w:rsidP="0084096D">
      <w:pPr>
        <w:pStyle w:val="TeloA"/>
        <w:numPr>
          <w:ilvl w:val="0"/>
          <w:numId w:val="17"/>
        </w:numPr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</w:rPr>
      </w:pPr>
      <w:r w:rsidRPr="0084096D">
        <w:rPr>
          <w:rFonts w:ascii="Book Antiqua" w:hAnsi="Book Antiqua"/>
        </w:rPr>
        <w:t xml:space="preserve">regionálne ohniská nákazy zaznamenané najmä v </w:t>
      </w:r>
      <w:r w:rsidRPr="0084096D">
        <w:rPr>
          <w:rFonts w:ascii="Book Antiqua" w:hAnsi="Book Antiqua"/>
          <w:b/>
          <w:bCs/>
        </w:rPr>
        <w:t>Prešovskom, Košickom a Banskobystrickom kraji</w:t>
      </w:r>
      <w:r w:rsidRPr="0084096D">
        <w:rPr>
          <w:rFonts w:ascii="Book Antiqua" w:hAnsi="Book Antiqua"/>
        </w:rPr>
        <w:t>, kde bolo postihnuté aj detské a školské prostredie,</w:t>
      </w:r>
    </w:p>
    <w:p w14:paraId="56CA8EAF" w14:textId="77777777" w:rsidR="0084096D" w:rsidRDefault="0084096D" w:rsidP="0084096D">
      <w:pPr>
        <w:pStyle w:val="TeloA"/>
        <w:numPr>
          <w:ilvl w:val="0"/>
          <w:numId w:val="17"/>
        </w:numPr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</w:rPr>
      </w:pPr>
      <w:r w:rsidRPr="0084096D">
        <w:rPr>
          <w:rFonts w:ascii="Book Antiqua" w:hAnsi="Book Antiqua"/>
        </w:rPr>
        <w:t xml:space="preserve">skutočnosť, že očkovanie proti hepatitíde A je </w:t>
      </w:r>
      <w:r w:rsidRPr="0084096D">
        <w:rPr>
          <w:rFonts w:ascii="Book Antiqua" w:hAnsi="Book Antiqua"/>
          <w:b/>
          <w:bCs/>
        </w:rPr>
        <w:t>najefektívnejším nástrojom prevencie</w:t>
      </w:r>
      <w:r w:rsidRPr="0084096D">
        <w:rPr>
          <w:rFonts w:ascii="Book Antiqua" w:hAnsi="Book Antiqua"/>
        </w:rPr>
        <w:t xml:space="preserve"> šírenia tohto ochorenia, pričom v súčasnosti </w:t>
      </w:r>
      <w:r w:rsidRPr="0084096D">
        <w:rPr>
          <w:rFonts w:ascii="Book Antiqua" w:hAnsi="Book Antiqua"/>
          <w:b/>
          <w:bCs/>
        </w:rPr>
        <w:t>nie je plne hradené z verejného zdravotného poistenia</w:t>
      </w:r>
      <w:r w:rsidRPr="0084096D">
        <w:rPr>
          <w:rFonts w:ascii="Book Antiqua" w:hAnsi="Book Antiqua"/>
        </w:rPr>
        <w:t>,</w:t>
      </w:r>
    </w:p>
    <w:p w14:paraId="6EBB1F50" w14:textId="77777777" w:rsidR="00EF7392" w:rsidRPr="0084096D" w:rsidRDefault="00EF7392" w:rsidP="00EF7392">
      <w:pPr>
        <w:pStyle w:val="TeloA"/>
        <w:tabs>
          <w:tab w:val="left" w:pos="1095"/>
        </w:tabs>
        <w:spacing w:before="120" w:after="0" w:line="276" w:lineRule="auto"/>
        <w:ind w:left="720"/>
        <w:jc w:val="both"/>
        <w:rPr>
          <w:rFonts w:ascii="Book Antiqua" w:hAnsi="Book Antiqua"/>
        </w:rPr>
      </w:pPr>
    </w:p>
    <w:p w14:paraId="33D0B793" w14:textId="77777777" w:rsidR="0084096D" w:rsidRPr="0084096D" w:rsidRDefault="0084096D" w:rsidP="0084096D">
      <w:pPr>
        <w:pStyle w:val="TeloA"/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  <w:b/>
          <w:bCs/>
        </w:rPr>
      </w:pPr>
      <w:r w:rsidRPr="0084096D">
        <w:rPr>
          <w:rFonts w:ascii="Book Antiqua" w:hAnsi="Book Antiqua"/>
          <w:b/>
          <w:bCs/>
        </w:rPr>
        <w:t>Národná rada Slovenskej republiky</w:t>
      </w:r>
    </w:p>
    <w:p w14:paraId="78FD4455" w14:textId="627EF766" w:rsidR="00453403" w:rsidRPr="0085415D" w:rsidRDefault="0085415D" w:rsidP="00453403">
      <w:pPr>
        <w:pStyle w:val="TeloA"/>
        <w:numPr>
          <w:ilvl w:val="0"/>
          <w:numId w:val="17"/>
        </w:numPr>
        <w:tabs>
          <w:tab w:val="left" w:pos="1095"/>
        </w:tabs>
        <w:spacing w:before="120" w:after="0" w:line="276" w:lineRule="auto"/>
        <w:rPr>
          <w:rFonts w:ascii="Book Antiqua" w:hAnsi="Book Antiqua"/>
        </w:rPr>
      </w:pPr>
      <w:r w:rsidRPr="0085415D">
        <w:rPr>
          <w:rFonts w:ascii="Book Antiqua" w:hAnsi="Book Antiqua"/>
          <w:b/>
          <w:bCs/>
        </w:rPr>
        <w:t>žiada</w:t>
      </w:r>
      <w:r w:rsidRPr="0085415D">
        <w:rPr>
          <w:rFonts w:ascii="Book Antiqua" w:hAnsi="Book Antiqua"/>
        </w:rPr>
        <w:t xml:space="preserve"> Ministerstvo zdravotníctva Slovenskej republiky, </w:t>
      </w:r>
      <w:r w:rsidR="00453403" w:rsidRPr="0085415D">
        <w:rPr>
          <w:rFonts w:ascii="Book Antiqua" w:hAnsi="Book Antiqua"/>
        </w:rPr>
        <w:t xml:space="preserve">aby bezodkladne zabezpečilo úhradu očkovania proti vírusovej hepatitíde typu A zo zdrojov verejného </w:t>
      </w:r>
      <w:r w:rsidR="00453403" w:rsidRPr="0085415D">
        <w:rPr>
          <w:rFonts w:ascii="Book Antiqua" w:hAnsi="Book Antiqua"/>
        </w:rPr>
        <w:lastRenderedPageBreak/>
        <w:t>zdravotného poistenia pre všetky deti do šiestich rokov veku,</w:t>
      </w:r>
      <w:r w:rsidRPr="0085415D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s</w:t>
      </w:r>
      <w:r w:rsidR="00453403" w:rsidRPr="0085415D">
        <w:rPr>
          <w:rFonts w:ascii="Book Antiqua" w:hAnsi="Book Antiqua"/>
        </w:rPr>
        <w:t xml:space="preserve"> osobitným dôrazom na deti žijúce v lokalitách s potvrdeným alebo opakovaným výskytom</w:t>
      </w:r>
      <w:r w:rsidR="009729C1" w:rsidRPr="009729C1">
        <w:rPr>
          <w:rFonts w:ascii="Book Antiqua" w:hAnsi="Book Antiqua"/>
        </w:rPr>
        <w:t xml:space="preserve"> hepatitídy typu </w:t>
      </w:r>
      <w:r w:rsidR="009729C1">
        <w:rPr>
          <w:rFonts w:ascii="Book Antiqua" w:hAnsi="Book Antiqua"/>
        </w:rPr>
        <w:t>A.</w:t>
      </w:r>
    </w:p>
    <w:p w14:paraId="73CF006F" w14:textId="1828779C" w:rsidR="0084096D" w:rsidRPr="0084096D" w:rsidRDefault="0084096D" w:rsidP="00FF3C1D">
      <w:pPr>
        <w:pStyle w:val="TeloA"/>
        <w:tabs>
          <w:tab w:val="left" w:pos="1095"/>
        </w:tabs>
        <w:spacing w:before="120" w:after="0" w:line="276" w:lineRule="auto"/>
        <w:ind w:left="720"/>
        <w:rPr>
          <w:rFonts w:ascii="Book Antiqua" w:hAnsi="Book Antiqua"/>
        </w:rPr>
      </w:pPr>
      <w:r w:rsidRPr="0084096D">
        <w:rPr>
          <w:rFonts w:ascii="Book Antiqua" w:hAnsi="Book Antiqua"/>
        </w:rPr>
        <w:t>Cieľom tohto opatrenia je odstrániť finančné bariéry v prístupe k očkovaniu a prispieť k zvýšeniu zaočkovanosti populácie, čím sa zníži riziko ďalšieho šírenia infekcie.</w:t>
      </w:r>
    </w:p>
    <w:p w14:paraId="675090FE" w14:textId="77077B11" w:rsidR="0084096D" w:rsidRPr="0084096D" w:rsidRDefault="0084096D" w:rsidP="00C14003">
      <w:pPr>
        <w:pStyle w:val="TeloA"/>
        <w:numPr>
          <w:ilvl w:val="0"/>
          <w:numId w:val="17"/>
        </w:numPr>
        <w:tabs>
          <w:tab w:val="left" w:pos="1095"/>
        </w:tabs>
        <w:spacing w:before="120" w:after="0" w:line="276" w:lineRule="auto"/>
        <w:rPr>
          <w:rFonts w:ascii="Book Antiqua" w:hAnsi="Book Antiqua"/>
        </w:rPr>
      </w:pPr>
      <w:r w:rsidRPr="0084096D">
        <w:rPr>
          <w:rFonts w:ascii="Book Antiqua" w:hAnsi="Book Antiqua"/>
          <w:b/>
          <w:bCs/>
        </w:rPr>
        <w:t xml:space="preserve">žiada </w:t>
      </w:r>
      <w:r w:rsidRPr="0084096D">
        <w:rPr>
          <w:rFonts w:ascii="Book Antiqua" w:hAnsi="Book Antiqua"/>
        </w:rPr>
        <w:t>Úrad verejného zdravotníctva Slovenskej republiky,</w:t>
      </w:r>
      <w:r w:rsidR="00C14003">
        <w:rPr>
          <w:rFonts w:ascii="Book Antiqua" w:hAnsi="Book Antiqua"/>
        </w:rPr>
        <w:t xml:space="preserve"> </w:t>
      </w:r>
      <w:r w:rsidRPr="0084096D">
        <w:rPr>
          <w:rFonts w:ascii="Book Antiqua" w:hAnsi="Book Antiqua"/>
        </w:rPr>
        <w:t>aby v spolupráci s Ministerstvom zdravotníctva Slovenskej republiky a so zdravotnými poisťovňami zabezpečil celonárodnú informačno-vzdelávaciu kampaň zameranú na:</w:t>
      </w:r>
    </w:p>
    <w:p w14:paraId="18D7450E" w14:textId="77777777" w:rsidR="0084096D" w:rsidRPr="0084096D" w:rsidRDefault="0084096D" w:rsidP="00C14003">
      <w:pPr>
        <w:pStyle w:val="TeloA"/>
        <w:numPr>
          <w:ilvl w:val="1"/>
          <w:numId w:val="17"/>
        </w:numPr>
        <w:tabs>
          <w:tab w:val="left" w:pos="1095"/>
        </w:tabs>
        <w:spacing w:before="120" w:after="0" w:line="276" w:lineRule="auto"/>
        <w:rPr>
          <w:rFonts w:ascii="Book Antiqua" w:hAnsi="Book Antiqua"/>
        </w:rPr>
      </w:pPr>
      <w:r w:rsidRPr="0084096D">
        <w:rPr>
          <w:rFonts w:ascii="Book Antiqua" w:hAnsi="Book Antiqua"/>
        </w:rPr>
        <w:t>zvýšenie povedomia verejnosti o vírusovej hepatitíde typu A, spôsoboch jej prenosu a možnostiach prevencie,</w:t>
      </w:r>
    </w:p>
    <w:p w14:paraId="1580E954" w14:textId="77777777" w:rsidR="0084096D" w:rsidRPr="0084096D" w:rsidRDefault="0084096D" w:rsidP="00C14003">
      <w:pPr>
        <w:pStyle w:val="TeloA"/>
        <w:numPr>
          <w:ilvl w:val="1"/>
          <w:numId w:val="17"/>
        </w:numPr>
        <w:tabs>
          <w:tab w:val="left" w:pos="1095"/>
        </w:tabs>
        <w:spacing w:before="120" w:after="0" w:line="276" w:lineRule="auto"/>
        <w:rPr>
          <w:rFonts w:ascii="Book Antiqua" w:hAnsi="Book Antiqua"/>
        </w:rPr>
      </w:pPr>
      <w:r w:rsidRPr="0084096D">
        <w:rPr>
          <w:rFonts w:ascii="Book Antiqua" w:hAnsi="Book Antiqua"/>
        </w:rPr>
        <w:t>informovanie o bezpečnosti, účinnosti a výhodách očkovania,</w:t>
      </w:r>
    </w:p>
    <w:p w14:paraId="0D83FAAF" w14:textId="77777777" w:rsidR="0084096D" w:rsidRPr="0084096D" w:rsidRDefault="0084096D" w:rsidP="00C14003">
      <w:pPr>
        <w:pStyle w:val="TeloA"/>
        <w:numPr>
          <w:ilvl w:val="1"/>
          <w:numId w:val="17"/>
        </w:numPr>
        <w:tabs>
          <w:tab w:val="left" w:pos="1095"/>
        </w:tabs>
        <w:spacing w:before="120" w:after="0" w:line="276" w:lineRule="auto"/>
        <w:rPr>
          <w:rFonts w:ascii="Book Antiqua" w:hAnsi="Book Antiqua"/>
        </w:rPr>
      </w:pPr>
      <w:r w:rsidRPr="0084096D">
        <w:rPr>
          <w:rFonts w:ascii="Book Antiqua" w:hAnsi="Book Antiqua"/>
        </w:rPr>
        <w:t>podporu dobrovoľného očkovania a zodpovedného prístupu k ochrane verejného zdravia.</w:t>
      </w:r>
    </w:p>
    <w:p w14:paraId="1B34C3C6" w14:textId="77777777" w:rsidR="0084096D" w:rsidRPr="0084096D" w:rsidRDefault="0084096D" w:rsidP="0084096D">
      <w:pPr>
        <w:pStyle w:val="TeloA"/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  <w:b/>
          <w:bCs/>
        </w:rPr>
      </w:pPr>
    </w:p>
    <w:p w14:paraId="52473F3F" w14:textId="77777777" w:rsidR="0084096D" w:rsidRPr="0084096D" w:rsidRDefault="0084096D" w:rsidP="0084096D">
      <w:pPr>
        <w:pStyle w:val="TeloA"/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  <w:b/>
          <w:bCs/>
        </w:rPr>
      </w:pPr>
    </w:p>
    <w:p w14:paraId="12523632" w14:textId="77777777" w:rsidR="0084096D" w:rsidRPr="0084096D" w:rsidRDefault="0084096D" w:rsidP="0084096D">
      <w:pPr>
        <w:pStyle w:val="TeloA"/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  <w:b/>
          <w:bCs/>
        </w:rPr>
      </w:pPr>
    </w:p>
    <w:p w14:paraId="76F5DBA0" w14:textId="77777777" w:rsidR="0084096D" w:rsidRDefault="0084096D" w:rsidP="0084096D">
      <w:pPr>
        <w:pStyle w:val="TeloA"/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  <w:b/>
          <w:bCs/>
        </w:rPr>
      </w:pPr>
    </w:p>
    <w:p w14:paraId="2280BF63" w14:textId="77777777" w:rsidR="00EF7392" w:rsidRDefault="00EF7392" w:rsidP="0084096D">
      <w:pPr>
        <w:pStyle w:val="TeloA"/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  <w:b/>
          <w:bCs/>
        </w:rPr>
      </w:pPr>
    </w:p>
    <w:p w14:paraId="340E28DD" w14:textId="77777777" w:rsidR="00EF7392" w:rsidRDefault="00EF7392" w:rsidP="0084096D">
      <w:pPr>
        <w:pStyle w:val="TeloA"/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  <w:b/>
          <w:bCs/>
        </w:rPr>
      </w:pPr>
    </w:p>
    <w:p w14:paraId="77B8C31D" w14:textId="77777777" w:rsidR="00EF7392" w:rsidRDefault="00EF7392" w:rsidP="0084096D">
      <w:pPr>
        <w:pStyle w:val="TeloA"/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  <w:b/>
          <w:bCs/>
        </w:rPr>
      </w:pPr>
    </w:p>
    <w:p w14:paraId="6788A319" w14:textId="77777777" w:rsidR="00EF7392" w:rsidRDefault="00EF7392" w:rsidP="0084096D">
      <w:pPr>
        <w:pStyle w:val="TeloA"/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  <w:b/>
          <w:bCs/>
        </w:rPr>
      </w:pPr>
    </w:p>
    <w:p w14:paraId="32CA4FD7" w14:textId="77777777" w:rsidR="00EF7392" w:rsidRDefault="00EF7392" w:rsidP="0084096D">
      <w:pPr>
        <w:pStyle w:val="TeloA"/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  <w:b/>
          <w:bCs/>
        </w:rPr>
      </w:pPr>
    </w:p>
    <w:p w14:paraId="59300A5C" w14:textId="77777777" w:rsidR="00EF7392" w:rsidRDefault="00EF7392" w:rsidP="0084096D">
      <w:pPr>
        <w:pStyle w:val="TeloA"/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  <w:b/>
          <w:bCs/>
        </w:rPr>
      </w:pPr>
    </w:p>
    <w:p w14:paraId="5FB3431C" w14:textId="77777777" w:rsidR="00EF7392" w:rsidRDefault="00EF7392" w:rsidP="0084096D">
      <w:pPr>
        <w:pStyle w:val="TeloA"/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  <w:b/>
          <w:bCs/>
        </w:rPr>
      </w:pPr>
    </w:p>
    <w:p w14:paraId="724B6F9A" w14:textId="77777777" w:rsidR="00EF7392" w:rsidRPr="0084096D" w:rsidRDefault="00EF7392" w:rsidP="0084096D">
      <w:pPr>
        <w:pStyle w:val="TeloA"/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  <w:b/>
          <w:bCs/>
        </w:rPr>
      </w:pPr>
    </w:p>
    <w:p w14:paraId="50F7838F" w14:textId="77777777" w:rsidR="0084096D" w:rsidRPr="0084096D" w:rsidRDefault="0084096D" w:rsidP="0084096D">
      <w:pPr>
        <w:pStyle w:val="TeloA"/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  <w:b/>
          <w:bCs/>
        </w:rPr>
      </w:pPr>
    </w:p>
    <w:p w14:paraId="10B1F5CC" w14:textId="77777777" w:rsidR="00EF7392" w:rsidRDefault="00EF7392" w:rsidP="0084096D">
      <w:pPr>
        <w:pStyle w:val="TeloA"/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  <w:b/>
          <w:bCs/>
        </w:rPr>
      </w:pPr>
    </w:p>
    <w:p w14:paraId="2FC4CDE1" w14:textId="77777777" w:rsidR="00EF7392" w:rsidRDefault="00EF7392" w:rsidP="0084096D">
      <w:pPr>
        <w:pStyle w:val="TeloA"/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  <w:b/>
          <w:bCs/>
        </w:rPr>
      </w:pPr>
    </w:p>
    <w:p w14:paraId="23328FCB" w14:textId="77777777" w:rsidR="00EF7392" w:rsidRDefault="00EF7392" w:rsidP="0084096D">
      <w:pPr>
        <w:pStyle w:val="TeloA"/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  <w:b/>
          <w:bCs/>
        </w:rPr>
      </w:pPr>
    </w:p>
    <w:p w14:paraId="0CDD49FD" w14:textId="77777777" w:rsidR="00EF7392" w:rsidRDefault="00EF7392" w:rsidP="0084096D">
      <w:pPr>
        <w:pStyle w:val="TeloA"/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  <w:b/>
          <w:bCs/>
        </w:rPr>
      </w:pPr>
    </w:p>
    <w:p w14:paraId="6E6A6D67" w14:textId="77777777" w:rsidR="00EF7392" w:rsidRDefault="00EF7392" w:rsidP="0084096D">
      <w:pPr>
        <w:pStyle w:val="TeloA"/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  <w:b/>
          <w:bCs/>
        </w:rPr>
      </w:pPr>
    </w:p>
    <w:p w14:paraId="429FBD3B" w14:textId="77777777" w:rsidR="00EF7392" w:rsidRDefault="00EF7392" w:rsidP="0084096D">
      <w:pPr>
        <w:pStyle w:val="TeloA"/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  <w:b/>
          <w:bCs/>
        </w:rPr>
      </w:pPr>
    </w:p>
    <w:p w14:paraId="6D3589F3" w14:textId="77777777" w:rsidR="00EF7392" w:rsidRDefault="00EF7392" w:rsidP="0084096D">
      <w:pPr>
        <w:pStyle w:val="TeloA"/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  <w:b/>
          <w:bCs/>
        </w:rPr>
      </w:pPr>
    </w:p>
    <w:p w14:paraId="4C9AC343" w14:textId="77777777" w:rsidR="00EF7392" w:rsidRDefault="00EF7392" w:rsidP="0084096D">
      <w:pPr>
        <w:pStyle w:val="TeloA"/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  <w:b/>
          <w:bCs/>
        </w:rPr>
      </w:pPr>
    </w:p>
    <w:p w14:paraId="427ED74C" w14:textId="27C44843" w:rsidR="0084096D" w:rsidRDefault="0084096D" w:rsidP="0084096D">
      <w:pPr>
        <w:pStyle w:val="TeloA"/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  <w:b/>
          <w:bCs/>
        </w:rPr>
      </w:pPr>
      <w:r w:rsidRPr="0084096D">
        <w:rPr>
          <w:rFonts w:ascii="Book Antiqua" w:hAnsi="Book Antiqua"/>
          <w:b/>
          <w:bCs/>
        </w:rPr>
        <w:lastRenderedPageBreak/>
        <w:t>Odôvodnenie</w:t>
      </w:r>
    </w:p>
    <w:p w14:paraId="2E98BF64" w14:textId="77777777" w:rsidR="00EF7392" w:rsidRPr="0084096D" w:rsidRDefault="00EF7392" w:rsidP="0084096D">
      <w:pPr>
        <w:pStyle w:val="TeloA"/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  <w:b/>
          <w:bCs/>
        </w:rPr>
      </w:pPr>
    </w:p>
    <w:p w14:paraId="171649FD" w14:textId="77777777" w:rsidR="0084096D" w:rsidRPr="0084096D" w:rsidRDefault="0084096D" w:rsidP="0084096D">
      <w:pPr>
        <w:pStyle w:val="TeloA"/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</w:rPr>
      </w:pPr>
      <w:r w:rsidRPr="0084096D">
        <w:rPr>
          <w:rFonts w:ascii="Book Antiqua" w:hAnsi="Book Antiqua"/>
        </w:rPr>
        <w:t>Epidemiologická situácia na území Slovenskej republiky je v súvislosti s vírusovou hepatitídou typu A vážna. Od roku 2022 dochádza k dlhodobo pretrvávajúcemu šíreniu infekcie, ktoré má charakter komunitného a regionálneho prenosu. V roku 2024 Slovensko patrilo medzi najviac postihnuté krajiny EÚ, pričom incidencia bola niekoľkonásobne vyššia než európsky priemer. Najvyšší výskyt bol zaznamenaný v marginalizovaných komunitách a v prostredí s nižším hygienickým štandardom, pričom dochádza aj k sekundárnemu prenosu na širšiu populáciu – vrátane detí, zdravotníckych pracovníkov a pedagogického personálu.</w:t>
      </w:r>
    </w:p>
    <w:p w14:paraId="4D213E69" w14:textId="77777777" w:rsidR="0084096D" w:rsidRPr="0084096D" w:rsidRDefault="0084096D" w:rsidP="0084096D">
      <w:pPr>
        <w:pStyle w:val="TeloA"/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</w:rPr>
      </w:pPr>
      <w:r w:rsidRPr="0084096D">
        <w:rPr>
          <w:rFonts w:ascii="Book Antiqua" w:hAnsi="Book Antiqua"/>
        </w:rPr>
        <w:t>Očkovanie je bezpečné, účinné a dlhodobo chráni pred infekciou. Cena jednej dávky vakcíny proti hepatitíde A sa pohybuje približne okolo 30 až 35 eur, pričom liečba jedného prípadu symptomatickej hepatitídy A si môže vyžadovať hospitalizáciu v trvaní 1 až 3 týždne, s nákladmi presahujúcimi 1 000 eur na pacienta. Z ekonomického hľadiska je preto prevencia prostredníctvom očkovania niekoľkonásobne lacnejšia ako liečba ochorenia a zároveň znižuje sekundárne náklady súvisiace s práceneschopnosťou, stratou produktivity a šírením infekcie v komunitách.</w:t>
      </w:r>
    </w:p>
    <w:p w14:paraId="5FCE8E81" w14:textId="177587B6" w:rsidR="00900DF0" w:rsidRPr="00900DF0" w:rsidRDefault="0084096D" w:rsidP="00DC5DB1">
      <w:pPr>
        <w:pStyle w:val="TeloA"/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</w:rPr>
      </w:pPr>
      <w:r w:rsidRPr="0084096D">
        <w:rPr>
          <w:rFonts w:ascii="Book Antiqua" w:hAnsi="Book Antiqua"/>
        </w:rPr>
        <w:t xml:space="preserve">Zavedenie úhrady očkovania z verejného zdravotného poistenia a realizácia sprievodnej informačnej kampane predstavujú racionálny, finančne efektívny a dlhodobo udržateľný krok v záujme ochrany verejného zdravia a stability zdravotného systému Slovenskej republiky. </w:t>
      </w:r>
    </w:p>
    <w:sectPr w:rsidR="00900DF0" w:rsidRPr="00900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9221F" w14:textId="77777777" w:rsidR="00FB0DAF" w:rsidRDefault="00FB0DAF" w:rsidP="00502D0D">
      <w:pPr>
        <w:spacing w:after="0" w:line="240" w:lineRule="auto"/>
      </w:pPr>
      <w:r>
        <w:separator/>
      </w:r>
    </w:p>
  </w:endnote>
  <w:endnote w:type="continuationSeparator" w:id="0">
    <w:p w14:paraId="3A6EA627" w14:textId="77777777" w:rsidR="00FB0DAF" w:rsidRDefault="00FB0DAF" w:rsidP="00502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557CD" w14:textId="77777777" w:rsidR="00FB0DAF" w:rsidRDefault="00FB0DAF" w:rsidP="00502D0D">
      <w:pPr>
        <w:spacing w:after="0" w:line="240" w:lineRule="auto"/>
      </w:pPr>
      <w:r>
        <w:separator/>
      </w:r>
    </w:p>
  </w:footnote>
  <w:footnote w:type="continuationSeparator" w:id="0">
    <w:p w14:paraId="2B4F383C" w14:textId="77777777" w:rsidR="00FB0DAF" w:rsidRDefault="00FB0DAF" w:rsidP="00502D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4C25"/>
    <w:multiLevelType w:val="multilevel"/>
    <w:tmpl w:val="EB361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F4AC5"/>
    <w:multiLevelType w:val="hybridMultilevel"/>
    <w:tmpl w:val="762C1282"/>
    <w:lvl w:ilvl="0" w:tplc="78667B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80338"/>
    <w:multiLevelType w:val="multilevel"/>
    <w:tmpl w:val="5AF61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3842E9"/>
    <w:multiLevelType w:val="multilevel"/>
    <w:tmpl w:val="5984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7782D"/>
    <w:multiLevelType w:val="multilevel"/>
    <w:tmpl w:val="43546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711FE5"/>
    <w:multiLevelType w:val="multilevel"/>
    <w:tmpl w:val="B1F48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CA5BB5"/>
    <w:multiLevelType w:val="multilevel"/>
    <w:tmpl w:val="0172C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C01F16"/>
    <w:multiLevelType w:val="multilevel"/>
    <w:tmpl w:val="80ACA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6D5D6D"/>
    <w:multiLevelType w:val="multilevel"/>
    <w:tmpl w:val="35EAB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F589B"/>
    <w:multiLevelType w:val="hybridMultilevel"/>
    <w:tmpl w:val="108C242C"/>
    <w:lvl w:ilvl="0" w:tplc="2404F26A">
      <w:start w:val="1"/>
      <w:numFmt w:val="decimal"/>
      <w:suff w:val="nothing"/>
      <w:lvlText w:val="%1."/>
      <w:lvlJc w:val="left"/>
      <w:pPr>
        <w:ind w:left="122" w:hanging="92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606B8">
      <w:start w:val="1"/>
      <w:numFmt w:val="lowerLetter"/>
      <w:lvlText w:val="%2."/>
      <w:lvlJc w:val="left"/>
      <w:pPr>
        <w:ind w:left="720" w:hanging="618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A854FC">
      <w:start w:val="1"/>
      <w:numFmt w:val="lowerRoman"/>
      <w:lvlText w:val="%3."/>
      <w:lvlJc w:val="left"/>
      <w:pPr>
        <w:ind w:left="1440" w:hanging="548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023274">
      <w:start w:val="1"/>
      <w:numFmt w:val="decimal"/>
      <w:lvlText w:val="%4."/>
      <w:lvlJc w:val="left"/>
      <w:pPr>
        <w:ind w:left="2160" w:hanging="594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26946E">
      <w:start w:val="1"/>
      <w:numFmt w:val="lowerLetter"/>
      <w:lvlText w:val="%5."/>
      <w:lvlJc w:val="left"/>
      <w:pPr>
        <w:ind w:left="2880" w:hanging="582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14D836">
      <w:start w:val="1"/>
      <w:numFmt w:val="lowerRoman"/>
      <w:lvlText w:val="%6."/>
      <w:lvlJc w:val="left"/>
      <w:pPr>
        <w:ind w:left="3600" w:hanging="512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6801D8">
      <w:start w:val="1"/>
      <w:numFmt w:val="decimal"/>
      <w:lvlText w:val="%7."/>
      <w:lvlJc w:val="left"/>
      <w:pPr>
        <w:ind w:left="4320" w:hanging="558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D0FFD2">
      <w:start w:val="1"/>
      <w:numFmt w:val="lowerLetter"/>
      <w:lvlText w:val="%8."/>
      <w:lvlJc w:val="left"/>
      <w:pPr>
        <w:ind w:left="5040" w:hanging="54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EC901A">
      <w:start w:val="1"/>
      <w:numFmt w:val="lowerRoman"/>
      <w:lvlText w:val="%9."/>
      <w:lvlJc w:val="left"/>
      <w:pPr>
        <w:ind w:left="5760" w:hanging="47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5453938"/>
    <w:multiLevelType w:val="multilevel"/>
    <w:tmpl w:val="A4CE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A3160E"/>
    <w:multiLevelType w:val="multilevel"/>
    <w:tmpl w:val="BB26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9867D0"/>
    <w:multiLevelType w:val="multilevel"/>
    <w:tmpl w:val="DF5A1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2D612B"/>
    <w:multiLevelType w:val="multilevel"/>
    <w:tmpl w:val="F48E8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156F1C"/>
    <w:multiLevelType w:val="multilevel"/>
    <w:tmpl w:val="CB063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106200"/>
    <w:multiLevelType w:val="multilevel"/>
    <w:tmpl w:val="B108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904699"/>
    <w:multiLevelType w:val="multilevel"/>
    <w:tmpl w:val="5A96B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16"/>
  </w:num>
  <w:num w:numId="6">
    <w:abstractNumId w:val="12"/>
  </w:num>
  <w:num w:numId="7">
    <w:abstractNumId w:val="10"/>
  </w:num>
  <w:num w:numId="8">
    <w:abstractNumId w:val="5"/>
  </w:num>
  <w:num w:numId="9">
    <w:abstractNumId w:val="15"/>
  </w:num>
  <w:num w:numId="10">
    <w:abstractNumId w:val="14"/>
  </w:num>
  <w:num w:numId="11">
    <w:abstractNumId w:val="11"/>
  </w:num>
  <w:num w:numId="12">
    <w:abstractNumId w:val="3"/>
  </w:num>
  <w:num w:numId="13">
    <w:abstractNumId w:val="4"/>
  </w:num>
  <w:num w:numId="14">
    <w:abstractNumId w:val="13"/>
  </w:num>
  <w:num w:numId="15">
    <w:abstractNumId w:val="9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7C6"/>
    <w:rsid w:val="00057145"/>
    <w:rsid w:val="000C0356"/>
    <w:rsid w:val="000F1C2D"/>
    <w:rsid w:val="001045A5"/>
    <w:rsid w:val="0013004C"/>
    <w:rsid w:val="001C73F9"/>
    <w:rsid w:val="00240F79"/>
    <w:rsid w:val="00245930"/>
    <w:rsid w:val="002804E4"/>
    <w:rsid w:val="002C65AB"/>
    <w:rsid w:val="002D4180"/>
    <w:rsid w:val="002F1BEF"/>
    <w:rsid w:val="00327702"/>
    <w:rsid w:val="00374C38"/>
    <w:rsid w:val="003C7A4E"/>
    <w:rsid w:val="00445026"/>
    <w:rsid w:val="00453403"/>
    <w:rsid w:val="004A76A0"/>
    <w:rsid w:val="00502D0D"/>
    <w:rsid w:val="00546067"/>
    <w:rsid w:val="00575016"/>
    <w:rsid w:val="005C4230"/>
    <w:rsid w:val="005C633E"/>
    <w:rsid w:val="00625AFA"/>
    <w:rsid w:val="00651CB0"/>
    <w:rsid w:val="00676E91"/>
    <w:rsid w:val="006A52DF"/>
    <w:rsid w:val="00725F1F"/>
    <w:rsid w:val="00773C20"/>
    <w:rsid w:val="00790740"/>
    <w:rsid w:val="007E25CF"/>
    <w:rsid w:val="00801237"/>
    <w:rsid w:val="008035A6"/>
    <w:rsid w:val="0084096D"/>
    <w:rsid w:val="008501AB"/>
    <w:rsid w:val="0085415D"/>
    <w:rsid w:val="00874418"/>
    <w:rsid w:val="008B07C6"/>
    <w:rsid w:val="00900DF0"/>
    <w:rsid w:val="00947451"/>
    <w:rsid w:val="00952D9D"/>
    <w:rsid w:val="009729C1"/>
    <w:rsid w:val="009F0E07"/>
    <w:rsid w:val="00A24AD7"/>
    <w:rsid w:val="00A710C3"/>
    <w:rsid w:val="00A80D14"/>
    <w:rsid w:val="00AA03D1"/>
    <w:rsid w:val="00B255D6"/>
    <w:rsid w:val="00B413FC"/>
    <w:rsid w:val="00B61E10"/>
    <w:rsid w:val="00B66A93"/>
    <w:rsid w:val="00B849CF"/>
    <w:rsid w:val="00B95A9A"/>
    <w:rsid w:val="00BA0827"/>
    <w:rsid w:val="00BA0AE9"/>
    <w:rsid w:val="00BA71D1"/>
    <w:rsid w:val="00C018D0"/>
    <w:rsid w:val="00C14003"/>
    <w:rsid w:val="00CD3D6C"/>
    <w:rsid w:val="00CE5698"/>
    <w:rsid w:val="00D11FF8"/>
    <w:rsid w:val="00D2488C"/>
    <w:rsid w:val="00D4341C"/>
    <w:rsid w:val="00D875A5"/>
    <w:rsid w:val="00DA5011"/>
    <w:rsid w:val="00DC5DB1"/>
    <w:rsid w:val="00E05DED"/>
    <w:rsid w:val="00E363B8"/>
    <w:rsid w:val="00E745AD"/>
    <w:rsid w:val="00E86936"/>
    <w:rsid w:val="00EF7392"/>
    <w:rsid w:val="00EF7906"/>
    <w:rsid w:val="00FB0DAF"/>
    <w:rsid w:val="00FF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028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6936"/>
  </w:style>
  <w:style w:type="paragraph" w:styleId="Nadpis1">
    <w:name w:val="heading 1"/>
    <w:basedOn w:val="Normlny"/>
    <w:next w:val="Normlny"/>
    <w:link w:val="Nadpis1Char"/>
    <w:uiPriority w:val="9"/>
    <w:qFormat/>
    <w:rsid w:val="008B0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B0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B07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B0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B07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B0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B0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B0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B0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B07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B07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B07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B07C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B07C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B07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B07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B07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B07C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qFormat/>
    <w:rsid w:val="008B0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sid w:val="008B0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qFormat/>
    <w:rsid w:val="008B0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rsid w:val="008B0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B0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B07C6"/>
    <w:rPr>
      <w:i/>
      <w:iCs/>
      <w:color w:val="404040" w:themeColor="text1" w:themeTint="BF"/>
    </w:rPr>
  </w:style>
  <w:style w:type="paragraph" w:styleId="Odsekzoznamu">
    <w:name w:val="List Paragraph"/>
    <w:basedOn w:val="Normlny"/>
    <w:qFormat/>
    <w:rsid w:val="008B07C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B07C6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B07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B07C6"/>
    <w:rPr>
      <w:i/>
      <w:iCs/>
      <w:color w:val="2F5496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8B07C6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625AFA"/>
    <w:rPr>
      <w:color w:val="0563C1" w:themeColor="hyperlink"/>
      <w:u w:val="single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625AFA"/>
    <w:rPr>
      <w:color w:val="605E5C"/>
      <w:shd w:val="clear" w:color="auto" w:fill="E1DFDD"/>
    </w:rPr>
  </w:style>
  <w:style w:type="table" w:customStyle="1" w:styleId="TableNormal1">
    <w:name w:val="Table Normal1"/>
    <w:rsid w:val="002C65A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sk-SK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A">
    <w:name w:val="Telo A"/>
    <w:rsid w:val="002C65A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kern w:val="0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Predvolen">
    <w:name w:val="Predvolené"/>
    <w:rsid w:val="002C65AB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kern w:val="0"/>
      <w:sz w:val="24"/>
      <w:szCs w:val="24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Zkladntext">
    <w:name w:val="Body Text"/>
    <w:link w:val="ZkladntextChar"/>
    <w:rsid w:val="002C65A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sk-SK"/>
      <w14:ligatures w14:val="none"/>
    </w:rPr>
  </w:style>
  <w:style w:type="character" w:customStyle="1" w:styleId="ZkladntextChar">
    <w:name w:val="Základný text Char"/>
    <w:basedOn w:val="Predvolenpsmoodseku"/>
    <w:link w:val="Zkladntext"/>
    <w:rsid w:val="002C65AB"/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sk-SK"/>
      <w14:ligatures w14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D4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4180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502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02D0D"/>
  </w:style>
  <w:style w:type="paragraph" w:styleId="Pta">
    <w:name w:val="footer"/>
    <w:basedOn w:val="Normlny"/>
    <w:link w:val="PtaChar"/>
    <w:uiPriority w:val="99"/>
    <w:unhideWhenUsed/>
    <w:rsid w:val="00502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02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2025-11-07T13:06:00Z</dcterms:created>
  <dcterms:modified xsi:type="dcterms:W3CDTF">2025-11-07T13:06:00Z</dcterms:modified>
</cp:coreProperties>
</file>