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C0EB1" w14:textId="77777777" w:rsidR="002C65AB" w:rsidRDefault="002C65AB" w:rsidP="002C65AB">
      <w:pPr>
        <w:pStyle w:val="Nzov"/>
        <w:pBdr>
          <w:bottom w:val="single" w:sz="12" w:space="0" w:color="00000A"/>
        </w:pBdr>
        <w:jc w:val="center"/>
        <w:rPr>
          <w:rFonts w:ascii="Book Antiqua" w:eastAsia="Book Antiqua" w:hAnsi="Book Antiqua" w:cs="Book Antiqua"/>
          <w:sz w:val="22"/>
          <w:szCs w:val="22"/>
        </w:rPr>
      </w:pPr>
      <w:bookmarkStart w:id="0" w:name="_GoBack"/>
      <w:bookmarkEnd w:id="0"/>
      <w:r>
        <w:rPr>
          <w:rFonts w:ascii="Book Antiqua" w:hAnsi="Book Antiqua"/>
          <w:sz w:val="22"/>
          <w:szCs w:val="22"/>
        </w:rPr>
        <w:t xml:space="preserve">N Á </w:t>
      </w:r>
      <w:r>
        <w:rPr>
          <w:rFonts w:ascii="Book Antiqua" w:hAnsi="Book Antiqua"/>
          <w:sz w:val="22"/>
          <w:szCs w:val="22"/>
          <w:lang w:val="de-DE"/>
        </w:rPr>
        <w:t>R O</w:t>
      </w:r>
      <w:r>
        <w:rPr>
          <w:rFonts w:ascii="Book Antiqua" w:hAnsi="Book Antiqua"/>
          <w:sz w:val="22"/>
          <w:szCs w:val="22"/>
        </w:rPr>
        <w:t xml:space="preserve"> D N Á   </w:t>
      </w:r>
      <w:r>
        <w:rPr>
          <w:rFonts w:ascii="Book Antiqua" w:hAnsi="Book Antiqua"/>
          <w:sz w:val="22"/>
          <w:szCs w:val="22"/>
          <w:lang w:val="de-DE"/>
        </w:rPr>
        <w:t>R A</w:t>
      </w:r>
      <w:r>
        <w:rPr>
          <w:rFonts w:ascii="Book Antiqua" w:hAnsi="Book Antiqua"/>
          <w:sz w:val="22"/>
          <w:szCs w:val="22"/>
        </w:rPr>
        <w:t> D A</w:t>
      </w:r>
      <w:r>
        <w:rPr>
          <w:rFonts w:ascii="Book Antiqua" w:hAnsi="Book Antiqua"/>
          <w:sz w:val="22"/>
          <w:szCs w:val="22"/>
          <w:lang w:val="de-DE"/>
        </w:rPr>
        <w:t xml:space="preserve">   </w:t>
      </w:r>
      <w:r>
        <w:rPr>
          <w:rFonts w:ascii="Book Antiqua" w:hAnsi="Book Antiqua"/>
          <w:sz w:val="22"/>
          <w:szCs w:val="22"/>
        </w:rPr>
        <w:t>S L O V E N S K E J   R E P U B L I K Y</w:t>
      </w:r>
    </w:p>
    <w:p w14:paraId="3ABC770A" w14:textId="77777777" w:rsidR="002C65AB" w:rsidRDefault="002C65AB" w:rsidP="002C65AB">
      <w:pPr>
        <w:pStyle w:val="Podtitul"/>
        <w:rPr>
          <w:rFonts w:ascii="Book Antiqua" w:eastAsia="Book Antiqua" w:hAnsi="Book Antiqua" w:cs="Book Antiqua"/>
          <w:sz w:val="22"/>
          <w:szCs w:val="22"/>
        </w:rPr>
      </w:pPr>
    </w:p>
    <w:p w14:paraId="6B2F9332" w14:textId="77777777" w:rsidR="002C65AB" w:rsidRDefault="002C65AB" w:rsidP="002C65AB">
      <w:pPr>
        <w:pStyle w:val="Podtitul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IX. </w:t>
      </w:r>
      <w:proofErr w:type="spellStart"/>
      <w:r>
        <w:rPr>
          <w:rFonts w:ascii="Book Antiqua" w:hAnsi="Book Antiqua"/>
          <w:sz w:val="22"/>
          <w:szCs w:val="22"/>
        </w:rPr>
        <w:t>volebn</w:t>
      </w:r>
      <w:proofErr w:type="spellEnd"/>
      <w:r>
        <w:rPr>
          <w:rFonts w:ascii="Book Antiqua" w:hAnsi="Book Antiqua"/>
          <w:sz w:val="22"/>
          <w:szCs w:val="22"/>
          <w:lang w:val="fr-FR"/>
        </w:rPr>
        <w:t xml:space="preserve">é </w:t>
      </w:r>
      <w:r>
        <w:rPr>
          <w:rFonts w:ascii="Book Antiqua" w:hAnsi="Book Antiqua"/>
          <w:sz w:val="22"/>
          <w:szCs w:val="22"/>
        </w:rPr>
        <w:t>obdobie</w:t>
      </w:r>
    </w:p>
    <w:p w14:paraId="1B2ED9D4" w14:textId="77777777" w:rsidR="002C65AB" w:rsidRDefault="002C65AB" w:rsidP="002C65AB">
      <w:pPr>
        <w:pStyle w:val="Podtitul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6F676CCF" w14:textId="77777777" w:rsidR="002C65AB" w:rsidRDefault="002C65AB" w:rsidP="002C65AB">
      <w:pPr>
        <w:pStyle w:val="Podtitul"/>
        <w:rPr>
          <w:rFonts w:ascii="Book Antiqua" w:eastAsia="Book Antiqua" w:hAnsi="Book Antiqua" w:cs="Book Antiqua"/>
          <w:sz w:val="22"/>
          <w:szCs w:val="22"/>
        </w:rPr>
      </w:pPr>
    </w:p>
    <w:p w14:paraId="6DC63662" w14:textId="77777777" w:rsidR="002C65AB" w:rsidRDefault="002C65AB" w:rsidP="002C65AB">
      <w:pPr>
        <w:pStyle w:val="Podtitul"/>
        <w:rPr>
          <w:rFonts w:ascii="Book Antiqua" w:eastAsia="Book Antiqua" w:hAnsi="Book Antiqua" w:cs="Book Antiqua"/>
          <w:sz w:val="22"/>
          <w:szCs w:val="22"/>
        </w:rPr>
      </w:pPr>
    </w:p>
    <w:p w14:paraId="68215119" w14:textId="77777777" w:rsidR="002C65AB" w:rsidRDefault="002C65AB" w:rsidP="002C65AB">
      <w:pPr>
        <w:pStyle w:val="Podtitul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N </w:t>
      </w:r>
      <w:r>
        <w:rPr>
          <w:rFonts w:ascii="Book Antiqua" w:hAnsi="Book Antiqua"/>
          <w:b/>
          <w:bCs/>
          <w:sz w:val="22"/>
          <w:szCs w:val="22"/>
          <w:lang w:val="pt-PT"/>
        </w:rPr>
        <w:t xml:space="preserve">á </w:t>
      </w:r>
      <w:r>
        <w:rPr>
          <w:rFonts w:ascii="Book Antiqua" w:hAnsi="Book Antiqua"/>
          <w:b/>
          <w:bCs/>
          <w:sz w:val="22"/>
          <w:szCs w:val="22"/>
        </w:rPr>
        <w:t>v r h</w:t>
      </w:r>
    </w:p>
    <w:p w14:paraId="613123E4" w14:textId="77777777" w:rsidR="002C65AB" w:rsidRDefault="002C65AB" w:rsidP="002C65AB">
      <w:pPr>
        <w:pStyle w:val="Podtitul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353ACCAD" w14:textId="0A3DDB49" w:rsidR="002C65AB" w:rsidRDefault="002C65AB" w:rsidP="002C65AB">
      <w:pPr>
        <w:pStyle w:val="Podtitul"/>
        <w:spacing w:before="120" w:after="120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poslancov Národnej rady Slovenskej republiky</w:t>
      </w:r>
    </w:p>
    <w:p w14:paraId="2BCAE370" w14:textId="4D223BC9" w:rsidR="002C65AB" w:rsidRDefault="002C65AB" w:rsidP="002C65AB">
      <w:pPr>
        <w:pStyle w:val="Podtitul"/>
        <w:spacing w:before="120" w:after="120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Rastislava KRÁ</w:t>
      </w:r>
      <w:r>
        <w:rPr>
          <w:rFonts w:ascii="Book Antiqua" w:hAnsi="Book Antiqua"/>
          <w:sz w:val="22"/>
          <w:szCs w:val="22"/>
          <w:lang w:val="de-DE"/>
        </w:rPr>
        <w:t>TKEHO a Richarda VAŠEČKU</w:t>
      </w:r>
    </w:p>
    <w:p w14:paraId="21840A51" w14:textId="77777777" w:rsidR="002C65AB" w:rsidRDefault="002C65AB" w:rsidP="002C65AB">
      <w:pPr>
        <w:pStyle w:val="TeloA"/>
        <w:rPr>
          <w:rFonts w:ascii="Book Antiqua" w:eastAsia="Book Antiqua" w:hAnsi="Book Antiqua" w:cs="Book Antiqua"/>
        </w:rPr>
      </w:pPr>
    </w:p>
    <w:p w14:paraId="618C9BF7" w14:textId="77777777" w:rsidR="002C65AB" w:rsidRDefault="002C65AB" w:rsidP="002C65AB">
      <w:pPr>
        <w:pStyle w:val="TeloA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n a  p r i j a t i e</w:t>
      </w:r>
    </w:p>
    <w:p w14:paraId="6A484B10" w14:textId="77777777" w:rsidR="002C65AB" w:rsidRPr="002C65AB" w:rsidRDefault="002C65AB" w:rsidP="002C65AB">
      <w:pPr>
        <w:pStyle w:val="TeloA"/>
        <w:jc w:val="center"/>
        <w:rPr>
          <w:rFonts w:ascii="Book Antiqua" w:eastAsia="Book Antiqua" w:hAnsi="Book Antiqua" w:cs="Book Antiqua"/>
        </w:rPr>
      </w:pPr>
    </w:p>
    <w:p w14:paraId="2BB6DED9" w14:textId="5AA10CA8" w:rsidR="005C4230" w:rsidRPr="005C4230" w:rsidRDefault="00851758" w:rsidP="005C4230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240" w:line="240" w:lineRule="auto"/>
        <w:jc w:val="center"/>
        <w:rPr>
          <w:rFonts w:ascii="Book Antiqua" w:eastAsia="Calibri" w:hAnsi="Book Antiqua" w:cs="Calibri"/>
          <w:b/>
          <w:bCs/>
        </w:rPr>
      </w:pPr>
      <w:r>
        <w:rPr>
          <w:rFonts w:ascii="Book Antiqua" w:eastAsia="Calibri" w:hAnsi="Book Antiqua" w:cs="Calibri"/>
          <w:b/>
          <w:bCs/>
        </w:rPr>
        <w:t>proti zavedeniu systému emisných povoleniek pre slovenské domácnosti (ETS2</w:t>
      </w:r>
      <w:r w:rsidRPr="00851758">
        <w:rPr>
          <w:rFonts w:ascii="Book Antiqua" w:hAnsi="Book Antiqua"/>
          <w:b/>
        </w:rPr>
        <w:t>)</w:t>
      </w:r>
    </w:p>
    <w:p w14:paraId="7E47AF01" w14:textId="77777777" w:rsidR="002C65AB" w:rsidRDefault="002C65AB" w:rsidP="002C65AB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 w:after="240" w:line="240" w:lineRule="auto"/>
        <w:rPr>
          <w:rFonts w:ascii="Book Antiqua" w:eastAsia="Book Antiqua" w:hAnsi="Book Antiqua" w:cs="Book Antiqua"/>
          <w:b/>
          <w:bCs/>
        </w:rPr>
      </w:pPr>
    </w:p>
    <w:p w14:paraId="1F11ACFB" w14:textId="77777777" w:rsidR="002C65AB" w:rsidRDefault="002C65AB" w:rsidP="002C65AB">
      <w:pPr>
        <w:pStyle w:val="TeloA"/>
        <w:tabs>
          <w:tab w:val="left" w:pos="1095"/>
        </w:tabs>
        <w:spacing w:before="120" w:after="0" w:line="276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t xml:space="preserve"> </w:t>
      </w:r>
    </w:p>
    <w:p w14:paraId="0425D727" w14:textId="77777777" w:rsidR="002C65AB" w:rsidRDefault="002C65AB" w:rsidP="002C65AB">
      <w:pPr>
        <w:pStyle w:val="TeloA"/>
        <w:jc w:val="both"/>
        <w:rPr>
          <w:rFonts w:ascii="Book Antiqua" w:eastAsia="Book Antiqua" w:hAnsi="Book Antiqua" w:cs="Book Antiqua"/>
          <w:u w:val="single"/>
        </w:rPr>
      </w:pPr>
    </w:p>
    <w:tbl>
      <w:tblPr>
        <w:tblStyle w:val="TableNormal1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45"/>
        <w:gridCol w:w="427"/>
        <w:gridCol w:w="4394"/>
      </w:tblGrid>
      <w:tr w:rsidR="002C65AB" w14:paraId="1A1E2B55" w14:textId="77777777" w:rsidTr="004F5096">
        <w:trPr>
          <w:trHeight w:val="31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BAEF6" w14:textId="3F970B85" w:rsidR="002C65AB" w:rsidRDefault="002C65AB" w:rsidP="004F5096">
            <w:pPr>
              <w:pStyle w:val="TeloA"/>
              <w:spacing w:line="360" w:lineRule="auto"/>
            </w:pPr>
            <w:r>
              <w:rPr>
                <w:rFonts w:ascii="Book Antiqua" w:hAnsi="Book Antiqua"/>
                <w:u w:val="single"/>
                <w:lang w:val="pt-PT"/>
              </w:rPr>
              <w:t>P r e d k</w:t>
            </w:r>
            <w:r>
              <w:rPr>
                <w:rFonts w:ascii="Book Antiqua" w:hAnsi="Book Antiqua"/>
                <w:u w:val="single"/>
              </w:rPr>
              <w:t> l a</w:t>
            </w:r>
            <w:r w:rsidR="002D4180">
              <w:rPr>
                <w:rFonts w:ascii="Book Antiqua" w:hAnsi="Book Antiqua"/>
                <w:u w:val="single"/>
              </w:rPr>
              <w:t> </w:t>
            </w:r>
            <w:r>
              <w:rPr>
                <w:rFonts w:ascii="Book Antiqua" w:hAnsi="Book Antiqua"/>
                <w:u w:val="single"/>
              </w:rPr>
              <w:t>d</w:t>
            </w:r>
            <w:r w:rsidR="002D4180">
              <w:rPr>
                <w:rFonts w:ascii="Book Antiqua" w:hAnsi="Book Antiqua"/>
                <w:u w:val="single"/>
              </w:rPr>
              <w:t xml:space="preserve"> a </w:t>
            </w:r>
            <w:r w:rsidR="002D4180">
              <w:rPr>
                <w:rFonts w:ascii="Book Antiqua" w:hAnsi="Book Antiqua"/>
                <w:u w:val="single"/>
                <w:lang w:val="pt-PT"/>
              </w:rPr>
              <w:t xml:space="preserve">j ú </w:t>
            </w:r>
            <w:r>
              <w:rPr>
                <w:rFonts w:ascii="Book Antiqua" w:hAnsi="Book Antiqua"/>
                <w:u w:val="single"/>
                <w:lang w:val="pt-PT"/>
              </w:rPr>
              <w:t xml:space="preserve"> </w:t>
            </w:r>
            <w:r>
              <w:rPr>
                <w:rFonts w:ascii="Book Antiqua" w:hAnsi="Book Antiqua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3EB42" w14:textId="77777777" w:rsidR="002C65AB" w:rsidRDefault="002C65AB" w:rsidP="004F5096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51F49" w14:textId="77777777" w:rsidR="002C65AB" w:rsidRDefault="002C65AB" w:rsidP="004F5096">
            <w:pPr>
              <w:pStyle w:val="TeloA"/>
              <w:spacing w:line="360" w:lineRule="auto"/>
            </w:pPr>
            <w:r>
              <w:rPr>
                <w:rFonts w:ascii="Book Antiqua" w:hAnsi="Book Antiqua"/>
                <w:u w:val="single"/>
              </w:rPr>
              <w:t>Návrh na uznesenie</w:t>
            </w:r>
            <w:r>
              <w:rPr>
                <w:rFonts w:ascii="Book Antiqua" w:hAnsi="Book Antiqua"/>
              </w:rPr>
              <w:t>:</w:t>
            </w:r>
          </w:p>
        </w:tc>
      </w:tr>
      <w:tr w:rsidR="002C65AB" w14:paraId="480A47BA" w14:textId="77777777" w:rsidTr="004F5096">
        <w:trPr>
          <w:trHeight w:val="3735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BAFBE" w14:textId="08D32EA5" w:rsidR="002C65AB" w:rsidRDefault="002C65AB" w:rsidP="004F5096">
            <w:pPr>
              <w:pStyle w:val="TeloA"/>
              <w:spacing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  <w:r w:rsidR="002D4180">
              <w:rPr>
                <w:rFonts w:ascii="Book Antiqua" w:hAnsi="Book Antiqua"/>
              </w:rPr>
              <w:t xml:space="preserve">ichard </w:t>
            </w:r>
            <w:r w:rsidR="00851758">
              <w:rPr>
                <w:rFonts w:ascii="Book Antiqua" w:hAnsi="Book Antiqua"/>
              </w:rPr>
              <w:t xml:space="preserve">Vašečka </w:t>
            </w:r>
            <w:r w:rsidR="002D4180">
              <w:rPr>
                <w:rFonts w:ascii="Book Antiqua" w:hAnsi="Book Antiqua"/>
              </w:rPr>
              <w:t xml:space="preserve"> </w:t>
            </w:r>
            <w:r w:rsidR="00851758">
              <w:rPr>
                <w:rFonts w:ascii="Book Antiqua" w:hAnsi="Book Antiqua"/>
              </w:rPr>
              <w:t xml:space="preserve">  v. r.</w:t>
            </w:r>
          </w:p>
          <w:p w14:paraId="4D44AF81" w14:textId="216F35D5" w:rsidR="00851758" w:rsidRPr="00851758" w:rsidRDefault="00851758" w:rsidP="00851758">
            <w:pPr>
              <w:pStyle w:val="TeloA"/>
              <w:spacing w:after="12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</w:rPr>
              <w:t>Rastislav Krátky    v. r.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BE67" w14:textId="77777777" w:rsidR="002C65AB" w:rsidRDefault="002C65AB" w:rsidP="004F5096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E6DC1" w14:textId="378ED0F3" w:rsidR="002C65AB" w:rsidRDefault="002D4180" w:rsidP="002C65AB">
            <w:pPr>
              <w:pStyle w:val="Odsekzoznamu"/>
              <w:numPr>
                <w:ilvl w:val="0"/>
                <w:numId w:val="15"/>
              </w:numPr>
              <w:spacing w:before="120" w:line="276" w:lineRule="auto"/>
              <w:contextualSpacing w:val="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2C65AB">
              <w:rPr>
                <w:rFonts w:ascii="Book Antiqua" w:hAnsi="Book Antiqua"/>
              </w:rPr>
              <w:t>Návrh uznesenia Národnej rady Slovenskej republiky</w:t>
            </w:r>
          </w:p>
          <w:p w14:paraId="34D55404" w14:textId="4F382275" w:rsidR="002C65AB" w:rsidRDefault="002D4180" w:rsidP="002C65AB">
            <w:pPr>
              <w:pStyle w:val="Odsekzoznamu"/>
              <w:numPr>
                <w:ilvl w:val="0"/>
                <w:numId w:val="15"/>
              </w:numPr>
              <w:spacing w:before="120" w:line="276" w:lineRule="auto"/>
              <w:contextualSpacing w:val="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2C65AB">
              <w:rPr>
                <w:rFonts w:ascii="Book Antiqua" w:hAnsi="Book Antiqua"/>
              </w:rPr>
              <w:t>Odôvodnenie</w:t>
            </w:r>
          </w:p>
          <w:p w14:paraId="7704DB31" w14:textId="77777777" w:rsidR="002C65AB" w:rsidRDefault="002C65AB" w:rsidP="004F5096">
            <w:pPr>
              <w:pStyle w:val="TeloA"/>
              <w:spacing w:before="120" w:line="276" w:lineRule="auto"/>
              <w:jc w:val="both"/>
              <w:rPr>
                <w:rFonts w:ascii="Book Antiqua" w:eastAsia="Book Antiqua" w:hAnsi="Book Antiqua" w:cs="Book Antiqua"/>
              </w:rPr>
            </w:pPr>
          </w:p>
          <w:p w14:paraId="1059DA6B" w14:textId="77777777" w:rsidR="002C65AB" w:rsidRDefault="002C65AB" w:rsidP="004F5096">
            <w:pPr>
              <w:pStyle w:val="TeloA"/>
              <w:spacing w:before="120" w:line="276" w:lineRule="auto"/>
              <w:jc w:val="both"/>
              <w:rPr>
                <w:rFonts w:ascii="Book Antiqua" w:eastAsia="Book Antiqua" w:hAnsi="Book Antiqua" w:cs="Book Antiqua"/>
              </w:rPr>
            </w:pPr>
          </w:p>
          <w:p w14:paraId="621CF8D6" w14:textId="77777777" w:rsidR="002C65AB" w:rsidRDefault="002C65AB" w:rsidP="004F5096">
            <w:pPr>
              <w:pStyle w:val="TeloA"/>
              <w:jc w:val="both"/>
              <w:rPr>
                <w:rFonts w:ascii="Book Antiqua" w:eastAsia="Book Antiqua" w:hAnsi="Book Antiqua" w:cs="Book Antiqua"/>
              </w:rPr>
            </w:pPr>
          </w:p>
          <w:p w14:paraId="0C830BE7" w14:textId="77777777" w:rsidR="002C65AB" w:rsidRDefault="002C65AB" w:rsidP="004F5096">
            <w:pPr>
              <w:pStyle w:val="TeloA"/>
              <w:spacing w:before="120" w:line="360" w:lineRule="auto"/>
              <w:jc w:val="both"/>
              <w:rPr>
                <w:rFonts w:ascii="Book Antiqua" w:eastAsia="Book Antiqua" w:hAnsi="Book Antiqua" w:cs="Book Antiqua"/>
              </w:rPr>
            </w:pPr>
          </w:p>
          <w:p w14:paraId="1A6C4E73" w14:textId="77777777" w:rsidR="002C65AB" w:rsidRDefault="002C65AB" w:rsidP="004F5096">
            <w:pPr>
              <w:pStyle w:val="TeloA"/>
              <w:spacing w:line="360" w:lineRule="auto"/>
              <w:jc w:val="both"/>
            </w:pPr>
            <w:r>
              <w:rPr>
                <w:rFonts w:ascii="Book Antiqua" w:hAnsi="Book Antiqua"/>
              </w:rPr>
              <w:t xml:space="preserve"> </w:t>
            </w:r>
          </w:p>
        </w:tc>
      </w:tr>
    </w:tbl>
    <w:p w14:paraId="4D6E7C04" w14:textId="77777777" w:rsidR="002C65AB" w:rsidRDefault="002C65AB" w:rsidP="002C65AB">
      <w:pPr>
        <w:pStyle w:val="TeloA"/>
        <w:widowControl w:val="0"/>
        <w:spacing w:line="240" w:lineRule="auto"/>
        <w:ind w:left="108" w:hanging="108"/>
        <w:rPr>
          <w:rFonts w:ascii="Book Antiqua" w:eastAsia="Book Antiqua" w:hAnsi="Book Antiqua" w:cs="Book Antiqua"/>
          <w:u w:val="single"/>
        </w:rPr>
      </w:pPr>
    </w:p>
    <w:p w14:paraId="2298904E" w14:textId="77777777" w:rsidR="002C65AB" w:rsidRDefault="002C65AB" w:rsidP="002C65AB">
      <w:pPr>
        <w:pStyle w:val="TeloA"/>
        <w:spacing w:line="240" w:lineRule="auto"/>
        <w:rPr>
          <w:rFonts w:ascii="Book Antiqua" w:eastAsia="Book Antiqua" w:hAnsi="Book Antiqua" w:cs="Book Antiqua"/>
        </w:rPr>
      </w:pPr>
    </w:p>
    <w:p w14:paraId="4DEFC2F1" w14:textId="042995F5" w:rsidR="002C65AB" w:rsidRDefault="002C65AB" w:rsidP="002C65AB">
      <w:pPr>
        <w:pStyle w:val="TeloA"/>
        <w:rPr>
          <w:rFonts w:ascii="Book Antiqua" w:eastAsia="Book Antiqua" w:hAnsi="Book Antiqua" w:cs="Book Antiqua"/>
        </w:rPr>
      </w:pPr>
    </w:p>
    <w:p w14:paraId="070D564C" w14:textId="093F25E7" w:rsidR="002C65AB" w:rsidRDefault="002C65AB" w:rsidP="002C65AB">
      <w:pPr>
        <w:jc w:val="center"/>
        <w:rPr>
          <w:b/>
          <w:bCs/>
        </w:rPr>
      </w:pPr>
      <w:r>
        <w:rPr>
          <w:rFonts w:ascii="Book Antiqua" w:hAnsi="Book Antiqua"/>
        </w:rPr>
        <w:t>Bratislava november 2025</w:t>
      </w:r>
    </w:p>
    <w:p w14:paraId="7680E7D1" w14:textId="77777777" w:rsidR="002C65AB" w:rsidRDefault="002C65AB" w:rsidP="002C65AB">
      <w:pPr>
        <w:pStyle w:val="TeloA"/>
        <w:widowControl w:val="0"/>
        <w:pBdr>
          <w:bottom w:val="single" w:sz="12" w:space="0" w:color="000000"/>
        </w:pBdr>
        <w:spacing w:before="120" w:after="0" w:line="276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lastRenderedPageBreak/>
        <w:t>NÁRODNÁ RADA SLOVENSKEJ REPUBLIKY</w:t>
      </w:r>
      <w:bookmarkStart w:id="1" w:name="_Hlk89090507"/>
      <w:bookmarkEnd w:id="1"/>
    </w:p>
    <w:p w14:paraId="4A4A278C" w14:textId="77777777" w:rsidR="002C65AB" w:rsidRDefault="002C65AB" w:rsidP="002C65AB">
      <w:pPr>
        <w:pStyle w:val="TeloA"/>
        <w:widowControl w:val="0"/>
        <w:spacing w:before="120" w:after="0" w:line="276" w:lineRule="auto"/>
        <w:jc w:val="center"/>
        <w:rPr>
          <w:rFonts w:ascii="Book Antiqua" w:eastAsia="Book Antiqua" w:hAnsi="Book Antiqua" w:cs="Book Antiqua"/>
        </w:rPr>
      </w:pPr>
    </w:p>
    <w:p w14:paraId="19DC11FC" w14:textId="77777777" w:rsidR="002C65AB" w:rsidRDefault="002C65AB" w:rsidP="002C65AB">
      <w:pPr>
        <w:pStyle w:val="TeloA"/>
        <w:widowControl w:val="0"/>
        <w:spacing w:before="120" w:after="0" w:line="276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IX.  </w:t>
      </w:r>
      <w:proofErr w:type="spellStart"/>
      <w:r>
        <w:rPr>
          <w:rFonts w:ascii="Book Antiqua" w:hAnsi="Book Antiqua"/>
        </w:rPr>
        <w:t>volebn</w:t>
      </w:r>
      <w:proofErr w:type="spellEnd"/>
      <w:r>
        <w:rPr>
          <w:rFonts w:ascii="Book Antiqua" w:hAnsi="Book Antiqua"/>
          <w:lang w:val="fr-FR"/>
        </w:rPr>
        <w:t xml:space="preserve">é </w:t>
      </w:r>
      <w:r>
        <w:rPr>
          <w:rFonts w:ascii="Book Antiqua" w:hAnsi="Book Antiqua"/>
        </w:rPr>
        <w:t>obdobie</w:t>
      </w:r>
    </w:p>
    <w:p w14:paraId="2AAAA825" w14:textId="77777777" w:rsid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700164BC" w14:textId="77777777" w:rsid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Návrh</w:t>
      </w:r>
    </w:p>
    <w:p w14:paraId="00828393" w14:textId="77777777" w:rsidR="002C65AB" w:rsidRP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29FE5ADF" w14:textId="77777777" w:rsidR="002C65AB" w:rsidRP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  <w:r w:rsidRPr="002C65AB">
        <w:rPr>
          <w:rFonts w:ascii="Book Antiqua" w:hAnsi="Book Antiqua"/>
          <w:b/>
          <w:bCs/>
          <w:sz w:val="22"/>
          <w:szCs w:val="22"/>
          <w:lang w:val="de-DE"/>
        </w:rPr>
        <w:t xml:space="preserve">UZNESENIE </w:t>
      </w:r>
    </w:p>
    <w:p w14:paraId="1DF0E6E5" w14:textId="77777777" w:rsidR="002C65AB" w:rsidRP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r w:rsidRPr="002C65AB">
        <w:rPr>
          <w:rFonts w:ascii="Book Antiqua" w:hAnsi="Book Antiqua"/>
          <w:b/>
          <w:bCs/>
          <w:sz w:val="22"/>
          <w:szCs w:val="22"/>
        </w:rPr>
        <w:t>NÁ</w:t>
      </w:r>
      <w:r w:rsidRPr="002C65AB">
        <w:rPr>
          <w:rFonts w:ascii="Book Antiqua" w:hAnsi="Book Antiqua"/>
          <w:b/>
          <w:bCs/>
          <w:sz w:val="22"/>
          <w:szCs w:val="22"/>
          <w:lang w:val="es-ES_tradnl"/>
        </w:rPr>
        <w:t>RODNEJ RADY SLOVENSKEJ REPUBLIKY</w:t>
      </w:r>
    </w:p>
    <w:p w14:paraId="3DD6A1EA" w14:textId="77777777" w:rsidR="002C65AB" w:rsidRP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6E0E7179" w14:textId="66765E5A" w:rsidR="002C65AB" w:rsidRP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r w:rsidRPr="002C65AB">
        <w:rPr>
          <w:rFonts w:ascii="Book Antiqua" w:hAnsi="Book Antiqua"/>
          <w:sz w:val="22"/>
          <w:szCs w:val="22"/>
        </w:rPr>
        <w:t>z ... 2025,</w:t>
      </w:r>
    </w:p>
    <w:p w14:paraId="3B2420D9" w14:textId="77777777" w:rsidR="002C65AB" w:rsidRPr="002C65AB" w:rsidRDefault="002C65AB" w:rsidP="002C65AB">
      <w:pPr>
        <w:pStyle w:val="TeloA"/>
        <w:spacing w:before="120" w:after="0" w:line="276" w:lineRule="auto"/>
        <w:rPr>
          <w:rFonts w:ascii="Book Antiqua" w:eastAsia="Book Antiqua" w:hAnsi="Book Antiqua" w:cs="Book Antiqua"/>
        </w:rPr>
      </w:pPr>
    </w:p>
    <w:p w14:paraId="42D44DBE" w14:textId="00DD0FC8" w:rsidR="005C4230" w:rsidRPr="005C4230" w:rsidRDefault="00851758" w:rsidP="005C4230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240" w:line="240" w:lineRule="auto"/>
        <w:jc w:val="center"/>
        <w:rPr>
          <w:rFonts w:ascii="Book Antiqua" w:eastAsia="Calibri" w:hAnsi="Book Antiqua" w:cs="Calibri"/>
          <w:b/>
          <w:bCs/>
        </w:rPr>
      </w:pPr>
      <w:r>
        <w:rPr>
          <w:rFonts w:ascii="Book Antiqua" w:eastAsia="Calibri" w:hAnsi="Book Antiqua" w:cs="Calibri"/>
          <w:b/>
          <w:bCs/>
        </w:rPr>
        <w:t>proti zavedeniu systému emisných povoleniek pre slovenské domácnosti (ETS2</w:t>
      </w:r>
      <w:r w:rsidRPr="00851758">
        <w:rPr>
          <w:rFonts w:ascii="Book Antiqua" w:hAnsi="Book Antiqua"/>
          <w:b/>
        </w:rPr>
        <w:t>)</w:t>
      </w:r>
    </w:p>
    <w:p w14:paraId="321CD7F3" w14:textId="77777777" w:rsidR="002C65AB" w:rsidRDefault="002C65AB" w:rsidP="002C65AB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 w:after="240" w:line="240" w:lineRule="auto"/>
        <w:rPr>
          <w:rFonts w:ascii="Book Antiqua" w:eastAsia="Book Antiqua" w:hAnsi="Book Antiqua" w:cs="Book Antiqua"/>
          <w:b/>
          <w:bCs/>
        </w:rPr>
      </w:pPr>
    </w:p>
    <w:p w14:paraId="179558D3" w14:textId="77777777" w:rsidR="002C65AB" w:rsidRPr="002C65AB" w:rsidRDefault="002C65AB" w:rsidP="002C65AB">
      <w:pPr>
        <w:pStyle w:val="TeloA"/>
        <w:tabs>
          <w:tab w:val="left" w:pos="1095"/>
        </w:tabs>
        <w:spacing w:before="120" w:after="0" w:line="276" w:lineRule="auto"/>
        <w:jc w:val="center"/>
        <w:rPr>
          <w:rFonts w:ascii="Book Antiqua" w:eastAsia="Book Antiqua" w:hAnsi="Book Antiqua" w:cs="Book Antiqua"/>
        </w:rPr>
      </w:pPr>
    </w:p>
    <w:p w14:paraId="4E730271" w14:textId="77777777" w:rsidR="00DC5DB1" w:rsidRPr="00DC5DB1" w:rsidRDefault="00DC5DB1" w:rsidP="00DC5DB1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  <w:r w:rsidRPr="00DC5DB1">
        <w:rPr>
          <w:rFonts w:ascii="Book Antiqua" w:hAnsi="Book Antiqua"/>
          <w:b/>
          <w:bCs/>
        </w:rPr>
        <w:t>Národná rada Slovenskej republiky</w:t>
      </w:r>
    </w:p>
    <w:p w14:paraId="2D317D0C" w14:textId="77777777" w:rsidR="00DC5DB1" w:rsidRPr="00DC5DB1" w:rsidRDefault="00DC5DB1" w:rsidP="00DC5DB1">
      <w:pPr>
        <w:pStyle w:val="TeloA"/>
        <w:numPr>
          <w:ilvl w:val="0"/>
          <w:numId w:val="1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DC5DB1">
        <w:rPr>
          <w:rFonts w:ascii="Book Antiqua" w:hAnsi="Book Antiqua"/>
        </w:rPr>
        <w:t>v súlade s článkom 55 ods. 2 Ústavy Slovenskej republiky, podľa ktorého štát zabezpečuje sociálnu orientáciu trhového hospodárstva,</w:t>
      </w:r>
    </w:p>
    <w:p w14:paraId="5E970096" w14:textId="77777777" w:rsidR="00DC5DB1" w:rsidRPr="00DC5DB1" w:rsidRDefault="00DC5DB1" w:rsidP="00DC5DB1">
      <w:pPr>
        <w:pStyle w:val="TeloA"/>
        <w:numPr>
          <w:ilvl w:val="0"/>
          <w:numId w:val="1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DC5DB1">
        <w:rPr>
          <w:rFonts w:ascii="Book Antiqua" w:hAnsi="Book Antiqua"/>
        </w:rPr>
        <w:t>v súlade s článkom 199 písmeno d), podľa ktorého má vláda SR povinnosť rozhodovať o zásadných opatreniach na zabezpečenie sociálnej politiky Slovenskej republiky,</w:t>
      </w:r>
    </w:p>
    <w:p w14:paraId="61FE626A" w14:textId="71D4D809" w:rsidR="00DC5DB1" w:rsidRPr="00DC5DB1" w:rsidRDefault="00DC5DB1" w:rsidP="00DC5DB1">
      <w:pPr>
        <w:pStyle w:val="TeloA"/>
        <w:numPr>
          <w:ilvl w:val="0"/>
          <w:numId w:val="1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DC5DB1">
        <w:rPr>
          <w:rFonts w:ascii="Book Antiqua" w:hAnsi="Book Antiqua"/>
        </w:rPr>
        <w:t>s prihliadnutím na článok 9 Zmluvy o fungovaní Európskej únie</w:t>
      </w:r>
      <w:r w:rsidR="00240F79">
        <w:rPr>
          <w:rFonts w:ascii="Book Antiqua" w:hAnsi="Book Antiqua"/>
        </w:rPr>
        <w:t xml:space="preserve"> (</w:t>
      </w:r>
      <w:r w:rsidR="00A710C3">
        <w:rPr>
          <w:rFonts w:ascii="Book Antiqua" w:hAnsi="Book Antiqua"/>
        </w:rPr>
        <w:t>ďalej len „</w:t>
      </w:r>
      <w:r w:rsidR="00240F79">
        <w:rPr>
          <w:rFonts w:ascii="Book Antiqua" w:hAnsi="Book Antiqua"/>
        </w:rPr>
        <w:t>ZFE</w:t>
      </w:r>
      <w:r w:rsidR="00D11FF8">
        <w:rPr>
          <w:rFonts w:ascii="Book Antiqua" w:hAnsi="Book Antiqua"/>
        </w:rPr>
        <w:t>Ú</w:t>
      </w:r>
      <w:r w:rsidR="00A710C3">
        <w:rPr>
          <w:rFonts w:ascii="Book Antiqua" w:hAnsi="Book Antiqua"/>
        </w:rPr>
        <w:t>“</w:t>
      </w:r>
      <w:r w:rsidR="00240F79">
        <w:rPr>
          <w:rFonts w:ascii="Book Antiqua" w:hAnsi="Book Antiqua"/>
        </w:rPr>
        <w:t>)</w:t>
      </w:r>
      <w:r w:rsidRPr="00DC5DB1">
        <w:rPr>
          <w:rFonts w:ascii="Book Antiqua" w:hAnsi="Book Antiqua"/>
        </w:rPr>
        <w:t>, ktorý vyžaduje, aby všetky politiky Únie zohľadňovali potrebu podpory vysokej úrovne zamestnanosti, primeranej sociálnej ochrany a boja proti chudobe,</w:t>
      </w:r>
    </w:p>
    <w:p w14:paraId="77127A3C" w14:textId="77777777" w:rsidR="00DC5DB1" w:rsidRPr="00DC5DB1" w:rsidRDefault="00DC5DB1" w:rsidP="00DC5DB1">
      <w:pPr>
        <w:pStyle w:val="TeloA"/>
        <w:numPr>
          <w:ilvl w:val="0"/>
          <w:numId w:val="1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DC5DB1">
        <w:rPr>
          <w:rFonts w:ascii="Book Antiqua" w:hAnsi="Book Antiqua"/>
        </w:rPr>
        <w:t>a so zreteľom na zásadu proporcionality podľa článku 5 ods. 4 Zmluvy o Európskej únii, ako aj na zásady „</w:t>
      </w:r>
      <w:proofErr w:type="spellStart"/>
      <w:r w:rsidRPr="00DC5DB1">
        <w:rPr>
          <w:rFonts w:ascii="Book Antiqua" w:hAnsi="Book Antiqua"/>
        </w:rPr>
        <w:t>Better</w:t>
      </w:r>
      <w:proofErr w:type="spellEnd"/>
      <w:r w:rsidRPr="00DC5DB1">
        <w:rPr>
          <w:rFonts w:ascii="Book Antiqua" w:hAnsi="Book Antiqua"/>
        </w:rPr>
        <w:t xml:space="preserve"> </w:t>
      </w:r>
      <w:proofErr w:type="spellStart"/>
      <w:r w:rsidRPr="00DC5DB1">
        <w:rPr>
          <w:rFonts w:ascii="Book Antiqua" w:hAnsi="Book Antiqua"/>
        </w:rPr>
        <w:t>Regulation</w:t>
      </w:r>
      <w:proofErr w:type="spellEnd"/>
      <w:r w:rsidRPr="00DC5DB1">
        <w:rPr>
          <w:rFonts w:ascii="Book Antiqua" w:hAnsi="Book Antiqua"/>
        </w:rPr>
        <w:t>“ a povinnosťou posudzovania vplyvov právnych aktov EÚ;</w:t>
      </w:r>
    </w:p>
    <w:p w14:paraId="1AE8480F" w14:textId="77777777" w:rsidR="00DC5DB1" w:rsidRPr="00DC5DB1" w:rsidRDefault="00DC5DB1" w:rsidP="00DC5DB1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  <w:r w:rsidRPr="00DC5DB1">
        <w:rPr>
          <w:rFonts w:ascii="Book Antiqua" w:hAnsi="Book Antiqua"/>
          <w:b/>
          <w:bCs/>
        </w:rPr>
        <w:t>konštatuje, že</w:t>
      </w:r>
    </w:p>
    <w:p w14:paraId="5C212F74" w14:textId="77777777" w:rsidR="00DC5DB1" w:rsidRPr="00DC5DB1" w:rsidRDefault="00DC5DB1" w:rsidP="00DC5DB1">
      <w:pPr>
        <w:pStyle w:val="TeloA"/>
        <w:numPr>
          <w:ilvl w:val="0"/>
          <w:numId w:val="1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DC5DB1">
        <w:rPr>
          <w:rFonts w:ascii="Book Antiqua" w:hAnsi="Book Antiqua"/>
        </w:rPr>
        <w:t xml:space="preserve">posúdenie vplyvov Európskej komisie (SWD(2021) 601 </w:t>
      </w:r>
      <w:proofErr w:type="spellStart"/>
      <w:r w:rsidRPr="00DC5DB1">
        <w:rPr>
          <w:rFonts w:ascii="Book Antiqua" w:hAnsi="Book Antiqua"/>
        </w:rPr>
        <w:t>final</w:t>
      </w:r>
      <w:proofErr w:type="spellEnd"/>
      <w:r w:rsidRPr="00DC5DB1">
        <w:rPr>
          <w:rFonts w:ascii="Book Antiqua" w:hAnsi="Book Antiqua"/>
        </w:rPr>
        <w:t>) k návrhu smernice Európskeho parlamentu a Rady (EÚ) 2023/959 z 10. mája 2023, ktorou sa mení smernica 2003/87/ES, pokiaľ ide o zlepšenie a rozšírenie systému obchodovania s emisnými kvótami Únie, a rozhodnutie (EÚ) 2015/1814 (ďalej len „smernica ETS2“), neposkytlo dostatočnú analýzu sociálnych dôsledkov zavedenia smernice ETS2 pre nízkopríjmové domácnosti a regióny s vysokou energetickou náročnosťou,</w:t>
      </w:r>
    </w:p>
    <w:p w14:paraId="00266457" w14:textId="77777777" w:rsidR="00DC5DB1" w:rsidRPr="00DC5DB1" w:rsidRDefault="00DC5DB1" w:rsidP="00DC5DB1">
      <w:pPr>
        <w:pStyle w:val="TeloA"/>
        <w:numPr>
          <w:ilvl w:val="0"/>
          <w:numId w:val="1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DC5DB1">
        <w:rPr>
          <w:rFonts w:ascii="Book Antiqua" w:hAnsi="Book Antiqua"/>
        </w:rPr>
        <w:t xml:space="preserve">posúdenie nezohľadnilo zásadné hospodárske zmeny po roku 2020 – pandémiu COVID-19, energetickú krízu, vojnu na Ukrajine a inflačný šok –, ktoré podstatne menia reálnosť pôvodných predpokladov, </w:t>
      </w:r>
    </w:p>
    <w:p w14:paraId="5BE3FFFF" w14:textId="77777777" w:rsidR="00DC5DB1" w:rsidRPr="00DC5DB1" w:rsidRDefault="00DC5DB1" w:rsidP="00DC5DB1">
      <w:pPr>
        <w:pStyle w:val="TeloA"/>
        <w:numPr>
          <w:ilvl w:val="0"/>
          <w:numId w:val="1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DC5DB1">
        <w:rPr>
          <w:rFonts w:ascii="Book Antiqua" w:hAnsi="Book Antiqua"/>
        </w:rPr>
        <w:lastRenderedPageBreak/>
        <w:t>zavedenie smernice ETS2 v roku 2027 môže mať neprimerane negatívny vplyv na životné náklady, energetickú dostupnosť a chudobu obyvateľstva Slovenskej republiky,</w:t>
      </w:r>
    </w:p>
    <w:p w14:paraId="54E0C1CA" w14:textId="18E74FC6" w:rsidR="00DC5DB1" w:rsidRPr="00DC5DB1" w:rsidRDefault="00DC5DB1" w:rsidP="00DC5DB1">
      <w:pPr>
        <w:pStyle w:val="TeloA"/>
        <w:numPr>
          <w:ilvl w:val="0"/>
          <w:numId w:val="1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DC5DB1">
        <w:rPr>
          <w:rFonts w:ascii="Book Antiqua" w:hAnsi="Book Antiqua"/>
        </w:rPr>
        <w:t>nápravné opatrenia v rámci Sociálneho klimatického fondu (</w:t>
      </w:r>
      <w:proofErr w:type="spellStart"/>
      <w:r w:rsidRPr="00DC5DB1">
        <w:rPr>
          <w:rFonts w:ascii="Book Antiqua" w:hAnsi="Book Antiqua"/>
        </w:rPr>
        <w:t>Regulation</w:t>
      </w:r>
      <w:proofErr w:type="spellEnd"/>
      <w:r w:rsidRPr="00DC5DB1">
        <w:rPr>
          <w:rFonts w:ascii="Book Antiqua" w:hAnsi="Book Antiqua"/>
        </w:rPr>
        <w:t xml:space="preserve"> (EU) 2023/955) sú v súčasnej podobe nedostatočné na kompenzáciu dopadov smernice ETS2 na domácnosti s nízkymi príjmami</w:t>
      </w:r>
      <w:r w:rsidR="005C4230">
        <w:rPr>
          <w:rFonts w:ascii="Book Antiqua" w:hAnsi="Book Antiqua"/>
        </w:rPr>
        <w:t>;</w:t>
      </w:r>
    </w:p>
    <w:p w14:paraId="4D7736AD" w14:textId="77777777" w:rsidR="00DC5DB1" w:rsidRPr="00DC5DB1" w:rsidRDefault="00DC5DB1" w:rsidP="00DC5DB1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  <w:r w:rsidRPr="00DC5DB1">
        <w:rPr>
          <w:rFonts w:ascii="Book Antiqua" w:hAnsi="Book Antiqua"/>
          <w:b/>
          <w:bCs/>
        </w:rPr>
        <w:t>vyhlasuje, že</w:t>
      </w:r>
    </w:p>
    <w:p w14:paraId="717971F2" w14:textId="77777777" w:rsidR="00DC5DB1" w:rsidRPr="00DC5DB1" w:rsidRDefault="00DC5DB1" w:rsidP="00DC5DB1">
      <w:pPr>
        <w:pStyle w:val="TeloA"/>
        <w:numPr>
          <w:ilvl w:val="0"/>
          <w:numId w:val="1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DC5DB1">
        <w:rPr>
          <w:rFonts w:ascii="Book Antiqua" w:hAnsi="Book Antiqua"/>
        </w:rPr>
        <w:t>klimatické opatrenia EÚ a Slovenskej republiky nesmú viesť k zvyšovaniu chudoby alebo sociálneho vylúčenia,</w:t>
      </w:r>
    </w:p>
    <w:p w14:paraId="5B154EB8" w14:textId="77777777" w:rsidR="00DC5DB1" w:rsidRPr="00DC5DB1" w:rsidRDefault="00DC5DB1" w:rsidP="00DC5DB1">
      <w:pPr>
        <w:pStyle w:val="TeloA"/>
        <w:numPr>
          <w:ilvl w:val="0"/>
          <w:numId w:val="1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DC5DB1">
        <w:rPr>
          <w:rFonts w:ascii="Book Antiqua" w:hAnsi="Book Antiqua"/>
        </w:rPr>
        <w:t>implementácia smernice (EÚ) 2023/959 o rozšírení systému obchodovania s emisnými povolenkami (ETS2) v súčasnej podobe môže ohroziť sociálnu stabilitu a energetickú dostupnosť obyvateľstva.</w:t>
      </w:r>
    </w:p>
    <w:p w14:paraId="5B79C1C8" w14:textId="7CEC2ECD" w:rsidR="00DC5DB1" w:rsidRPr="00DC5DB1" w:rsidRDefault="00DC5DB1" w:rsidP="00DC5DB1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  <w:r w:rsidRPr="00DC5DB1">
        <w:rPr>
          <w:rFonts w:ascii="Book Antiqua" w:hAnsi="Book Antiqua"/>
        </w:rPr>
        <w:t xml:space="preserve">Vzhľadom na to, že sa Národná rada Slovenskej republiky na rokovaní 40. schôdze v súčasnom volebnom období uzniesla, že </w:t>
      </w:r>
      <w:r w:rsidRPr="00327702">
        <w:rPr>
          <w:rFonts w:ascii="Book Antiqua" w:hAnsi="Book Antiqua"/>
          <w:b/>
          <w:bCs/>
        </w:rPr>
        <w:t>rozšírenie systému obchodovania s emisnými kvótami Európskej únie na budovy a cestnú dopravu (ETS2) v jeho súčasnej podobe je v rozpore s verejným a sociálnym záujmom obyvateľov Slovenskej republiky</w:t>
      </w:r>
      <w:r w:rsidRPr="00DC5DB1">
        <w:rPr>
          <w:rFonts w:ascii="Book Antiqua" w:hAnsi="Book Antiqua"/>
        </w:rPr>
        <w:t>, keďže by neprimerane zaťažovalo domácnosti zvýšenými nákladmi na energiu, zvyšovalo riziko energetickej chudoby a neexistujú dostatočné alternatívy ani kompenzačné opatrenia na zmiernenie týchto dosahov,</w:t>
      </w:r>
    </w:p>
    <w:p w14:paraId="145A9317" w14:textId="77777777" w:rsidR="00725F1F" w:rsidRDefault="00725F1F" w:rsidP="00DC5DB1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424FFE96" w14:textId="511B034D" w:rsidR="00DC5DB1" w:rsidRPr="00DC5DB1" w:rsidRDefault="00DC5DB1" w:rsidP="00DC5DB1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  <w:r w:rsidRPr="00DC5DB1">
        <w:rPr>
          <w:rFonts w:ascii="Book Antiqua" w:hAnsi="Book Antiqua"/>
          <w:b/>
          <w:bCs/>
        </w:rPr>
        <w:t>Národná rada SR žiada vládu Slovenskej republiky, aby</w:t>
      </w:r>
    </w:p>
    <w:p w14:paraId="11E69025" w14:textId="77777777" w:rsidR="00DC5DB1" w:rsidRPr="00DC5DB1" w:rsidRDefault="00DC5DB1" w:rsidP="00DC5DB1">
      <w:pPr>
        <w:pStyle w:val="TeloA"/>
        <w:numPr>
          <w:ilvl w:val="0"/>
          <w:numId w:val="1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DC5DB1">
        <w:rPr>
          <w:rFonts w:ascii="Book Antiqua" w:hAnsi="Book Antiqua"/>
          <w:b/>
          <w:bCs/>
        </w:rPr>
        <w:t>podnikla</w:t>
      </w:r>
      <w:r w:rsidRPr="00DC5DB1">
        <w:rPr>
          <w:rFonts w:ascii="Book Antiqua" w:hAnsi="Book Antiqua"/>
        </w:rPr>
        <w:t xml:space="preserve"> všetky právne, diplomatické a politické kroky na pôde Európskej únie s cieľom iniciovať konanie podľa článku 241 ZFEÚ na predloženie návrhu na zrušenie smernice (EÚ) 2023/959 o rozšírení systému obchodovania s emisnými povolenkami (ETS2);</w:t>
      </w:r>
    </w:p>
    <w:p w14:paraId="55349223" w14:textId="77777777" w:rsidR="00DC5DB1" w:rsidRPr="00DC5DB1" w:rsidRDefault="00DC5DB1" w:rsidP="00DC5DB1">
      <w:pPr>
        <w:pStyle w:val="TeloA"/>
        <w:numPr>
          <w:ilvl w:val="0"/>
          <w:numId w:val="1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DC5DB1">
        <w:rPr>
          <w:rFonts w:ascii="Book Antiqua" w:hAnsi="Book Antiqua"/>
          <w:b/>
          <w:bCs/>
        </w:rPr>
        <w:t>podala</w:t>
      </w:r>
      <w:r w:rsidRPr="00DC5DB1">
        <w:rPr>
          <w:rFonts w:ascii="Book Antiqua" w:hAnsi="Book Antiqua"/>
        </w:rPr>
        <w:t xml:space="preserve"> žalobu na Súdny dvor Európskej únie podľa článku 263 ZFEÚ, z dôvodu že predmetná smernica porušuje povinnosť EÚ podľa článku 9 ZFEÚ zohľadňovať sociálne dopady a podporovať vysokú úroveň sociálnej ochrany a boja proti chudobe,</w:t>
      </w:r>
    </w:p>
    <w:p w14:paraId="5CD7397B" w14:textId="77777777" w:rsidR="00DC5DB1" w:rsidRPr="00DC5DB1" w:rsidRDefault="00DC5DB1" w:rsidP="00DC5DB1">
      <w:pPr>
        <w:pStyle w:val="TeloA"/>
        <w:numPr>
          <w:ilvl w:val="0"/>
          <w:numId w:val="1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DC5DB1">
        <w:rPr>
          <w:rFonts w:ascii="Book Antiqua" w:hAnsi="Book Antiqua"/>
          <w:b/>
          <w:bCs/>
        </w:rPr>
        <w:t>pozastavila</w:t>
      </w:r>
      <w:r w:rsidRPr="00DC5DB1">
        <w:rPr>
          <w:rFonts w:ascii="Book Antiqua" w:hAnsi="Book Antiqua"/>
        </w:rPr>
        <w:t xml:space="preserve"> legislatívnu prípravu implementácie smernice (EÚ) 2023/959 o rozšírení systému obchodovania s emisnými povolenkami (ETS2) do vnútroštátneho právneho poriadku Slovenskej republiky, a to až do ukončenia všetkých konaní týkajúcich sa zrušenia smernice (EÚ) 2023/959 o rozšírení systému obchodovania s emisnými povolenkami (ETS2);</w:t>
      </w:r>
    </w:p>
    <w:p w14:paraId="47C50BAF" w14:textId="77777777" w:rsidR="00DC5DB1" w:rsidRPr="00DC5DB1" w:rsidRDefault="00DC5DB1" w:rsidP="00DC5DB1">
      <w:pPr>
        <w:pStyle w:val="TeloA"/>
        <w:numPr>
          <w:ilvl w:val="0"/>
          <w:numId w:val="1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DC5DB1">
        <w:rPr>
          <w:rFonts w:ascii="Book Antiqua" w:hAnsi="Book Antiqua"/>
          <w:b/>
          <w:bCs/>
        </w:rPr>
        <w:t>vykonala</w:t>
      </w:r>
      <w:r w:rsidRPr="00DC5DB1">
        <w:rPr>
          <w:rFonts w:ascii="Book Antiqua" w:hAnsi="Book Antiqua"/>
        </w:rPr>
        <w:t xml:space="preserve"> nové a komplexné posúdenia sociálnych a ekonomických vplyvov implementácie smernice ETS2 na slovenské domácnosti, podniky a regióny;</w:t>
      </w:r>
    </w:p>
    <w:p w14:paraId="6D5E16E8" w14:textId="77777777" w:rsidR="00DC5DB1" w:rsidRPr="00DC5DB1" w:rsidRDefault="00DC5DB1" w:rsidP="00DC5DB1">
      <w:pPr>
        <w:pStyle w:val="TeloA"/>
        <w:numPr>
          <w:ilvl w:val="0"/>
          <w:numId w:val="1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DC5DB1">
        <w:rPr>
          <w:rFonts w:ascii="Book Antiqua" w:hAnsi="Book Antiqua"/>
        </w:rPr>
        <w:t>v prípade, že nebude možné dosiahnuť zrušenie smernice ETS2 na úrovni EÚ, uprednostnila vnútroštátne riešenie, ktoré zamedzí negatívnym sociálnym dôsledkom vyššie uvedenej smernice, vrátane dočasného neudelenia právnej účinnosti častiam legislatívy, ktoré by viedli k neprimeranej sociálnej záťaži.</w:t>
      </w:r>
    </w:p>
    <w:p w14:paraId="4225D8F8" w14:textId="77777777" w:rsidR="00BA0AE9" w:rsidRPr="00725F1F" w:rsidRDefault="00BA0AE9" w:rsidP="005C4230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725F1F">
        <w:rPr>
          <w:rFonts w:ascii="Book Antiqua" w:hAnsi="Book Antiqua"/>
          <w:b/>
          <w:bCs/>
          <w:sz w:val="24"/>
          <w:szCs w:val="24"/>
        </w:rPr>
        <w:lastRenderedPageBreak/>
        <w:t>DÔVODOVÁ SPRÁVA</w:t>
      </w:r>
    </w:p>
    <w:p w14:paraId="3E49C19E" w14:textId="77777777" w:rsidR="00CD3D6C" w:rsidRDefault="00CD3D6C" w:rsidP="005C4230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</w:p>
    <w:p w14:paraId="20094B29" w14:textId="1EB26E9A" w:rsidR="00DC5DB1" w:rsidRPr="00DC5DB1" w:rsidRDefault="00DC5DB1" w:rsidP="005C4230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DC5DB1">
        <w:rPr>
          <w:rFonts w:ascii="Book Antiqua" w:hAnsi="Book Antiqua"/>
        </w:rPr>
        <w:t xml:space="preserve">Navrhované uznesenie vychádza z princípu, že </w:t>
      </w:r>
      <w:r w:rsidRPr="00BA71D1">
        <w:rPr>
          <w:rFonts w:ascii="Book Antiqua" w:hAnsi="Book Antiqua"/>
          <w:b/>
          <w:bCs/>
        </w:rPr>
        <w:t xml:space="preserve">klimatická politika nesmie zvyšovať chudobu. </w:t>
      </w:r>
      <w:r w:rsidRPr="00DC5DB1">
        <w:rPr>
          <w:rFonts w:ascii="Book Antiqua" w:hAnsi="Book Antiqua"/>
        </w:rPr>
        <w:t xml:space="preserve">Rozšírenie systému obchodovania s emisnými povolenkami (smernica ETS2) na sektor domácností a dopravy, plánované v rámci európskej klimatickej legislatívy, však predstavuje vysoké riziko nárastu životných nákladov. Správa Európskej komisie </w:t>
      </w:r>
      <w:r w:rsidRPr="00DC5DB1">
        <w:rPr>
          <w:rFonts w:ascii="Book Antiqua" w:hAnsi="Book Antiqua"/>
          <w:i/>
          <w:iCs/>
        </w:rPr>
        <w:t>“</w:t>
      </w:r>
      <w:proofErr w:type="spellStart"/>
      <w:r w:rsidRPr="00DC5DB1">
        <w:rPr>
          <w:rFonts w:ascii="Book Antiqua" w:hAnsi="Book Antiqua"/>
          <w:i/>
          <w:iCs/>
        </w:rPr>
        <w:t>Support</w:t>
      </w:r>
      <w:proofErr w:type="spellEnd"/>
      <w:r w:rsidRPr="00DC5DB1">
        <w:rPr>
          <w:rFonts w:ascii="Book Antiqua" w:hAnsi="Book Antiqua"/>
          <w:i/>
          <w:iCs/>
        </w:rPr>
        <w:t xml:space="preserve"> to </w:t>
      </w:r>
      <w:proofErr w:type="spellStart"/>
      <w:r w:rsidRPr="00DC5DB1">
        <w:rPr>
          <w:rFonts w:ascii="Book Antiqua" w:hAnsi="Book Antiqua"/>
          <w:i/>
          <w:iCs/>
        </w:rPr>
        <w:t>the</w:t>
      </w:r>
      <w:proofErr w:type="spellEnd"/>
      <w:r w:rsidRPr="00DC5DB1">
        <w:rPr>
          <w:rFonts w:ascii="Book Antiqua" w:hAnsi="Book Antiqua"/>
          <w:i/>
          <w:iCs/>
        </w:rPr>
        <w:t xml:space="preserve"> </w:t>
      </w:r>
      <w:proofErr w:type="spellStart"/>
      <w:r w:rsidRPr="00DC5DB1">
        <w:rPr>
          <w:rFonts w:ascii="Book Antiqua" w:hAnsi="Book Antiqua"/>
          <w:i/>
          <w:iCs/>
        </w:rPr>
        <w:t>Preparation</w:t>
      </w:r>
      <w:proofErr w:type="spellEnd"/>
      <w:r w:rsidRPr="00DC5DB1">
        <w:rPr>
          <w:rFonts w:ascii="Book Antiqua" w:hAnsi="Book Antiqua"/>
          <w:i/>
          <w:iCs/>
        </w:rPr>
        <w:t xml:space="preserve"> of </w:t>
      </w:r>
      <w:proofErr w:type="spellStart"/>
      <w:r w:rsidRPr="00DC5DB1">
        <w:rPr>
          <w:rFonts w:ascii="Book Antiqua" w:hAnsi="Book Antiqua"/>
          <w:i/>
          <w:iCs/>
        </w:rPr>
        <w:t>Social</w:t>
      </w:r>
      <w:proofErr w:type="spellEnd"/>
      <w:r w:rsidRPr="00DC5DB1">
        <w:rPr>
          <w:rFonts w:ascii="Book Antiqua" w:hAnsi="Book Antiqua"/>
          <w:i/>
          <w:iCs/>
        </w:rPr>
        <w:t xml:space="preserve"> </w:t>
      </w:r>
      <w:proofErr w:type="spellStart"/>
      <w:r w:rsidRPr="00DC5DB1">
        <w:rPr>
          <w:rFonts w:ascii="Book Antiqua" w:hAnsi="Book Antiqua"/>
          <w:i/>
          <w:iCs/>
        </w:rPr>
        <w:t>Climate</w:t>
      </w:r>
      <w:proofErr w:type="spellEnd"/>
      <w:r w:rsidRPr="00DC5DB1">
        <w:rPr>
          <w:rFonts w:ascii="Book Antiqua" w:hAnsi="Book Antiqua"/>
          <w:i/>
          <w:iCs/>
        </w:rPr>
        <w:t xml:space="preserve"> </w:t>
      </w:r>
      <w:proofErr w:type="spellStart"/>
      <w:r w:rsidRPr="00DC5DB1">
        <w:rPr>
          <w:rFonts w:ascii="Book Antiqua" w:hAnsi="Book Antiqua"/>
          <w:i/>
          <w:iCs/>
        </w:rPr>
        <w:t>Plans</w:t>
      </w:r>
      <w:proofErr w:type="spellEnd"/>
      <w:r w:rsidRPr="00DC5DB1">
        <w:rPr>
          <w:rFonts w:ascii="Book Antiqua" w:hAnsi="Book Antiqua"/>
          <w:i/>
          <w:iCs/>
        </w:rPr>
        <w:t xml:space="preserve"> – </w:t>
      </w:r>
      <w:proofErr w:type="spellStart"/>
      <w:r w:rsidRPr="00DC5DB1">
        <w:rPr>
          <w:rFonts w:ascii="Book Antiqua" w:hAnsi="Book Antiqua"/>
          <w:i/>
          <w:iCs/>
        </w:rPr>
        <w:t>Deliverable</w:t>
      </w:r>
      <w:proofErr w:type="spellEnd"/>
      <w:r w:rsidRPr="00DC5DB1">
        <w:rPr>
          <w:rFonts w:ascii="Book Antiqua" w:hAnsi="Book Antiqua"/>
          <w:i/>
          <w:iCs/>
        </w:rPr>
        <w:t xml:space="preserve"> 2: Report on </w:t>
      </w:r>
      <w:proofErr w:type="spellStart"/>
      <w:r w:rsidRPr="00DC5DB1">
        <w:rPr>
          <w:rFonts w:ascii="Book Antiqua" w:hAnsi="Book Antiqua"/>
          <w:i/>
          <w:iCs/>
        </w:rPr>
        <w:t>the</w:t>
      </w:r>
      <w:proofErr w:type="spellEnd"/>
      <w:r w:rsidRPr="00DC5DB1">
        <w:rPr>
          <w:rFonts w:ascii="Book Antiqua" w:hAnsi="Book Antiqua"/>
          <w:i/>
          <w:iCs/>
        </w:rPr>
        <w:t xml:space="preserve"> </w:t>
      </w:r>
      <w:proofErr w:type="spellStart"/>
      <w:r w:rsidRPr="00DC5DB1">
        <w:rPr>
          <w:rFonts w:ascii="Book Antiqua" w:hAnsi="Book Antiqua"/>
          <w:i/>
          <w:iCs/>
        </w:rPr>
        <w:t>impacts</w:t>
      </w:r>
      <w:proofErr w:type="spellEnd"/>
      <w:r w:rsidRPr="00DC5DB1">
        <w:rPr>
          <w:rFonts w:ascii="Book Antiqua" w:hAnsi="Book Antiqua"/>
          <w:i/>
          <w:iCs/>
        </w:rPr>
        <w:t xml:space="preserve"> of ETS2 in Slovakia”</w:t>
      </w:r>
      <w:r w:rsidRPr="00DC5DB1">
        <w:rPr>
          <w:rFonts w:ascii="Book Antiqua" w:hAnsi="Book Antiqua"/>
        </w:rPr>
        <w:t xml:space="preserve"> (2023) upozorňuje, že slovenské domácnosti s najnižším príjmom by boli zavedením ETS2 najviac zasiahnuté. Slovenské domácnosti majú jeden z najvyšších podielov výdavkov na energiu na disponibilný príjem spomedzi krajín EÚ – s </w:t>
      </w:r>
      <w:proofErr w:type="spellStart"/>
      <w:r w:rsidRPr="00DC5DB1">
        <w:rPr>
          <w:rFonts w:ascii="Book Antiqua" w:hAnsi="Book Antiqua"/>
        </w:rPr>
        <w:t>mediánovou</w:t>
      </w:r>
      <w:proofErr w:type="spellEnd"/>
      <w:r w:rsidRPr="00DC5DB1">
        <w:rPr>
          <w:rFonts w:ascii="Book Antiqua" w:hAnsi="Book Antiqua"/>
        </w:rPr>
        <w:t xml:space="preserve"> hodnotou 7,6 % z celkových výdavkov vynaložených na kúrenie. </w:t>
      </w:r>
      <w:r w:rsidRPr="002804E4">
        <w:rPr>
          <w:rFonts w:ascii="Book Antiqua" w:hAnsi="Book Antiqua"/>
          <w:b/>
          <w:bCs/>
        </w:rPr>
        <w:t xml:space="preserve">Rodiny s deťmi a osamelí rodičia patria medzi najzraniteľnejšie skupiny , seniori nad 65 rokov sú ohrození energetickou chudobou v rozsahu až 35 %, a celkovo 16 % slovenských domácností je už dnes v stave energetickej chudoby. Nárast cien v dôsledku ETS2 pocítia výrazne občania žijúci na vidieku, ktorí na dochádzanie do práce používajú súkromné automobily. </w:t>
      </w:r>
      <w:r w:rsidRPr="00DC5DB1">
        <w:rPr>
          <w:rFonts w:ascii="Book Antiqua" w:hAnsi="Book Antiqua"/>
        </w:rPr>
        <w:t>Individuálna doprava sa najčastejšie využíva vo vidieckych oblastiach na dochádzanie do miest, kde sú poskytované základné služby, ako je školstvo, zdravotná starostlivosť a zároveň ľudia do mesta dochádzajú častokrát za prácou.</w:t>
      </w:r>
    </w:p>
    <w:p w14:paraId="3D8E2C8C" w14:textId="66174CCF" w:rsidR="00CD3D6C" w:rsidRPr="00DC5DB1" w:rsidRDefault="00DC5DB1" w:rsidP="005C4230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DC5DB1">
        <w:rPr>
          <w:rFonts w:ascii="Book Antiqua" w:hAnsi="Book Antiqua"/>
        </w:rPr>
        <w:t xml:space="preserve">Cieľom uznesenia je jasne deklarovať, že Národná rada SR žiada vládu SR, aby </w:t>
      </w:r>
      <w:r w:rsidRPr="002804E4">
        <w:rPr>
          <w:rFonts w:ascii="Book Antiqua" w:hAnsi="Book Antiqua"/>
          <w:b/>
          <w:bCs/>
        </w:rPr>
        <w:t>pozastavila implementáciu smernice ETS2</w:t>
      </w:r>
      <w:r w:rsidR="00B95A9A">
        <w:rPr>
          <w:rFonts w:ascii="Book Antiqua" w:hAnsi="Book Antiqua"/>
          <w:b/>
          <w:bCs/>
        </w:rPr>
        <w:t xml:space="preserve"> </w:t>
      </w:r>
      <w:r w:rsidR="00B66A93">
        <w:rPr>
          <w:rFonts w:ascii="Book Antiqua" w:hAnsi="Book Antiqua"/>
          <w:b/>
          <w:bCs/>
        </w:rPr>
        <w:t>na národnej úrovni</w:t>
      </w:r>
      <w:r w:rsidR="00B95A9A">
        <w:rPr>
          <w:rFonts w:ascii="Book Antiqua" w:hAnsi="Book Antiqua"/>
          <w:b/>
          <w:bCs/>
        </w:rPr>
        <w:t>,</w:t>
      </w:r>
      <w:r w:rsidRPr="002804E4">
        <w:rPr>
          <w:rFonts w:ascii="Book Antiqua" w:hAnsi="Book Antiqua"/>
          <w:b/>
          <w:bCs/>
        </w:rPr>
        <w:t> iniciovala na pôde EÚ konanie na jej úplné zrušenie</w:t>
      </w:r>
      <w:r w:rsidRPr="00DC5DB1">
        <w:rPr>
          <w:rFonts w:ascii="Book Antiqua" w:hAnsi="Book Antiqua"/>
        </w:rPr>
        <w:t xml:space="preserve">, </w:t>
      </w:r>
      <w:r w:rsidR="00651CB0" w:rsidRPr="00651CB0">
        <w:rPr>
          <w:rFonts w:ascii="Book Antiqua" w:hAnsi="Book Antiqua"/>
          <w:b/>
          <w:bCs/>
        </w:rPr>
        <w:t>a zároveň podala</w:t>
      </w:r>
      <w:r w:rsidR="00651CB0">
        <w:rPr>
          <w:rFonts w:ascii="Book Antiqua" w:hAnsi="Book Antiqua"/>
          <w:b/>
          <w:bCs/>
        </w:rPr>
        <w:t xml:space="preserve"> v súvislosti s ňou</w:t>
      </w:r>
      <w:r w:rsidR="00651CB0" w:rsidRPr="00651CB0">
        <w:rPr>
          <w:rFonts w:ascii="Book Antiqua" w:hAnsi="Book Antiqua"/>
          <w:b/>
          <w:bCs/>
        </w:rPr>
        <w:t xml:space="preserve"> žalobu na Súdny dvor Európskej únie</w:t>
      </w:r>
      <w:r w:rsidR="00651CB0">
        <w:rPr>
          <w:rFonts w:ascii="Book Antiqua" w:hAnsi="Book Antiqua"/>
        </w:rPr>
        <w:t xml:space="preserve"> </w:t>
      </w:r>
      <w:r w:rsidRPr="00DC5DB1">
        <w:rPr>
          <w:rFonts w:ascii="Book Antiqua" w:hAnsi="Book Antiqua"/>
        </w:rPr>
        <w:t>nakoľko sú s ňou spojené zásadné otázky jej sociálneho dopadu a primeranosti. Podľa Ústavy SR, článku 199, písmeno d) má vláda SR povinnosť rozhodovať o zásadných opatreniach na zabezpečenie sociálnej politiky Slovenskej republiky. Nakoľko zavedenie  smernice ETS2 bude mať vážne sociálne dôsledky, ktoré by viedli k zníženiu životnej úrovne obyvateľstva, k prehlbovaniu energetickej chudoby a k zvyšovaniu nákladov rodín na bývanie a dopravu, je vláda SR povinná vykonať všetky potrebné kroky k jej zrušeniu.</w:t>
      </w:r>
    </w:p>
    <w:sectPr w:rsidR="00CD3D6C" w:rsidRPr="00DC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C25"/>
    <w:multiLevelType w:val="multilevel"/>
    <w:tmpl w:val="EB36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F4AC5"/>
    <w:multiLevelType w:val="hybridMultilevel"/>
    <w:tmpl w:val="762C1282"/>
    <w:lvl w:ilvl="0" w:tplc="78667B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0338"/>
    <w:multiLevelType w:val="multilevel"/>
    <w:tmpl w:val="5AF6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842E9"/>
    <w:multiLevelType w:val="multilevel"/>
    <w:tmpl w:val="5984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7782D"/>
    <w:multiLevelType w:val="multilevel"/>
    <w:tmpl w:val="4354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11FE5"/>
    <w:multiLevelType w:val="multilevel"/>
    <w:tmpl w:val="B1F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A5BB5"/>
    <w:multiLevelType w:val="multilevel"/>
    <w:tmpl w:val="0172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01F16"/>
    <w:multiLevelType w:val="multilevel"/>
    <w:tmpl w:val="80AC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F589B"/>
    <w:multiLevelType w:val="hybridMultilevel"/>
    <w:tmpl w:val="108C242C"/>
    <w:lvl w:ilvl="0" w:tplc="2404F26A">
      <w:start w:val="1"/>
      <w:numFmt w:val="decimal"/>
      <w:suff w:val="nothing"/>
      <w:lvlText w:val="%1."/>
      <w:lvlJc w:val="left"/>
      <w:pPr>
        <w:ind w:left="122" w:hanging="92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606B8">
      <w:start w:val="1"/>
      <w:numFmt w:val="lowerLetter"/>
      <w:lvlText w:val="%2."/>
      <w:lvlJc w:val="left"/>
      <w:pPr>
        <w:ind w:left="720" w:hanging="618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A854FC">
      <w:start w:val="1"/>
      <w:numFmt w:val="lowerRoman"/>
      <w:lvlText w:val="%3."/>
      <w:lvlJc w:val="left"/>
      <w:pPr>
        <w:ind w:left="1440" w:hanging="548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023274">
      <w:start w:val="1"/>
      <w:numFmt w:val="decimal"/>
      <w:lvlText w:val="%4."/>
      <w:lvlJc w:val="left"/>
      <w:pPr>
        <w:ind w:left="2160" w:hanging="59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26946E">
      <w:start w:val="1"/>
      <w:numFmt w:val="lowerLetter"/>
      <w:lvlText w:val="%5."/>
      <w:lvlJc w:val="left"/>
      <w:pPr>
        <w:ind w:left="2880" w:hanging="582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14D836">
      <w:start w:val="1"/>
      <w:numFmt w:val="lowerRoman"/>
      <w:lvlText w:val="%6."/>
      <w:lvlJc w:val="left"/>
      <w:pPr>
        <w:ind w:left="3600" w:hanging="512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6801D8">
      <w:start w:val="1"/>
      <w:numFmt w:val="decimal"/>
      <w:lvlText w:val="%7."/>
      <w:lvlJc w:val="left"/>
      <w:pPr>
        <w:ind w:left="4320" w:hanging="558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D0FFD2">
      <w:start w:val="1"/>
      <w:numFmt w:val="lowerLetter"/>
      <w:lvlText w:val="%8."/>
      <w:lvlJc w:val="left"/>
      <w:pPr>
        <w:ind w:left="5040" w:hanging="54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EC901A">
      <w:start w:val="1"/>
      <w:numFmt w:val="lowerRoman"/>
      <w:lvlText w:val="%9."/>
      <w:lvlJc w:val="left"/>
      <w:pPr>
        <w:ind w:left="5760" w:hanging="47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5453938"/>
    <w:multiLevelType w:val="multilevel"/>
    <w:tmpl w:val="A4CE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3160E"/>
    <w:multiLevelType w:val="multilevel"/>
    <w:tmpl w:val="BB26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9867D0"/>
    <w:multiLevelType w:val="multilevel"/>
    <w:tmpl w:val="DF5A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2D612B"/>
    <w:multiLevelType w:val="multilevel"/>
    <w:tmpl w:val="F48E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56F1C"/>
    <w:multiLevelType w:val="multilevel"/>
    <w:tmpl w:val="CB06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106200"/>
    <w:multiLevelType w:val="multilevel"/>
    <w:tmpl w:val="B108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904699"/>
    <w:multiLevelType w:val="multilevel"/>
    <w:tmpl w:val="5A96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5"/>
  </w:num>
  <w:num w:numId="6">
    <w:abstractNumId w:val="11"/>
  </w:num>
  <w:num w:numId="7">
    <w:abstractNumId w:val="9"/>
  </w:num>
  <w:num w:numId="8">
    <w:abstractNumId w:val="5"/>
  </w:num>
  <w:num w:numId="9">
    <w:abstractNumId w:val="14"/>
  </w:num>
  <w:num w:numId="10">
    <w:abstractNumId w:val="13"/>
  </w:num>
  <w:num w:numId="11">
    <w:abstractNumId w:val="10"/>
  </w:num>
  <w:num w:numId="12">
    <w:abstractNumId w:val="3"/>
  </w:num>
  <w:num w:numId="13">
    <w:abstractNumId w:val="4"/>
  </w:num>
  <w:num w:numId="14">
    <w:abstractNumId w:val="12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C6"/>
    <w:rsid w:val="00057145"/>
    <w:rsid w:val="000C0356"/>
    <w:rsid w:val="000F1C2D"/>
    <w:rsid w:val="001045A5"/>
    <w:rsid w:val="0013004C"/>
    <w:rsid w:val="00240F79"/>
    <w:rsid w:val="002804E4"/>
    <w:rsid w:val="002C65AB"/>
    <w:rsid w:val="002D4180"/>
    <w:rsid w:val="002F1BEF"/>
    <w:rsid w:val="00327702"/>
    <w:rsid w:val="003C7A4E"/>
    <w:rsid w:val="00445026"/>
    <w:rsid w:val="00546067"/>
    <w:rsid w:val="005C4230"/>
    <w:rsid w:val="00625AFA"/>
    <w:rsid w:val="00651CB0"/>
    <w:rsid w:val="00656EAB"/>
    <w:rsid w:val="00676E91"/>
    <w:rsid w:val="006A52DF"/>
    <w:rsid w:val="00725F1F"/>
    <w:rsid w:val="00790740"/>
    <w:rsid w:val="007E25CF"/>
    <w:rsid w:val="008035A6"/>
    <w:rsid w:val="00851758"/>
    <w:rsid w:val="00874418"/>
    <w:rsid w:val="008B07C6"/>
    <w:rsid w:val="00952D9D"/>
    <w:rsid w:val="00A710C3"/>
    <w:rsid w:val="00AA03D1"/>
    <w:rsid w:val="00B413FC"/>
    <w:rsid w:val="00B61E10"/>
    <w:rsid w:val="00B66A93"/>
    <w:rsid w:val="00B849CF"/>
    <w:rsid w:val="00B95A9A"/>
    <w:rsid w:val="00BA0827"/>
    <w:rsid w:val="00BA0AE9"/>
    <w:rsid w:val="00BA71D1"/>
    <w:rsid w:val="00CD3D6C"/>
    <w:rsid w:val="00D11FF8"/>
    <w:rsid w:val="00D2488C"/>
    <w:rsid w:val="00D875A5"/>
    <w:rsid w:val="00DA5011"/>
    <w:rsid w:val="00DC5DB1"/>
    <w:rsid w:val="00E05DED"/>
    <w:rsid w:val="00E363B8"/>
    <w:rsid w:val="00E745AD"/>
    <w:rsid w:val="00E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2861"/>
  <w15:chartTrackingRefBased/>
  <w15:docId w15:val="{B60E0204-D175-4607-B7EC-3D837286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6936"/>
  </w:style>
  <w:style w:type="paragraph" w:styleId="Nadpis1">
    <w:name w:val="heading 1"/>
    <w:basedOn w:val="Normlny"/>
    <w:next w:val="Normlny"/>
    <w:link w:val="Nadpis1Char"/>
    <w:uiPriority w:val="9"/>
    <w:qFormat/>
    <w:rsid w:val="008B0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B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B0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B0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B0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B0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B0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B0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B0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B0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B0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B0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B07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B07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B07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B07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B07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B07C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8B0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8B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8B0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8B0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B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B07C6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8B07C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B07C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B0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B07C6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8B07C6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25AFA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625AFA"/>
    <w:rPr>
      <w:color w:val="605E5C"/>
      <w:shd w:val="clear" w:color="auto" w:fill="E1DFDD"/>
    </w:rPr>
  </w:style>
  <w:style w:type="table" w:customStyle="1" w:styleId="TableNormal1">
    <w:name w:val="Table Normal1"/>
    <w:rsid w:val="002C65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sk-SK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A">
    <w:name w:val="Telo A"/>
    <w:rsid w:val="002C65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Predvolen">
    <w:name w:val="Predvolené"/>
    <w:rsid w:val="002C65A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Zkladntext">
    <w:name w:val="Body Text"/>
    <w:link w:val="ZkladntextChar"/>
    <w:rsid w:val="002C65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2C65AB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4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Hlubocka</dc:creator>
  <cp:keywords/>
  <dc:description/>
  <cp:lastModifiedBy>Vašečka, Richard</cp:lastModifiedBy>
  <cp:revision>2</cp:revision>
  <cp:lastPrinted>2025-11-07T12:24:00Z</cp:lastPrinted>
  <dcterms:created xsi:type="dcterms:W3CDTF">2025-11-07T12:54:00Z</dcterms:created>
  <dcterms:modified xsi:type="dcterms:W3CDTF">2025-11-07T12:54:00Z</dcterms:modified>
</cp:coreProperties>
</file>