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C7A2" w14:textId="77777777" w:rsidR="00FA27C4"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DOLOŽKA ZLUČITEĽNOSTI</w:t>
      </w:r>
    </w:p>
    <w:p w14:paraId="373A4FF8" w14:textId="77777777" w:rsidR="00FA27C4"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návrhu zákona s právom Európskej únie</w:t>
      </w:r>
    </w:p>
    <w:p w14:paraId="531AA6D3" w14:textId="77777777" w:rsidR="00FA27C4" w:rsidRDefault="00FA27C4">
      <w:pPr>
        <w:spacing w:line="240" w:lineRule="auto"/>
        <w:jc w:val="both"/>
        <w:rPr>
          <w:rFonts w:ascii="Times New Roman" w:eastAsia="Times New Roman" w:hAnsi="Times New Roman" w:cs="Times New Roman"/>
          <w:sz w:val="24"/>
          <w:szCs w:val="24"/>
        </w:rPr>
      </w:pPr>
    </w:p>
    <w:p w14:paraId="407EBC4D" w14:textId="77777777" w:rsidR="00FA27C4"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 Predkladateľ návrhu zákona</w:t>
      </w:r>
      <w:r>
        <w:rPr>
          <w:rFonts w:ascii="Times New Roman" w:eastAsia="Times New Roman" w:hAnsi="Times New Roman" w:cs="Times New Roman"/>
          <w:sz w:val="24"/>
          <w:szCs w:val="24"/>
        </w:rPr>
        <w:t xml:space="preserve">: </w:t>
      </w:r>
    </w:p>
    <w:p w14:paraId="590AB308" w14:textId="77777777" w:rsidR="00FA27C4" w:rsidRDefault="00FA27C4">
      <w:pPr>
        <w:spacing w:line="240" w:lineRule="auto"/>
        <w:rPr>
          <w:rFonts w:ascii="Times New Roman" w:eastAsia="Times New Roman" w:hAnsi="Times New Roman" w:cs="Times New Roman"/>
          <w:sz w:val="24"/>
          <w:szCs w:val="24"/>
        </w:rPr>
      </w:pPr>
    </w:p>
    <w:p w14:paraId="0A832AAD"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poslanec Národnej rady Slovenskej republiky Michal Sabo </w:t>
      </w:r>
    </w:p>
    <w:p w14:paraId="6508F07C" w14:textId="77777777" w:rsidR="00FA27C4" w:rsidRDefault="00FA27C4">
      <w:pPr>
        <w:spacing w:line="240" w:lineRule="auto"/>
        <w:rPr>
          <w:rFonts w:ascii="Times New Roman" w:eastAsia="Times New Roman" w:hAnsi="Times New Roman" w:cs="Times New Roman"/>
          <w:sz w:val="24"/>
          <w:szCs w:val="24"/>
        </w:rPr>
      </w:pPr>
    </w:p>
    <w:p w14:paraId="22FEA362" w14:textId="77777777" w:rsidR="00FA27C4"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Názov návrhu právneho predpisu:</w:t>
      </w:r>
    </w:p>
    <w:p w14:paraId="1DCEB461" w14:textId="77777777" w:rsidR="00FA27C4" w:rsidRDefault="00FA27C4">
      <w:pPr>
        <w:spacing w:line="240" w:lineRule="auto"/>
        <w:rPr>
          <w:rFonts w:ascii="Times New Roman" w:eastAsia="Times New Roman" w:hAnsi="Times New Roman" w:cs="Times New Roman"/>
          <w:sz w:val="24"/>
          <w:szCs w:val="24"/>
        </w:rPr>
      </w:pPr>
    </w:p>
    <w:p w14:paraId="1DEAB58C"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dopĺňa zákon č. 79/2015 Z. z. o odpadoch a o zmene a doplnení niektorých zákonov v znení neskorších predpisov</w:t>
      </w:r>
    </w:p>
    <w:p w14:paraId="50437A33" w14:textId="77777777" w:rsidR="00FA27C4" w:rsidRDefault="00FA27C4">
      <w:pPr>
        <w:spacing w:line="240" w:lineRule="auto"/>
        <w:jc w:val="both"/>
        <w:rPr>
          <w:rFonts w:ascii="Times New Roman" w:eastAsia="Times New Roman" w:hAnsi="Times New Roman" w:cs="Times New Roman"/>
          <w:sz w:val="24"/>
          <w:szCs w:val="24"/>
        </w:rPr>
      </w:pPr>
    </w:p>
    <w:p w14:paraId="47B3D529" w14:textId="77777777" w:rsidR="00FA27C4" w:rsidRDefault="00000000">
      <w:pPr>
        <w:spacing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 Problematika návrhu právneho predpisu:</w:t>
      </w:r>
    </w:p>
    <w:p w14:paraId="59056F8B" w14:textId="77777777" w:rsidR="00FA27C4" w:rsidRDefault="00FA27C4">
      <w:pPr>
        <w:spacing w:line="240" w:lineRule="auto"/>
        <w:jc w:val="both"/>
        <w:rPr>
          <w:rFonts w:ascii="Times New Roman" w:eastAsia="Times New Roman" w:hAnsi="Times New Roman" w:cs="Times New Roman"/>
          <w:b/>
          <w:sz w:val="24"/>
          <w:szCs w:val="24"/>
          <w:highlight w:val="white"/>
        </w:rPr>
      </w:pPr>
    </w:p>
    <w:p w14:paraId="409505AE" w14:textId="77777777" w:rsidR="00FA27C4" w:rsidRDefault="00000000">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nie je upravená v práve Európskej únie</w:t>
      </w:r>
    </w:p>
    <w:p w14:paraId="3007CA6A" w14:textId="77777777" w:rsidR="00FA27C4" w:rsidRDefault="00FA27C4">
      <w:pPr>
        <w:spacing w:line="240" w:lineRule="auto"/>
        <w:jc w:val="both"/>
        <w:rPr>
          <w:rFonts w:ascii="Times New Roman" w:eastAsia="Times New Roman" w:hAnsi="Times New Roman" w:cs="Times New Roman"/>
          <w:sz w:val="24"/>
          <w:szCs w:val="24"/>
          <w:highlight w:val="white"/>
        </w:rPr>
      </w:pPr>
    </w:p>
    <w:p w14:paraId="35ED150F" w14:textId="77777777" w:rsidR="00FA27C4" w:rsidRDefault="00000000">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 nie je obsiahnutá v judikatúre Súdneho dvora Európskej únie.</w:t>
      </w:r>
    </w:p>
    <w:p w14:paraId="634D9E0A" w14:textId="77777777" w:rsidR="00FA27C4" w:rsidRDefault="00FA27C4">
      <w:pPr>
        <w:spacing w:line="240" w:lineRule="auto"/>
        <w:jc w:val="both"/>
        <w:rPr>
          <w:rFonts w:ascii="Times New Roman" w:eastAsia="Times New Roman" w:hAnsi="Times New Roman" w:cs="Times New Roman"/>
          <w:sz w:val="24"/>
          <w:szCs w:val="24"/>
        </w:rPr>
      </w:pPr>
    </w:p>
    <w:p w14:paraId="33B4CB50" w14:textId="77777777" w:rsidR="00FA27C4" w:rsidRDefault="00FA27C4">
      <w:pPr>
        <w:spacing w:line="240" w:lineRule="auto"/>
        <w:jc w:val="both"/>
        <w:rPr>
          <w:rFonts w:ascii="Times New Roman" w:eastAsia="Times New Roman" w:hAnsi="Times New Roman" w:cs="Times New Roman"/>
          <w:sz w:val="24"/>
          <w:szCs w:val="24"/>
        </w:rPr>
      </w:pPr>
    </w:p>
    <w:p w14:paraId="39E88232"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Vzhľadom, že problematika návrhu zákona nie je upravená v práve EÚ, body 4 a 5 sa nevypĺňajú.</w:t>
      </w:r>
    </w:p>
    <w:p w14:paraId="27D7929B" w14:textId="77777777" w:rsidR="00FA27C4" w:rsidRDefault="00FA27C4">
      <w:pPr>
        <w:spacing w:line="240" w:lineRule="auto"/>
        <w:jc w:val="both"/>
        <w:rPr>
          <w:rFonts w:ascii="Times New Roman" w:eastAsia="Times New Roman" w:hAnsi="Times New Roman" w:cs="Times New Roman"/>
          <w:sz w:val="24"/>
          <w:szCs w:val="24"/>
        </w:rPr>
      </w:pPr>
    </w:p>
    <w:p w14:paraId="14200101" w14:textId="77777777" w:rsidR="00FA27C4" w:rsidRDefault="00FA27C4">
      <w:pPr>
        <w:spacing w:line="240" w:lineRule="auto"/>
        <w:jc w:val="both"/>
        <w:rPr>
          <w:rFonts w:ascii="Times New Roman" w:eastAsia="Times New Roman" w:hAnsi="Times New Roman" w:cs="Times New Roman"/>
          <w:sz w:val="24"/>
          <w:szCs w:val="24"/>
        </w:rPr>
      </w:pPr>
    </w:p>
    <w:p w14:paraId="2AD33BC9" w14:textId="77777777" w:rsidR="00FA27C4" w:rsidRDefault="00FA27C4">
      <w:pPr>
        <w:spacing w:line="240" w:lineRule="auto"/>
        <w:jc w:val="both"/>
        <w:rPr>
          <w:rFonts w:ascii="Times New Roman" w:eastAsia="Times New Roman" w:hAnsi="Times New Roman" w:cs="Times New Roman"/>
          <w:sz w:val="24"/>
          <w:szCs w:val="24"/>
        </w:rPr>
      </w:pPr>
    </w:p>
    <w:p w14:paraId="04A95F3F" w14:textId="77777777" w:rsidR="00FA27C4" w:rsidRDefault="00FA27C4">
      <w:pPr>
        <w:spacing w:line="240" w:lineRule="auto"/>
        <w:jc w:val="both"/>
        <w:rPr>
          <w:rFonts w:ascii="Times New Roman" w:eastAsia="Times New Roman" w:hAnsi="Times New Roman" w:cs="Times New Roman"/>
          <w:sz w:val="24"/>
          <w:szCs w:val="24"/>
        </w:rPr>
      </w:pPr>
    </w:p>
    <w:p w14:paraId="70B7A377" w14:textId="77777777" w:rsidR="00FA27C4" w:rsidRDefault="00FA27C4">
      <w:pPr>
        <w:spacing w:line="240" w:lineRule="auto"/>
        <w:jc w:val="both"/>
        <w:rPr>
          <w:rFonts w:ascii="Times New Roman" w:eastAsia="Times New Roman" w:hAnsi="Times New Roman" w:cs="Times New Roman"/>
          <w:sz w:val="24"/>
          <w:szCs w:val="24"/>
        </w:rPr>
      </w:pPr>
    </w:p>
    <w:p w14:paraId="5006F32E" w14:textId="77777777" w:rsidR="00FA27C4" w:rsidRDefault="00FA27C4">
      <w:pPr>
        <w:spacing w:line="240" w:lineRule="auto"/>
        <w:jc w:val="both"/>
        <w:rPr>
          <w:rFonts w:ascii="Times New Roman" w:eastAsia="Times New Roman" w:hAnsi="Times New Roman" w:cs="Times New Roman"/>
          <w:sz w:val="24"/>
          <w:szCs w:val="24"/>
        </w:rPr>
      </w:pPr>
    </w:p>
    <w:p w14:paraId="35AC1BBB" w14:textId="77777777" w:rsidR="00FA27C4" w:rsidRDefault="00FA27C4">
      <w:pPr>
        <w:spacing w:line="240" w:lineRule="auto"/>
        <w:jc w:val="both"/>
        <w:rPr>
          <w:rFonts w:ascii="Times New Roman" w:eastAsia="Times New Roman" w:hAnsi="Times New Roman" w:cs="Times New Roman"/>
          <w:sz w:val="24"/>
          <w:szCs w:val="24"/>
        </w:rPr>
      </w:pPr>
    </w:p>
    <w:p w14:paraId="26B09D9E" w14:textId="77777777" w:rsidR="00FA27C4" w:rsidRDefault="00FA27C4">
      <w:pPr>
        <w:spacing w:line="240" w:lineRule="auto"/>
        <w:jc w:val="both"/>
        <w:rPr>
          <w:rFonts w:ascii="Times New Roman" w:eastAsia="Times New Roman" w:hAnsi="Times New Roman" w:cs="Times New Roman"/>
          <w:sz w:val="24"/>
          <w:szCs w:val="24"/>
        </w:rPr>
      </w:pPr>
    </w:p>
    <w:p w14:paraId="609B7137" w14:textId="77777777" w:rsidR="00FA27C4" w:rsidRDefault="00FA27C4">
      <w:pPr>
        <w:spacing w:line="240" w:lineRule="auto"/>
        <w:jc w:val="both"/>
        <w:rPr>
          <w:rFonts w:ascii="Times New Roman" w:eastAsia="Times New Roman" w:hAnsi="Times New Roman" w:cs="Times New Roman"/>
          <w:sz w:val="24"/>
          <w:szCs w:val="24"/>
        </w:rPr>
      </w:pPr>
    </w:p>
    <w:p w14:paraId="46533B5F" w14:textId="77777777" w:rsidR="00FA27C4" w:rsidRDefault="00FA27C4">
      <w:pPr>
        <w:spacing w:line="240" w:lineRule="auto"/>
        <w:jc w:val="both"/>
        <w:rPr>
          <w:rFonts w:ascii="Times New Roman" w:eastAsia="Times New Roman" w:hAnsi="Times New Roman" w:cs="Times New Roman"/>
          <w:sz w:val="24"/>
          <w:szCs w:val="24"/>
        </w:rPr>
      </w:pPr>
    </w:p>
    <w:p w14:paraId="0219970A" w14:textId="77777777" w:rsidR="00FA27C4" w:rsidRDefault="00FA27C4">
      <w:pPr>
        <w:spacing w:line="240" w:lineRule="auto"/>
        <w:jc w:val="both"/>
        <w:rPr>
          <w:rFonts w:ascii="Times New Roman" w:eastAsia="Times New Roman" w:hAnsi="Times New Roman" w:cs="Times New Roman"/>
          <w:sz w:val="24"/>
          <w:szCs w:val="24"/>
        </w:rPr>
      </w:pPr>
    </w:p>
    <w:p w14:paraId="2AC400D9" w14:textId="77777777" w:rsidR="00FA27C4" w:rsidRDefault="00FA27C4">
      <w:pPr>
        <w:spacing w:line="240" w:lineRule="auto"/>
        <w:jc w:val="both"/>
        <w:rPr>
          <w:rFonts w:ascii="Times New Roman" w:eastAsia="Times New Roman" w:hAnsi="Times New Roman" w:cs="Times New Roman"/>
          <w:sz w:val="24"/>
          <w:szCs w:val="24"/>
        </w:rPr>
      </w:pPr>
    </w:p>
    <w:p w14:paraId="3C6150BD" w14:textId="77777777" w:rsidR="00FA27C4" w:rsidRDefault="00FA27C4">
      <w:pPr>
        <w:spacing w:line="240" w:lineRule="auto"/>
        <w:jc w:val="both"/>
        <w:rPr>
          <w:rFonts w:ascii="Times New Roman" w:eastAsia="Times New Roman" w:hAnsi="Times New Roman" w:cs="Times New Roman"/>
          <w:sz w:val="24"/>
          <w:szCs w:val="24"/>
        </w:rPr>
      </w:pPr>
    </w:p>
    <w:p w14:paraId="7C632D36" w14:textId="77777777" w:rsidR="00FA27C4" w:rsidRDefault="00FA27C4">
      <w:pPr>
        <w:spacing w:line="240" w:lineRule="auto"/>
        <w:jc w:val="both"/>
        <w:rPr>
          <w:rFonts w:ascii="Times New Roman" w:eastAsia="Times New Roman" w:hAnsi="Times New Roman" w:cs="Times New Roman"/>
          <w:sz w:val="24"/>
          <w:szCs w:val="24"/>
        </w:rPr>
      </w:pPr>
    </w:p>
    <w:p w14:paraId="03CA668F" w14:textId="77777777" w:rsidR="00FA27C4" w:rsidRDefault="00FA27C4">
      <w:pPr>
        <w:spacing w:line="240" w:lineRule="auto"/>
        <w:jc w:val="both"/>
        <w:rPr>
          <w:rFonts w:ascii="Times New Roman" w:eastAsia="Times New Roman" w:hAnsi="Times New Roman" w:cs="Times New Roman"/>
          <w:sz w:val="24"/>
          <w:szCs w:val="24"/>
        </w:rPr>
      </w:pPr>
    </w:p>
    <w:p w14:paraId="06CD2BD5" w14:textId="77777777" w:rsidR="00FA27C4" w:rsidRDefault="00FA27C4">
      <w:pPr>
        <w:spacing w:line="240" w:lineRule="auto"/>
        <w:jc w:val="both"/>
        <w:rPr>
          <w:rFonts w:ascii="Times New Roman" w:eastAsia="Times New Roman" w:hAnsi="Times New Roman" w:cs="Times New Roman"/>
          <w:sz w:val="24"/>
          <w:szCs w:val="24"/>
        </w:rPr>
      </w:pPr>
    </w:p>
    <w:p w14:paraId="0817407B" w14:textId="77777777" w:rsidR="00FA27C4" w:rsidRDefault="00FA27C4">
      <w:pPr>
        <w:spacing w:line="240" w:lineRule="auto"/>
        <w:jc w:val="both"/>
        <w:rPr>
          <w:rFonts w:ascii="Times New Roman" w:eastAsia="Times New Roman" w:hAnsi="Times New Roman" w:cs="Times New Roman"/>
          <w:sz w:val="24"/>
          <w:szCs w:val="24"/>
        </w:rPr>
      </w:pPr>
    </w:p>
    <w:p w14:paraId="7F1167B3" w14:textId="77777777" w:rsidR="00FA27C4" w:rsidRDefault="00FA27C4">
      <w:pPr>
        <w:spacing w:line="240" w:lineRule="auto"/>
        <w:jc w:val="both"/>
        <w:rPr>
          <w:rFonts w:ascii="Times New Roman" w:eastAsia="Times New Roman" w:hAnsi="Times New Roman" w:cs="Times New Roman"/>
          <w:sz w:val="24"/>
          <w:szCs w:val="24"/>
        </w:rPr>
      </w:pPr>
    </w:p>
    <w:p w14:paraId="59C446FF" w14:textId="77777777" w:rsidR="00FA27C4" w:rsidRDefault="00FA27C4">
      <w:pPr>
        <w:spacing w:line="240" w:lineRule="auto"/>
        <w:jc w:val="both"/>
        <w:rPr>
          <w:rFonts w:ascii="Times New Roman" w:eastAsia="Times New Roman" w:hAnsi="Times New Roman" w:cs="Times New Roman"/>
          <w:sz w:val="24"/>
          <w:szCs w:val="24"/>
        </w:rPr>
      </w:pPr>
    </w:p>
    <w:p w14:paraId="59E47FF9" w14:textId="77777777" w:rsidR="00FA27C4" w:rsidRDefault="00FA27C4">
      <w:pPr>
        <w:spacing w:line="240" w:lineRule="auto"/>
        <w:jc w:val="both"/>
        <w:rPr>
          <w:rFonts w:ascii="Times New Roman" w:eastAsia="Times New Roman" w:hAnsi="Times New Roman" w:cs="Times New Roman"/>
          <w:sz w:val="24"/>
          <w:szCs w:val="24"/>
        </w:rPr>
      </w:pPr>
    </w:p>
    <w:p w14:paraId="2E0E5D68" w14:textId="77777777" w:rsidR="00FA27C4" w:rsidRDefault="00FA27C4">
      <w:pPr>
        <w:spacing w:line="240" w:lineRule="auto"/>
        <w:jc w:val="both"/>
        <w:rPr>
          <w:rFonts w:ascii="Times New Roman" w:eastAsia="Times New Roman" w:hAnsi="Times New Roman" w:cs="Times New Roman"/>
          <w:sz w:val="24"/>
          <w:szCs w:val="24"/>
        </w:rPr>
      </w:pPr>
    </w:p>
    <w:p w14:paraId="78223279" w14:textId="77777777" w:rsidR="00FA27C4" w:rsidRDefault="00FA27C4">
      <w:pPr>
        <w:spacing w:line="240" w:lineRule="auto"/>
        <w:jc w:val="both"/>
        <w:rPr>
          <w:rFonts w:ascii="Times New Roman" w:eastAsia="Times New Roman" w:hAnsi="Times New Roman" w:cs="Times New Roman"/>
          <w:sz w:val="24"/>
          <w:szCs w:val="24"/>
        </w:rPr>
      </w:pPr>
    </w:p>
    <w:p w14:paraId="52F7480A" w14:textId="77777777" w:rsidR="00FA27C4" w:rsidRDefault="00FA27C4">
      <w:pPr>
        <w:spacing w:line="240" w:lineRule="auto"/>
        <w:jc w:val="both"/>
        <w:rPr>
          <w:rFonts w:ascii="Times New Roman" w:eastAsia="Times New Roman" w:hAnsi="Times New Roman" w:cs="Times New Roman"/>
          <w:sz w:val="24"/>
          <w:szCs w:val="24"/>
        </w:rPr>
      </w:pPr>
    </w:p>
    <w:p w14:paraId="739379AD" w14:textId="77777777" w:rsidR="00FA27C4" w:rsidRDefault="00FA27C4">
      <w:pPr>
        <w:spacing w:line="240" w:lineRule="auto"/>
        <w:jc w:val="both"/>
        <w:rPr>
          <w:rFonts w:ascii="Times New Roman" w:eastAsia="Times New Roman" w:hAnsi="Times New Roman" w:cs="Times New Roman"/>
          <w:sz w:val="24"/>
          <w:szCs w:val="24"/>
        </w:rPr>
      </w:pPr>
    </w:p>
    <w:p w14:paraId="7BAFDE13" w14:textId="77777777" w:rsidR="00FA27C4" w:rsidRDefault="00FA27C4">
      <w:pPr>
        <w:spacing w:line="240" w:lineRule="auto"/>
        <w:jc w:val="both"/>
        <w:rPr>
          <w:rFonts w:ascii="Times New Roman" w:eastAsia="Times New Roman" w:hAnsi="Times New Roman" w:cs="Times New Roman"/>
          <w:sz w:val="24"/>
          <w:szCs w:val="24"/>
        </w:rPr>
      </w:pPr>
    </w:p>
    <w:p w14:paraId="24E78567" w14:textId="77777777" w:rsidR="00FA27C4" w:rsidRDefault="00FA27C4">
      <w:pPr>
        <w:spacing w:line="240" w:lineRule="auto"/>
        <w:jc w:val="both"/>
        <w:rPr>
          <w:rFonts w:ascii="Times New Roman" w:eastAsia="Times New Roman" w:hAnsi="Times New Roman" w:cs="Times New Roman"/>
          <w:sz w:val="24"/>
          <w:szCs w:val="24"/>
        </w:rPr>
      </w:pPr>
    </w:p>
    <w:p w14:paraId="60F575B1" w14:textId="77777777" w:rsidR="00FA27C4" w:rsidRDefault="00FA27C4">
      <w:pPr>
        <w:spacing w:line="240" w:lineRule="auto"/>
        <w:jc w:val="both"/>
        <w:rPr>
          <w:rFonts w:ascii="Times New Roman" w:eastAsia="Times New Roman" w:hAnsi="Times New Roman" w:cs="Times New Roman"/>
          <w:sz w:val="24"/>
          <w:szCs w:val="24"/>
        </w:rPr>
      </w:pPr>
    </w:p>
    <w:p w14:paraId="43B0E6C2" w14:textId="77777777" w:rsidR="00FA27C4" w:rsidRDefault="00FA27C4">
      <w:pPr>
        <w:spacing w:line="240" w:lineRule="auto"/>
        <w:jc w:val="both"/>
        <w:rPr>
          <w:rFonts w:ascii="Times New Roman" w:eastAsia="Times New Roman" w:hAnsi="Times New Roman" w:cs="Times New Roman"/>
          <w:sz w:val="24"/>
          <w:szCs w:val="24"/>
        </w:rPr>
      </w:pPr>
    </w:p>
    <w:p w14:paraId="74918A0C" w14:textId="77777777" w:rsidR="00FA27C4" w:rsidRDefault="00FA27C4">
      <w:pPr>
        <w:spacing w:line="240" w:lineRule="auto"/>
        <w:rPr>
          <w:rFonts w:ascii="Times New Roman" w:eastAsia="Times New Roman" w:hAnsi="Times New Roman" w:cs="Times New Roman"/>
          <w:b/>
          <w:sz w:val="24"/>
          <w:szCs w:val="24"/>
        </w:rPr>
      </w:pPr>
    </w:p>
    <w:p w14:paraId="0E69EBF1" w14:textId="77777777" w:rsidR="00FA27C4"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DOLOŽKA VYBRANÝCH VPLYVOV</w:t>
      </w:r>
    </w:p>
    <w:p w14:paraId="108D4084" w14:textId="77777777" w:rsidR="00FA27C4" w:rsidRDefault="00FA27C4">
      <w:pPr>
        <w:spacing w:line="240" w:lineRule="auto"/>
        <w:jc w:val="center"/>
        <w:rPr>
          <w:rFonts w:ascii="Times New Roman" w:eastAsia="Times New Roman" w:hAnsi="Times New Roman" w:cs="Times New Roman"/>
          <w:b/>
          <w:sz w:val="24"/>
          <w:szCs w:val="24"/>
        </w:rPr>
      </w:pPr>
    </w:p>
    <w:p w14:paraId="15F0B1C4"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E06D51"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A.1. Názov materiálu: </w:t>
      </w:r>
    </w:p>
    <w:p w14:paraId="35CE9059" w14:textId="77777777" w:rsidR="00FA27C4" w:rsidRDefault="00FA27C4">
      <w:pPr>
        <w:spacing w:line="240" w:lineRule="auto"/>
        <w:jc w:val="both"/>
        <w:rPr>
          <w:rFonts w:ascii="Times New Roman" w:eastAsia="Times New Roman" w:hAnsi="Times New Roman" w:cs="Times New Roman"/>
          <w:b/>
          <w:sz w:val="24"/>
          <w:szCs w:val="24"/>
        </w:rPr>
      </w:pPr>
    </w:p>
    <w:p w14:paraId="50846A97"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ktorým sa dopĺňa zákon č. 79/2015 Z. z. o odpadoch a o zmene a doplnení niektorých zákonov v znení neskorších predpisov</w:t>
      </w:r>
    </w:p>
    <w:p w14:paraId="02FA0EE8" w14:textId="77777777" w:rsidR="00FA27C4" w:rsidRDefault="00FA27C4">
      <w:pPr>
        <w:spacing w:line="240" w:lineRule="auto"/>
        <w:jc w:val="both"/>
        <w:rPr>
          <w:rFonts w:ascii="Times New Roman" w:eastAsia="Times New Roman" w:hAnsi="Times New Roman" w:cs="Times New Roman"/>
          <w:sz w:val="24"/>
          <w:szCs w:val="24"/>
        </w:rPr>
      </w:pPr>
    </w:p>
    <w:p w14:paraId="4E1A8AE9" w14:textId="77777777" w:rsidR="00FA27C4" w:rsidRDefault="00FA27C4">
      <w:pPr>
        <w:spacing w:line="240" w:lineRule="auto"/>
        <w:jc w:val="both"/>
        <w:rPr>
          <w:rFonts w:ascii="Times New Roman" w:eastAsia="Times New Roman" w:hAnsi="Times New Roman" w:cs="Times New Roman"/>
          <w:sz w:val="24"/>
          <w:szCs w:val="24"/>
        </w:rPr>
      </w:pPr>
    </w:p>
    <w:p w14:paraId="6B4FE210"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A.2. Vplyvy:</w:t>
      </w:r>
    </w:p>
    <w:p w14:paraId="72A07359"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FA27C4" w14:paraId="25B93C76" w14:textId="77777777">
        <w:trPr>
          <w:trHeight w:val="285"/>
        </w:trPr>
        <w:tc>
          <w:tcPr>
            <w:tcW w:w="54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0762122"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E1DC50"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CD9D10"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0F4AE6"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Negatívne</w:t>
            </w:r>
          </w:p>
        </w:tc>
      </w:tr>
      <w:tr w:rsidR="00FA27C4" w14:paraId="178A5531"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514BB7"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FD284F2"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A430D1B"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95AB2CE" w14:textId="77777777" w:rsidR="00FA27C4" w:rsidRDefault="00FA27C4">
            <w:pPr>
              <w:spacing w:line="240" w:lineRule="auto"/>
              <w:jc w:val="center"/>
              <w:rPr>
                <w:rFonts w:ascii="Times New Roman" w:eastAsia="Times New Roman" w:hAnsi="Times New Roman" w:cs="Times New Roman"/>
                <w:sz w:val="24"/>
                <w:szCs w:val="24"/>
              </w:rPr>
            </w:pPr>
          </w:p>
        </w:tc>
      </w:tr>
      <w:tr w:rsidR="00FA27C4" w14:paraId="5F9F5001" w14:textId="77777777">
        <w:trPr>
          <w:trHeight w:val="570"/>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F2EFCD"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2E64B62"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07E6EC7C" w14:textId="77777777" w:rsidR="00FA27C4" w:rsidRDefault="00FA27C4">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10B0A84"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FA27C4" w14:paraId="11AD65B1"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CD1F56"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1381270" w14:textId="77777777" w:rsidR="00FA27C4" w:rsidRDefault="00FA27C4">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F28379E"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4EA7593"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1589761A"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22F03F"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B677C87" w14:textId="77777777" w:rsidR="00FA27C4" w:rsidRDefault="00FA27C4">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C210024" w14:textId="77777777" w:rsidR="00FA27C4" w:rsidRDefault="00FA27C4">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90F284A"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630B6E8C"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848767"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sociálnu </w:t>
            </w:r>
            <w:proofErr w:type="spellStart"/>
            <w:r>
              <w:rPr>
                <w:rFonts w:ascii="Times New Roman" w:eastAsia="Times New Roman" w:hAnsi="Times New Roman" w:cs="Times New Roman"/>
                <w:sz w:val="24"/>
                <w:szCs w:val="24"/>
              </w:rPr>
              <w:t>exklúziu</w:t>
            </w:r>
            <w:proofErr w:type="spellEnd"/>
            <w:r>
              <w:rPr>
                <w:rFonts w:ascii="Times New Roman" w:eastAsia="Times New Roman" w:hAnsi="Times New Roman" w:cs="Times New Roman"/>
                <w:sz w:val="24"/>
                <w:szCs w:val="24"/>
              </w:rPr>
              <w:t>,</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84B70F4"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139281D" w14:textId="77777777" w:rsidR="00FA27C4" w:rsidRDefault="00FA27C4">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8C4DAD1"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40703E81"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9CDCE8"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4D38746"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01F95DDA" w14:textId="77777777" w:rsidR="00FA27C4" w:rsidRDefault="00FA27C4">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6922A5E"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4E83B3A0"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1AA9FD"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2F8218E"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42C2BD7" w14:textId="77777777" w:rsidR="00FA27C4" w:rsidRDefault="00FA27C4">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D9A9646"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5C91B8E4"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8EE3CF"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DC63824"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864A2E9"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7CA7259"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A27C4" w14:paraId="670F3E61"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6EE6A2"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292AC99" w14:textId="77777777" w:rsidR="00FA27C4" w:rsidRDefault="00FA27C4">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4FF41198"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153CDE9" w14:textId="77777777" w:rsidR="00FA27C4" w:rsidRDefault="00FA27C4">
            <w:pPr>
              <w:spacing w:line="240" w:lineRule="auto"/>
              <w:jc w:val="center"/>
              <w:rPr>
                <w:rFonts w:ascii="Times New Roman" w:eastAsia="Times New Roman" w:hAnsi="Times New Roman" w:cs="Times New Roman"/>
                <w:sz w:val="24"/>
                <w:szCs w:val="24"/>
              </w:rPr>
            </w:pPr>
          </w:p>
        </w:tc>
      </w:tr>
      <w:tr w:rsidR="00FA27C4" w14:paraId="22B213AE" w14:textId="77777777">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D90E2B"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80155EB" w14:textId="77777777" w:rsidR="00FA27C4" w:rsidRDefault="00FA27C4">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64A1174" w14:textId="77777777" w:rsidR="00FA27C4"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28C7D5C" w14:textId="77777777" w:rsidR="00FA27C4" w:rsidRDefault="00FA27C4">
            <w:pPr>
              <w:spacing w:line="240" w:lineRule="auto"/>
              <w:jc w:val="center"/>
              <w:rPr>
                <w:rFonts w:ascii="Times New Roman" w:eastAsia="Times New Roman" w:hAnsi="Times New Roman" w:cs="Times New Roman"/>
                <w:sz w:val="24"/>
                <w:szCs w:val="24"/>
              </w:rPr>
            </w:pPr>
          </w:p>
        </w:tc>
      </w:tr>
    </w:tbl>
    <w:p w14:paraId="24A9CB36"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E597A8"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Poznámky</w:t>
      </w:r>
    </w:p>
    <w:p w14:paraId="22F7D4FC" w14:textId="77777777" w:rsidR="00FA27C4" w:rsidRDefault="00FA27C4">
      <w:pPr>
        <w:spacing w:line="240" w:lineRule="auto"/>
        <w:jc w:val="both"/>
        <w:rPr>
          <w:rFonts w:ascii="Times New Roman" w:eastAsia="Times New Roman" w:hAnsi="Times New Roman" w:cs="Times New Roman"/>
          <w:b/>
          <w:sz w:val="24"/>
          <w:szCs w:val="24"/>
        </w:rPr>
      </w:pPr>
    </w:p>
    <w:p w14:paraId="18B28FEE"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Predložený návrh bude mať pozitívne vplyvy na životné prostredie, nakoľko uzatváranie a rekultivácia skládok bude môcť prebiehať efektívnejšie ako doteraz a to tak z hľadiska časového rámca ako aj kvality samotného procesu rekultivácie. Prevádzkovatelia skládok odpadov vytvárajú zo zákona účelovú finančnú rezervu (ÚFR) na uzatvorenie, rekultiváciu a následnú starostlivosť o skládku odpadov, ktorá vychádza z predpokladanej výšky nákladov na uvedené činnosti. Tento predpoklad sa však vytvára v čase, kedy skládka alebo jej časť začína svoju činnosť. Kým skládka bude skutočne uzatváraná a rekultivovaná,  prejdú desaťročia, pričom počas tohto obdobia sa menia legislatívne požiadavky na činnosť, technickú náročnosť uzatvorenia a rekultivácie, menia sa ceny vstupov, môžu sa meniť prírodné podmienky v mieste skládky a vyvíjajú sa tiež aj nové technológie. Z tohto dôvodu navrhujeme, aby prevádzkovatelia skládok prehodnotili každých 5 rokov predpokladané náklady a to aj na základe nového, aktualizovaného projektu. Tým sa zabezpečí, že výsledná suma účelovej finančnej rezervy bude v čase uzatvárania skládky oveľa bližšie skutočnej potrebe.</w:t>
      </w:r>
    </w:p>
    <w:p w14:paraId="154862C6"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bude mať pozitívne vplyvy na podnikateľské prostredie, nakoľko zabezpečí, aby ÚFR, ktorú prevádzkovatelia skládok vytvárajú v štátnej pokladnici počas desaťročí prevádzky skládky, bola optimalizovaná v priebehu času tak, že jej výška bude viac zodpovedať skutočným nákladom pri uzatváraní a rekultivácii skládky. Tým sa zamedzí či už nadmernému viazaniu finančných prostriedkov prevádzkovateľov skládok v ÚFR alebo naopak situácii, kedy sa nevytvorí dostatočná ÚFR a podnikateľ musí na rekultiváciu použiť iné finančné zdroje. Pozitívny vplyv bude mať aj stanovenie doby 30 dní, dokedy musí ministerstvo životného prostredia uvoľniť účelovú finančnú rezervu na uzatvorenie a rekultiváciu skládky. Tým eliminujeme vznik situácií, kedy síce prevádzkovateľ v súlade so zákonom vytvoril </w:t>
      </w:r>
      <w:r>
        <w:rPr>
          <w:rFonts w:ascii="Times New Roman" w:eastAsia="Times New Roman" w:hAnsi="Times New Roman" w:cs="Times New Roman"/>
          <w:sz w:val="24"/>
          <w:szCs w:val="24"/>
        </w:rPr>
        <w:lastRenderedPageBreak/>
        <w:t>účelovú finančnú rezervu, no musel rekultiváciu uhradiť z iných vlastných prostriedkov, pretože finančné prostriedky, ktoré počas prevádzky skládky odvádzal na štátny účet, dostal s oneskorením.</w:t>
      </w:r>
    </w:p>
    <w:p w14:paraId="1501FA15"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Návrh zákona bude mať aj negatívny vplyv na podnikateľské prostredie, nakoľko prehodnotenie predpokladaných nákladov na rekultiváciu skládky bude znamenať náklady na toto precenenie, pričom náklady odhadujeme od niekoľko sto eur pri precenení cez príslušný softvér, až po niekoľko desiatok tisíc v prípade zmeny prírodných podmienok v mieste skládky a teda potreby vypracovania novej projektovej dokumentácie pre rekultiváciu skládky. Konzultácie realizované s prevádzkovateľmi skládok ukázali, že prínosy pre segment sú podľa ich názoru vyššie ako popísané negatíva. </w:t>
      </w:r>
    </w:p>
    <w:p w14:paraId="07E3BB4B" w14:textId="77777777" w:rsidR="00FA27C4" w:rsidRDefault="00FA27C4">
      <w:pPr>
        <w:spacing w:line="240" w:lineRule="auto"/>
        <w:jc w:val="both"/>
        <w:rPr>
          <w:rFonts w:ascii="Times New Roman" w:eastAsia="Times New Roman" w:hAnsi="Times New Roman" w:cs="Times New Roman"/>
          <w:sz w:val="24"/>
          <w:szCs w:val="24"/>
        </w:rPr>
      </w:pPr>
    </w:p>
    <w:p w14:paraId="4694E08C" w14:textId="77777777" w:rsidR="00FA27C4" w:rsidRDefault="00FA27C4">
      <w:pPr>
        <w:spacing w:line="240" w:lineRule="auto"/>
        <w:jc w:val="both"/>
        <w:rPr>
          <w:rFonts w:ascii="Times New Roman" w:eastAsia="Times New Roman" w:hAnsi="Times New Roman" w:cs="Times New Roman"/>
          <w:sz w:val="24"/>
          <w:szCs w:val="24"/>
        </w:rPr>
      </w:pPr>
    </w:p>
    <w:p w14:paraId="58772C75"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Alternatívne riešenia</w:t>
      </w:r>
    </w:p>
    <w:p w14:paraId="6EF156EC" w14:textId="77777777" w:rsidR="00FA27C4" w:rsidRDefault="00FA27C4">
      <w:pPr>
        <w:spacing w:line="240" w:lineRule="auto"/>
        <w:jc w:val="both"/>
        <w:rPr>
          <w:rFonts w:ascii="Times New Roman" w:eastAsia="Times New Roman" w:hAnsi="Times New Roman" w:cs="Times New Roman"/>
          <w:b/>
          <w:sz w:val="24"/>
          <w:szCs w:val="24"/>
        </w:rPr>
      </w:pPr>
    </w:p>
    <w:p w14:paraId="3BA09472"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Nepredkladajú sa.</w:t>
      </w:r>
    </w:p>
    <w:p w14:paraId="1A6BA4DF" w14:textId="77777777" w:rsidR="00FA27C4" w:rsidRDefault="00FA27C4">
      <w:pPr>
        <w:spacing w:line="240" w:lineRule="auto"/>
        <w:jc w:val="both"/>
        <w:rPr>
          <w:rFonts w:ascii="Times New Roman" w:eastAsia="Times New Roman" w:hAnsi="Times New Roman" w:cs="Times New Roman"/>
          <w:sz w:val="24"/>
          <w:szCs w:val="24"/>
        </w:rPr>
      </w:pPr>
    </w:p>
    <w:p w14:paraId="2EA0AF1E" w14:textId="77777777" w:rsidR="00FA27C4"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A.5. Stanovisko gestorov</w:t>
      </w:r>
    </w:p>
    <w:p w14:paraId="656ADCE6" w14:textId="77777777" w:rsidR="00FA27C4" w:rsidRDefault="00FA27C4">
      <w:pPr>
        <w:spacing w:line="240" w:lineRule="auto"/>
        <w:jc w:val="both"/>
        <w:rPr>
          <w:rFonts w:ascii="Times New Roman" w:eastAsia="Times New Roman" w:hAnsi="Times New Roman" w:cs="Times New Roman"/>
          <w:sz w:val="24"/>
          <w:szCs w:val="24"/>
        </w:rPr>
      </w:pPr>
    </w:p>
    <w:p w14:paraId="4FA95CF0" w14:textId="77777777" w:rsidR="00FA27C4"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bol zaslaný na vyjadrenie Ministerstvu financií Slovenskej republiky a Ministerstvu hospodárstva Slovenskej republiky a ich stanoviská tvoria súčasť predkladaného materiálu.</w:t>
      </w:r>
    </w:p>
    <w:p w14:paraId="2F5F46EB" w14:textId="77777777" w:rsidR="00FA27C4" w:rsidRDefault="00FA27C4">
      <w:pPr>
        <w:rPr>
          <w:rFonts w:ascii="Times New Roman" w:eastAsia="Times New Roman" w:hAnsi="Times New Roman" w:cs="Times New Roman"/>
        </w:rPr>
      </w:pPr>
    </w:p>
    <w:p w14:paraId="75307624" w14:textId="77777777" w:rsidR="00FA27C4" w:rsidRDefault="00FA27C4"/>
    <w:sectPr w:rsidR="00FA27C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EB09DB23-03FE-4108-BE89-6A14AA1328A6}"/>
  </w:font>
  <w:font w:name="Cambria">
    <w:panose1 w:val="02040503050406030204"/>
    <w:charset w:val="EE"/>
    <w:family w:val="roman"/>
    <w:pitch w:val="variable"/>
    <w:sig w:usb0="E00006FF" w:usb1="420024FF" w:usb2="02000000" w:usb3="00000000" w:csb0="0000019F" w:csb1="00000000"/>
    <w:embedRegular r:id="rId2" w:fontKey="{81AEB192-4634-42FA-B20E-54040ECB6E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C4"/>
    <w:rsid w:val="002817EF"/>
    <w:rsid w:val="00AB6332"/>
    <w:rsid w:val="00F163DE"/>
    <w:rsid w:val="00FA27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8207"/>
  <w15:docId w15:val="{54A0239B-4BF2-4334-B368-B17961A2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Gaislova</dc:creator>
  <cp:lastModifiedBy>Martina Gaislova</cp:lastModifiedBy>
  <cp:revision>2</cp:revision>
  <dcterms:created xsi:type="dcterms:W3CDTF">2025-11-05T12:45:00Z</dcterms:created>
  <dcterms:modified xsi:type="dcterms:W3CDTF">2025-11-05T12:45:00Z</dcterms:modified>
</cp:coreProperties>
</file>